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auto"/>
        <w:framePr w:w="500" w:h="98" w:wrap="auto" w:vAnchor="page" w:hAnchor="page" w:x="260" w:y="7134"/>
        <w:rPr>
          <w:rFonts w:ascii="Arial" w:cs="Arial" w:eastAsia="Arial" w:hAnsi="Arial"/>
          <w:sz w:val="10"/>
          <w:szCs w:val="10"/>
          <w:color w:val="auto"/>
        </w:rPr>
      </w:pPr>
      <w:r>
        <w:rPr>
          <w:rFonts w:ascii="Arial" w:cs="Arial" w:eastAsia="Arial" w:hAnsi="Arial"/>
          <w:sz w:val="10"/>
          <w:szCs w:val="10"/>
          <w:color w:val="auto"/>
        </w:rPr>
        <w:t>chapter).</w:t>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3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3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April 29, 2026</w:t>
      </w:r>
    </w:p>
    <w:p>
      <w:pPr>
        <w:spacing w:after="0" w:line="267"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6"/>
          <w:szCs w:val="26"/>
          <w:b w:val="1"/>
          <w:bCs w:val="1"/>
          <w:color w:val="auto"/>
        </w:rPr>
        <w:t>Federal National Mortgage Association</w:t>
      </w:r>
    </w:p>
    <w:p>
      <w:pPr>
        <w:spacing w:after="0" w:line="2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30" w:lineRule="exact"/>
        <w:rPr>
          <w:rFonts w:ascii="Arial" w:cs="Arial" w:eastAsia="Arial" w:hAnsi="Arial"/>
          <w:sz w:val="10"/>
          <w:szCs w:val="10"/>
          <w:color w:val="auto"/>
        </w:rPr>
      </w:pPr>
    </w:p>
    <w:p>
      <w:pPr>
        <w:jc w:val="center"/>
        <w:ind w:right="-79"/>
        <w:spacing w:after="0"/>
        <w:rPr>
          <w:sz w:val="20"/>
          <w:szCs w:val="20"/>
          <w:color w:val="auto"/>
        </w:rPr>
      </w:pPr>
      <w:r>
        <w:rPr>
          <w:rFonts w:ascii="Arial" w:cs="Arial" w:eastAsia="Arial" w:hAnsi="Arial"/>
          <w:sz w:val="26"/>
          <w:szCs w:val="26"/>
          <w:b w:val="1"/>
          <w:bCs w:val="1"/>
          <w:color w:val="auto"/>
        </w:rPr>
        <w:t>Fannie Mae</w:t>
      </w:r>
    </w:p>
    <w:p>
      <w:pPr>
        <w:spacing w:after="0" w:line="47"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33"/>
        </w:trPr>
        <w:tc>
          <w:tcPr>
            <w:tcW w:w="3360" w:type="dxa"/>
            <w:vAlign w:val="bottom"/>
            <w:tcBorders>
              <w:top w:val="single" w:sz="8" w:color="auto"/>
            </w:tcBorders>
          </w:tcPr>
          <w:p>
            <w:pPr>
              <w:jc w:val="center"/>
              <w:ind w:left="270"/>
              <w:spacing w:after="0"/>
              <w:rPr>
                <w:sz w:val="20"/>
                <w:szCs w:val="20"/>
                <w:color w:val="auto"/>
              </w:rPr>
            </w:pPr>
            <w:r>
              <w:rPr>
                <w:rFonts w:ascii="Arial" w:cs="Arial" w:eastAsia="Arial" w:hAnsi="Arial"/>
                <w:sz w:val="11"/>
                <w:szCs w:val="11"/>
                <w:b w:val="1"/>
                <w:bCs w:val="1"/>
                <w:color w:val="auto"/>
                <w:w w:val="98"/>
              </w:rPr>
              <w:t>Federally chartered corporation</w:t>
            </w:r>
          </w:p>
        </w:tc>
        <w:tc>
          <w:tcPr>
            <w:tcW w:w="1600" w:type="dxa"/>
            <w:vAlign w:val="bottom"/>
            <w:tcBorders>
              <w:top w:val="single" w:sz="8" w:color="auto"/>
            </w:tcBorders>
          </w:tcPr>
          <w:p>
            <w:pPr>
              <w:jc w:val="center"/>
              <w:ind w:left="310"/>
              <w:spacing w:after="0"/>
              <w:rPr>
                <w:sz w:val="20"/>
                <w:szCs w:val="20"/>
                <w:color w:val="auto"/>
              </w:rPr>
            </w:pPr>
            <w:r>
              <w:rPr>
                <w:rFonts w:ascii="Arial" w:cs="Arial" w:eastAsia="Arial" w:hAnsi="Arial"/>
                <w:sz w:val="11"/>
                <w:szCs w:val="11"/>
                <w:b w:val="1"/>
                <w:bCs w:val="1"/>
                <w:color w:val="auto"/>
                <w:w w:val="98"/>
              </w:rPr>
              <w:t>0-50231</w:t>
            </w:r>
          </w:p>
        </w:tc>
        <w:tc>
          <w:tcPr>
            <w:tcW w:w="1340" w:type="dxa"/>
            <w:vAlign w:val="bottom"/>
            <w:tcBorders>
              <w:top w:val="single" w:sz="8" w:color="auto"/>
            </w:tcBorders>
          </w:tcPr>
          <w:p>
            <w:pPr>
              <w:jc w:val="center"/>
              <w:ind w:left="30"/>
              <w:spacing w:after="0"/>
              <w:rPr>
                <w:sz w:val="20"/>
                <w:szCs w:val="20"/>
                <w:color w:val="auto"/>
              </w:rPr>
            </w:pPr>
            <w:r>
              <w:rPr>
                <w:rFonts w:ascii="Arial" w:cs="Arial" w:eastAsia="Arial" w:hAnsi="Arial"/>
                <w:sz w:val="11"/>
                <w:szCs w:val="11"/>
                <w:b w:val="1"/>
                <w:bCs w:val="1"/>
                <w:color w:val="auto"/>
                <w:w w:val="98"/>
              </w:rPr>
              <w:t>52-0883107</w:t>
            </w:r>
          </w:p>
        </w:tc>
        <w:tc>
          <w:tcPr>
            <w:tcW w:w="1980" w:type="dxa"/>
            <w:vAlign w:val="bottom"/>
            <w:tcBorders>
              <w:top w:val="single" w:sz="8" w:color="auto"/>
            </w:tcBorders>
            <w:gridSpan w:val="2"/>
          </w:tcPr>
          <w:p>
            <w:pPr>
              <w:jc w:val="center"/>
              <w:ind w:left="668"/>
              <w:spacing w:after="0"/>
              <w:rPr>
                <w:sz w:val="20"/>
                <w:szCs w:val="20"/>
                <w:color w:val="auto"/>
              </w:rPr>
            </w:pPr>
            <w:r>
              <w:rPr>
                <w:rFonts w:ascii="Arial" w:cs="Arial" w:eastAsia="Arial" w:hAnsi="Arial"/>
                <w:sz w:val="11"/>
                <w:szCs w:val="11"/>
                <w:b w:val="1"/>
                <w:bCs w:val="1"/>
                <w:color w:val="auto"/>
                <w:w w:val="97"/>
              </w:rPr>
              <w:t>1100 15th Street, NW</w:t>
            </w:r>
          </w:p>
        </w:tc>
        <w:tc>
          <w:tcPr>
            <w:tcW w:w="6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800</w:t>
            </w:r>
          </w:p>
        </w:tc>
        <w:tc>
          <w:tcPr>
            <w:tcW w:w="1760" w:type="dxa"/>
            <w:vAlign w:val="bottom"/>
            <w:tcBorders>
              <w:top w:val="single" w:sz="8" w:color="auto"/>
            </w:tcBorders>
          </w:tcPr>
          <w:p>
            <w:pPr>
              <w:jc w:val="right"/>
              <w:ind w:right="1086"/>
              <w:spacing w:after="0"/>
              <w:rPr>
                <w:sz w:val="20"/>
                <w:szCs w:val="20"/>
                <w:color w:val="auto"/>
              </w:rPr>
            </w:pPr>
            <w:r>
              <w:rPr>
                <w:rFonts w:ascii="Arial" w:cs="Arial" w:eastAsia="Arial" w:hAnsi="Arial"/>
                <w:sz w:val="11"/>
                <w:szCs w:val="11"/>
                <w:b w:val="1"/>
                <w:bCs w:val="1"/>
                <w:color w:val="auto"/>
              </w:rPr>
              <w:t>232-6643</w:t>
            </w:r>
          </w:p>
        </w:tc>
      </w:tr>
      <w:tr>
        <w:trPr>
          <w:trHeight w:val="148"/>
        </w:trPr>
        <w:tc>
          <w:tcPr>
            <w:tcW w:w="3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Washington,</w:t>
            </w:r>
          </w:p>
        </w:tc>
        <w:tc>
          <w:tcPr>
            <w:tcW w:w="800" w:type="dxa"/>
            <w:vAlign w:val="bottom"/>
          </w:tcPr>
          <w:p>
            <w:pPr>
              <w:ind w:left="400"/>
              <w:spacing w:after="0"/>
              <w:rPr>
                <w:sz w:val="20"/>
                <w:szCs w:val="20"/>
                <w:color w:val="auto"/>
              </w:rPr>
            </w:pPr>
            <w:r>
              <w:rPr>
                <w:rFonts w:ascii="Arial" w:cs="Arial" w:eastAsia="Arial" w:hAnsi="Arial"/>
                <w:sz w:val="11"/>
                <w:szCs w:val="11"/>
                <w:b w:val="1"/>
                <w:bCs w:val="1"/>
                <w:color w:val="auto"/>
              </w:rPr>
              <w:t>DC</w:t>
            </w: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20005</w:t>
            </w:r>
          </w:p>
        </w:tc>
        <w:tc>
          <w:tcPr>
            <w:tcW w:w="64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99"/>
        </w:trPr>
        <w:tc>
          <w:tcPr>
            <w:tcW w:w="3360" w:type="dxa"/>
            <w:vAlign w:val="bottom"/>
          </w:tcPr>
          <w:p>
            <w:pPr>
              <w:jc w:val="center"/>
              <w:ind w:left="270"/>
              <w:spacing w:after="0" w:line="99" w:lineRule="exact"/>
              <w:rPr>
                <w:sz w:val="20"/>
                <w:szCs w:val="20"/>
                <w:color w:val="auto"/>
              </w:rPr>
            </w:pPr>
            <w:r>
              <w:rPr>
                <w:rFonts w:ascii="Arial" w:cs="Arial" w:eastAsia="Arial" w:hAnsi="Arial"/>
                <w:sz w:val="10"/>
                <w:szCs w:val="10"/>
                <w:i w:val="1"/>
                <w:iCs w:val="1"/>
                <w:color w:val="auto"/>
                <w:w w:val="94"/>
              </w:rPr>
              <w:t>(State or other jurisdiction</w:t>
            </w:r>
          </w:p>
        </w:tc>
        <w:tc>
          <w:tcPr>
            <w:tcW w:w="1600" w:type="dxa"/>
            <w:vAlign w:val="bottom"/>
          </w:tcPr>
          <w:p>
            <w:pPr>
              <w:jc w:val="center"/>
              <w:ind w:left="310"/>
              <w:spacing w:after="0" w:line="99" w:lineRule="exact"/>
              <w:rPr>
                <w:sz w:val="20"/>
                <w:szCs w:val="20"/>
                <w:color w:val="auto"/>
              </w:rPr>
            </w:pPr>
            <w:r>
              <w:rPr>
                <w:rFonts w:ascii="Arial" w:cs="Arial" w:eastAsia="Arial" w:hAnsi="Arial"/>
                <w:sz w:val="10"/>
                <w:szCs w:val="10"/>
                <w:i w:val="1"/>
                <w:iCs w:val="1"/>
                <w:color w:val="auto"/>
                <w:w w:val="95"/>
              </w:rPr>
              <w:t>(Commission</w:t>
            </w:r>
          </w:p>
        </w:tc>
        <w:tc>
          <w:tcPr>
            <w:tcW w:w="1340" w:type="dxa"/>
            <w:vAlign w:val="bottom"/>
          </w:tcPr>
          <w:p>
            <w:pPr>
              <w:jc w:val="center"/>
              <w:ind w:left="30"/>
              <w:spacing w:after="0" w:line="99" w:lineRule="exact"/>
              <w:rPr>
                <w:sz w:val="20"/>
                <w:szCs w:val="20"/>
                <w:color w:val="auto"/>
              </w:rPr>
            </w:pPr>
            <w:r>
              <w:rPr>
                <w:rFonts w:ascii="Arial" w:cs="Arial" w:eastAsia="Arial" w:hAnsi="Arial"/>
                <w:sz w:val="10"/>
                <w:szCs w:val="10"/>
                <w:i w:val="1"/>
                <w:iCs w:val="1"/>
                <w:color w:val="auto"/>
                <w:w w:val="95"/>
              </w:rPr>
              <w:t>(IRS Employer</w:t>
            </w:r>
          </w:p>
        </w:tc>
        <w:tc>
          <w:tcPr>
            <w:tcW w:w="2580" w:type="dxa"/>
            <w:vAlign w:val="bottom"/>
            <w:gridSpan w:val="3"/>
          </w:tcPr>
          <w:p>
            <w:pPr>
              <w:jc w:val="center"/>
              <w:ind w:left="88"/>
              <w:spacing w:after="0" w:line="99" w:lineRule="exact"/>
              <w:rPr>
                <w:sz w:val="20"/>
                <w:szCs w:val="20"/>
                <w:color w:val="auto"/>
              </w:rPr>
            </w:pPr>
            <w:r>
              <w:rPr>
                <w:rFonts w:ascii="Arial" w:cs="Arial" w:eastAsia="Arial" w:hAnsi="Arial"/>
                <w:sz w:val="10"/>
                <w:szCs w:val="10"/>
                <w:i w:val="1"/>
                <w:iCs w:val="1"/>
                <w:color w:val="auto"/>
                <w:w w:val="96"/>
              </w:rPr>
              <w:t>(Address of principal executive offices, including zip</w:t>
            </w:r>
          </w:p>
        </w:tc>
        <w:tc>
          <w:tcPr>
            <w:tcW w:w="2400" w:type="dxa"/>
            <w:vAlign w:val="bottom"/>
            <w:gridSpan w:val="2"/>
          </w:tcPr>
          <w:p>
            <w:pPr>
              <w:jc w:val="right"/>
              <w:spacing w:after="0" w:line="99" w:lineRule="exact"/>
              <w:rPr>
                <w:sz w:val="20"/>
                <w:szCs w:val="20"/>
                <w:color w:val="auto"/>
              </w:rPr>
            </w:pPr>
            <w:r>
              <w:rPr>
                <w:rFonts w:ascii="Arial" w:cs="Arial" w:eastAsia="Arial" w:hAnsi="Arial"/>
                <w:sz w:val="10"/>
                <w:szCs w:val="10"/>
                <w:i w:val="1"/>
                <w:iCs w:val="1"/>
                <w:color w:val="auto"/>
              </w:rPr>
              <w:t>(Registrant’s telephone number, including area code)</w:t>
            </w:r>
          </w:p>
        </w:tc>
      </w:tr>
      <w:tr>
        <w:trPr>
          <w:trHeight w:val="122"/>
        </w:trPr>
        <w:tc>
          <w:tcPr>
            <w:tcW w:w="3360" w:type="dxa"/>
            <w:vAlign w:val="bottom"/>
            <w:tcBorders>
              <w:bottom w:val="single" w:sz="8" w:color="auto"/>
            </w:tcBorders>
          </w:tcPr>
          <w:p>
            <w:pPr>
              <w:jc w:val="center"/>
              <w:ind w:left="270"/>
              <w:spacing w:after="0"/>
              <w:rPr>
                <w:sz w:val="20"/>
                <w:szCs w:val="20"/>
                <w:color w:val="auto"/>
              </w:rPr>
            </w:pPr>
            <w:r>
              <w:rPr>
                <w:rFonts w:ascii="Arial" w:cs="Arial" w:eastAsia="Arial" w:hAnsi="Arial"/>
                <w:sz w:val="10"/>
                <w:szCs w:val="10"/>
                <w:i w:val="1"/>
                <w:iCs w:val="1"/>
                <w:color w:val="auto"/>
                <w:w w:val="94"/>
              </w:rPr>
              <w:t>of incorporation)</w:t>
            </w:r>
          </w:p>
        </w:tc>
        <w:tc>
          <w:tcPr>
            <w:tcW w:w="1600" w:type="dxa"/>
            <w:vAlign w:val="bottom"/>
            <w:tcBorders>
              <w:bottom w:val="single" w:sz="8" w:color="auto"/>
            </w:tcBorders>
          </w:tcPr>
          <w:p>
            <w:pPr>
              <w:jc w:val="center"/>
              <w:ind w:left="330"/>
              <w:spacing w:after="0"/>
              <w:rPr>
                <w:sz w:val="20"/>
                <w:szCs w:val="20"/>
                <w:color w:val="auto"/>
              </w:rPr>
            </w:pPr>
            <w:r>
              <w:rPr>
                <w:rFonts w:ascii="Arial" w:cs="Arial" w:eastAsia="Arial" w:hAnsi="Arial"/>
                <w:sz w:val="10"/>
                <w:szCs w:val="10"/>
                <w:i w:val="1"/>
                <w:iCs w:val="1"/>
                <w:color w:val="auto"/>
                <w:w w:val="93"/>
              </w:rPr>
              <w:t>File Number)</w:t>
            </w: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0"/>
                <w:szCs w:val="10"/>
                <w:i w:val="1"/>
                <w:iCs w:val="1"/>
                <w:color w:val="auto"/>
                <w:w w:val="95"/>
              </w:rPr>
              <w:t>Identification No.)</w:t>
            </w:r>
          </w:p>
        </w:tc>
        <w:tc>
          <w:tcPr>
            <w:tcW w:w="1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9"/>
              <w:spacing w:after="0"/>
              <w:rPr>
                <w:sz w:val="20"/>
                <w:szCs w:val="20"/>
                <w:color w:val="auto"/>
              </w:rPr>
            </w:pPr>
            <w:r>
              <w:rPr>
                <w:rFonts w:ascii="Arial" w:cs="Arial" w:eastAsia="Arial" w:hAnsi="Arial"/>
                <w:sz w:val="10"/>
                <w:szCs w:val="10"/>
                <w:i w:val="1"/>
                <w:iCs w:val="1"/>
                <w:color w:val="auto"/>
                <w:w w:val="95"/>
              </w:rPr>
              <w:t>code)</w:t>
            </w: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324"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u w:val="single" w:color="auto"/>
          <w:color w:val="auto"/>
        </w:rPr>
        <w:t>see</w:t>
      </w:r>
      <w:r>
        <w:rPr>
          <w:rFonts w:ascii="Arial" w:cs="Arial" w:eastAsia="Arial" w:hAnsi="Arial"/>
          <w:sz w:val="11"/>
          <w:szCs w:val="11"/>
          <w:color w:val="auto"/>
        </w:rPr>
        <w:t xml:space="preserve"> General Instruction A.2. below):</w:t>
      </w:r>
    </w:p>
    <w:p>
      <w:pPr>
        <w:spacing w:after="0" w:line="36" w:lineRule="exact"/>
        <w:rPr>
          <w:rFonts w:ascii="Arial" w:cs="Arial" w:eastAsia="Arial" w:hAnsi="Arial"/>
          <w:sz w:val="10"/>
          <w:szCs w:val="10"/>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89"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2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5" w:lineRule="exact"/>
        <w:rPr>
          <w:rFonts w:ascii="Arial" w:cs="Arial" w:eastAsia="Arial" w:hAnsi="Arial"/>
          <w:sz w:val="10"/>
          <w:szCs w:val="10"/>
          <w:color w:val="auto"/>
        </w:rPr>
      </w:pPr>
    </w:p>
    <w:tbl>
      <w:tblPr>
        <w:tblLayout w:type="fixed"/>
        <w:tblInd w:w="10" w:type="dxa"/>
        <w:tblCellMar>
          <w:top w:w="0" w:type="dxa"/>
          <w:left w:w="0" w:type="dxa"/>
          <w:bottom w:w="0" w:type="dxa"/>
          <w:right w:w="0" w:type="dxa"/>
        </w:tblCellMar>
      </w:tblPr>
      <w:tr>
        <w:trPr>
          <w:trHeight w:val="162"/>
        </w:trPr>
        <w:tc>
          <w:tcPr>
            <w:tcW w:w="32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2"/>
                <w:szCs w:val="12"/>
                <w:b w:val="1"/>
                <w:bCs w:val="1"/>
                <w:color w:val="auto"/>
              </w:rPr>
              <w:t>Title of each class</w:t>
            </w:r>
          </w:p>
        </w:tc>
        <w:tc>
          <w:tcPr>
            <w:tcW w:w="21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2"/>
                <w:szCs w:val="12"/>
                <w:b w:val="1"/>
                <w:bCs w:val="1"/>
                <w:color w:val="auto"/>
              </w:rPr>
              <w:t>Trading Symbol(s)</w:t>
            </w:r>
          </w:p>
        </w:tc>
        <w:tc>
          <w:tcPr>
            <w:tcW w:w="562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42"/>
        </w:trPr>
        <w:tc>
          <w:tcPr>
            <w:tcW w:w="3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None</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r>
    </w:tbl>
    <w:p>
      <w:pPr>
        <w:spacing w:after="0" w:line="261"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15" w:lineRule="exact"/>
        <w:rPr>
          <w:rFonts w:ascii="Arial" w:cs="Arial" w:eastAsia="Arial" w:hAnsi="Arial"/>
          <w:sz w:val="10"/>
          <w:szCs w:val="10"/>
          <w:color w:val="auto"/>
        </w:rPr>
      </w:pPr>
    </w:p>
    <w:p>
      <w:pPr>
        <w:ind w:left="966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46" w:lineRule="exact"/>
        <w:rPr>
          <w:rFonts w:ascii="Arial" w:cs="Arial" w:eastAsia="Arial" w:hAnsi="Arial"/>
          <w:sz w:val="10"/>
          <w:szCs w:val="10"/>
          <w:color w:val="auto"/>
        </w:rPr>
      </w:pPr>
    </w:p>
    <w:p>
      <w:pPr>
        <w:ind w:right="4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 w:name="page2"/>
    <w:bookmarkEnd w:id="1"/>
    <w:p>
      <w:pPr>
        <w:ind w:right="120"/>
        <w:spacing w:after="0" w:line="268" w:lineRule="auto"/>
        <w:rPr>
          <w:sz w:val="20"/>
          <w:szCs w:val="20"/>
          <w:color w:val="auto"/>
        </w:rPr>
      </w:pPr>
      <w:r>
        <w:rPr>
          <w:rFonts w:ascii="Arial" w:cs="Arial" w:eastAsia="Arial" w:hAnsi="Arial"/>
          <w:sz w:val="12"/>
          <w:szCs w:val="12"/>
          <w:color w:val="auto"/>
        </w:rPr>
        <w:t>The information in this report, including information contained in the exhibits submitted with this report, shall not be deemed “filed” for purposes of Section 18 of the Securities Exchange Act of 1934, or otherwise subject to the liabilities of Section 18, nor shall it be deemed incorporated by reference into any disclosure document relating to Fannie Mae (formally known as the Federal National Mortgage Association), except to the extent, if any, expressly incorporated by specific reference in that document.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69"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On April 29, 2026, Fannie Mae filed its quarterly report on Form 10-Q for the quarter ended March 31, 2026, and is issuing a press release reporting its financial results for the periods covered by the Form 10-Q, as well as an earnings presentation and a financial supplement. Copies of the press release, earnings presentation, and financial supplement are furnished as Exhibits 99.1, 99.2, and 99.3, respectively, to this report and are incorporated herein by reference. Copies may also be found on Fannie Mae’s website, www.fanniemae.com, in the “About Us” section under “Investor Relations/Quarterly and Annual Results.” Information appearing on the company’s website is not incorporated into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u w:val="single" w:color="auto"/>
          <w:color w:val="auto"/>
        </w:rPr>
        <w:t>Exhibits</w:t>
      </w:r>
      <w:r>
        <w:rPr>
          <w:rFonts w:ascii="Arial" w:cs="Arial" w:eastAsia="Arial" w:hAnsi="Arial"/>
          <w:sz w:val="12"/>
          <w:szCs w:val="12"/>
          <w:color w:val="auto"/>
        </w:rPr>
        <w:t>. The following exhibits are being submitted with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700" w:type="dxa"/>
            <w:vAlign w:val="bottom"/>
          </w:tcPr>
          <w:p>
            <w:pPr>
              <w:ind w:left="40"/>
              <w:spacing w:after="0"/>
              <w:rPr>
                <w:sz w:val="20"/>
                <w:szCs w:val="20"/>
                <w:color w:val="auto"/>
              </w:rPr>
            </w:pPr>
            <w:r>
              <w:rPr>
                <w:rFonts w:ascii="Arial" w:cs="Arial" w:eastAsia="Arial" w:hAnsi="Arial"/>
                <w:sz w:val="10"/>
                <w:szCs w:val="10"/>
                <w:b w:val="1"/>
                <w:bCs w:val="1"/>
                <w:color w:val="auto"/>
              </w:rPr>
              <w:t>Exhibit Number</w:t>
            </w:r>
          </w:p>
        </w:tc>
        <w:tc>
          <w:tcPr>
            <w:tcW w:w="9600" w:type="dxa"/>
            <w:vAlign w:val="bottom"/>
            <w:gridSpan w:val="4"/>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130"/>
        </w:trPr>
        <w:tc>
          <w:tcPr>
            <w:tcW w:w="1700" w:type="dxa"/>
            <w:vAlign w:val="bottom"/>
          </w:tcPr>
          <w:p>
            <w:pPr>
              <w:ind w:left="40"/>
              <w:spacing w:after="0" w:line="130" w:lineRule="exact"/>
              <w:rPr>
                <w:sz w:val="20"/>
                <w:szCs w:val="20"/>
                <w:color w:val="auto"/>
              </w:rPr>
            </w:pPr>
            <w:r>
              <w:rPr>
                <w:rFonts w:ascii="Arial" w:cs="Arial" w:eastAsia="Arial" w:hAnsi="Arial"/>
                <w:sz w:val="12"/>
                <w:szCs w:val="12"/>
                <w:color w:val="auto"/>
              </w:rPr>
              <w:t>99.1</w:t>
            </w:r>
          </w:p>
        </w:tc>
        <w:tc>
          <w:tcPr>
            <w:tcW w:w="9600" w:type="dxa"/>
            <w:vAlign w:val="bottom"/>
            <w:gridSpan w:val="4"/>
          </w:tcPr>
          <w:p>
            <w:pPr>
              <w:spacing w:after="0" w:line="130" w:lineRule="exact"/>
              <w:rPr>
                <w:sz w:val="20"/>
                <w:szCs w:val="20"/>
                <w:color w:val="auto"/>
              </w:rPr>
            </w:pPr>
            <w:r>
              <w:rPr>
                <w:rFonts w:ascii="Arial" w:cs="Arial" w:eastAsia="Arial" w:hAnsi="Arial"/>
                <w:sz w:val="12"/>
                <w:szCs w:val="12"/>
                <w:color w:val="0000FF"/>
              </w:rPr>
              <w:t>Press release, dated April 29, 2026</w:t>
            </w:r>
          </w:p>
        </w:tc>
      </w:tr>
      <w:tr>
        <w:trPr>
          <w:trHeight w:val="20"/>
        </w:trPr>
        <w:tc>
          <w:tcPr>
            <w:tcW w:w="17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33"/>
        </w:trPr>
        <w:tc>
          <w:tcPr>
            <w:tcW w:w="1700" w:type="dxa"/>
            <w:vAlign w:val="bottom"/>
          </w:tcPr>
          <w:p>
            <w:pPr>
              <w:ind w:left="40"/>
              <w:spacing w:after="0" w:line="133" w:lineRule="exact"/>
              <w:rPr>
                <w:sz w:val="20"/>
                <w:szCs w:val="20"/>
                <w:color w:val="auto"/>
              </w:rPr>
            </w:pPr>
            <w:r>
              <w:rPr>
                <w:rFonts w:ascii="Arial" w:cs="Arial" w:eastAsia="Arial" w:hAnsi="Arial"/>
                <w:sz w:val="12"/>
                <w:szCs w:val="12"/>
                <w:color w:val="auto"/>
              </w:rPr>
              <w:t>99.2</w:t>
            </w:r>
          </w:p>
        </w:tc>
        <w:tc>
          <w:tcPr>
            <w:tcW w:w="9600" w:type="dxa"/>
            <w:vAlign w:val="bottom"/>
            <w:gridSpan w:val="4"/>
          </w:tcPr>
          <w:p>
            <w:pPr>
              <w:spacing w:after="0" w:line="133" w:lineRule="exact"/>
              <w:rPr>
                <w:sz w:val="20"/>
                <w:szCs w:val="20"/>
                <w:color w:val="auto"/>
              </w:rPr>
            </w:pPr>
            <w:r>
              <w:rPr>
                <w:rFonts w:ascii="Arial" w:cs="Arial" w:eastAsia="Arial" w:hAnsi="Arial"/>
                <w:sz w:val="12"/>
                <w:szCs w:val="12"/>
                <w:color w:val="0000FF"/>
              </w:rPr>
              <w:t>1Q 2026 Earnings Presentation, dated April 29, 2026</w:t>
            </w:r>
          </w:p>
        </w:tc>
      </w:tr>
      <w:tr>
        <w:trPr>
          <w:trHeight w:val="20"/>
        </w:trPr>
        <w:tc>
          <w:tcPr>
            <w:tcW w:w="170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33"/>
        </w:trPr>
        <w:tc>
          <w:tcPr>
            <w:tcW w:w="1700" w:type="dxa"/>
            <w:vAlign w:val="bottom"/>
          </w:tcPr>
          <w:p>
            <w:pPr>
              <w:ind w:left="40"/>
              <w:spacing w:after="0" w:line="133" w:lineRule="exact"/>
              <w:rPr>
                <w:sz w:val="20"/>
                <w:szCs w:val="20"/>
                <w:color w:val="auto"/>
              </w:rPr>
            </w:pPr>
            <w:r>
              <w:rPr>
                <w:rFonts w:ascii="Arial" w:cs="Arial" w:eastAsia="Arial" w:hAnsi="Arial"/>
                <w:sz w:val="12"/>
                <w:szCs w:val="12"/>
                <w:color w:val="auto"/>
              </w:rPr>
              <w:t>99.3</w:t>
            </w:r>
          </w:p>
        </w:tc>
        <w:tc>
          <w:tcPr>
            <w:tcW w:w="9600" w:type="dxa"/>
            <w:vAlign w:val="bottom"/>
            <w:gridSpan w:val="4"/>
          </w:tcPr>
          <w:p>
            <w:pPr>
              <w:spacing w:after="0" w:line="133" w:lineRule="exact"/>
              <w:rPr>
                <w:sz w:val="20"/>
                <w:szCs w:val="20"/>
                <w:color w:val="auto"/>
              </w:rPr>
            </w:pPr>
            <w:r>
              <w:rPr>
                <w:rFonts w:ascii="Arial" w:cs="Arial" w:eastAsia="Arial" w:hAnsi="Arial"/>
                <w:sz w:val="12"/>
                <w:szCs w:val="12"/>
                <w:color w:val="0000FF"/>
              </w:rPr>
              <w:t>First Quarter 2026 Financial Supplement, dated April 29, 2026</w:t>
            </w:r>
          </w:p>
        </w:tc>
      </w:tr>
      <w:tr>
        <w:trPr>
          <w:trHeight w:val="20"/>
        </w:trPr>
        <w:tc>
          <w:tcPr>
            <w:tcW w:w="1700" w:type="dxa"/>
            <w:vAlign w:val="bottom"/>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162"/>
        </w:trPr>
        <w:tc>
          <w:tcPr>
            <w:tcW w:w="1700" w:type="dxa"/>
            <w:vAlign w:val="bottom"/>
          </w:tcPr>
          <w:p>
            <w:pPr>
              <w:ind w:left="40"/>
              <w:spacing w:after="0"/>
              <w:rPr>
                <w:sz w:val="20"/>
                <w:szCs w:val="20"/>
                <w:color w:val="auto"/>
              </w:rPr>
            </w:pPr>
            <w:r>
              <w:rPr>
                <w:rFonts w:ascii="Arial" w:cs="Arial" w:eastAsia="Arial" w:hAnsi="Arial"/>
                <w:sz w:val="12"/>
                <w:szCs w:val="12"/>
                <w:color w:val="auto"/>
              </w:rPr>
              <w:t>104</w:t>
            </w:r>
          </w:p>
        </w:tc>
        <w:tc>
          <w:tcPr>
            <w:tcW w:w="960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71"/>
        </w:trPr>
        <w:tc>
          <w:tcPr>
            <w:tcW w:w="17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FEDERAL NATIONAL MORTGAGE ASSOCIATION</w:t>
      </w:r>
    </w:p>
    <w:p>
      <w:pPr>
        <w:spacing w:after="0" w:line="330" w:lineRule="exact"/>
        <w:rPr>
          <w:sz w:val="20"/>
          <w:szCs w:val="20"/>
          <w:color w:val="auto"/>
        </w:rPr>
      </w:pPr>
    </w:p>
    <w:p>
      <w:pPr>
        <w:ind w:left="5760"/>
        <w:spacing w:after="0"/>
        <w:tabs>
          <w:tab w:leader="none" w:pos="6040" w:val="left"/>
        </w:tabs>
        <w:rPr>
          <w:sz w:val="20"/>
          <w:szCs w:val="20"/>
          <w:color w:val="auto"/>
        </w:rPr>
      </w:pPr>
      <w:r>
        <w:rPr>
          <w:rFonts w:ascii="Arial" w:cs="Arial" w:eastAsia="Arial" w:hAnsi="Arial"/>
          <w:sz w:val="12"/>
          <w:szCs w:val="12"/>
          <w:color w:val="auto"/>
        </w:rPr>
        <w:t>By:</w:t>
        <w:tab/>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12065</wp:posOffset>
            </wp:positionV>
            <wp:extent cx="33204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Chryssa C. Halley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Executive Vice President and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Date: April 29, 2026</w:t>
      </w:r>
    </w:p>
    <w:p>
      <w:pPr>
        <w:sectPr>
          <w:pgSz w:w="11900" w:h="16838" w:orient="portrait"/>
          <w:cols w:equalWidth="0" w:num="1">
            <w:col w:w="10159"/>
          </w:cols>
          <w:pgMar w:left="300" w:top="64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Exhibit 99.1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5314D"/>
        </w:rPr>
        <w:t>Fannie Mae Earns $3.7 Billion in First Quarter 2026</w:t>
      </w:r>
    </w:p>
    <w:p>
      <w:pPr>
        <w:spacing w:after="0" w:line="86" w:lineRule="exact"/>
        <w:rPr>
          <w:sz w:val="20"/>
          <w:szCs w:val="20"/>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33</w:t>
      </w:r>
      <w:r>
        <w:rPr>
          <w:rFonts w:ascii="Arial" w:cs="Arial" w:eastAsia="Arial" w:hAnsi="Arial"/>
          <w:sz w:val="17"/>
          <w:szCs w:val="17"/>
          <w:i w:val="1"/>
          <w:iCs w:val="1"/>
          <w:color w:val="auto"/>
          <w:vertAlign w:val="superscript"/>
        </w:rPr>
        <w:t>rd</w:t>
      </w:r>
      <w:r>
        <w:rPr>
          <w:rFonts w:ascii="Arial" w:cs="Arial" w:eastAsia="Arial" w:hAnsi="Arial"/>
          <w:sz w:val="13"/>
          <w:szCs w:val="13"/>
          <w:i w:val="1"/>
          <w:iCs w:val="1"/>
          <w:color w:val="auto"/>
        </w:rPr>
        <w:t xml:space="preserve"> straight quarterly profit driven by steady net revenues</w:t>
      </w:r>
      <w:r>
        <w:rPr>
          <w:rFonts w:ascii="Arial" w:cs="Arial" w:eastAsia="Arial" w:hAnsi="Arial"/>
          <w:sz w:val="17"/>
          <w:szCs w:val="17"/>
          <w:i w:val="1"/>
          <w:iCs w:val="1"/>
          <w:color w:val="auto"/>
          <w:vertAlign w:val="superscript"/>
        </w:rPr>
        <w:t>(1)</w:t>
      </w:r>
      <w:r>
        <w:rPr>
          <w:rFonts w:ascii="Arial" w:cs="Arial" w:eastAsia="Arial" w:hAnsi="Arial"/>
          <w:sz w:val="13"/>
          <w:szCs w:val="13"/>
          <w:i w:val="1"/>
          <w:iCs w:val="1"/>
          <w:color w:val="auto"/>
        </w:rPr>
        <w:t xml:space="preserve"> and stable guaranty book</w:t>
      </w:r>
    </w:p>
    <w:p>
      <w:pPr>
        <w:spacing w:after="0" w:line="14" w:lineRule="exact"/>
        <w:rPr>
          <w:rFonts w:ascii="Arial" w:cs="Arial" w:eastAsia="Arial" w:hAnsi="Arial"/>
          <w:sz w:val="13"/>
          <w:szCs w:val="13"/>
          <w:i w:val="1"/>
          <w:iCs w:val="1"/>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Net worth reached $112.7 billion; a $99.2 billion increase since the start of 2020</w:t>
      </w:r>
    </w:p>
    <w:p>
      <w:pPr>
        <w:spacing w:after="0" w:line="36" w:lineRule="exact"/>
        <w:rPr>
          <w:rFonts w:ascii="Arial" w:cs="Arial" w:eastAsia="Arial" w:hAnsi="Arial"/>
          <w:sz w:val="13"/>
          <w:szCs w:val="13"/>
          <w:i w:val="1"/>
          <w:iCs w:val="1"/>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Administrative expenses fell 19% from prior quarter, reflecting cost-cutting actions and enhanced operational efficiency</w:t>
      </w:r>
    </w:p>
    <w:p>
      <w:pPr>
        <w:spacing w:after="0" w:line="51" w:lineRule="exact"/>
        <w:rPr>
          <w:rFonts w:ascii="Arial" w:cs="Arial" w:eastAsia="Arial" w:hAnsi="Arial"/>
          <w:sz w:val="13"/>
          <w:szCs w:val="13"/>
          <w:i w:val="1"/>
          <w:iCs w:val="1"/>
          <w:color w:val="auto"/>
        </w:rPr>
      </w:pPr>
    </w:p>
    <w:p>
      <w:pPr>
        <w:ind w:left="200" w:hanging="100"/>
        <w:spacing w:after="0"/>
        <w:tabs>
          <w:tab w:leader="none" w:pos="20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Illustrative return on average required CET1</w:t>
      </w:r>
      <w:r>
        <w:rPr>
          <w:rFonts w:ascii="Arial" w:cs="Arial" w:eastAsia="Arial" w:hAnsi="Arial"/>
          <w:sz w:val="17"/>
          <w:szCs w:val="17"/>
          <w:i w:val="1"/>
          <w:iCs w:val="1"/>
          <w:color w:val="auto"/>
          <w:vertAlign w:val="superscript"/>
        </w:rPr>
        <w:t>(2)</w:t>
      </w:r>
      <w:r>
        <w:rPr>
          <w:rFonts w:ascii="Arial" w:cs="Arial" w:eastAsia="Arial" w:hAnsi="Arial"/>
          <w:sz w:val="13"/>
          <w:szCs w:val="13"/>
          <w:i w:val="1"/>
          <w:iCs w:val="1"/>
          <w:color w:val="auto"/>
        </w:rPr>
        <w:t xml:space="preserve"> capital of 10.4%, up from 10.2% in the fourth quarter of 2025</w:t>
      </w:r>
    </w:p>
    <w:p>
      <w:pPr>
        <w:spacing w:after="0" w:line="56"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b w:val="1"/>
          <w:bCs w:val="1"/>
          <w:color w:val="auto"/>
        </w:rPr>
        <w:t xml:space="preserve">WASHINGTON, DC – April 29, 2026 – </w:t>
      </w:r>
      <w:r>
        <w:rPr>
          <w:rFonts w:ascii="Arial" w:cs="Arial" w:eastAsia="Arial" w:hAnsi="Arial"/>
          <w:sz w:val="12"/>
          <w:szCs w:val="12"/>
          <w:color w:val="auto"/>
        </w:rPr>
        <w:t>Fannie Mae (FNMA/OTCQB) earned $3.7 billion in net income for the first quarter of 2026, compared with $3.5 billion for the fourth quarter of 2025, and increased its net</w:t>
      </w:r>
      <w:r>
        <w:rPr>
          <w:rFonts w:ascii="Arial" w:cs="Arial" w:eastAsia="Arial" w:hAnsi="Arial"/>
          <w:sz w:val="12"/>
          <w:szCs w:val="12"/>
          <w:b w:val="1"/>
          <w:bCs w:val="1"/>
          <w:color w:val="auto"/>
        </w:rPr>
        <w:t xml:space="preserve"> </w:t>
      </w:r>
      <w:r>
        <w:rPr>
          <w:rFonts w:ascii="Arial" w:cs="Arial" w:eastAsia="Arial" w:hAnsi="Arial"/>
          <w:sz w:val="12"/>
          <w:szCs w:val="12"/>
          <w:color w:val="auto"/>
        </w:rPr>
        <w:t>worth to $112.7 billion as of March 31, 2026. Net revenues were steady compared with the fourth quarter of 2025; the increase in net income was primarily driven by a shift from fair value losses to gains and lower administrative expenses, partially offset by a shift from investment gains to losses.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William J. Pulte, Director, U.S. Federal Housing, and Chairman, Fannie Mae Board of Directors:</w:t>
      </w:r>
    </w:p>
    <w:p>
      <w:pPr>
        <w:spacing w:after="0" w:line="9" w:lineRule="exact"/>
        <w:rPr>
          <w:sz w:val="20"/>
          <w:szCs w:val="20"/>
          <w:color w:val="auto"/>
        </w:rPr>
      </w:pPr>
    </w:p>
    <w:p>
      <w:pPr>
        <w:ind w:right="140"/>
        <w:spacing w:after="0" w:line="249" w:lineRule="auto"/>
        <w:rPr>
          <w:sz w:val="20"/>
          <w:szCs w:val="20"/>
          <w:color w:val="auto"/>
        </w:rPr>
      </w:pPr>
      <w:r>
        <w:rPr>
          <w:rFonts w:ascii="Arial" w:cs="Arial" w:eastAsia="Arial" w:hAnsi="Arial"/>
          <w:sz w:val="12"/>
          <w:szCs w:val="12"/>
          <w:color w:val="auto"/>
        </w:rPr>
        <w:t>“Fannie Mae is a far more effective and leaner company than it was a year ago, with solid earnings, lower expenses, and $112.7 billion in net worth. A financially sound and dependable Fannie Mae is essential to the long-term health of the housing and mortgage markets.”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Peter Akwaboah, Acting Chief Executive Officer and Chief Operating Officer, Fannie Mae:</w:t>
      </w:r>
    </w:p>
    <w:p>
      <w:pPr>
        <w:spacing w:after="0" w:line="18" w:lineRule="exact"/>
        <w:rPr>
          <w:sz w:val="20"/>
          <w:szCs w:val="20"/>
          <w:color w:val="auto"/>
        </w:rPr>
      </w:pPr>
    </w:p>
    <w:p>
      <w:pPr>
        <w:ind w:right="320"/>
        <w:spacing w:after="0" w:line="249" w:lineRule="auto"/>
        <w:rPr>
          <w:sz w:val="20"/>
          <w:szCs w:val="20"/>
          <w:color w:val="auto"/>
        </w:rPr>
      </w:pPr>
      <w:r>
        <w:rPr>
          <w:rFonts w:ascii="Arial" w:cs="Arial" w:eastAsia="Arial" w:hAnsi="Arial"/>
          <w:sz w:val="12"/>
          <w:szCs w:val="12"/>
          <w:color w:val="auto"/>
        </w:rPr>
        <w:t>“Fannie Mae’s first quarter net income of $3.7 billion reflects the health of our guaranty business, the discipline of our execution, and the strength of our balance sheet. We remain focused on our mission — to provide uninterrupted liquidity in all economic cycles to support stability and affordability to the U.S. housing market.”</w:t>
      </w:r>
    </w:p>
    <w:p>
      <w:pPr>
        <w:spacing w:after="0" w:line="161" w:lineRule="exact"/>
        <w:rPr>
          <w:sz w:val="20"/>
          <w:szCs w:val="20"/>
          <w:color w:val="auto"/>
        </w:rPr>
      </w:pPr>
    </w:p>
    <w:p>
      <w:pPr>
        <w:ind w:right="300"/>
        <w:spacing w:after="0" w:line="270" w:lineRule="auto"/>
        <w:rPr>
          <w:sz w:val="20"/>
          <w:szCs w:val="20"/>
          <w:color w:val="auto"/>
        </w:rPr>
      </w:pPr>
      <w:r>
        <w:rPr>
          <w:rFonts w:ascii="Arial" w:cs="Arial" w:eastAsia="Arial" w:hAnsi="Arial"/>
          <w:sz w:val="12"/>
          <w:szCs w:val="12"/>
          <w:color w:val="auto"/>
        </w:rPr>
        <w:t>More information, including access to the webcast featuring our earnings presentation, our First Quarter 2026 Form 10-Q, and other disclosures, can be found on our Quarterly and Annual Results webpage at fanniemae.com/financialresults.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First Quarter 2026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6661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142875"/>
                    </a:xfrm>
                    <a:prstGeom prst="rect">
                      <a:avLst/>
                    </a:prstGeom>
                    <a:noFill/>
                  </pic:spPr>
                </pic:pic>
              </a:graphicData>
            </a:graphic>
          </wp:anchor>
        </w:drawing>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14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$3.7 billion</w:t>
            </w:r>
          </w:p>
        </w:tc>
        <w:tc>
          <w:tcPr>
            <w:tcW w:w="340" w:type="dxa"/>
            <w:vAlign w:val="bottom"/>
          </w:tcPr>
          <w:p>
            <w:pPr>
              <w:spacing w:after="0"/>
              <w:rPr>
                <w:sz w:val="21"/>
                <w:szCs w:val="21"/>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$112.7 billion</w:t>
            </w:r>
          </w:p>
        </w:tc>
        <w:tc>
          <w:tcPr>
            <w:tcW w:w="340" w:type="dxa"/>
            <w:vAlign w:val="bottom"/>
          </w:tcPr>
          <w:p>
            <w:pPr>
              <w:spacing w:after="0"/>
              <w:rPr>
                <w:sz w:val="21"/>
                <w:szCs w:val="21"/>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$7.3 billion</w:t>
            </w:r>
          </w:p>
        </w:tc>
        <w:tc>
          <w:tcPr>
            <w:tcW w:w="0" w:type="dxa"/>
            <w:vAlign w:val="bottom"/>
          </w:tcPr>
          <w:p>
            <w:pPr>
              <w:spacing w:after="0"/>
              <w:rPr>
                <w:sz w:val="1"/>
                <w:szCs w:val="1"/>
                <w:color w:val="auto"/>
              </w:rPr>
            </w:pPr>
          </w:p>
        </w:tc>
      </w:tr>
      <w:tr>
        <w:trPr>
          <w:trHeight w:val="177"/>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Income</w:t>
            </w:r>
          </w:p>
        </w:tc>
        <w:tc>
          <w:tcPr>
            <w:tcW w:w="340" w:type="dxa"/>
            <w:vAlign w:val="bottom"/>
          </w:tcPr>
          <w:p>
            <w:pPr>
              <w:spacing w:after="0"/>
              <w:rPr>
                <w:sz w:val="15"/>
                <w:szCs w:val="15"/>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Worth</w:t>
            </w:r>
          </w:p>
        </w:tc>
        <w:tc>
          <w:tcPr>
            <w:tcW w:w="340" w:type="dxa"/>
            <w:vAlign w:val="bottom"/>
          </w:tcPr>
          <w:p>
            <w:pPr>
              <w:spacing w:after="0"/>
              <w:rPr>
                <w:sz w:val="15"/>
                <w:szCs w:val="15"/>
                <w:color w:val="auto"/>
              </w:rPr>
            </w:pPr>
          </w:p>
        </w:tc>
        <w:tc>
          <w:tcPr>
            <w:tcW w:w="3400" w:type="dxa"/>
            <w:vAlign w:val="bottom"/>
            <w:shd w:val="clear" w:color="auto" w:fill="F8F8F7"/>
          </w:tcPr>
          <w:p>
            <w:pPr>
              <w:jc w:val="center"/>
              <w:spacing w:after="0" w:line="176" w:lineRule="exact"/>
              <w:rPr>
                <w:sz w:val="20"/>
                <w:szCs w:val="20"/>
                <w:color w:val="auto"/>
              </w:rPr>
            </w:pPr>
            <w:r>
              <w:rPr>
                <w:rFonts w:ascii="Arial" w:cs="Arial" w:eastAsia="Arial" w:hAnsi="Arial"/>
                <w:sz w:val="13"/>
                <w:szCs w:val="13"/>
                <w:b w:val="1"/>
                <w:bCs w:val="1"/>
                <w:color w:val="auto"/>
                <w:w w:val="98"/>
              </w:rPr>
              <w:t>Net Revenues</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144"/>
        </w:trPr>
        <w:tc>
          <w:tcPr>
            <w:tcW w:w="314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($3.5 billion in 4Q 2025)</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9"/>
              </w:rPr>
              <w:t>($109.0 billion in 4Q 2025)</w:t>
            </w:r>
          </w:p>
        </w:tc>
        <w:tc>
          <w:tcPr>
            <w:tcW w:w="340" w:type="dxa"/>
            <w:vAlign w:val="bottom"/>
          </w:tcPr>
          <w:p>
            <w:pPr>
              <w:spacing w:after="0"/>
              <w:rPr>
                <w:sz w:val="12"/>
                <w:szCs w:val="12"/>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($7.3 billion in 4Q 2025)</w:t>
            </w:r>
          </w:p>
        </w:tc>
        <w:tc>
          <w:tcPr>
            <w:tcW w:w="0" w:type="dxa"/>
            <w:vAlign w:val="bottom"/>
          </w:tcPr>
          <w:p>
            <w:pPr>
              <w:spacing w:after="0"/>
              <w:rPr>
                <w:sz w:val="1"/>
                <w:szCs w:val="1"/>
                <w:color w:val="auto"/>
              </w:rPr>
            </w:pPr>
          </w:p>
        </w:tc>
      </w:tr>
      <w:tr>
        <w:trPr>
          <w:trHeight w:val="99"/>
        </w:trPr>
        <w:tc>
          <w:tcPr>
            <w:tcW w:w="31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8"/>
              </w:rPr>
              <w:t>$4.1 trillion</w:t>
            </w:r>
          </w:p>
        </w:tc>
        <w:tc>
          <w:tcPr>
            <w:tcW w:w="340" w:type="dxa"/>
            <w:vAlign w:val="bottom"/>
            <w:vMerge w:val="continue"/>
          </w:tcPr>
          <w:p>
            <w:pPr>
              <w:spacing w:after="0"/>
              <w:rPr>
                <w:sz w:val="21"/>
                <w:szCs w:val="21"/>
                <w:color w:val="auto"/>
              </w:rPr>
            </w:pPr>
          </w:p>
        </w:tc>
        <w:tc>
          <w:tcPr>
            <w:tcW w:w="336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6"/>
              </w:rPr>
              <w:t>10.2%</w:t>
            </w:r>
          </w:p>
        </w:tc>
        <w:tc>
          <w:tcPr>
            <w:tcW w:w="340" w:type="dxa"/>
            <w:vAlign w:val="bottom"/>
            <w:vMerge w:val="continue"/>
          </w:tcPr>
          <w:p>
            <w:pPr>
              <w:spacing w:after="0"/>
              <w:rPr>
                <w:sz w:val="21"/>
                <w:szCs w:val="21"/>
                <w:color w:val="auto"/>
              </w:rPr>
            </w:pPr>
          </w:p>
        </w:tc>
        <w:tc>
          <w:tcPr>
            <w:tcW w:w="340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9"/>
              </w:rPr>
              <w:t>10.4%</w:t>
            </w:r>
          </w:p>
        </w:tc>
        <w:tc>
          <w:tcPr>
            <w:tcW w:w="0" w:type="dxa"/>
            <w:vAlign w:val="bottom"/>
          </w:tcPr>
          <w:p>
            <w:pPr>
              <w:spacing w:after="0"/>
              <w:rPr>
                <w:sz w:val="1"/>
                <w:szCs w:val="1"/>
                <w:color w:val="auto"/>
              </w:rPr>
            </w:pPr>
          </w:p>
        </w:tc>
      </w:tr>
      <w:tr>
        <w:trPr>
          <w:trHeight w:val="177"/>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Guaranty Book of Business</w:t>
            </w:r>
          </w:p>
        </w:tc>
        <w:tc>
          <w:tcPr>
            <w:tcW w:w="340" w:type="dxa"/>
            <w:vAlign w:val="bottom"/>
          </w:tcPr>
          <w:p>
            <w:pPr>
              <w:spacing w:after="0"/>
              <w:rPr>
                <w:sz w:val="15"/>
                <w:szCs w:val="15"/>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2"/>
                <w:szCs w:val="12"/>
                <w:b w:val="1"/>
                <w:bCs w:val="1"/>
                <w:color w:val="auto"/>
                <w:w w:val="99"/>
              </w:rPr>
              <w:t>Administrative Expense Ratio</w:t>
            </w:r>
            <w:r>
              <w:rPr>
                <w:rFonts w:ascii="Arial" w:cs="Arial" w:eastAsia="Arial" w:hAnsi="Arial"/>
                <w:sz w:val="15"/>
                <w:szCs w:val="15"/>
                <w:b w:val="1"/>
                <w:bCs w:val="1"/>
                <w:color w:val="auto"/>
                <w:w w:val="99"/>
                <w:vertAlign w:val="superscript"/>
              </w:rPr>
              <w:t>(3)</w:t>
            </w:r>
          </w:p>
        </w:tc>
        <w:tc>
          <w:tcPr>
            <w:tcW w:w="340" w:type="dxa"/>
            <w:vAlign w:val="bottom"/>
          </w:tcPr>
          <w:p>
            <w:pPr>
              <w:spacing w:after="0"/>
              <w:rPr>
                <w:sz w:val="15"/>
                <w:szCs w:val="15"/>
                <w:color w:val="auto"/>
              </w:rPr>
            </w:pPr>
          </w:p>
        </w:tc>
        <w:tc>
          <w:tcPr>
            <w:tcW w:w="3400" w:type="dxa"/>
            <w:vAlign w:val="bottom"/>
            <w:shd w:val="clear" w:color="auto" w:fill="F8F8F7"/>
          </w:tcPr>
          <w:p>
            <w:pPr>
              <w:jc w:val="center"/>
              <w:spacing w:after="0" w:line="176" w:lineRule="exact"/>
              <w:rPr>
                <w:sz w:val="20"/>
                <w:szCs w:val="20"/>
                <w:color w:val="auto"/>
              </w:rPr>
            </w:pPr>
            <w:r>
              <w:rPr>
                <w:rFonts w:ascii="Arial" w:cs="Arial" w:eastAsia="Arial" w:hAnsi="Arial"/>
                <w:sz w:val="13"/>
                <w:szCs w:val="13"/>
                <w:b w:val="1"/>
                <w:bCs w:val="1"/>
                <w:color w:val="auto"/>
                <w:w w:val="99"/>
              </w:rPr>
              <w:t>Illust. Return on Avg. Req. CET1</w:t>
            </w:r>
            <w:r>
              <w:rPr>
                <w:rFonts w:ascii="Arial" w:cs="Arial" w:eastAsia="Arial" w:hAnsi="Arial"/>
                <w:sz w:val="17"/>
                <w:szCs w:val="17"/>
                <w:b w:val="1"/>
                <w:bCs w:val="1"/>
                <w:color w:val="auto"/>
                <w:w w:val="99"/>
                <w:vertAlign w:val="superscript"/>
              </w:rPr>
              <w:t>(2)</w:t>
            </w:r>
          </w:p>
        </w:tc>
        <w:tc>
          <w:tcPr>
            <w:tcW w:w="0" w:type="dxa"/>
            <w:vAlign w:val="bottom"/>
          </w:tcPr>
          <w:p>
            <w:pPr>
              <w:spacing w:after="0"/>
              <w:rPr>
                <w:sz w:val="1"/>
                <w:szCs w:val="1"/>
                <w:color w:val="auto"/>
              </w:rPr>
            </w:pPr>
          </w:p>
        </w:tc>
      </w:tr>
      <w:tr>
        <w:trPr>
          <w:trHeight w:val="142"/>
        </w:trPr>
        <w:tc>
          <w:tcPr>
            <w:tcW w:w="314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($4.1 trillion in 4Q 2025)</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6"/>
              </w:rPr>
              <w:t>(12.6% in 4Q 2025)</w:t>
            </w:r>
          </w:p>
        </w:tc>
        <w:tc>
          <w:tcPr>
            <w:tcW w:w="340" w:type="dxa"/>
            <w:vAlign w:val="bottom"/>
          </w:tcPr>
          <w:p>
            <w:pPr>
              <w:spacing w:after="0"/>
              <w:rPr>
                <w:sz w:val="12"/>
                <w:szCs w:val="12"/>
                <w:color w:val="auto"/>
              </w:rPr>
            </w:pPr>
          </w:p>
        </w:tc>
        <w:tc>
          <w:tcPr>
            <w:tcW w:w="340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(10.2% in 4Q 2025)</w:t>
            </w:r>
          </w:p>
        </w:tc>
        <w:tc>
          <w:tcPr>
            <w:tcW w:w="0" w:type="dxa"/>
            <w:vAlign w:val="bottom"/>
          </w:tcPr>
          <w:p>
            <w:pPr>
              <w:spacing w:after="0"/>
              <w:rPr>
                <w:sz w:val="1"/>
                <w:szCs w:val="1"/>
                <w:color w:val="auto"/>
              </w:rPr>
            </w:pPr>
          </w:p>
        </w:tc>
      </w:tr>
      <w:tr>
        <w:trPr>
          <w:trHeight w:val="72"/>
        </w:trPr>
        <w:tc>
          <w:tcPr>
            <w:tcW w:w="3140" w:type="dxa"/>
            <w:vAlign w:val="bottom"/>
            <w:vMerge w:val="continue"/>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vMerge w:val="continue"/>
            <w:shd w:val="clear" w:color="auto" w:fill="F8F8F7"/>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14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shd w:val="clear" w:color="auto" w:fill="F8F8F7"/>
          </w:tcPr>
          <w:p>
            <w:pPr>
              <w:spacing w:after="0"/>
              <w:rPr>
                <w:sz w:val="6"/>
                <w:szCs w:val="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Business Impact and Quarterly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6661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14287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p>
      <w:pPr>
        <w:spacing w:after="0" w:line="202" w:lineRule="exact"/>
        <w:rPr>
          <w:sz w:val="20"/>
          <w:szCs w:val="20"/>
          <w:color w:val="auto"/>
        </w:rPr>
      </w:pPr>
    </w:p>
    <w:p>
      <w:pPr>
        <w:jc w:val="center"/>
        <w:ind w:left="100"/>
        <w:spacing w:after="0"/>
        <w:rPr>
          <w:sz w:val="20"/>
          <w:szCs w:val="20"/>
          <w:color w:val="auto"/>
        </w:rPr>
      </w:pPr>
      <w:r>
        <w:rPr>
          <w:rFonts w:ascii="Arial" w:cs="Arial" w:eastAsia="Arial" w:hAnsi="Arial"/>
          <w:sz w:val="13"/>
          <w:szCs w:val="13"/>
          <w:b w:val="1"/>
          <w:bCs w:val="1"/>
          <w:u w:val="single" w:color="auto"/>
          <w:color w:val="00497F"/>
        </w:rPr>
        <w:t>Mortgage Acquisitions</w:t>
      </w:r>
    </w:p>
    <w:p>
      <w:pPr>
        <w:spacing w:after="0" w:line="34" w:lineRule="exact"/>
        <w:rPr>
          <w:sz w:val="20"/>
          <w:szCs w:val="20"/>
          <w:color w:val="auto"/>
        </w:rPr>
      </w:pPr>
    </w:p>
    <w:p>
      <w:pPr>
        <w:jc w:val="center"/>
        <w:ind w:left="100"/>
        <w:spacing w:after="0"/>
        <w:rPr>
          <w:sz w:val="20"/>
          <w:szCs w:val="20"/>
          <w:color w:val="auto"/>
        </w:rPr>
      </w:pPr>
      <w:r>
        <w:rPr>
          <w:rFonts w:ascii="Arial" w:cs="Arial" w:eastAsia="Arial" w:hAnsi="Arial"/>
          <w:sz w:val="12"/>
          <w:szCs w:val="12"/>
          <w:b w:val="1"/>
          <w:bCs w:val="1"/>
          <w:i w:val="1"/>
          <w:iCs w:val="1"/>
          <w:color w:val="00497F"/>
        </w:rPr>
        <w:t>Enabled the financing of ~385,000 home purchases,</w:t>
      </w:r>
    </w:p>
    <w:p>
      <w:pPr>
        <w:spacing w:after="0" w:line="7" w:lineRule="exact"/>
        <w:rPr>
          <w:sz w:val="20"/>
          <w:szCs w:val="20"/>
          <w:color w:val="auto"/>
        </w:rPr>
      </w:pPr>
    </w:p>
    <w:p>
      <w:pPr>
        <w:jc w:val="center"/>
        <w:ind w:left="100"/>
        <w:spacing w:after="0"/>
        <w:rPr>
          <w:sz w:val="20"/>
          <w:szCs w:val="20"/>
          <w:color w:val="auto"/>
        </w:rPr>
      </w:pPr>
      <w:r>
        <w:rPr>
          <w:rFonts w:ascii="Arial" w:cs="Arial" w:eastAsia="Arial" w:hAnsi="Arial"/>
          <w:sz w:val="12"/>
          <w:szCs w:val="12"/>
          <w:b w:val="1"/>
          <w:bCs w:val="1"/>
          <w:i w:val="1"/>
          <w:iCs w:val="1"/>
          <w:color w:val="00497F"/>
        </w:rPr>
        <w:t>refinances, and rental units in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4445</wp:posOffset>
            </wp:positionV>
            <wp:extent cx="2303145" cy="142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314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340"/>
        <w:spacing w:after="0" w:line="254" w:lineRule="auto"/>
        <w:rPr>
          <w:sz w:val="20"/>
          <w:szCs w:val="20"/>
          <w:color w:val="auto"/>
        </w:rPr>
      </w:pPr>
      <w:r>
        <w:rPr>
          <w:rFonts w:ascii="Arial" w:cs="Arial" w:eastAsia="Arial" w:hAnsi="Arial"/>
          <w:sz w:val="12"/>
          <w:szCs w:val="12"/>
          <w:b w:val="1"/>
          <w:bCs w:val="1"/>
          <w:color w:val="auto"/>
        </w:rPr>
        <w:t xml:space="preserve">$116 billion in liquidity </w:t>
      </w:r>
      <w:r>
        <w:rPr>
          <w:rFonts w:ascii="Arial" w:cs="Arial" w:eastAsia="Arial" w:hAnsi="Arial"/>
          <w:sz w:val="12"/>
          <w:szCs w:val="12"/>
          <w:color w:val="auto"/>
        </w:rPr>
        <w:t>provided to mortgage market, supporting approximately 154,000 home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purchases, 121,000 refinancings, and 110,000 rental units.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2"/>
          <w:szCs w:val="12"/>
          <w:b w:val="1"/>
          <w:bCs w:val="1"/>
          <w:color w:val="auto"/>
        </w:rPr>
        <w:t xml:space="preserve">More than 80% of multifamily units financed </w:t>
      </w:r>
      <w:r>
        <w:rPr>
          <w:rFonts w:ascii="Arial" w:cs="Arial" w:eastAsia="Arial" w:hAnsi="Arial"/>
          <w:sz w:val="12"/>
          <w:szCs w:val="12"/>
          <w:color w:val="auto"/>
        </w:rPr>
        <w:t>were affordable to renters earning less than 100%</w:t>
      </w:r>
      <w:r>
        <w:rPr>
          <w:rFonts w:ascii="Arial" w:cs="Arial" w:eastAsia="Arial" w:hAnsi="Arial"/>
          <w:sz w:val="12"/>
          <w:szCs w:val="12"/>
          <w:b w:val="1"/>
          <w:bCs w:val="1"/>
          <w:color w:val="auto"/>
        </w:rPr>
        <w:t xml:space="preserve"> </w:t>
      </w:r>
      <w:r>
        <w:rPr>
          <w:rFonts w:ascii="Arial" w:cs="Arial" w:eastAsia="Arial" w:hAnsi="Arial"/>
          <w:sz w:val="12"/>
          <w:szCs w:val="12"/>
          <w:color w:val="auto"/>
        </w:rPr>
        <w:t>of area median income.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First-time homebuyers </w:t>
      </w:r>
      <w:r>
        <w:rPr>
          <w:rFonts w:ascii="Arial" w:cs="Arial" w:eastAsia="Arial" w:hAnsi="Arial"/>
          <w:sz w:val="12"/>
          <w:szCs w:val="12"/>
          <w:color w:val="auto"/>
        </w:rPr>
        <w:t>accounted for more than half of our single-family purchase mortgages.</w:t>
      </w:r>
    </w:p>
    <w:p>
      <w:pPr>
        <w:spacing w:after="0" w:line="51" w:lineRule="exact"/>
        <w:rPr>
          <w:sz w:val="20"/>
          <w:szCs w:val="20"/>
          <w:color w:val="auto"/>
        </w:rPr>
      </w:pPr>
    </w:p>
    <w:p>
      <w:pPr>
        <w:ind w:right="220"/>
        <w:spacing w:after="0" w:line="254" w:lineRule="auto"/>
        <w:rPr>
          <w:sz w:val="20"/>
          <w:szCs w:val="20"/>
          <w:color w:val="auto"/>
        </w:rPr>
      </w:pPr>
      <w:r>
        <w:rPr>
          <w:rFonts w:ascii="Arial" w:cs="Arial" w:eastAsia="Arial" w:hAnsi="Arial"/>
          <w:sz w:val="12"/>
          <w:szCs w:val="12"/>
          <w:b w:val="1"/>
          <w:bCs w:val="1"/>
          <w:color w:val="auto"/>
        </w:rPr>
        <w:t xml:space="preserve">Our foreclosure prevention solutions </w:t>
      </w:r>
      <w:r>
        <w:rPr>
          <w:rFonts w:ascii="Arial" w:cs="Arial" w:eastAsia="Arial" w:hAnsi="Arial"/>
          <w:sz w:val="12"/>
          <w:szCs w:val="12"/>
          <w:color w:val="auto"/>
        </w:rPr>
        <w:t>allowed more than 24,000 homeowners to remain in their</w:t>
      </w:r>
      <w:r>
        <w:rPr>
          <w:rFonts w:ascii="Arial" w:cs="Arial" w:eastAsia="Arial" w:hAnsi="Arial"/>
          <w:sz w:val="12"/>
          <w:szCs w:val="12"/>
          <w:b w:val="1"/>
          <w:bCs w:val="1"/>
          <w:color w:val="auto"/>
        </w:rPr>
        <w:t xml:space="preserve"> </w:t>
      </w:r>
      <w:r>
        <w:rPr>
          <w:rFonts w:ascii="Arial" w:cs="Arial" w:eastAsia="Arial" w:hAnsi="Arial"/>
          <w:sz w:val="12"/>
          <w:szCs w:val="12"/>
          <w:color w:val="auto"/>
        </w:rPr>
        <w:t>homes.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Enhanced support of the secondary mortgage market </w:t>
      </w:r>
      <w:r>
        <w:rPr>
          <w:rFonts w:ascii="Arial" w:cs="Arial" w:eastAsia="Arial" w:hAnsi="Arial"/>
          <w:sz w:val="12"/>
          <w:szCs w:val="12"/>
          <w:color w:val="auto"/>
        </w:rPr>
        <w:t>through MBS purchases.</w:t>
      </w:r>
    </w:p>
    <w:p>
      <w:pPr>
        <w:spacing w:after="0" w:line="200" w:lineRule="exact"/>
        <w:rPr>
          <w:sz w:val="20"/>
          <w:szCs w:val="20"/>
          <w:color w:val="auto"/>
        </w:rPr>
      </w:pPr>
    </w:p>
    <w:p>
      <w:pPr>
        <w:sectPr>
          <w:pgSz w:w="11900" w:h="16838" w:orient="portrait"/>
          <w:cols w:equalWidth="0" w:num="2">
            <w:col w:w="5180" w:space="720"/>
            <w:col w:w="5400"/>
          </w:cols>
          <w:pgMar w:left="300" w:top="653" w:right="299" w:bottom="1440" w:gutter="0" w:footer="0" w:header="0"/>
          <w:type w:val="continuous"/>
        </w:sectPr>
      </w:pPr>
    </w:p>
    <w:p>
      <w:pPr>
        <w:spacing w:after="0" w:line="390" w:lineRule="exact"/>
        <w:rPr>
          <w:sz w:val="20"/>
          <w:szCs w:val="20"/>
          <w:color w:val="auto"/>
        </w:rPr>
      </w:pPr>
    </w:p>
    <w:p>
      <w:pPr>
        <w:jc w:val="right"/>
        <w:ind w:right="120"/>
        <w:spacing w:after="0"/>
        <w:rPr>
          <w:sz w:val="20"/>
          <w:szCs w:val="20"/>
          <w:color w:val="auto"/>
        </w:rPr>
      </w:pPr>
      <w:r>
        <w:rPr>
          <w:rFonts w:ascii="Arial" w:cs="Arial" w:eastAsia="Arial" w:hAnsi="Arial"/>
          <w:sz w:val="10"/>
          <w:szCs w:val="10"/>
          <w:i w:val="1"/>
          <w:iCs w:val="1"/>
          <w:color w:val="auto"/>
        </w:rPr>
        <w:t>Endnotes are presented on page 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00" w:type="dxa"/>
        <w:tblCellMar>
          <w:top w:w="0" w:type="dxa"/>
          <w:left w:w="0" w:type="dxa"/>
          <w:bottom w:w="0" w:type="dxa"/>
          <w:right w:w="0" w:type="dxa"/>
        </w:tblCellMar>
      </w:tblPr>
      <w:tr>
        <w:trPr>
          <w:trHeight w:val="160"/>
        </w:trPr>
        <w:tc>
          <w:tcPr>
            <w:tcW w:w="5460" w:type="dxa"/>
            <w:vAlign w:val="bottom"/>
            <w:tcBorders>
              <w:top w:val="single" w:sz="8" w:color="05314D"/>
            </w:tcBorders>
          </w:tcPr>
          <w:p>
            <w:pPr>
              <w:ind w:left="20"/>
              <w:spacing w:after="0"/>
              <w:rPr>
                <w:sz w:val="20"/>
                <w:szCs w:val="20"/>
                <w:color w:val="auto"/>
              </w:rPr>
            </w:pPr>
            <w:r>
              <w:rPr>
                <w:rFonts w:ascii="Arial" w:cs="Arial" w:eastAsia="Arial" w:hAnsi="Arial"/>
                <w:sz w:val="11"/>
                <w:szCs w:val="11"/>
                <w:color w:val="auto"/>
              </w:rPr>
              <w:t>First Quarter 2026</w:t>
            </w:r>
          </w:p>
        </w:tc>
        <w:tc>
          <w:tcPr>
            <w:tcW w:w="46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1</w:t>
            </w:r>
          </w:p>
        </w:tc>
      </w:tr>
    </w:tbl>
    <w:p>
      <w:pPr>
        <w:sectPr>
          <w:pgSz w:w="11900" w:h="16838" w:orient="portrait"/>
          <w:cols w:equalWidth="0" w:num="1">
            <w:col w:w="11300"/>
          </w:cols>
          <w:pgMar w:left="300" w:top="653" w:right="299" w:bottom="1440"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Summary of Financial Results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Chryssa C. Halley, Chief Financial Officer, Fannie Mae:</w:t>
      </w:r>
    </w:p>
    <w:p>
      <w:pPr>
        <w:spacing w:after="0" w:line="1" w:lineRule="exact"/>
        <w:rPr>
          <w:sz w:val="20"/>
          <w:szCs w:val="20"/>
          <w:color w:val="auto"/>
        </w:rPr>
      </w:pPr>
    </w:p>
    <w:p>
      <w:pPr>
        <w:ind w:right="240"/>
        <w:spacing w:after="0" w:line="249" w:lineRule="auto"/>
        <w:rPr>
          <w:sz w:val="20"/>
          <w:szCs w:val="20"/>
          <w:color w:val="auto"/>
        </w:rPr>
      </w:pPr>
      <w:r>
        <w:rPr>
          <w:rFonts w:ascii="Arial" w:cs="Arial" w:eastAsia="Arial" w:hAnsi="Arial"/>
          <w:sz w:val="12"/>
          <w:szCs w:val="12"/>
          <w:color w:val="auto"/>
        </w:rPr>
        <w:t>“Our first quarter results underscore the durability of our business model and the strong credit profile of our guaranty book. Net revenues in the quarter were stable at $7.3 billion, administrative expenses were lower, and our growing net worth put Fannie Mae in a solid position to serve the housing market and fulfill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78040" cy="133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FFFFFF"/>
        </w:rPr>
        <w:t>Key Highlights —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9" w:lineRule="exact"/>
        <w:rPr>
          <w:sz w:val="20"/>
          <w:szCs w:val="20"/>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revenues </w:t>
      </w:r>
      <w:r>
        <w:rPr>
          <w:rFonts w:ascii="Arial" w:cs="Arial" w:eastAsia="Arial" w:hAnsi="Arial"/>
          <w:sz w:val="11"/>
          <w:szCs w:val="11"/>
          <w:color w:val="auto"/>
        </w:rPr>
        <w:t>of $7.3 billion, primarily driven by guaranty fees on the company’s $4.1 trillion guaranty book of business.</w:t>
      </w:r>
    </w:p>
    <w:p>
      <w:pPr>
        <w:spacing w:after="0" w:line="71" w:lineRule="exact"/>
        <w:rPr>
          <w:rFonts w:ascii="Arial" w:cs="Arial" w:eastAsia="Arial" w:hAnsi="Arial"/>
          <w:sz w:val="11"/>
          <w:szCs w:val="11"/>
          <w:color w:val="auto"/>
        </w:rPr>
      </w:pPr>
    </w:p>
    <w:p>
      <w:pPr>
        <w:ind w:left="240" w:hanging="38"/>
        <w:spacing w:after="0"/>
        <w:tabs>
          <w:tab w:leader="none" w:pos="240" w:val="left"/>
        </w:tabs>
        <w:numPr>
          <w:ilvl w:val="1"/>
          <w:numId w:val="3"/>
        </w:numPr>
        <w:rPr>
          <w:rFonts w:ascii="Arial" w:cs="Arial" w:eastAsia="Arial" w:hAnsi="Arial"/>
          <w:sz w:val="10"/>
          <w:szCs w:val="10"/>
          <w:color w:val="auto"/>
        </w:rPr>
      </w:pPr>
      <w:r>
        <w:rPr>
          <w:rFonts w:ascii="Arial" w:cs="Arial" w:eastAsia="Arial" w:hAnsi="Arial"/>
          <w:sz w:val="10"/>
          <w:szCs w:val="10"/>
          <w:b w:val="1"/>
          <w:bCs w:val="1"/>
          <w:color w:val="auto"/>
        </w:rPr>
        <w:t xml:space="preserve">Single-family net revenues </w:t>
      </w:r>
      <w:r>
        <w:rPr>
          <w:rFonts w:ascii="Arial" w:cs="Arial" w:eastAsia="Arial" w:hAnsi="Arial"/>
          <w:sz w:val="10"/>
          <w:szCs w:val="10"/>
          <w:color w:val="auto"/>
        </w:rPr>
        <w:t>of $6.0 billion from a $3.6 trillion conventional guaranty book with an average charged guaranty fee of 48.8 basis points.</w:t>
      </w:r>
    </w:p>
    <w:p>
      <w:pPr>
        <w:spacing w:after="0" w:line="74" w:lineRule="exact"/>
        <w:rPr>
          <w:rFonts w:ascii="Arial" w:cs="Arial" w:eastAsia="Arial" w:hAnsi="Arial"/>
          <w:sz w:val="10"/>
          <w:szCs w:val="10"/>
          <w:color w:val="auto"/>
        </w:rPr>
      </w:pPr>
    </w:p>
    <w:p>
      <w:pPr>
        <w:ind w:left="240" w:hanging="38"/>
        <w:spacing w:after="0"/>
        <w:tabs>
          <w:tab w:leader="none" w:pos="240" w:val="left"/>
        </w:tabs>
        <w:numPr>
          <w:ilvl w:val="1"/>
          <w:numId w:val="3"/>
        </w:numPr>
        <w:rPr>
          <w:rFonts w:ascii="Arial" w:cs="Arial" w:eastAsia="Arial" w:hAnsi="Arial"/>
          <w:sz w:val="10"/>
          <w:szCs w:val="10"/>
          <w:color w:val="auto"/>
        </w:rPr>
      </w:pPr>
      <w:r>
        <w:rPr>
          <w:rFonts w:ascii="Arial" w:cs="Arial" w:eastAsia="Arial" w:hAnsi="Arial"/>
          <w:sz w:val="10"/>
          <w:szCs w:val="10"/>
          <w:b w:val="1"/>
          <w:bCs w:val="1"/>
          <w:color w:val="auto"/>
        </w:rPr>
        <w:t xml:space="preserve">Multifamily net revenues </w:t>
      </w:r>
      <w:r>
        <w:rPr>
          <w:rFonts w:ascii="Arial" w:cs="Arial" w:eastAsia="Arial" w:hAnsi="Arial"/>
          <w:sz w:val="10"/>
          <w:szCs w:val="10"/>
          <w:color w:val="auto"/>
        </w:rPr>
        <w:t>of $1.2 billion from a $542.5 billion guaranty book with an average charged guaranty fee of 71.1 basis points.</w:t>
      </w:r>
    </w:p>
    <w:p>
      <w:pPr>
        <w:spacing w:after="0" w:line="74" w:lineRule="exact"/>
        <w:rPr>
          <w:rFonts w:ascii="Arial" w:cs="Arial" w:eastAsia="Arial" w:hAnsi="Arial"/>
          <w:sz w:val="10"/>
          <w:szCs w:val="10"/>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Provision for credit losses </w:t>
      </w:r>
      <w:r>
        <w:rPr>
          <w:rFonts w:ascii="Arial" w:cs="Arial" w:eastAsia="Arial" w:hAnsi="Arial"/>
          <w:sz w:val="11"/>
          <w:szCs w:val="11"/>
          <w:color w:val="auto"/>
        </w:rPr>
        <w:t>of $277 million, compared with $298 million in 4Q 2025.</w:t>
      </w:r>
    </w:p>
    <w:p>
      <w:pPr>
        <w:spacing w:after="0" w:line="62"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Non-interest expense </w:t>
      </w:r>
      <w:r>
        <w:rPr>
          <w:rFonts w:ascii="Arial" w:cs="Arial" w:eastAsia="Arial" w:hAnsi="Arial"/>
          <w:sz w:val="11"/>
          <w:szCs w:val="11"/>
          <w:color w:val="auto"/>
        </w:rPr>
        <w:t>of $2.2 billion, compared with $2.4 billion in 4Q 2025; decrease driven primarily by lower administrative expenses.</w:t>
      </w:r>
    </w:p>
    <w:p>
      <w:pPr>
        <w:spacing w:after="0" w:line="62"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Other losses </w:t>
      </w:r>
      <w:r>
        <w:rPr>
          <w:rFonts w:ascii="Arial" w:cs="Arial" w:eastAsia="Arial" w:hAnsi="Arial"/>
          <w:sz w:val="11"/>
          <w:szCs w:val="11"/>
          <w:color w:val="auto"/>
        </w:rPr>
        <w:t>decreased by $96 million compared with 4Q 2025, driven by a shift from fair value losses to fair value gains, which was partially offset by a shift from investment gains to investment losses.</w:t>
      </w:r>
    </w:p>
    <w:p>
      <w:pPr>
        <w:spacing w:after="0" w:line="62"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income </w:t>
      </w:r>
      <w:r>
        <w:rPr>
          <w:rFonts w:ascii="Arial" w:cs="Arial" w:eastAsia="Arial" w:hAnsi="Arial"/>
          <w:sz w:val="11"/>
          <w:szCs w:val="11"/>
          <w:color w:val="auto"/>
        </w:rPr>
        <w:t>of $3.7 billion, compared with $3.5 billion in 4Q 2025;</w:t>
      </w:r>
      <w:r>
        <w:rPr>
          <w:rFonts w:ascii="Arial" w:cs="Arial" w:eastAsia="Arial" w:hAnsi="Arial"/>
          <w:sz w:val="11"/>
          <w:szCs w:val="11"/>
          <w:b w:val="1"/>
          <w:bCs w:val="1"/>
          <w:color w:val="auto"/>
        </w:rPr>
        <w:t xml:space="preserve"> net worth </w:t>
      </w:r>
      <w:r>
        <w:rPr>
          <w:rFonts w:ascii="Arial" w:cs="Arial" w:eastAsia="Arial" w:hAnsi="Arial"/>
          <w:sz w:val="11"/>
          <w:szCs w:val="11"/>
          <w:color w:val="auto"/>
        </w:rPr>
        <w:t>increased to $112.7 billion.</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Summary of 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26605" cy="10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6605" cy="1085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00" w:type="dxa"/>
            <w:vAlign w:val="bottom"/>
            <w:tcBorders>
              <w:top w:val="single" w:sz="8" w:color="1C6FA3"/>
              <w:bottom w:val="single" w:sz="8" w:color="5587A6"/>
            </w:tcBorders>
            <w:gridSpan w:val="2"/>
          </w:tcPr>
          <w:p>
            <w:pPr>
              <w:spacing w:after="0"/>
              <w:rPr>
                <w:sz w:val="20"/>
                <w:szCs w:val="20"/>
                <w:color w:val="auto"/>
              </w:rPr>
            </w:pPr>
            <w:r>
              <w:rPr>
                <w:rFonts w:ascii="Arial" w:cs="Arial" w:eastAsia="Arial" w:hAnsi="Arial"/>
                <w:sz w:val="11"/>
                <w:szCs w:val="11"/>
                <w:b w:val="1"/>
                <w:bCs w:val="1"/>
                <w:color w:val="auto"/>
              </w:rPr>
              <w:t>(Dollars in millions)</w:t>
            </w:r>
          </w:p>
        </w:tc>
        <w:tc>
          <w:tcPr>
            <w:tcW w:w="6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1Q26</w:t>
            </w:r>
          </w:p>
        </w:tc>
        <w:tc>
          <w:tcPr>
            <w:tcW w:w="8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4Q25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9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 Change</w:t>
            </w:r>
          </w:p>
        </w:tc>
        <w:tc>
          <w:tcPr>
            <w:tcW w:w="8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1Q25</w:t>
            </w: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6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180" w:type="dxa"/>
            <w:vAlign w:val="bottom"/>
            <w:tcBorders>
              <w:top w:val="single" w:sz="8" w:color="1C6FA3"/>
              <w:bottom w:val="single" w:sz="8" w:color="5587A6"/>
            </w:tcBorders>
          </w:tcPr>
          <w:p>
            <w:pPr>
              <w:spacing w:after="0"/>
              <w:rPr>
                <w:sz w:val="13"/>
                <w:szCs w:val="13"/>
                <w:color w:val="auto"/>
              </w:rPr>
            </w:pPr>
          </w:p>
        </w:tc>
      </w:tr>
      <w:tr>
        <w:trPr>
          <w:trHeight w:val="133"/>
        </w:trPr>
        <w:tc>
          <w:tcPr>
            <w:tcW w:w="4660" w:type="dxa"/>
            <w:vAlign w:val="bottom"/>
            <w:gridSpan w:val="3"/>
          </w:tcPr>
          <w:p>
            <w:pPr>
              <w:spacing w:after="0"/>
              <w:rPr>
                <w:sz w:val="20"/>
                <w:szCs w:val="20"/>
                <w:color w:val="auto"/>
              </w:rPr>
            </w:pPr>
            <w:r>
              <w:rPr>
                <w:rFonts w:ascii="Arial" w:cs="Arial" w:eastAsia="Arial" w:hAnsi="Arial"/>
                <w:sz w:val="11"/>
                <w:szCs w:val="11"/>
                <w:color w:val="auto"/>
              </w:rPr>
              <w:t>Net interest income</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7,198</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7,268</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7,001</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197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Fee and other income</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82</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30 %</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84</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(2) %</w:t>
            </w:r>
          </w:p>
        </w:tc>
      </w:tr>
      <w:tr>
        <w:trPr>
          <w:trHeight w:val="133"/>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Net revenues</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7,280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7,331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7,085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195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60" w:type="dxa"/>
            <w:vAlign w:val="bottom"/>
            <w:gridSpan w:val="3"/>
          </w:tcPr>
          <w:p>
            <w:pPr>
              <w:spacing w:after="0"/>
              <w:rPr>
                <w:sz w:val="20"/>
                <w:szCs w:val="20"/>
                <w:color w:val="auto"/>
              </w:rPr>
            </w:pPr>
            <w:r>
              <w:rPr>
                <w:rFonts w:ascii="Arial" w:cs="Arial" w:eastAsia="Arial" w:hAnsi="Arial"/>
                <w:sz w:val="11"/>
                <w:szCs w:val="11"/>
                <w:color w:val="auto"/>
              </w:rPr>
              <w:t>Fair value gains (losses), net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378</w:t>
            </w:r>
          </w:p>
        </w:tc>
        <w:tc>
          <w:tcPr>
            <w:tcW w:w="80" w:type="dxa"/>
            <w:vAlign w:val="bottom"/>
          </w:tcPr>
          <w:p>
            <w:pPr>
              <w:spacing w:after="0"/>
              <w:rPr>
                <w:sz w:val="12"/>
                <w:szCs w:val="12"/>
                <w:color w:val="auto"/>
              </w:rPr>
            </w:pPr>
          </w:p>
        </w:tc>
        <w:tc>
          <w:tcPr>
            <w:tcW w:w="1000" w:type="dxa"/>
            <w:vAlign w:val="bottom"/>
            <w:gridSpan w:val="2"/>
          </w:tcPr>
          <w:p>
            <w:pPr>
              <w:ind w:left="740"/>
              <w:spacing w:after="0"/>
              <w:rPr>
                <w:sz w:val="20"/>
                <w:szCs w:val="20"/>
                <w:color w:val="auto"/>
              </w:rPr>
            </w:pPr>
            <w:r>
              <w:rPr>
                <w:rFonts w:ascii="Arial" w:cs="Arial" w:eastAsia="Arial" w:hAnsi="Arial"/>
                <w:sz w:val="11"/>
                <w:szCs w:val="11"/>
                <w:color w:val="auto"/>
              </w:rPr>
              <w:t>NM</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123</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(2) %</w:t>
            </w:r>
          </w:p>
        </w:tc>
      </w:tr>
      <w:tr>
        <w:trPr>
          <w:trHeight w:val="144"/>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Investment gains (losses), net</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(277)</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(282)</w:t>
            </w:r>
          </w:p>
        </w:tc>
        <w:tc>
          <w:tcPr>
            <w:tcW w:w="80" w:type="dxa"/>
            <w:vAlign w:val="bottom"/>
          </w:tcPr>
          <w:p>
            <w:pPr>
              <w:spacing w:after="0"/>
              <w:rPr>
                <w:sz w:val="12"/>
                <w:szCs w:val="12"/>
                <w:color w:val="auto"/>
              </w:rPr>
            </w:pPr>
          </w:p>
        </w:tc>
        <w:tc>
          <w:tcPr>
            <w:tcW w:w="1000" w:type="dxa"/>
            <w:vAlign w:val="bottom"/>
            <w:gridSpan w:val="2"/>
          </w:tcPr>
          <w:p>
            <w:pPr>
              <w:ind w:left="740"/>
              <w:spacing w:after="0"/>
              <w:rPr>
                <w:sz w:val="20"/>
                <w:szCs w:val="20"/>
                <w:color w:val="auto"/>
              </w:rPr>
            </w:pPr>
            <w:r>
              <w:rPr>
                <w:rFonts w:ascii="Arial" w:cs="Arial" w:eastAsia="Arial" w:hAnsi="Arial"/>
                <w:sz w:val="11"/>
                <w:szCs w:val="11"/>
                <w:color w:val="auto"/>
              </w:rPr>
              <w:t>NM</w:t>
            </w: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(276)</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1"/>
              </w:rPr>
              <w:t>NM</w:t>
            </w:r>
          </w:p>
        </w:tc>
      </w:tr>
      <w:tr>
        <w:trPr>
          <w:trHeight w:val="133"/>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Other gains (losses), net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(156)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38 %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122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(278)</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1"/>
              </w:rPr>
              <w:t>NM</w:t>
            </w:r>
          </w:p>
        </w:tc>
      </w:tr>
      <w:tr>
        <w:trPr>
          <w:trHeight w:val="144"/>
        </w:trPr>
        <w:tc>
          <w:tcPr>
            <w:tcW w:w="4660" w:type="dxa"/>
            <w:vAlign w:val="bottom"/>
            <w:gridSpan w:val="3"/>
          </w:tcPr>
          <w:p>
            <w:pPr>
              <w:spacing w:after="0"/>
              <w:rPr>
                <w:sz w:val="20"/>
                <w:szCs w:val="20"/>
                <w:color w:val="auto"/>
              </w:rPr>
            </w:pPr>
            <w:r>
              <w:rPr>
                <w:rFonts w:ascii="Arial" w:cs="Arial" w:eastAsia="Arial" w:hAnsi="Arial"/>
                <w:sz w:val="11"/>
                <w:szCs w:val="11"/>
                <w:color w:val="auto"/>
              </w:rPr>
              <w:t>(Provision) benefit for credit losses</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(277)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(253)</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1"/>
              </w:rPr>
              <w:t>NM</w:t>
            </w:r>
          </w:p>
        </w:tc>
      </w:tr>
      <w:tr>
        <w:trPr>
          <w:trHeight w:val="142"/>
        </w:trPr>
        <w:tc>
          <w:tcPr>
            <w:tcW w:w="4660" w:type="dxa"/>
            <w:vAlign w:val="bottom"/>
            <w:gridSpan w:val="3"/>
          </w:tcPr>
          <w:p>
            <w:pPr>
              <w:spacing w:after="0"/>
              <w:rPr>
                <w:sz w:val="20"/>
                <w:szCs w:val="20"/>
                <w:color w:val="auto"/>
              </w:rPr>
            </w:pPr>
            <w:r>
              <w:rPr>
                <w:rFonts w:ascii="Arial" w:cs="Arial" w:eastAsia="Arial" w:hAnsi="Arial"/>
                <w:sz w:val="11"/>
                <w:szCs w:val="11"/>
                <w:color w:val="auto"/>
              </w:rPr>
              <w:t>Non-interest expense: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4660" w:type="dxa"/>
            <w:vAlign w:val="bottom"/>
            <w:gridSpan w:val="3"/>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(745)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19 %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(992)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247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60" w:type="dxa"/>
            <w:vAlign w:val="bottom"/>
            <w:gridSpan w:val="3"/>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4660" w:type="dxa"/>
            <w:vAlign w:val="bottom"/>
            <w:gridSpan w:val="3"/>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(358)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(479)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00" w:type="dxa"/>
            <w:vAlign w:val="bottom"/>
            <w:tcBorders>
              <w:bottom w:val="single" w:sz="8" w:color="5587A6"/>
            </w:tcBorders>
            <w:gridSpan w:val="2"/>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(149)</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(197)</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48</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3"/>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Total non-interest expense</w:t>
            </w:r>
          </w:p>
        </w:tc>
        <w:tc>
          <w:tcPr>
            <w:tcW w:w="6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(2,183)</w:t>
            </w: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(2,371)</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188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8 %</w:t>
            </w: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(2,599)</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416</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3"/>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4,664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254</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4,584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Provision for federal income taxes</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(944)</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(883)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(923)</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(21)</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(2) %</w:t>
            </w:r>
          </w:p>
        </w:tc>
      </w:tr>
      <w:tr>
        <w:trPr>
          <w:trHeight w:val="133"/>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Net income</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3,720</w:t>
            </w:r>
          </w:p>
        </w:tc>
        <w:tc>
          <w:tcPr>
            <w:tcW w:w="8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3,527</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8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3,661</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59</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100" w:type="dxa"/>
            <w:vAlign w:val="bottom"/>
            <w:tcBorders>
              <w:top w:val="single" w:sz="8" w:color="5587A6"/>
              <w:bottom w:val="single" w:sz="8" w:color="5587A6"/>
            </w:tcBorders>
          </w:tcPr>
          <w:p>
            <w:pPr>
              <w:spacing w:after="0" w:line="20" w:lineRule="exact"/>
              <w:rPr>
                <w:sz w:val="1"/>
                <w:szCs w:val="1"/>
                <w:color w:val="auto"/>
              </w:rPr>
            </w:pPr>
          </w:p>
        </w:tc>
        <w:tc>
          <w:tcPr>
            <w:tcW w:w="450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8"/>
        </w:trPr>
        <w:tc>
          <w:tcPr>
            <w:tcW w:w="1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120"/>
              <w:spacing w:after="0" w:line="118"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6"/>
              <w:spacing w:after="0" w:line="118"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6"/>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Total comprehensive income</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3,655</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3,527</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3,655</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48"/>
        </w:trPr>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Net worth</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112,667</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109,012</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3,655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98,312</w:t>
            </w:r>
          </w:p>
        </w:tc>
        <w:tc>
          <w:tcPr>
            <w:tcW w:w="6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14,355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6"/>
        </w:trPr>
        <w:tc>
          <w:tcPr>
            <w:tcW w:w="4660" w:type="dxa"/>
            <w:vAlign w:val="bottom"/>
            <w:gridSpan w:val="3"/>
          </w:tcPr>
          <w:p>
            <w:pPr>
              <w:spacing w:after="0"/>
              <w:rPr>
                <w:sz w:val="20"/>
                <w:szCs w:val="20"/>
                <w:color w:val="auto"/>
              </w:rPr>
            </w:pPr>
            <w:r>
              <w:rPr>
                <w:rFonts w:ascii="Arial" w:cs="Arial" w:eastAsia="Arial" w:hAnsi="Arial"/>
                <w:sz w:val="7"/>
                <w:szCs w:val="7"/>
                <w:color w:val="auto"/>
              </w:rPr>
              <w:t>NM - Not meaningful</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08"/>
        </w:trPr>
        <w:tc>
          <w:tcPr>
            <w:tcW w:w="4660" w:type="dxa"/>
            <w:vAlign w:val="bottom"/>
            <w:gridSpan w:val="3"/>
          </w:tcPr>
          <w:p>
            <w:pPr>
              <w:spacing w:after="0"/>
              <w:rPr>
                <w:sz w:val="20"/>
                <w:szCs w:val="20"/>
                <w:color w:val="auto"/>
              </w:rPr>
            </w:pPr>
            <w:r>
              <w:rPr>
                <w:rFonts w:ascii="Arial" w:cs="Arial" w:eastAsia="Arial" w:hAnsi="Arial"/>
                <w:sz w:val="7"/>
                <w:szCs w:val="7"/>
                <w:color w:val="auto"/>
              </w:rPr>
              <w:t>* Represents less than 0.5%</w:t>
            </w: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68"/>
        </w:trPr>
        <w:tc>
          <w:tcPr>
            <w:tcW w:w="100" w:type="dxa"/>
            <w:vAlign w:val="bottom"/>
          </w:tcPr>
          <w:p>
            <w:pPr>
              <w:spacing w:after="0"/>
              <w:rPr>
                <w:sz w:val="5"/>
                <w:szCs w:val="5"/>
                <w:color w:val="auto"/>
              </w:rPr>
            </w:pPr>
          </w:p>
        </w:tc>
        <w:tc>
          <w:tcPr>
            <w:tcW w:w="4560" w:type="dxa"/>
            <w:vAlign w:val="bottom"/>
            <w:tcBorders>
              <w:bottom w:val="single" w:sz="8" w:color="05314D"/>
            </w:tcBorders>
            <w:gridSpan w:val="2"/>
          </w:tcPr>
          <w:p>
            <w:pPr>
              <w:spacing w:after="0"/>
              <w:rPr>
                <w:sz w:val="5"/>
                <w:szCs w:val="5"/>
                <w:color w:val="auto"/>
              </w:rPr>
            </w:pPr>
          </w:p>
        </w:tc>
        <w:tc>
          <w:tcPr>
            <w:tcW w:w="180" w:type="dxa"/>
            <w:vAlign w:val="bottom"/>
            <w:tcBorders>
              <w:bottom w:val="single" w:sz="8" w:color="05314D"/>
            </w:tcBorders>
          </w:tcPr>
          <w:p>
            <w:pPr>
              <w:spacing w:after="0"/>
              <w:rPr>
                <w:sz w:val="5"/>
                <w:szCs w:val="5"/>
                <w:color w:val="auto"/>
              </w:rPr>
            </w:pPr>
          </w:p>
        </w:tc>
        <w:tc>
          <w:tcPr>
            <w:tcW w:w="660" w:type="dxa"/>
            <w:vAlign w:val="bottom"/>
            <w:tcBorders>
              <w:bottom w:val="single" w:sz="8" w:color="05314D"/>
            </w:tcBorders>
          </w:tcPr>
          <w:p>
            <w:pPr>
              <w:spacing w:after="0"/>
              <w:rPr>
                <w:sz w:val="5"/>
                <w:szCs w:val="5"/>
                <w:color w:val="auto"/>
              </w:rPr>
            </w:pPr>
          </w:p>
        </w:tc>
        <w:tc>
          <w:tcPr>
            <w:tcW w:w="80" w:type="dxa"/>
            <w:vAlign w:val="bottom"/>
            <w:tcBorders>
              <w:bottom w:val="single" w:sz="8" w:color="05314D"/>
            </w:tcBorders>
          </w:tcPr>
          <w:p>
            <w:pPr>
              <w:spacing w:after="0"/>
              <w:rPr>
                <w:sz w:val="5"/>
                <w:szCs w:val="5"/>
                <w:color w:val="auto"/>
              </w:rPr>
            </w:pPr>
          </w:p>
        </w:tc>
        <w:tc>
          <w:tcPr>
            <w:tcW w:w="180" w:type="dxa"/>
            <w:vAlign w:val="bottom"/>
            <w:tcBorders>
              <w:bottom w:val="single" w:sz="8" w:color="05314D"/>
            </w:tcBorders>
          </w:tcPr>
          <w:p>
            <w:pPr>
              <w:spacing w:after="0"/>
              <w:rPr>
                <w:sz w:val="5"/>
                <w:szCs w:val="5"/>
                <w:color w:val="auto"/>
              </w:rPr>
            </w:pPr>
          </w:p>
        </w:tc>
        <w:tc>
          <w:tcPr>
            <w:tcW w:w="660" w:type="dxa"/>
            <w:vAlign w:val="bottom"/>
            <w:tcBorders>
              <w:bottom w:val="single" w:sz="8" w:color="05314D"/>
            </w:tcBorders>
          </w:tcPr>
          <w:p>
            <w:pPr>
              <w:spacing w:after="0"/>
              <w:rPr>
                <w:sz w:val="5"/>
                <w:szCs w:val="5"/>
                <w:color w:val="auto"/>
              </w:rPr>
            </w:pPr>
          </w:p>
        </w:tc>
        <w:tc>
          <w:tcPr>
            <w:tcW w:w="80" w:type="dxa"/>
            <w:vAlign w:val="bottom"/>
            <w:tcBorders>
              <w:bottom w:val="single" w:sz="8" w:color="05314D"/>
            </w:tcBorders>
          </w:tcPr>
          <w:p>
            <w:pPr>
              <w:spacing w:after="0"/>
              <w:rPr>
                <w:sz w:val="5"/>
                <w:szCs w:val="5"/>
                <w:color w:val="auto"/>
              </w:rPr>
            </w:pPr>
          </w:p>
        </w:tc>
        <w:tc>
          <w:tcPr>
            <w:tcW w:w="140" w:type="dxa"/>
            <w:vAlign w:val="bottom"/>
            <w:tcBorders>
              <w:bottom w:val="single" w:sz="8" w:color="05314D"/>
            </w:tcBorders>
          </w:tcPr>
          <w:p>
            <w:pPr>
              <w:spacing w:after="0"/>
              <w:rPr>
                <w:sz w:val="5"/>
                <w:szCs w:val="5"/>
                <w:color w:val="auto"/>
              </w:rPr>
            </w:pPr>
          </w:p>
        </w:tc>
        <w:tc>
          <w:tcPr>
            <w:tcW w:w="700" w:type="dxa"/>
            <w:vAlign w:val="bottom"/>
            <w:tcBorders>
              <w:bottom w:val="single" w:sz="8" w:color="05314D"/>
            </w:tcBorders>
          </w:tcPr>
          <w:p>
            <w:pPr>
              <w:spacing w:after="0"/>
              <w:rPr>
                <w:sz w:val="5"/>
                <w:szCs w:val="5"/>
                <w:color w:val="auto"/>
              </w:rPr>
            </w:pPr>
          </w:p>
        </w:tc>
        <w:tc>
          <w:tcPr>
            <w:tcW w:w="80" w:type="dxa"/>
            <w:vAlign w:val="bottom"/>
            <w:tcBorders>
              <w:bottom w:val="single" w:sz="8" w:color="05314D"/>
            </w:tcBorders>
          </w:tcPr>
          <w:p>
            <w:pPr>
              <w:spacing w:after="0"/>
              <w:rPr>
                <w:sz w:val="5"/>
                <w:szCs w:val="5"/>
                <w:color w:val="auto"/>
              </w:rPr>
            </w:pPr>
          </w:p>
        </w:tc>
        <w:tc>
          <w:tcPr>
            <w:tcW w:w="920" w:type="dxa"/>
            <w:vAlign w:val="bottom"/>
            <w:tcBorders>
              <w:bottom w:val="single" w:sz="8" w:color="05314D"/>
            </w:tcBorders>
          </w:tcPr>
          <w:p>
            <w:pPr>
              <w:spacing w:after="0"/>
              <w:rPr>
                <w:sz w:val="5"/>
                <w:szCs w:val="5"/>
                <w:color w:val="auto"/>
              </w:rPr>
            </w:pPr>
          </w:p>
        </w:tc>
        <w:tc>
          <w:tcPr>
            <w:tcW w:w="80" w:type="dxa"/>
            <w:vAlign w:val="bottom"/>
            <w:tcBorders>
              <w:bottom w:val="single" w:sz="8" w:color="05314D"/>
            </w:tcBorders>
          </w:tcPr>
          <w:p>
            <w:pPr>
              <w:spacing w:after="0"/>
              <w:rPr>
                <w:sz w:val="5"/>
                <w:szCs w:val="5"/>
                <w:color w:val="auto"/>
              </w:rPr>
            </w:pPr>
          </w:p>
        </w:tc>
        <w:tc>
          <w:tcPr>
            <w:tcW w:w="180" w:type="dxa"/>
            <w:vAlign w:val="bottom"/>
            <w:tcBorders>
              <w:bottom w:val="single" w:sz="8" w:color="05314D"/>
            </w:tcBorders>
          </w:tcPr>
          <w:p>
            <w:pPr>
              <w:spacing w:after="0"/>
              <w:rPr>
                <w:sz w:val="5"/>
                <w:szCs w:val="5"/>
                <w:color w:val="auto"/>
              </w:rPr>
            </w:pPr>
          </w:p>
        </w:tc>
        <w:tc>
          <w:tcPr>
            <w:tcW w:w="660" w:type="dxa"/>
            <w:vAlign w:val="bottom"/>
            <w:tcBorders>
              <w:bottom w:val="single" w:sz="8" w:color="05314D"/>
            </w:tcBorders>
          </w:tcPr>
          <w:p>
            <w:pPr>
              <w:spacing w:after="0"/>
              <w:rPr>
                <w:sz w:val="5"/>
                <w:szCs w:val="5"/>
                <w:color w:val="auto"/>
              </w:rPr>
            </w:pPr>
          </w:p>
        </w:tc>
        <w:tc>
          <w:tcPr>
            <w:tcW w:w="60" w:type="dxa"/>
            <w:vAlign w:val="bottom"/>
            <w:tcBorders>
              <w:bottom w:val="single" w:sz="8" w:color="05314D"/>
            </w:tcBorders>
          </w:tcPr>
          <w:p>
            <w:pPr>
              <w:spacing w:after="0"/>
              <w:rPr>
                <w:sz w:val="5"/>
                <w:szCs w:val="5"/>
                <w:color w:val="auto"/>
              </w:rPr>
            </w:pPr>
          </w:p>
        </w:tc>
        <w:tc>
          <w:tcPr>
            <w:tcW w:w="140" w:type="dxa"/>
            <w:vAlign w:val="bottom"/>
            <w:tcBorders>
              <w:bottom w:val="single" w:sz="8" w:color="05314D"/>
            </w:tcBorders>
          </w:tcPr>
          <w:p>
            <w:pPr>
              <w:spacing w:after="0"/>
              <w:rPr>
                <w:sz w:val="5"/>
                <w:szCs w:val="5"/>
                <w:color w:val="auto"/>
              </w:rPr>
            </w:pPr>
          </w:p>
        </w:tc>
        <w:tc>
          <w:tcPr>
            <w:tcW w:w="720" w:type="dxa"/>
            <w:vAlign w:val="bottom"/>
            <w:tcBorders>
              <w:bottom w:val="single" w:sz="8" w:color="05314D"/>
            </w:tcBorders>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140"/>
        </w:trPr>
        <w:tc>
          <w:tcPr>
            <w:tcW w:w="100" w:type="dxa"/>
            <w:vAlign w:val="bottom"/>
          </w:tcPr>
          <w:p>
            <w:pPr>
              <w:spacing w:after="0"/>
              <w:rPr>
                <w:sz w:val="12"/>
                <w:szCs w:val="12"/>
                <w:color w:val="auto"/>
              </w:rPr>
            </w:pPr>
          </w:p>
        </w:tc>
        <w:tc>
          <w:tcPr>
            <w:tcW w:w="4560" w:type="dxa"/>
            <w:vAlign w:val="bottom"/>
            <w:gridSpan w:val="2"/>
          </w:tcPr>
          <w:p>
            <w:pPr>
              <w:ind w:left="20"/>
              <w:spacing w:after="0"/>
              <w:rPr>
                <w:sz w:val="20"/>
                <w:szCs w:val="20"/>
                <w:color w:val="auto"/>
              </w:rPr>
            </w:pPr>
            <w:r>
              <w:rPr>
                <w:rFonts w:ascii="Arial" w:cs="Arial" w:eastAsia="Arial" w:hAnsi="Arial"/>
                <w:sz w:val="11"/>
                <w:szCs w:val="11"/>
                <w:color w:val="auto"/>
              </w:rPr>
              <w:t>First Quarter 2026</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ectPr>
          <w:pgSz w:w="11900" w:h="16838" w:orient="portrait"/>
          <w:cols w:equalWidth="0" w:num="1">
            <w:col w:w="11220"/>
          </w:cols>
          <w:pgMar w:left="300" w:top="880"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Single-Family Business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Jake Williamson, EVP, Head of Single-Family, Fannie Mae:</w:t>
      </w:r>
    </w:p>
    <w:p>
      <w:pPr>
        <w:ind w:right="80"/>
        <w:spacing w:after="0" w:line="249" w:lineRule="auto"/>
        <w:rPr>
          <w:sz w:val="20"/>
          <w:szCs w:val="20"/>
          <w:color w:val="auto"/>
        </w:rPr>
      </w:pPr>
      <w:r>
        <w:rPr>
          <w:rFonts w:ascii="Arial" w:cs="Arial" w:eastAsia="Arial" w:hAnsi="Arial"/>
          <w:sz w:val="12"/>
          <w:szCs w:val="12"/>
          <w:color w:val="auto"/>
        </w:rPr>
        <w:t>“</w:t>
      </w:r>
      <w:r>
        <w:rPr>
          <w:rFonts w:ascii="Arial" w:cs="Arial" w:eastAsia="Arial" w:hAnsi="Arial"/>
          <w:sz w:val="12"/>
          <w:szCs w:val="12"/>
          <w:color w:val="212121"/>
        </w:rPr>
        <w:t>We are making it easier for lenders to do business with Fannie Mae by delivering technology-enabled solutions that reduce friction and streamline the mortgage process. That focus will help make Fannie Mae the</w:t>
      </w:r>
      <w:r>
        <w:rPr>
          <w:rFonts w:ascii="Arial" w:cs="Arial" w:eastAsia="Arial" w:hAnsi="Arial"/>
          <w:sz w:val="12"/>
          <w:szCs w:val="12"/>
          <w:color w:val="auto"/>
        </w:rPr>
        <w:t xml:space="preserve"> </w:t>
      </w:r>
      <w:r>
        <w:rPr>
          <w:rFonts w:ascii="Arial" w:cs="Arial" w:eastAsia="Arial" w:hAnsi="Arial"/>
          <w:sz w:val="12"/>
          <w:szCs w:val="12"/>
          <w:color w:val="212121"/>
        </w:rPr>
        <w:t>go-to partner for lenders as they meet the evolving needs of homebuyers and homeowners.”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78040" cy="130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Single-Family Highlights —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0" w:lineRule="exact"/>
        <w:rPr>
          <w:sz w:val="20"/>
          <w:szCs w:val="20"/>
          <w:color w:val="auto"/>
        </w:rPr>
      </w:pPr>
    </w:p>
    <w:p>
      <w:pPr>
        <w:ind w:left="160" w:right="40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conventional acquisition volume increased </w:t>
      </w:r>
      <w:r>
        <w:rPr>
          <w:rFonts w:ascii="Arial" w:cs="Arial" w:eastAsia="Arial" w:hAnsi="Arial"/>
          <w:sz w:val="11"/>
          <w:szCs w:val="11"/>
          <w:color w:val="auto"/>
        </w:rPr>
        <w:t>to $98.7 billion, compared with $96.8 billion in 4Q 2025, driven by a $7.0 billion increase in refinance acquisition volume, partially offset by a $5.1 billion decrease in</w:t>
      </w:r>
      <w:r>
        <w:rPr>
          <w:rFonts w:ascii="Arial" w:cs="Arial" w:eastAsia="Arial" w:hAnsi="Arial"/>
          <w:sz w:val="11"/>
          <w:szCs w:val="11"/>
          <w:b w:val="1"/>
          <w:bCs w:val="1"/>
          <w:color w:val="auto"/>
        </w:rPr>
        <w:t xml:space="preserve"> </w:t>
      </w:r>
      <w:r>
        <w:rPr>
          <w:rFonts w:ascii="Arial" w:cs="Arial" w:eastAsia="Arial" w:hAnsi="Arial"/>
          <w:sz w:val="11"/>
          <w:szCs w:val="11"/>
          <w:color w:val="auto"/>
        </w:rPr>
        <w:t>purchase acquisition volume.</w:t>
      </w:r>
    </w:p>
    <w:p>
      <w:pPr>
        <w:spacing w:after="0" w:line="32"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Average single-family conventional guaranty book decreased </w:t>
      </w:r>
      <w:r>
        <w:rPr>
          <w:rFonts w:ascii="Arial" w:cs="Arial" w:eastAsia="Arial" w:hAnsi="Arial"/>
          <w:sz w:val="11"/>
          <w:szCs w:val="11"/>
          <w:color w:val="auto"/>
        </w:rPr>
        <w:t>to $3.56 trillion, from $3.58 trillion for 4Q 2025.</w:t>
      </w:r>
    </w:p>
    <w:p>
      <w:pPr>
        <w:spacing w:after="0" w:line="62" w:lineRule="exact"/>
        <w:rPr>
          <w:rFonts w:ascii="Arial" w:cs="Arial" w:eastAsia="Arial" w:hAnsi="Arial"/>
          <w:sz w:val="10"/>
          <w:szCs w:val="10"/>
          <w:color w:val="auto"/>
        </w:rPr>
      </w:pPr>
    </w:p>
    <w:p>
      <w:pPr>
        <w:ind w:left="160" w:right="8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The average charged guaranty fee, net of TCCA fees, on the single-family conventional guaranty book increased </w:t>
      </w:r>
      <w:r>
        <w:rPr>
          <w:rFonts w:ascii="Arial" w:cs="Arial" w:eastAsia="Arial" w:hAnsi="Arial"/>
          <w:sz w:val="11"/>
          <w:szCs w:val="11"/>
          <w:color w:val="auto"/>
        </w:rPr>
        <w:t>to 48.8 basis points, compared with 48.7 basis points in 4Q 2025. The average charged guaranty fee on newly</w:t>
      </w:r>
      <w:r>
        <w:rPr>
          <w:rFonts w:ascii="Arial" w:cs="Arial" w:eastAsia="Arial" w:hAnsi="Arial"/>
          <w:sz w:val="11"/>
          <w:szCs w:val="11"/>
          <w:b w:val="1"/>
          <w:bCs w:val="1"/>
          <w:color w:val="auto"/>
        </w:rPr>
        <w:t xml:space="preserve"> </w:t>
      </w:r>
      <w:r>
        <w:rPr>
          <w:rFonts w:ascii="Arial" w:cs="Arial" w:eastAsia="Arial" w:hAnsi="Arial"/>
          <w:sz w:val="11"/>
          <w:szCs w:val="11"/>
          <w:color w:val="auto"/>
        </w:rPr>
        <w:t>acquired conventional loans, net of TCCA fees, decreased to 55.1 basis points, compared with 55.4 basis points in 4Q 2025.</w:t>
      </w:r>
    </w:p>
    <w:p>
      <w:pPr>
        <w:spacing w:after="0" w:line="32" w:lineRule="exact"/>
        <w:rPr>
          <w:rFonts w:ascii="Arial" w:cs="Arial" w:eastAsia="Arial" w:hAnsi="Arial"/>
          <w:sz w:val="10"/>
          <w:szCs w:val="10"/>
          <w:color w:val="auto"/>
        </w:rPr>
      </w:pPr>
    </w:p>
    <w:p>
      <w:pPr>
        <w:ind w:left="160" w:right="340" w:hanging="104"/>
        <w:spacing w:after="0" w:line="268"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Overall credit characteristics of the single-family conventional guaranty book were largely unchanged </w:t>
      </w:r>
      <w:r>
        <w:rPr>
          <w:rFonts w:ascii="Arial" w:cs="Arial" w:eastAsia="Arial" w:hAnsi="Arial"/>
          <w:sz w:val="11"/>
          <w:szCs w:val="11"/>
          <w:color w:val="auto"/>
        </w:rPr>
        <w:t>compared with the prior quarter, with a weighted-average mark-to-market loan-to-value ratio of 51% and a weighted-average FICO credit score at origination of 753 as of Mar. 31, 2026.</w:t>
      </w:r>
    </w:p>
    <w:p>
      <w:pPr>
        <w:spacing w:after="0" w:line="32"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serious delinquency rate remained unchanged </w:t>
      </w:r>
      <w:r>
        <w:rPr>
          <w:rFonts w:ascii="Arial" w:cs="Arial" w:eastAsia="Arial" w:hAnsi="Arial"/>
          <w:sz w:val="11"/>
          <w:szCs w:val="11"/>
          <w:color w:val="auto"/>
        </w:rPr>
        <w:t>at 0.58% as of Mar. 31, 2026, compared with prior quarter end.</w:t>
      </w:r>
      <w:r>
        <w:rPr>
          <w:rFonts w:ascii="Arial" w:cs="Arial" w:eastAsia="Arial" w:hAnsi="Arial"/>
          <w:sz w:val="14"/>
          <w:szCs w:val="14"/>
          <w:color w:val="auto"/>
          <w:vertAlign w:val="superscript"/>
        </w:rPr>
        <w:t>(8)</w:t>
      </w:r>
    </w:p>
    <w:p>
      <w:pPr>
        <w:spacing w:after="0" w:line="28" w:lineRule="exact"/>
        <w:rPr>
          <w:rFonts w:ascii="Arial" w:cs="Arial" w:eastAsia="Arial" w:hAnsi="Arial"/>
          <w:sz w:val="10"/>
          <w:szCs w:val="10"/>
          <w:color w:val="auto"/>
        </w:rPr>
      </w:pPr>
    </w:p>
    <w:p>
      <w:pPr>
        <w:ind w:left="160" w:right="120" w:hanging="104"/>
        <w:spacing w:after="0" w:line="267"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single-family credit losses </w:t>
      </w:r>
      <w:r>
        <w:rPr>
          <w:rFonts w:ascii="Arial" w:cs="Arial" w:eastAsia="Arial" w:hAnsi="Arial"/>
          <w:sz w:val="11"/>
          <w:szCs w:val="11"/>
          <w:color w:val="auto"/>
        </w:rPr>
        <w:t>of $103 million, primarily associated with new acquisitions and newly delinquent loans, partially offset by a benefit from actual home price growth. This compares with a provision for single-family credit losses of $293 million for 4Q 2025.</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60" w:type="dxa"/>
            <w:vAlign w:val="bottom"/>
            <w:tcBorders>
              <w:top w:val="single" w:sz="8" w:color="1C6FA3"/>
              <w:bottom w:val="single" w:sz="8" w:color="5587A6"/>
            </w:tcBorders>
            <w:gridSpan w:val="2"/>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rPr>
              <w:t>1Q26</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106"/>
              <w:spacing w:after="0"/>
              <w:rPr>
                <w:sz w:val="20"/>
                <w:szCs w:val="20"/>
                <w:color w:val="auto"/>
              </w:rPr>
            </w:pPr>
            <w:r>
              <w:rPr>
                <w:rFonts w:ascii="Arial" w:cs="Arial" w:eastAsia="Arial" w:hAnsi="Arial"/>
                <w:sz w:val="11"/>
                <w:szCs w:val="11"/>
                <w:b w:val="1"/>
                <w:bCs w:val="1"/>
                <w:color w:val="auto"/>
                <w:w w:val="96"/>
              </w:rPr>
              <w:t>4Q25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86"/>
              <w:spacing w:after="0"/>
              <w:rPr>
                <w:sz w:val="20"/>
                <w:szCs w:val="20"/>
                <w:color w:val="auto"/>
              </w:rPr>
            </w:pPr>
            <w:r>
              <w:rPr>
                <w:rFonts w:ascii="Arial" w:cs="Arial" w:eastAsia="Arial" w:hAnsi="Arial"/>
                <w:sz w:val="11"/>
                <w:szCs w:val="11"/>
                <w:b w:val="1"/>
                <w:bCs w:val="1"/>
                <w:color w:val="auto"/>
                <w:w w:val="95"/>
              </w:rPr>
              <w:t>Variance</w:t>
            </w:r>
          </w:p>
        </w:tc>
        <w:tc>
          <w:tcPr>
            <w:tcW w:w="8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180" w:type="dxa"/>
            <w:vAlign w:val="bottom"/>
            <w:tcBorders>
              <w:top w:val="single" w:sz="8" w:color="1C6FA3"/>
              <w:bottom w:val="single" w:sz="8" w:color="5587A6"/>
            </w:tcBorders>
          </w:tcPr>
          <w:p>
            <w:pPr>
              <w:spacing w:after="0"/>
              <w:rPr>
                <w:sz w:val="13"/>
                <w:szCs w:val="13"/>
                <w:color w:val="auto"/>
              </w:rPr>
            </w:pP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66"/>
              <w:spacing w:after="0"/>
              <w:rPr>
                <w:sz w:val="20"/>
                <w:szCs w:val="20"/>
                <w:color w:val="auto"/>
              </w:rPr>
            </w:pPr>
            <w:r>
              <w:rPr>
                <w:rFonts w:ascii="Arial" w:cs="Arial" w:eastAsia="Arial" w:hAnsi="Arial"/>
                <w:sz w:val="11"/>
                <w:szCs w:val="11"/>
                <w:b w:val="1"/>
                <w:bCs w:val="1"/>
                <w:color w:val="auto"/>
                <w:w w:val="96"/>
              </w:rPr>
              <w:t>1Q25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gridSpan w:val="2"/>
          </w:tcPr>
          <w:p>
            <w:pPr>
              <w:jc w:val="center"/>
              <w:ind w:right="160"/>
              <w:spacing w:after="0"/>
              <w:rPr>
                <w:sz w:val="20"/>
                <w:szCs w:val="20"/>
                <w:color w:val="auto"/>
              </w:rPr>
            </w:pPr>
            <w:r>
              <w:rPr>
                <w:rFonts w:ascii="Arial" w:cs="Arial" w:eastAsia="Arial" w:hAnsi="Arial"/>
                <w:sz w:val="11"/>
                <w:szCs w:val="11"/>
                <w:b w:val="1"/>
                <w:bCs w:val="1"/>
                <w:color w:val="auto"/>
                <w:w w:val="95"/>
              </w:rPr>
              <w:t>Variance</w:t>
            </w:r>
          </w:p>
        </w:tc>
        <w:tc>
          <w:tcPr>
            <w:tcW w:w="880" w:type="dxa"/>
            <w:vAlign w:val="bottom"/>
            <w:tcBorders>
              <w:top w:val="single" w:sz="8" w:color="1C6FA3"/>
            </w:tcBorders>
          </w:tcPr>
          <w:p>
            <w:pPr>
              <w:jc w:val="right"/>
              <w:ind w:right="6"/>
              <w:spacing w:after="0"/>
              <w:rPr>
                <w:sz w:val="20"/>
                <w:szCs w:val="20"/>
                <w:color w:val="auto"/>
              </w:rPr>
            </w:pPr>
            <w:r>
              <w:rPr>
                <w:rFonts w:ascii="Arial" w:cs="Arial" w:eastAsia="Arial" w:hAnsi="Arial"/>
                <w:sz w:val="11"/>
                <w:szCs w:val="11"/>
                <w:b w:val="1"/>
                <w:bCs w:val="1"/>
                <w:color w:val="auto"/>
              </w:rPr>
              <w:t>% Change</w:t>
            </w:r>
          </w:p>
        </w:tc>
        <w:tc>
          <w:tcPr>
            <w:tcW w:w="180" w:type="dxa"/>
            <w:vAlign w:val="bottom"/>
            <w:tcBorders>
              <w:top w:val="single" w:sz="8" w:color="1C6FA3"/>
            </w:tcBorders>
          </w:tcPr>
          <w:p>
            <w:pPr>
              <w:spacing w:after="0"/>
              <w:rPr>
                <w:sz w:val="13"/>
                <w:szCs w:val="13"/>
                <w:color w:val="auto"/>
              </w:rPr>
            </w:pPr>
          </w:p>
        </w:tc>
      </w:tr>
      <w:tr>
        <w:trPr>
          <w:trHeight w:val="133"/>
        </w:trPr>
        <w:tc>
          <w:tcPr>
            <w:tcW w:w="4640" w:type="dxa"/>
            <w:vAlign w:val="bottom"/>
            <w:gridSpan w:val="3"/>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5,978</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6,043</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(65)</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5,866</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112</w:t>
            </w:r>
          </w:p>
        </w:tc>
        <w:tc>
          <w:tcPr>
            <w:tcW w:w="88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56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61</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65</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1"/>
                <w:szCs w:val="11"/>
                <w:color w:val="auto"/>
              </w:rPr>
              <w:t>(4)</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 %</w:t>
            </w:r>
          </w:p>
        </w:tc>
      </w:tr>
      <w:tr>
        <w:trPr>
          <w:trHeight w:val="133"/>
        </w:trPr>
        <w:tc>
          <w:tcPr>
            <w:tcW w:w="4640" w:type="dxa"/>
            <w:vAlign w:val="bottom"/>
            <w:gridSpan w:val="3"/>
          </w:tcPr>
          <w:p>
            <w:pPr>
              <w:spacing w:after="0"/>
              <w:rPr>
                <w:sz w:val="20"/>
                <w:szCs w:val="20"/>
                <w:color w:val="auto"/>
              </w:rPr>
            </w:pPr>
            <w:r>
              <w:rPr>
                <w:rFonts w:ascii="Arial" w:cs="Arial" w:eastAsia="Arial" w:hAnsi="Arial"/>
                <w:sz w:val="11"/>
                <w:szCs w:val="11"/>
                <w:b w:val="1"/>
                <w:bCs w:val="1"/>
                <w:color w:val="auto"/>
              </w:rPr>
              <w:t>Net revenues</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6,039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6,086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5,931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108</w:t>
            </w:r>
          </w:p>
        </w:tc>
        <w:tc>
          <w:tcPr>
            <w:tcW w:w="88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40" w:type="dxa"/>
            <w:vAlign w:val="bottom"/>
            <w:gridSpan w:val="3"/>
          </w:tcPr>
          <w:p>
            <w:pPr>
              <w:spacing w:after="0"/>
              <w:rPr>
                <w:sz w:val="20"/>
                <w:szCs w:val="20"/>
                <w:color w:val="auto"/>
              </w:rPr>
            </w:pPr>
            <w:r>
              <w:rPr>
                <w:rFonts w:ascii="Arial" w:cs="Arial" w:eastAsia="Arial" w:hAnsi="Arial"/>
                <w:sz w:val="11"/>
                <w:szCs w:val="11"/>
                <w:color w:val="auto"/>
              </w:rPr>
              <w:t>Fair value gains (losses), net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122</w:t>
            </w:r>
          </w:p>
        </w:tc>
        <w:tc>
          <w:tcPr>
            <w:tcW w:w="880" w:type="dxa"/>
            <w:vAlign w:val="bottom"/>
          </w:tcPr>
          <w:p>
            <w:pPr>
              <w:jc w:val="right"/>
              <w:spacing w:after="0"/>
              <w:rPr>
                <w:sz w:val="20"/>
                <w:szCs w:val="20"/>
                <w:color w:val="auto"/>
              </w:rPr>
            </w:pPr>
            <w:r>
              <w:rPr>
                <w:rFonts w:ascii="Arial" w:cs="Arial" w:eastAsia="Arial" w:hAnsi="Arial"/>
                <w:sz w:val="11"/>
                <w:szCs w:val="11"/>
                <w:color w:val="auto"/>
              </w:rPr>
              <w:t>149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56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Investment gains (losses), net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(257)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(243)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NM</w:t>
            </w: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1"/>
                <w:szCs w:val="11"/>
                <w:color w:val="auto"/>
              </w:rPr>
              <w:t>(258)</w:t>
            </w:r>
          </w:p>
        </w:tc>
        <w:tc>
          <w:tcPr>
            <w:tcW w:w="8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1"/>
              </w:rPr>
              <w:t>NM</w:t>
            </w:r>
          </w:p>
        </w:tc>
      </w:tr>
      <w:tr>
        <w:trPr>
          <w:trHeight w:val="133"/>
        </w:trPr>
        <w:tc>
          <w:tcPr>
            <w:tcW w:w="4640" w:type="dxa"/>
            <w:vAlign w:val="bottom"/>
            <w:gridSpan w:val="3"/>
          </w:tcPr>
          <w:p>
            <w:pPr>
              <w:spacing w:after="0"/>
              <w:rPr>
                <w:sz w:val="20"/>
                <w:szCs w:val="20"/>
                <w:color w:val="auto"/>
              </w:rPr>
            </w:pPr>
            <w:r>
              <w:rPr>
                <w:rFonts w:ascii="Arial" w:cs="Arial" w:eastAsia="Arial" w:hAnsi="Arial"/>
                <w:sz w:val="11"/>
                <w:szCs w:val="11"/>
                <w:b w:val="1"/>
                <w:bCs w:val="1"/>
                <w:color w:val="auto"/>
              </w:rPr>
              <w:t>Other gains (losses), net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234</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(136)</w:t>
            </w:r>
          </w:p>
        </w:tc>
        <w:tc>
          <w:tcPr>
            <w:tcW w:w="88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1"/>
              </w:rPr>
              <w:t>NM</w:t>
            </w:r>
          </w:p>
        </w:tc>
      </w:tr>
      <w:tr>
        <w:trPr>
          <w:trHeight w:val="144"/>
        </w:trPr>
        <w:tc>
          <w:tcPr>
            <w:tcW w:w="4640" w:type="dxa"/>
            <w:vAlign w:val="bottom"/>
            <w:gridSpan w:val="3"/>
          </w:tcPr>
          <w:p>
            <w:pPr>
              <w:spacing w:after="0"/>
              <w:rPr>
                <w:sz w:val="20"/>
                <w:szCs w:val="20"/>
                <w:color w:val="auto"/>
              </w:rPr>
            </w:pPr>
            <w:r>
              <w:rPr>
                <w:rFonts w:ascii="Arial" w:cs="Arial" w:eastAsia="Arial" w:hAnsi="Arial"/>
                <w:sz w:val="11"/>
                <w:szCs w:val="11"/>
                <w:color w:val="auto"/>
              </w:rPr>
              <w:t>(Provision) benefit for credit losses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(79)</w:t>
            </w:r>
          </w:p>
        </w:tc>
        <w:tc>
          <w:tcPr>
            <w:tcW w:w="88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w w:val="81"/>
              </w:rPr>
              <w:t>NM</w:t>
            </w:r>
          </w:p>
        </w:tc>
      </w:tr>
      <w:tr>
        <w:trPr>
          <w:trHeight w:val="142"/>
        </w:trPr>
        <w:tc>
          <w:tcPr>
            <w:tcW w:w="4640" w:type="dxa"/>
            <w:vAlign w:val="bottom"/>
            <w:gridSpan w:val="3"/>
          </w:tcPr>
          <w:p>
            <w:pPr>
              <w:spacing w:after="0"/>
              <w:rPr>
                <w:sz w:val="20"/>
                <w:szCs w:val="20"/>
                <w:color w:val="auto"/>
              </w:rPr>
            </w:pPr>
            <w:r>
              <w:rPr>
                <w:rFonts w:ascii="Arial" w:cs="Arial" w:eastAsia="Arial" w:hAnsi="Arial"/>
                <w:sz w:val="11"/>
                <w:szCs w:val="11"/>
                <w:color w:val="auto"/>
              </w:rPr>
              <w:t>Non-interest expense: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4640" w:type="dxa"/>
            <w:vAlign w:val="bottom"/>
            <w:gridSpan w:val="3"/>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20</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211</w:t>
            </w:r>
          </w:p>
        </w:tc>
        <w:tc>
          <w:tcPr>
            <w:tcW w:w="880" w:type="dxa"/>
            <w:vAlign w:val="bottom"/>
          </w:tcPr>
          <w:p>
            <w:pPr>
              <w:jc w:val="right"/>
              <w:spacing w:after="0"/>
              <w:rPr>
                <w:sz w:val="20"/>
                <w:szCs w:val="20"/>
                <w:color w:val="auto"/>
              </w:rPr>
            </w:pPr>
            <w:r>
              <w:rPr>
                <w:rFonts w:ascii="Arial" w:cs="Arial" w:eastAsia="Arial" w:hAnsi="Arial"/>
                <w:sz w:val="11"/>
                <w:szCs w:val="11"/>
                <w:color w:val="auto"/>
              </w:rPr>
              <w:t>26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640" w:type="dxa"/>
            <w:vAlign w:val="bottom"/>
            <w:gridSpan w:val="3"/>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4640" w:type="dxa"/>
            <w:vAlign w:val="bottom"/>
            <w:gridSpan w:val="3"/>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(407)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127</w:t>
            </w:r>
          </w:p>
        </w:tc>
        <w:tc>
          <w:tcPr>
            <w:tcW w:w="880" w:type="dxa"/>
            <w:vAlign w:val="bottom"/>
          </w:tcPr>
          <w:p>
            <w:pPr>
              <w:jc w:val="right"/>
              <w:spacing w:after="0"/>
              <w:rPr>
                <w:sz w:val="20"/>
                <w:szCs w:val="20"/>
                <w:color w:val="auto"/>
              </w:rPr>
            </w:pPr>
            <w:r>
              <w:rPr>
                <w:rFonts w:ascii="Arial" w:cs="Arial" w:eastAsia="Arial" w:hAnsi="Arial"/>
                <w:sz w:val="11"/>
                <w:szCs w:val="11"/>
                <w:color w:val="auto"/>
              </w:rPr>
              <w:t>31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560" w:type="dxa"/>
            <w:vAlign w:val="bottom"/>
            <w:tcBorders>
              <w:bottom w:val="single" w:sz="8" w:color="5587A6"/>
            </w:tcBorders>
            <w:gridSpan w:val="2"/>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(173)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(173)</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60"/>
              <w:spacing w:after="0"/>
              <w:rPr>
                <w:sz w:val="20"/>
                <w:szCs w:val="20"/>
                <w:color w:val="auto"/>
              </w:rPr>
            </w:pPr>
            <w:r>
              <w:rPr>
                <w:rFonts w:ascii="Arial" w:cs="Arial" w:eastAsia="Arial" w:hAnsi="Arial"/>
                <w:sz w:val="11"/>
                <w:szCs w:val="11"/>
                <w:color w:val="auto"/>
              </w:rPr>
              <w:t>83</w:t>
            </w:r>
          </w:p>
        </w:tc>
        <w:tc>
          <w:tcPr>
            <w:tcW w:w="880" w:type="dxa"/>
            <w:vAlign w:val="bottom"/>
          </w:tcPr>
          <w:p>
            <w:pPr>
              <w:jc w:val="right"/>
              <w:spacing w:after="0"/>
              <w:rPr>
                <w:sz w:val="20"/>
                <w:szCs w:val="20"/>
                <w:color w:val="auto"/>
              </w:rPr>
            </w:pPr>
            <w:r>
              <w:rPr>
                <w:rFonts w:ascii="Arial" w:cs="Arial" w:eastAsia="Arial" w:hAnsi="Arial"/>
                <w:sz w:val="11"/>
                <w:szCs w:val="11"/>
                <w:color w:val="auto"/>
              </w:rPr>
              <w:t>48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3"/>
        </w:trPr>
        <w:tc>
          <w:tcPr>
            <w:tcW w:w="456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(1,889)</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(2,132)</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243</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(2,312)</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gridSpan w:val="2"/>
          </w:tcPr>
          <w:p>
            <w:pPr>
              <w:jc w:val="right"/>
              <w:ind w:right="60"/>
              <w:spacing w:after="0"/>
              <w:rPr>
                <w:sz w:val="20"/>
                <w:szCs w:val="20"/>
                <w:color w:val="auto"/>
              </w:rPr>
            </w:pPr>
            <w:r>
              <w:rPr>
                <w:rFonts w:ascii="Arial" w:cs="Arial" w:eastAsia="Arial" w:hAnsi="Arial"/>
                <w:sz w:val="11"/>
                <w:szCs w:val="11"/>
                <w:color w:val="auto"/>
              </w:rPr>
              <w:t>423</w:t>
            </w:r>
          </w:p>
        </w:tc>
        <w:tc>
          <w:tcPr>
            <w:tcW w:w="880" w:type="dxa"/>
            <w:vAlign w:val="bottom"/>
          </w:tcPr>
          <w:p>
            <w:pPr>
              <w:jc w:val="right"/>
              <w:spacing w:after="0"/>
              <w:rPr>
                <w:sz w:val="20"/>
                <w:szCs w:val="20"/>
                <w:color w:val="auto"/>
              </w:rPr>
            </w:pPr>
            <w:r>
              <w:rPr>
                <w:rFonts w:ascii="Arial" w:cs="Arial" w:eastAsia="Arial" w:hAnsi="Arial"/>
                <w:sz w:val="11"/>
                <w:szCs w:val="11"/>
                <w:color w:val="auto"/>
              </w:rPr>
              <w:t>18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3"/>
        </w:trPr>
        <w:tc>
          <w:tcPr>
            <w:tcW w:w="4640" w:type="dxa"/>
            <w:vAlign w:val="bottom"/>
            <w:gridSpan w:val="3"/>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3,994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620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3,678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316</w:t>
            </w:r>
          </w:p>
        </w:tc>
        <w:tc>
          <w:tcPr>
            <w:tcW w:w="880" w:type="dxa"/>
            <w:vAlign w:val="bottom"/>
          </w:tcPr>
          <w:p>
            <w:pPr>
              <w:jc w:val="right"/>
              <w:spacing w:after="0"/>
              <w:rPr>
                <w:sz w:val="20"/>
                <w:szCs w:val="20"/>
                <w:color w:val="auto"/>
              </w:rPr>
            </w:pPr>
            <w:r>
              <w:rPr>
                <w:rFonts w:ascii="Arial" w:cs="Arial" w:eastAsia="Arial" w:hAnsi="Arial"/>
                <w:sz w:val="11"/>
                <w:szCs w:val="11"/>
                <w:color w:val="auto"/>
              </w:rPr>
              <w:t>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56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(820)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(697)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(123)</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(18) %</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(760)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1"/>
                <w:szCs w:val="11"/>
                <w:color w:val="auto"/>
              </w:rPr>
              <w:t>(60)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 %</w:t>
            </w:r>
          </w:p>
        </w:tc>
      </w:tr>
      <w:tr>
        <w:trPr>
          <w:trHeight w:val="133"/>
        </w:trPr>
        <w:tc>
          <w:tcPr>
            <w:tcW w:w="4640" w:type="dxa"/>
            <w:vAlign w:val="bottom"/>
            <w:gridSpan w:val="3"/>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3,174</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2,677</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497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2,918</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256</w:t>
            </w:r>
          </w:p>
        </w:tc>
        <w:tc>
          <w:tcPr>
            <w:tcW w:w="880" w:type="dxa"/>
            <w:vAlign w:val="bottom"/>
          </w:tcPr>
          <w:p>
            <w:pPr>
              <w:jc w:val="right"/>
              <w:spacing w:after="0"/>
              <w:rPr>
                <w:sz w:val="20"/>
                <w:szCs w:val="20"/>
                <w:color w:val="auto"/>
              </w:rPr>
            </w:pPr>
            <w:r>
              <w:rPr>
                <w:rFonts w:ascii="Arial" w:cs="Arial" w:eastAsia="Arial" w:hAnsi="Arial"/>
                <w:sz w:val="11"/>
                <w:szCs w:val="11"/>
                <w:color w:val="auto"/>
              </w:rPr>
              <w:t>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100" w:type="dxa"/>
            <w:vAlign w:val="bottom"/>
            <w:tcBorders>
              <w:top w:val="single" w:sz="8" w:color="5587A6"/>
              <w:bottom w:val="single" w:sz="8" w:color="5587A6"/>
            </w:tcBorders>
          </w:tcPr>
          <w:p>
            <w:pPr>
              <w:spacing w:after="0" w:line="20" w:lineRule="exact"/>
              <w:rPr>
                <w:sz w:val="1"/>
                <w:szCs w:val="1"/>
                <w:color w:val="auto"/>
              </w:rPr>
            </w:pPr>
          </w:p>
        </w:tc>
        <w:tc>
          <w:tcPr>
            <w:tcW w:w="44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Borders>
              <w:top w:val="single" w:sz="8" w:color="5587A6"/>
              <w:bottom w:val="single" w:sz="8" w:color="5587A6"/>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63"/>
        </w:trPr>
        <w:tc>
          <w:tcPr>
            <w:tcW w:w="4640" w:type="dxa"/>
            <w:vAlign w:val="bottom"/>
            <w:gridSpan w:val="3"/>
          </w:tcPr>
          <w:p>
            <w:pPr>
              <w:spacing w:after="0"/>
              <w:rPr>
                <w:sz w:val="20"/>
                <w:szCs w:val="20"/>
                <w:color w:val="auto"/>
              </w:rPr>
            </w:pPr>
            <w:r>
              <w:rPr>
                <w:rFonts w:ascii="Arial" w:cs="Arial" w:eastAsia="Arial" w:hAnsi="Arial"/>
                <w:sz w:val="11"/>
                <w:szCs w:val="11"/>
                <w:color w:val="auto"/>
              </w:rPr>
              <w:t>Average charged guaranty fee on new conventional acquisitions, net of TCCA fees</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color w:val="auto"/>
                <w:w w:val="94"/>
              </w:rPr>
              <w:t>55.1 bps</w:t>
            </w:r>
          </w:p>
        </w:tc>
        <w:tc>
          <w:tcPr>
            <w:tcW w:w="14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55.4 bps</w:t>
            </w:r>
          </w:p>
        </w:tc>
        <w:tc>
          <w:tcPr>
            <w:tcW w:w="140" w:type="dxa"/>
            <w:vAlign w:val="bottom"/>
          </w:tcPr>
          <w:p>
            <w:pPr>
              <w:spacing w:after="0"/>
              <w:rPr>
                <w:sz w:val="14"/>
                <w:szCs w:val="14"/>
                <w:color w:val="auto"/>
              </w:rPr>
            </w:pPr>
          </w:p>
        </w:tc>
        <w:tc>
          <w:tcPr>
            <w:tcW w:w="700" w:type="dxa"/>
            <w:vAlign w:val="bottom"/>
          </w:tcPr>
          <w:p>
            <w:pPr>
              <w:jc w:val="center"/>
              <w:ind w:right="86"/>
              <w:spacing w:after="0"/>
              <w:rPr>
                <w:sz w:val="20"/>
                <w:szCs w:val="20"/>
                <w:color w:val="auto"/>
              </w:rPr>
            </w:pPr>
            <w:r>
              <w:rPr>
                <w:rFonts w:ascii="Arial" w:cs="Arial" w:eastAsia="Arial" w:hAnsi="Arial"/>
                <w:sz w:val="11"/>
                <w:szCs w:val="11"/>
                <w:color w:val="auto"/>
              </w:rPr>
              <w:t>(0.3) bps</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(1)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99"/>
              </w:rPr>
              <w:t>56.5 bps</w:t>
            </w: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color w:val="auto"/>
                <w:w w:val="96"/>
              </w:rPr>
              <w:t>(1.4) bps</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 %</w:t>
            </w:r>
          </w:p>
        </w:tc>
      </w:tr>
      <w:tr>
        <w:trPr>
          <w:trHeight w:val="144"/>
        </w:trPr>
        <w:tc>
          <w:tcPr>
            <w:tcW w:w="4640" w:type="dxa"/>
            <w:vAlign w:val="bottom"/>
            <w:gridSpan w:val="3"/>
          </w:tcPr>
          <w:p>
            <w:pPr>
              <w:spacing w:after="0"/>
              <w:rPr>
                <w:sz w:val="20"/>
                <w:szCs w:val="20"/>
                <w:color w:val="auto"/>
              </w:rPr>
            </w:pPr>
            <w:r>
              <w:rPr>
                <w:rFonts w:ascii="Arial" w:cs="Arial" w:eastAsia="Arial" w:hAnsi="Arial"/>
                <w:sz w:val="11"/>
                <w:szCs w:val="11"/>
                <w:color w:val="auto"/>
              </w:rPr>
              <w:t>Average charged guaranty fee on conventional guaranty book of business, net of TCCA fees</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color w:val="auto"/>
                <w:w w:val="94"/>
              </w:rPr>
              <w:t>48.8 bps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color w:val="auto"/>
                <w:w w:val="99"/>
              </w:rPr>
              <w:t>48.7 bps</w:t>
            </w:r>
          </w:p>
        </w:tc>
        <w:tc>
          <w:tcPr>
            <w:tcW w:w="140" w:type="dxa"/>
            <w:vAlign w:val="bottom"/>
          </w:tcPr>
          <w:p>
            <w:pPr>
              <w:spacing w:after="0"/>
              <w:rPr>
                <w:sz w:val="12"/>
                <w:szCs w:val="12"/>
                <w:color w:val="auto"/>
              </w:rPr>
            </w:pPr>
          </w:p>
        </w:tc>
        <w:tc>
          <w:tcPr>
            <w:tcW w:w="700" w:type="dxa"/>
            <w:vAlign w:val="bottom"/>
          </w:tcPr>
          <w:p>
            <w:pPr>
              <w:jc w:val="center"/>
              <w:ind w:right="86"/>
              <w:spacing w:after="0"/>
              <w:rPr>
                <w:sz w:val="20"/>
                <w:szCs w:val="20"/>
                <w:color w:val="auto"/>
              </w:rPr>
            </w:pPr>
            <w:r>
              <w:rPr>
                <w:rFonts w:ascii="Arial" w:cs="Arial" w:eastAsia="Arial" w:hAnsi="Arial"/>
                <w:sz w:val="11"/>
                <w:szCs w:val="11"/>
                <w:color w:val="auto"/>
                <w:w w:val="99"/>
              </w:rPr>
              <w:t>0.1 bps</w:t>
            </w:r>
          </w:p>
        </w:tc>
        <w:tc>
          <w:tcPr>
            <w:tcW w:w="80" w:type="dxa"/>
            <w:vAlign w:val="bottom"/>
          </w:tcPr>
          <w:p>
            <w:pPr>
              <w:spacing w:after="0"/>
              <w:rPr>
                <w:sz w:val="12"/>
                <w:szCs w:val="12"/>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99"/>
              </w:rPr>
              <w:t>48.1 bps</w:t>
            </w:r>
          </w:p>
        </w:tc>
        <w:tc>
          <w:tcPr>
            <w:tcW w:w="14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color w:val="auto"/>
                <w:w w:val="99"/>
              </w:rPr>
              <w:t>0.7 bps</w:t>
            </w:r>
          </w:p>
        </w:tc>
        <w:tc>
          <w:tcPr>
            <w:tcW w:w="880" w:type="dxa"/>
            <w:vAlign w:val="bottom"/>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47"/>
        </w:trPr>
        <w:tc>
          <w:tcPr>
            <w:tcW w:w="100" w:type="dxa"/>
            <w:vAlign w:val="bottom"/>
          </w:tcPr>
          <w:p>
            <w:pPr>
              <w:spacing w:after="0"/>
              <w:rPr>
                <w:sz w:val="4"/>
                <w:szCs w:val="4"/>
                <w:color w:val="auto"/>
              </w:rPr>
            </w:pPr>
          </w:p>
        </w:tc>
        <w:tc>
          <w:tcPr>
            <w:tcW w:w="4540" w:type="dxa"/>
            <w:vAlign w:val="bottom"/>
            <w:tcBorders>
              <w:bottom w:val="single" w:sz="8" w:color="05314D"/>
            </w:tcBorders>
            <w:gridSpan w:val="2"/>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800" w:type="dxa"/>
            <w:vAlign w:val="bottom"/>
            <w:tcBorders>
              <w:bottom w:val="single" w:sz="8" w:color="05314D"/>
            </w:tcBorders>
          </w:tcPr>
          <w:p>
            <w:pPr>
              <w:spacing w:after="0"/>
              <w:rPr>
                <w:sz w:val="4"/>
                <w:szCs w:val="4"/>
                <w:color w:val="auto"/>
              </w:rPr>
            </w:pPr>
          </w:p>
        </w:tc>
        <w:tc>
          <w:tcPr>
            <w:tcW w:w="18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660" w:type="dxa"/>
            <w:vAlign w:val="bottom"/>
            <w:tcBorders>
              <w:bottom w:val="single" w:sz="8" w:color="05314D"/>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40"/>
        </w:trPr>
        <w:tc>
          <w:tcPr>
            <w:tcW w:w="100" w:type="dxa"/>
            <w:vAlign w:val="bottom"/>
          </w:tcPr>
          <w:p>
            <w:pPr>
              <w:spacing w:after="0"/>
              <w:rPr>
                <w:sz w:val="12"/>
                <w:szCs w:val="12"/>
                <w:color w:val="auto"/>
              </w:rPr>
            </w:pPr>
          </w:p>
        </w:tc>
        <w:tc>
          <w:tcPr>
            <w:tcW w:w="4540" w:type="dxa"/>
            <w:vAlign w:val="bottom"/>
            <w:gridSpan w:val="2"/>
          </w:tcPr>
          <w:p>
            <w:pPr>
              <w:ind w:left="20"/>
              <w:spacing w:after="0"/>
              <w:rPr>
                <w:sz w:val="20"/>
                <w:szCs w:val="20"/>
                <w:color w:val="auto"/>
              </w:rPr>
            </w:pPr>
            <w:r>
              <w:rPr>
                <w:rFonts w:ascii="Arial" w:cs="Arial" w:eastAsia="Arial" w:hAnsi="Arial"/>
                <w:sz w:val="11"/>
                <w:szCs w:val="11"/>
                <w:color w:val="auto"/>
              </w:rPr>
              <w:t>First Quarter 2026</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ectPr>
          <w:pgSz w:w="11900" w:h="16838" w:orient="portrait"/>
          <w:cols w:equalWidth="0" w:num="1">
            <w:col w:w="11300"/>
          </w:cols>
          <w:pgMar w:left="300" w:top="80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Multifamily Business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Kelly Follain, EVP, Head of Multifamily, Fannie Mae:</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2"/>
          <w:szCs w:val="12"/>
          <w:color w:val="auto"/>
        </w:rPr>
        <w:t>“The first quarter reinforced the strength of our DUS® model and lender partnerships, supporting liquidity for multifamily borrowers and advancing the financing of affordable rental housing. As our book of business grew to $542.5 billion, we remained focused on delivering disciplined and flexible support in a dynamic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78040" cy="132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32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Multifamily Highlights —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0" w:lineRule="exact"/>
        <w:rPr>
          <w:sz w:val="20"/>
          <w:szCs w:val="2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acquisition volume declined </w:t>
      </w:r>
      <w:r>
        <w:rPr>
          <w:rFonts w:ascii="Arial" w:cs="Arial" w:eastAsia="Arial" w:hAnsi="Arial"/>
          <w:sz w:val="11"/>
          <w:szCs w:val="11"/>
          <w:color w:val="auto"/>
        </w:rPr>
        <w:t>to $17.1 billion, compared with $25.8 billion in 4Q 2025.</w:t>
      </w:r>
    </w:p>
    <w:p>
      <w:pPr>
        <w:spacing w:after="0" w:line="62"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book of business grew </w:t>
      </w:r>
      <w:r>
        <w:rPr>
          <w:rFonts w:ascii="Arial" w:cs="Arial" w:eastAsia="Arial" w:hAnsi="Arial"/>
          <w:sz w:val="11"/>
          <w:szCs w:val="11"/>
          <w:color w:val="auto"/>
        </w:rPr>
        <w:t>to $542.5 billion as of Mar. 31, 2026, a $7.8 billion increase from Dec. 31, 2025.</w:t>
      </w:r>
    </w:p>
    <w:p>
      <w:pPr>
        <w:spacing w:after="0" w:line="62"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Average charged guaranty fees on overall multifamily book decreased </w:t>
      </w:r>
      <w:r>
        <w:rPr>
          <w:rFonts w:ascii="Arial" w:cs="Arial" w:eastAsia="Arial" w:hAnsi="Arial"/>
          <w:sz w:val="11"/>
          <w:szCs w:val="11"/>
          <w:color w:val="auto"/>
        </w:rPr>
        <w:t>by 0.5 basis points to 71.1 basis points as of Mar. 31, 2026, compared with 71.6 basis points as of Dec. 31, 2025.</w:t>
      </w:r>
    </w:p>
    <w:p>
      <w:pPr>
        <w:spacing w:after="0" w:line="71" w:lineRule="exact"/>
        <w:rPr>
          <w:rFonts w:ascii="Arial" w:cs="Arial" w:eastAsia="Arial" w:hAnsi="Arial"/>
          <w:sz w:val="10"/>
          <w:szCs w:val="10"/>
          <w:color w:val="auto"/>
        </w:rPr>
      </w:pPr>
    </w:p>
    <w:p>
      <w:pPr>
        <w:ind w:left="200" w:right="80" w:hanging="126"/>
        <w:spacing w:after="0" w:line="192" w:lineRule="auto"/>
        <w:tabs>
          <w:tab w:leader="none" w:pos="200" w:val="left"/>
        </w:tabs>
        <w:numPr>
          <w:ilvl w:val="0"/>
          <w:numId w:val="5"/>
        </w:numPr>
        <w:rPr>
          <w:rFonts w:ascii="Arial" w:cs="Arial" w:eastAsia="Arial" w:hAnsi="Arial"/>
          <w:sz w:val="19"/>
          <w:szCs w:val="19"/>
          <w:color w:val="auto"/>
          <w:vertAlign w:val="superscript"/>
        </w:rPr>
      </w:pPr>
      <w:r>
        <w:rPr>
          <w:rFonts w:ascii="Arial" w:cs="Arial" w:eastAsia="Arial" w:hAnsi="Arial"/>
          <w:sz w:val="11"/>
          <w:szCs w:val="11"/>
          <w:b w:val="1"/>
          <w:bCs w:val="1"/>
          <w:color w:val="auto"/>
        </w:rPr>
        <w:t xml:space="preserve">Overall credit characteristics of the multifamily guaranty book were largely unchanged </w:t>
      </w:r>
      <w:r>
        <w:rPr>
          <w:rFonts w:ascii="Arial" w:cs="Arial" w:eastAsia="Arial" w:hAnsi="Arial"/>
          <w:sz w:val="11"/>
          <w:szCs w:val="11"/>
          <w:color w:val="auto"/>
        </w:rPr>
        <w:t>compared with the prior quarter, with weighted-average original loan-to-value ratio of 63% and a weighted-average debt service coverage</w:t>
      </w:r>
      <w:r>
        <w:rPr>
          <w:rFonts w:ascii="Arial" w:cs="Arial" w:eastAsia="Arial" w:hAnsi="Arial"/>
          <w:sz w:val="11"/>
          <w:szCs w:val="11"/>
          <w:b w:val="1"/>
          <w:bCs w:val="1"/>
          <w:color w:val="auto"/>
        </w:rPr>
        <w:t xml:space="preserve"> </w:t>
      </w:r>
      <w:r>
        <w:rPr>
          <w:rFonts w:ascii="Arial" w:cs="Arial" w:eastAsia="Arial" w:hAnsi="Arial"/>
          <w:sz w:val="11"/>
          <w:szCs w:val="11"/>
          <w:color w:val="auto"/>
        </w:rPr>
        <w:t>ratio of 1.9 as of Mar. 31, 2026.</w:t>
      </w:r>
    </w:p>
    <w:p>
      <w:pPr>
        <w:spacing w:after="0" w:line="48" w:lineRule="exact"/>
        <w:rPr>
          <w:rFonts w:ascii="Arial" w:cs="Arial" w:eastAsia="Arial" w:hAnsi="Arial"/>
          <w:sz w:val="19"/>
          <w:szCs w:val="19"/>
          <w:color w:val="auto"/>
          <w:vertAlign w:val="superscript"/>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serious delinquency rate increased </w:t>
      </w:r>
      <w:r>
        <w:rPr>
          <w:rFonts w:ascii="Arial" w:cs="Arial" w:eastAsia="Arial" w:hAnsi="Arial"/>
          <w:sz w:val="11"/>
          <w:szCs w:val="11"/>
          <w:color w:val="auto"/>
        </w:rPr>
        <w:t>to 0.78% as of Mar. 31, 2026, compared with 0.74% as of Dec. 31, 2025.</w:t>
      </w:r>
      <w:r>
        <w:rPr>
          <w:rFonts w:ascii="Arial" w:cs="Arial" w:eastAsia="Arial" w:hAnsi="Arial"/>
          <w:sz w:val="14"/>
          <w:szCs w:val="14"/>
          <w:color w:val="auto"/>
          <w:vertAlign w:val="superscript"/>
        </w:rPr>
        <w:t>(9)</w:t>
      </w:r>
    </w:p>
    <w:p>
      <w:pPr>
        <w:spacing w:after="0" w:line="28" w:lineRule="exact"/>
        <w:rPr>
          <w:rFonts w:ascii="Arial" w:cs="Arial" w:eastAsia="Arial" w:hAnsi="Arial"/>
          <w:sz w:val="10"/>
          <w:szCs w:val="10"/>
          <w:color w:val="auto"/>
        </w:rPr>
      </w:pPr>
    </w:p>
    <w:p>
      <w:pPr>
        <w:ind w:left="200" w:right="100" w:hanging="126"/>
        <w:spacing w:after="0" w:line="267" w:lineRule="auto"/>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multifamily credit losses </w:t>
      </w:r>
      <w:r>
        <w:rPr>
          <w:rFonts w:ascii="Arial" w:cs="Arial" w:eastAsia="Arial" w:hAnsi="Arial"/>
          <w:sz w:val="11"/>
          <w:szCs w:val="11"/>
          <w:color w:val="auto"/>
        </w:rPr>
        <w:t>of $174 million, primarily associated with an increase in loan delinquencies and by weakened property valuations on certain problem loans. This compares to a multifamily provision for credit</w:t>
      </w:r>
      <w:r>
        <w:rPr>
          <w:rFonts w:ascii="Arial" w:cs="Arial" w:eastAsia="Arial" w:hAnsi="Arial"/>
          <w:sz w:val="11"/>
          <w:szCs w:val="11"/>
          <w:b w:val="1"/>
          <w:bCs w:val="1"/>
          <w:color w:val="auto"/>
        </w:rPr>
        <w:t xml:space="preserve"> </w:t>
      </w:r>
      <w:r>
        <w:rPr>
          <w:rFonts w:ascii="Arial" w:cs="Arial" w:eastAsia="Arial" w:hAnsi="Arial"/>
          <w:sz w:val="11"/>
          <w:szCs w:val="11"/>
          <w:color w:val="auto"/>
        </w:rPr>
        <w:t>losses of $5 million for 4Q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7804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4287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Multifamily Business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00" w:type="dxa"/>
            <w:vAlign w:val="bottom"/>
            <w:tcBorders>
              <w:top w:val="single" w:sz="8" w:color="1C6FA3"/>
              <w:bottom w:val="single" w:sz="8" w:color="5587A6"/>
            </w:tcBorders>
            <w:gridSpan w:val="2"/>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1Q26</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4Q25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Variance</w:t>
            </w:r>
          </w:p>
        </w:tc>
        <w:tc>
          <w:tcPr>
            <w:tcW w:w="60" w:type="dxa"/>
            <w:vAlign w:val="bottom"/>
            <w:tcBorders>
              <w:top w:val="single" w:sz="8" w:color="1C6FA3"/>
            </w:tcBorders>
          </w:tcPr>
          <w:p>
            <w:pPr>
              <w:spacing w:after="0"/>
              <w:rPr>
                <w:sz w:val="13"/>
                <w:szCs w:val="13"/>
                <w:color w:val="auto"/>
              </w:rPr>
            </w:pPr>
          </w:p>
        </w:tc>
        <w:tc>
          <w:tcPr>
            <w:tcW w:w="820" w:type="dxa"/>
            <w:vAlign w:val="bottom"/>
            <w:tcBorders>
              <w:top w:val="single" w:sz="8" w:color="1C6FA3"/>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 Change</w:t>
            </w:r>
          </w:p>
        </w:tc>
        <w:tc>
          <w:tcPr>
            <w:tcW w:w="40" w:type="dxa"/>
            <w:vAlign w:val="bottom"/>
            <w:tcBorders>
              <w:top w:val="single" w:sz="8" w:color="1C6FA3"/>
              <w:bottom w:val="single" w:sz="8" w:color="5587A6"/>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1Q25</w:t>
            </w: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gridSpan w:val="2"/>
          </w:tcPr>
          <w:p>
            <w:pPr>
              <w:jc w:val="right"/>
              <w:ind w:right="200"/>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4680" w:type="dxa"/>
            <w:vAlign w:val="bottom"/>
            <w:gridSpan w:val="3"/>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1,220</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1,225</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1"/>
                <w:szCs w:val="11"/>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1,135</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7 %</w:t>
            </w:r>
          </w:p>
        </w:tc>
      </w:tr>
      <w:tr>
        <w:trPr>
          <w:trHeight w:val="144"/>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40"/>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11 %</w:t>
            </w:r>
          </w:p>
        </w:tc>
      </w:tr>
      <w:tr>
        <w:trPr>
          <w:trHeight w:val="133"/>
        </w:trPr>
        <w:tc>
          <w:tcPr>
            <w:tcW w:w="4680" w:type="dxa"/>
            <w:vAlign w:val="bottom"/>
            <w:gridSpan w:val="3"/>
          </w:tcPr>
          <w:p>
            <w:pPr>
              <w:spacing w:after="0"/>
              <w:rPr>
                <w:sz w:val="20"/>
                <w:szCs w:val="20"/>
                <w:color w:val="auto"/>
              </w:rPr>
            </w:pPr>
            <w:r>
              <w:rPr>
                <w:rFonts w:ascii="Arial" w:cs="Arial" w:eastAsia="Arial" w:hAnsi="Arial"/>
                <w:sz w:val="11"/>
                <w:szCs w:val="11"/>
                <w:b w:val="1"/>
                <w:bCs w:val="1"/>
                <w:color w:val="auto"/>
              </w:rPr>
              <w:t>Net revenues</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1,241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1"/>
                <w:szCs w:val="11"/>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1,154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87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8 %</w:t>
            </w:r>
          </w:p>
        </w:tc>
      </w:tr>
      <w:tr>
        <w:trPr>
          <w:trHeight w:val="144"/>
        </w:trPr>
        <w:tc>
          <w:tcPr>
            <w:tcW w:w="4680" w:type="dxa"/>
            <w:vAlign w:val="bottom"/>
            <w:gridSpan w:val="3"/>
          </w:tcPr>
          <w:p>
            <w:pPr>
              <w:spacing w:after="0"/>
              <w:rPr>
                <w:sz w:val="20"/>
                <w:szCs w:val="20"/>
                <w:color w:val="auto"/>
              </w:rPr>
            </w:pPr>
            <w:r>
              <w:rPr>
                <w:rFonts w:ascii="Arial" w:cs="Arial" w:eastAsia="Arial" w:hAnsi="Arial"/>
                <w:sz w:val="11"/>
                <w:szCs w:val="11"/>
                <w:color w:val="auto"/>
              </w:rPr>
              <w:t>Fair value gains (losses), net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(99)</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41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(124)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4"/>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Investment gains (losses), net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(20)</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(39)</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33"/>
        </w:trPr>
        <w:tc>
          <w:tcPr>
            <w:tcW w:w="4680" w:type="dxa"/>
            <w:vAlign w:val="bottom"/>
            <w:gridSpan w:val="3"/>
          </w:tcPr>
          <w:p>
            <w:pPr>
              <w:spacing w:after="0"/>
              <w:rPr>
                <w:sz w:val="20"/>
                <w:szCs w:val="20"/>
                <w:color w:val="auto"/>
              </w:rPr>
            </w:pPr>
            <w:r>
              <w:rPr>
                <w:rFonts w:ascii="Arial" w:cs="Arial" w:eastAsia="Arial" w:hAnsi="Arial"/>
                <w:sz w:val="11"/>
                <w:szCs w:val="11"/>
                <w:b w:val="1"/>
                <w:bCs w:val="1"/>
                <w:color w:val="auto"/>
              </w:rPr>
              <w:t>Other gains (losses), net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(103)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(138)</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4"/>
        </w:trPr>
        <w:tc>
          <w:tcPr>
            <w:tcW w:w="4680" w:type="dxa"/>
            <w:vAlign w:val="bottom"/>
            <w:gridSpan w:val="3"/>
          </w:tcPr>
          <w:p>
            <w:pPr>
              <w:spacing w:after="0"/>
              <w:rPr>
                <w:sz w:val="20"/>
                <w:szCs w:val="20"/>
                <w:color w:val="auto"/>
              </w:rPr>
            </w:pPr>
            <w:r>
              <w:rPr>
                <w:rFonts w:ascii="Arial" w:cs="Arial" w:eastAsia="Arial" w:hAnsi="Arial"/>
                <w:sz w:val="11"/>
                <w:szCs w:val="11"/>
                <w:color w:val="auto"/>
              </w:rPr>
              <w:t>(Provision) benefit for credit losses</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(169)</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4680" w:type="dxa"/>
            <w:vAlign w:val="bottom"/>
            <w:gridSpan w:val="3"/>
          </w:tcPr>
          <w:p>
            <w:pPr>
              <w:spacing w:after="0"/>
              <w:rPr>
                <w:sz w:val="20"/>
                <w:szCs w:val="20"/>
                <w:color w:val="auto"/>
              </w:rPr>
            </w:pPr>
            <w:r>
              <w:rPr>
                <w:rFonts w:ascii="Arial" w:cs="Arial" w:eastAsia="Arial" w:hAnsi="Arial"/>
                <w:sz w:val="11"/>
                <w:szCs w:val="11"/>
                <w:color w:val="auto"/>
              </w:rPr>
              <w:t>Non-interest expense: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4680" w:type="dxa"/>
            <w:vAlign w:val="bottom"/>
            <w:gridSpan w:val="3"/>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(180)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36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20 %</w:t>
            </w:r>
          </w:p>
        </w:tc>
      </w:tr>
      <w:tr>
        <w:trPr>
          <w:trHeight w:val="144"/>
        </w:trPr>
        <w:tc>
          <w:tcPr>
            <w:tcW w:w="4680" w:type="dxa"/>
            <w:vAlign w:val="bottom"/>
            <w:gridSpan w:val="3"/>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(18)%</w:t>
            </w:r>
          </w:p>
        </w:tc>
      </w:tr>
      <w:tr>
        <w:trPr>
          <w:trHeight w:val="144"/>
        </w:trPr>
        <w:tc>
          <w:tcPr>
            <w:tcW w:w="4680" w:type="dxa"/>
            <w:vAlign w:val="bottom"/>
            <w:gridSpan w:val="3"/>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(72)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w:t>
            </w:r>
          </w:p>
        </w:tc>
      </w:tr>
      <w:tr>
        <w:trPr>
          <w:trHeight w:val="144"/>
        </w:trPr>
        <w:tc>
          <w:tcPr>
            <w:tcW w:w="4600" w:type="dxa"/>
            <w:vAlign w:val="bottom"/>
            <w:tcBorders>
              <w:bottom w:val="single" w:sz="8" w:color="5587A6"/>
            </w:tcBorders>
            <w:gridSpan w:val="2"/>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(59)</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(86)</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(24)</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1"/>
                <w:szCs w:val="11"/>
                <w:color w:val="auto"/>
              </w:rPr>
              <w:t>(35)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(146)%</w:t>
            </w:r>
          </w:p>
        </w:tc>
      </w:tr>
      <w:tr>
        <w:trPr>
          <w:trHeight w:val="133"/>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(294)</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(239)</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(55)</w:t>
            </w: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(23)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(287)</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1"/>
                <w:szCs w:val="11"/>
                <w:color w:val="auto"/>
              </w:rPr>
              <w:t>(7)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w:t>
            </w:r>
          </w:p>
        </w:tc>
      </w:tr>
      <w:tr>
        <w:trPr>
          <w:trHeight w:val="133"/>
        </w:trPr>
        <w:tc>
          <w:tcPr>
            <w:tcW w:w="4680" w:type="dxa"/>
            <w:vAlign w:val="bottom"/>
            <w:gridSpan w:val="3"/>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(366)</w:t>
            </w: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(35)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906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(236)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(26)%</w:t>
            </w:r>
          </w:p>
        </w:tc>
      </w:tr>
      <w:tr>
        <w:trPr>
          <w:trHeight w:val="144"/>
        </w:trPr>
        <w:tc>
          <w:tcPr>
            <w:tcW w:w="4600" w:type="dxa"/>
            <w:vAlign w:val="bottom"/>
            <w:tcBorders>
              <w:bottom w:val="single" w:sz="8" w:color="5587A6"/>
            </w:tcBorders>
            <w:gridSpan w:val="2"/>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(124)</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(186)</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62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(163)</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gridSpan w:val="2"/>
          </w:tcPr>
          <w:p>
            <w:pPr>
              <w:jc w:val="right"/>
              <w:ind w:right="40"/>
              <w:spacing w:after="0"/>
              <w:rPr>
                <w:sz w:val="20"/>
                <w:szCs w:val="20"/>
                <w:color w:val="auto"/>
              </w:rPr>
            </w:pPr>
            <w:r>
              <w:rPr>
                <w:rFonts w:ascii="Arial" w:cs="Arial" w:eastAsia="Arial" w:hAnsi="Arial"/>
                <w:sz w:val="11"/>
                <w:szCs w:val="11"/>
                <w:color w:val="auto"/>
              </w:rPr>
              <w:t>39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24 %</w:t>
            </w:r>
          </w:p>
        </w:tc>
      </w:tr>
      <w:tr>
        <w:trPr>
          <w:trHeight w:val="133"/>
        </w:trPr>
        <w:tc>
          <w:tcPr>
            <w:tcW w:w="4680" w:type="dxa"/>
            <w:vAlign w:val="bottom"/>
            <w:gridSpan w:val="3"/>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546</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850</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(304)</w:t>
            </w: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(36)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743</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(197)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(27)%</w:t>
            </w:r>
          </w:p>
        </w:tc>
      </w:tr>
      <w:tr>
        <w:trPr>
          <w:trHeight w:val="20"/>
        </w:trPr>
        <w:tc>
          <w:tcPr>
            <w:tcW w:w="100" w:type="dxa"/>
            <w:vAlign w:val="bottom"/>
            <w:tcBorders>
              <w:top w:val="single" w:sz="8" w:color="5587A6"/>
              <w:bottom w:val="single" w:sz="8" w:color="5587A6"/>
            </w:tcBorders>
          </w:tcPr>
          <w:p>
            <w:pPr>
              <w:spacing w:after="0" w:line="20" w:lineRule="exact"/>
              <w:rPr>
                <w:sz w:val="1"/>
                <w:szCs w:val="1"/>
                <w:color w:val="auto"/>
              </w:rPr>
            </w:pPr>
          </w:p>
        </w:tc>
        <w:tc>
          <w:tcPr>
            <w:tcW w:w="45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620" w:type="dxa"/>
            <w:vAlign w:val="bottom"/>
            <w:tcBorders>
              <w:top w:val="single" w:sz="8" w:color="5587A6"/>
              <w:bottom w:val="single" w:sz="8" w:color="5587A6"/>
            </w:tcBorders>
          </w:tcPr>
          <w:p>
            <w:pPr>
              <w:spacing w:after="0" w:line="20" w:lineRule="exact"/>
              <w:rPr>
                <w:sz w:val="1"/>
                <w:szCs w:val="1"/>
                <w:color w:val="auto"/>
              </w:rPr>
            </w:pPr>
          </w:p>
        </w:tc>
        <w:tc>
          <w:tcPr>
            <w:tcW w:w="1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3"/>
        </w:trPr>
        <w:tc>
          <w:tcPr>
            <w:tcW w:w="4680" w:type="dxa"/>
            <w:vAlign w:val="bottom"/>
            <w:gridSpan w:val="3"/>
          </w:tcPr>
          <w:p>
            <w:pPr>
              <w:spacing w:after="0"/>
              <w:rPr>
                <w:sz w:val="20"/>
                <w:szCs w:val="20"/>
                <w:color w:val="auto"/>
              </w:rPr>
            </w:pPr>
            <w:r>
              <w:rPr>
                <w:rFonts w:ascii="Arial" w:cs="Arial" w:eastAsia="Arial" w:hAnsi="Arial"/>
                <w:sz w:val="11"/>
                <w:szCs w:val="11"/>
                <w:color w:val="auto"/>
              </w:rPr>
              <w:t>Average charged guaranty fee rate on multifamily guaranty book of business, at period end</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71.1 bps</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71.6 bps</w:t>
            </w:r>
          </w:p>
        </w:tc>
        <w:tc>
          <w:tcPr>
            <w:tcW w:w="1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(0.5) bps</w:t>
            </w: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74.1 bps</w:t>
            </w:r>
          </w:p>
        </w:tc>
        <w:tc>
          <w:tcPr>
            <w:tcW w:w="1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(3.0)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w:t>
            </w:r>
          </w:p>
        </w:tc>
      </w:tr>
      <w:tr>
        <w:trPr>
          <w:trHeight w:val="56"/>
        </w:trPr>
        <w:tc>
          <w:tcPr>
            <w:tcW w:w="100" w:type="dxa"/>
            <w:vAlign w:val="bottom"/>
          </w:tcPr>
          <w:p>
            <w:pPr>
              <w:spacing w:after="0"/>
              <w:rPr>
                <w:sz w:val="4"/>
                <w:szCs w:val="4"/>
                <w:color w:val="auto"/>
              </w:rPr>
            </w:pPr>
          </w:p>
        </w:tc>
        <w:tc>
          <w:tcPr>
            <w:tcW w:w="4580" w:type="dxa"/>
            <w:vAlign w:val="bottom"/>
            <w:tcBorders>
              <w:bottom w:val="single" w:sz="8" w:color="05314D"/>
            </w:tcBorders>
            <w:gridSpan w:val="2"/>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820" w:type="dxa"/>
            <w:vAlign w:val="bottom"/>
            <w:tcBorders>
              <w:bottom w:val="single" w:sz="8" w:color="05314D"/>
            </w:tcBorders>
          </w:tcPr>
          <w:p>
            <w:pPr>
              <w:spacing w:after="0"/>
              <w:rPr>
                <w:sz w:val="4"/>
                <w:szCs w:val="4"/>
                <w:color w:val="auto"/>
              </w:rPr>
            </w:pPr>
          </w:p>
        </w:tc>
        <w:tc>
          <w:tcPr>
            <w:tcW w:w="4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620" w:type="dxa"/>
            <w:vAlign w:val="bottom"/>
            <w:tcBorders>
              <w:bottom w:val="single" w:sz="8" w:color="05314D"/>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140"/>
        </w:trPr>
        <w:tc>
          <w:tcPr>
            <w:tcW w:w="100" w:type="dxa"/>
            <w:vAlign w:val="bottom"/>
          </w:tcPr>
          <w:p>
            <w:pPr>
              <w:spacing w:after="0"/>
              <w:rPr>
                <w:sz w:val="12"/>
                <w:szCs w:val="12"/>
                <w:color w:val="auto"/>
              </w:rPr>
            </w:pPr>
          </w:p>
        </w:tc>
        <w:tc>
          <w:tcPr>
            <w:tcW w:w="4580" w:type="dxa"/>
            <w:vAlign w:val="bottom"/>
            <w:gridSpan w:val="2"/>
          </w:tcPr>
          <w:p>
            <w:pPr>
              <w:ind w:left="20"/>
              <w:spacing w:after="0"/>
              <w:rPr>
                <w:sz w:val="20"/>
                <w:szCs w:val="20"/>
                <w:color w:val="auto"/>
              </w:rPr>
            </w:pPr>
            <w:r>
              <w:rPr>
                <w:rFonts w:ascii="Arial" w:cs="Arial" w:eastAsia="Arial" w:hAnsi="Arial"/>
                <w:sz w:val="11"/>
                <w:szCs w:val="11"/>
                <w:color w:val="auto"/>
              </w:rPr>
              <w:t>First Quarter 2026</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ectPr>
          <w:pgSz w:w="11900" w:h="16838" w:orient="portrait"/>
          <w:cols w:equalWidth="0" w:num="1">
            <w:col w:w="11300"/>
          </w:cols>
          <w:pgMar w:left="300" w:top="970" w:right="299" w:bottom="1440" w:gutter="0" w:footer="0" w:header="0"/>
        </w:sectPr>
      </w:pPr>
    </w:p>
    <w:bookmarkStart w:id="7" w:name="page8"/>
    <w:bookmarkEnd w:id="7"/>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Additional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-90805</wp:posOffset>
            </wp:positionV>
            <wp:extent cx="7155180"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31445"/>
                    </a:xfrm>
                    <a:prstGeom prst="rect">
                      <a:avLst/>
                    </a:prstGeom>
                    <a:noFill/>
                  </pic:spPr>
                </pic:pic>
              </a:graphicData>
            </a:graphic>
          </wp:anchor>
        </w:drawing>
      </w:r>
    </w:p>
    <w:p>
      <w:pPr>
        <w:spacing w:after="0" w:line="75" w:lineRule="exact"/>
        <w:rPr>
          <w:sz w:val="20"/>
          <w:szCs w:val="20"/>
          <w:color w:val="auto"/>
        </w:rPr>
      </w:pPr>
    </w:p>
    <w:p>
      <w:pPr>
        <w:spacing w:after="0" w:line="243" w:lineRule="auto"/>
        <w:rPr>
          <w:sz w:val="20"/>
          <w:szCs w:val="20"/>
          <w:color w:val="auto"/>
        </w:rPr>
      </w:pPr>
      <w:r>
        <w:rPr>
          <w:rFonts w:ascii="Arial" w:cs="Arial" w:eastAsia="Arial" w:hAnsi="Arial"/>
          <w:sz w:val="12"/>
          <w:szCs w:val="12"/>
          <w:color w:val="auto"/>
        </w:rPr>
        <w:t>Fannie Mae’s Condensed Consolidated Balance Sheets and Condensed Consolidated Statements of Operations and Comprehensive Income for the first quarter of 2026 are available in the accompanying Annex; however, investors and interested parties should read the company’s quarterly report on Form 10-Q for the quarter ended March 31, 2026 (“First Quarter 2026 Form 10-Q”), which was filed today with the Securities and Exchange Commission and is available on Fannie Mae’s website, www.fanniemae.com. The company provides further discussion of its financial results and condition, credit performance, and other matters in its First Quarter 2026 Form 10-Q. Additional information about the company’s financial and credit performance is contained in Fannie Mae’s “1Q 2026 Earnings Presentation” and “First Quarter 2026 Financial Supplement” at www.fanniemae.com.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2"/>
          <w:szCs w:val="12"/>
          <w:i w:val="1"/>
          <w:iCs w:val="1"/>
          <w:color w:val="auto"/>
        </w:rPr>
        <w:t>This release includes forward-looking statements regarding the company's future financial and mission performance and financial condition, as well as the company’s future plans, and their impact. Actual outcomes could be materially different from what is set forth in these forward-looking statements due to a variety of factors, including those described in “Forward-Looking Statements” in the company’s First Quarter 2026 Form 10-Q and in “Forward-Looking Statements,” “Risk Factors,” and elsewhere in the company’s annual report on Form 10-K for the year ended December 31, 2025.</w:t>
      </w:r>
    </w:p>
    <w:p>
      <w:pPr>
        <w:spacing w:after="0" w:line="131" w:lineRule="exact"/>
        <w:rPr>
          <w:sz w:val="20"/>
          <w:szCs w:val="20"/>
          <w:color w:val="auto"/>
        </w:rPr>
      </w:pPr>
    </w:p>
    <w:p>
      <w:pPr>
        <w:jc w:val="both"/>
        <w:ind w:right="500"/>
        <w:spacing w:after="0" w:line="250" w:lineRule="auto"/>
        <w:rPr>
          <w:sz w:val="20"/>
          <w:szCs w:val="20"/>
          <w:color w:val="auto"/>
        </w:rPr>
      </w:pPr>
      <w:r>
        <w:rPr>
          <w:rFonts w:ascii="Arial" w:cs="Arial" w:eastAsia="Arial" w:hAnsi="Arial"/>
          <w:sz w:val="12"/>
          <w:szCs w:val="12"/>
          <w:i w:val="1"/>
          <w:iCs w:val="1"/>
          <w:color w:val="auto"/>
        </w:rPr>
        <w:t>Fannie Mae provides website addresses in its news releases solely for readers’ information. Information contained on or accessible through our website is not incorporated into, and does not as a result of references to the company’s website form a part of, this release or any other report or document the company files with or furnishes to the Securities and Exchange Commission, and any references to the company’s website are intended to be inactive textual references only.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 learn more, visit fanniemae.com.</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Endnotes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 w:lineRule="exact"/>
        <w:rPr>
          <w:sz w:val="20"/>
          <w:szCs w:val="20"/>
          <w:color w:val="auto"/>
        </w:rPr>
      </w:pPr>
    </w:p>
    <w:p>
      <w:pPr>
        <w:spacing w:after="0"/>
        <w:tabs>
          <w:tab w:leader="none" w:pos="320" w:val="left"/>
        </w:tabs>
        <w:rPr>
          <w:sz w:val="20"/>
          <w:szCs w:val="20"/>
          <w:color w:val="auto"/>
        </w:rPr>
      </w:pPr>
      <w:r>
        <w:rPr>
          <w:rFonts w:ascii="Arial" w:cs="Arial" w:eastAsia="Arial" w:hAnsi="Arial"/>
          <w:sz w:val="10"/>
          <w:szCs w:val="10"/>
          <w:color w:val="auto"/>
        </w:rPr>
        <w:t>NM</w:t>
      </w:r>
      <w:r>
        <w:rPr>
          <w:sz w:val="20"/>
          <w:szCs w:val="20"/>
          <w:color w:val="auto"/>
        </w:rPr>
        <w:tab/>
      </w:r>
      <w:r>
        <w:rPr>
          <w:rFonts w:ascii="Arial" w:cs="Arial" w:eastAsia="Arial" w:hAnsi="Arial"/>
          <w:sz w:val="10"/>
          <w:szCs w:val="10"/>
          <w:color w:val="auto"/>
        </w:rPr>
        <w:t>Not meaningful</w:t>
      </w:r>
    </w:p>
    <w:p>
      <w:pPr>
        <w:spacing w:after="0" w:line="47" w:lineRule="exact"/>
        <w:rPr>
          <w:sz w:val="20"/>
          <w:szCs w:val="20"/>
          <w:color w:val="auto"/>
        </w:rPr>
      </w:pPr>
    </w:p>
    <w:p>
      <w:pPr>
        <w:ind w:left="340" w:hanging="336"/>
        <w:spacing w:after="0"/>
        <w:tabs>
          <w:tab w:leader="none" w:pos="34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Represents less than 0.5%</w:t>
      </w:r>
    </w:p>
    <w:p>
      <w:pPr>
        <w:spacing w:after="0" w:line="38" w:lineRule="exact"/>
        <w:rPr>
          <w:sz w:val="20"/>
          <w:szCs w:val="2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As presented in our Form 10-Q, net revenues consists of net interest income, and fee and other income.</w:t>
      </w:r>
    </w:p>
    <w:p>
      <w:pPr>
        <w:spacing w:after="0" w:line="29" w:lineRule="exact"/>
        <w:rPr>
          <w:rFonts w:ascii="Arial" w:cs="Arial" w:eastAsia="Arial" w:hAnsi="Arial"/>
          <w:sz w:val="10"/>
          <w:szCs w:val="10"/>
          <w:color w:val="auto"/>
        </w:rPr>
      </w:pPr>
    </w:p>
    <w:p>
      <w:pPr>
        <w:ind w:left="340" w:right="80" w:hanging="336"/>
        <w:spacing w:after="0" w:line="275" w:lineRule="auto"/>
        <w:tabs>
          <w:tab w:leader="none" w:pos="340" w:val="left"/>
        </w:tabs>
        <w:numPr>
          <w:ilvl w:val="0"/>
          <w:numId w:val="7"/>
        </w:numPr>
        <w:rPr>
          <w:rFonts w:ascii="Arial" w:cs="Arial" w:eastAsia="Arial" w:hAnsi="Arial"/>
          <w:sz w:val="8"/>
          <w:szCs w:val="8"/>
          <w:color w:val="auto"/>
        </w:rPr>
      </w:pPr>
      <w:r>
        <w:rPr>
          <w:rFonts w:ascii="Arial" w:cs="Arial" w:eastAsia="Arial" w:hAnsi="Arial"/>
          <w:sz w:val="8"/>
          <w:szCs w:val="8"/>
          <w:color w:val="auto"/>
        </w:rPr>
        <w:t>Illustrative return on average required Common Equity Tier 1 (CET1) is designed to show what our return on capital would have been if our actual CET1 available capital had been equal to the CET1 capital requirement for the applicable periods. CET1 requirement as presented represents the company's average CET1 capital requirement including prescribed capital conservation buffer amount under the enterprise regulatory capital framework (which is not currently in effect while the company is in conservatorship) for the period as described below and not the amount of the company's actual available CET1 capital. As of March 31, 2026, the company's actual available CET1 capital was a deficit of $37 billion. For each applicable period, the illustrative return on average required CET1 ratio is calculated based on annualized year-to-date net income for the period divided by the average CET1 capital requirement for each quarter to date during the applicable year plus the fourth quarter of the previous year.</w:t>
      </w:r>
    </w:p>
    <w:p>
      <w:pPr>
        <w:spacing w:after="0" w:line="10" w:lineRule="exact"/>
        <w:rPr>
          <w:rFonts w:ascii="Arial" w:cs="Arial" w:eastAsia="Arial" w:hAnsi="Arial"/>
          <w:sz w:val="8"/>
          <w:szCs w:val="8"/>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Administrative expense ratio is calculated as administrative expenses divided by net revenues during the period. Administrative expenses consist of salaries and employee benefits and professional services, technology and occupancy expenses.</w:t>
      </w:r>
    </w:p>
    <w:p>
      <w:pPr>
        <w:spacing w:after="0" w:line="9" w:lineRule="exact"/>
        <w:rPr>
          <w:rFonts w:ascii="Arial" w:cs="Arial" w:eastAsia="Arial" w:hAnsi="Arial"/>
          <w:sz w:val="10"/>
          <w:szCs w:val="10"/>
          <w:color w:val="auto"/>
        </w:rPr>
      </w:pPr>
    </w:p>
    <w:p>
      <w:pPr>
        <w:ind w:left="340" w:hanging="336"/>
        <w:spacing w:after="0" w:line="19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Consists of salaries and employee benefits and professional services, technology and occupancy expenses.</w:t>
      </w:r>
    </w:p>
    <w:p>
      <w:pPr>
        <w:spacing w:after="0" w:line="63" w:lineRule="exact"/>
        <w:rPr>
          <w:rFonts w:ascii="Arial" w:cs="Arial" w:eastAsia="Arial" w:hAnsi="Arial"/>
          <w:sz w:val="19"/>
          <w:szCs w:val="19"/>
          <w:color w:val="auto"/>
          <w:vertAlign w:val="superscript"/>
        </w:rPr>
      </w:pPr>
    </w:p>
    <w:p>
      <w:pPr>
        <w:ind w:left="340" w:right="560" w:hanging="336"/>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For single-family, consists of the portion of our single-family guaranty fees that is paid to Treasury pursuant to the TCCA, affordable housing allocations and FHFA assessments. For multifamily, consists of affordable housing allocations and FHFA assessments.</w:t>
      </w:r>
    </w:p>
    <w:p>
      <w:pPr>
        <w:spacing w:after="0" w:line="78" w:lineRule="exact"/>
        <w:rPr>
          <w:rFonts w:ascii="Arial" w:cs="Arial" w:eastAsia="Arial" w:hAnsi="Arial"/>
          <w:sz w:val="18"/>
          <w:szCs w:val="18"/>
          <w:color w:val="auto"/>
          <w:vertAlign w:val="superscript"/>
        </w:rPr>
      </w:pPr>
    </w:p>
    <w:p>
      <w:pPr>
        <w:ind w:left="340" w:right="20" w:hanging="336"/>
        <w:spacing w:after="0" w:line="18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Consists of costs associated with freestanding credit enhancements, which primarily include the company’s Connecticut Avenue Securities® (“CAS”) and Credit Insurance Risk Transfer</w:t>
      </w:r>
      <w:r>
        <w:rPr>
          <w:rFonts w:ascii="Arial" w:cs="Arial" w:eastAsia="Arial" w:hAnsi="Arial"/>
          <w:sz w:val="11"/>
          <w:szCs w:val="11"/>
          <w:color w:val="auto"/>
          <w:vertAlign w:val="superscript"/>
        </w:rPr>
        <w:t>TM</w:t>
      </w:r>
      <w:r>
        <w:rPr>
          <w:rFonts w:ascii="Arial" w:cs="Arial" w:eastAsia="Arial" w:hAnsi="Arial"/>
          <w:sz w:val="9"/>
          <w:szCs w:val="9"/>
          <w:color w:val="auto"/>
        </w:rPr>
        <w:t xml:space="preserve"> programs, enterprise-paid mortgage insurance, and certain lender risk-sharing programs.</w:t>
      </w:r>
    </w:p>
    <w:p>
      <w:pPr>
        <w:ind w:left="340" w:hanging="336"/>
        <w:spacing w:after="0" w:line="19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Primarily consists of foreclosed property income (expense), change in the expected benefits from our freestanding credit enhancements, and gains (losses) from partnership investments.</w:t>
      </w:r>
    </w:p>
    <w:p>
      <w:pPr>
        <w:spacing w:after="0" w:line="36" w:lineRule="exact"/>
        <w:rPr>
          <w:rFonts w:ascii="Arial" w:cs="Arial" w:eastAsia="Arial" w:hAnsi="Arial"/>
          <w:sz w:val="19"/>
          <w:szCs w:val="19"/>
          <w:color w:val="auto"/>
          <w:vertAlign w:val="superscript"/>
        </w:rPr>
      </w:pPr>
    </w:p>
    <w:p>
      <w:pPr>
        <w:ind w:left="340" w:right="40" w:hanging="336"/>
        <w:spacing w:after="0" w:line="234"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Single-family seriously delinquent loans are loans that are 90 days or more past due or in the foreclosure process. Our single-family serious delinquency rate is expressed as a percentage of our single-family conventional guaranty book of business based on loan count.</w:t>
      </w:r>
    </w:p>
    <w:p>
      <w:pPr>
        <w:spacing w:after="0" w:line="28"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Multifamily serious delinquency rate consists of multifamily loans that were 60 days or more past due based on unpaid principal balance, expressed as a percentage of our multifamily guaranty book of business.</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Investor Contact: </w:t>
      </w:r>
      <w:r>
        <w:rPr>
          <w:rFonts w:ascii="Arial" w:cs="Arial" w:eastAsia="Arial" w:hAnsi="Arial"/>
          <w:sz w:val="12"/>
          <w:szCs w:val="12"/>
          <w:color w:val="000000"/>
        </w:rPr>
        <w:t>Yasaman Hekmat (yasaman_hekmat@fanniemae.com)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Media Contact: </w:t>
      </w:r>
      <w:r>
        <w:rPr>
          <w:rFonts w:ascii="Arial" w:cs="Arial" w:eastAsia="Arial" w:hAnsi="Arial"/>
          <w:sz w:val="12"/>
          <w:szCs w:val="12"/>
          <w:color w:val="000000"/>
        </w:rPr>
        <w:t>Matthew Classick (matthew_t_classick@fanniemae.com)</w:t>
      </w:r>
      <w:r>
        <w:rPr>
          <w:rFonts w:ascii="Arial" w:cs="Arial" w:eastAsia="Arial" w:hAnsi="Arial"/>
          <w:sz w:val="9"/>
          <w:szCs w:val="9"/>
          <w:color w:val="000000"/>
        </w:rPr>
        <w:t>.</w:t>
      </w:r>
    </w:p>
    <w:tbl>
      <w:tblPr>
        <w:tblLayout w:type="fixed"/>
        <w:tblInd w:w="100" w:type="dxa"/>
        <w:tblCellMar>
          <w:top w:w="0" w:type="dxa"/>
          <w:left w:w="0" w:type="dxa"/>
          <w:bottom w:w="0" w:type="dxa"/>
          <w:right w:w="0" w:type="dxa"/>
        </w:tblCellMar>
      </w:tblPr>
      <w:tr>
        <w:trPr>
          <w:trHeight w:val="142"/>
        </w:trPr>
        <w:tc>
          <w:tcPr>
            <w:tcW w:w="5460" w:type="dxa"/>
            <w:vAlign w:val="bottom"/>
            <w:tcBorders>
              <w:top w:val="single" w:sz="8" w:color="05314D"/>
            </w:tcBorders>
          </w:tcPr>
          <w:p>
            <w:pPr>
              <w:ind w:left="20"/>
              <w:spacing w:after="0"/>
              <w:rPr>
                <w:sz w:val="20"/>
                <w:szCs w:val="20"/>
                <w:color w:val="auto"/>
              </w:rPr>
            </w:pPr>
            <w:r>
              <w:rPr>
                <w:rFonts w:ascii="Arial" w:cs="Arial" w:eastAsia="Arial" w:hAnsi="Arial"/>
                <w:sz w:val="11"/>
                <w:szCs w:val="11"/>
                <w:color w:val="auto"/>
              </w:rPr>
              <w:t>First Quarter 2026</w:t>
            </w:r>
          </w:p>
        </w:tc>
        <w:tc>
          <w:tcPr>
            <w:tcW w:w="46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5</w:t>
            </w:r>
          </w:p>
        </w:tc>
      </w:tr>
    </w:tbl>
    <w:p>
      <w:pPr>
        <w:sectPr>
          <w:pgSz w:w="11900" w:h="16838" w:orient="portrait"/>
          <w:cols w:equalWidth="0" w:num="1">
            <w:col w:w="11280"/>
          </w:cols>
          <w:pgMar w:left="300" w:top="1214"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ANNEX</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5314D"/>
        </w:rPr>
        <w:t>FANNIE MAE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Condensed Consolidated Statements of Operations and Comprehensive Income — (Unaudited)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and shares in millions, except per share amounts)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131"/>
        </w:trPr>
        <w:tc>
          <w:tcPr>
            <w:tcW w:w="8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7"/>
          </w:tcPr>
          <w:p>
            <w:pPr>
              <w:jc w:val="right"/>
              <w:ind w:right="292"/>
              <w:spacing w:after="0"/>
              <w:rPr>
                <w:sz w:val="20"/>
                <w:szCs w:val="20"/>
                <w:color w:val="auto"/>
              </w:rPr>
            </w:pPr>
            <w:r>
              <w:rPr>
                <w:rFonts w:ascii="Arial" w:cs="Arial" w:eastAsia="Arial" w:hAnsi="Arial"/>
                <w:sz w:val="10"/>
                <w:szCs w:val="10"/>
                <w:b w:val="1"/>
                <w:bCs w:val="1"/>
                <w:color w:val="auto"/>
              </w:rPr>
              <w:t>For the Three Months Ended March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8360" w:type="dxa"/>
            <w:vAlign w:val="bottom"/>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680" w:type="dxa"/>
            <w:vAlign w:val="bottom"/>
            <w:tcBorders>
              <w:bottom w:val="single" w:sz="8" w:color="5587A6"/>
            </w:tcBorders>
          </w:tcPr>
          <w:p>
            <w:pPr>
              <w:spacing w:after="0"/>
              <w:rPr>
                <w:sz w:val="4"/>
                <w:szCs w:val="4"/>
                <w:color w:val="auto"/>
              </w:rPr>
            </w:pPr>
          </w:p>
        </w:tc>
        <w:tc>
          <w:tcPr>
            <w:tcW w:w="42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240" w:type="dxa"/>
            <w:vAlign w:val="bottom"/>
            <w:tcBorders>
              <w:bottom w:val="single" w:sz="8" w:color="5587A6"/>
            </w:tcBorders>
          </w:tcPr>
          <w:p>
            <w:pPr>
              <w:spacing w:after="0"/>
              <w:rPr>
                <w:sz w:val="4"/>
                <w:szCs w:val="4"/>
                <w:color w:val="auto"/>
              </w:rPr>
            </w:pPr>
          </w:p>
        </w:tc>
        <w:tc>
          <w:tcPr>
            <w:tcW w:w="86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836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68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2026</w:t>
            </w:r>
          </w:p>
        </w:tc>
        <w:tc>
          <w:tcPr>
            <w:tcW w:w="420" w:type="dxa"/>
            <w:vAlign w:val="bottom"/>
            <w:tcBorders>
              <w:bottom w:val="single" w:sz="8" w:color="5587A6"/>
            </w:tcBorders>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60" w:type="dxa"/>
            <w:vAlign w:val="bottom"/>
            <w:tcBorders>
              <w:bottom w:val="single" w:sz="8" w:color="5587A6"/>
            </w:tcBorders>
          </w:tcPr>
          <w:p>
            <w:pPr>
              <w:jc w:val="right"/>
              <w:ind w:right="39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5587A6"/>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360" w:type="dxa"/>
            <w:vAlign w:val="bottom"/>
          </w:tcPr>
          <w:p>
            <w:pPr>
              <w:spacing w:after="0" w:line="110" w:lineRule="exact"/>
              <w:rPr>
                <w:sz w:val="20"/>
                <w:szCs w:val="20"/>
                <w:color w:val="auto"/>
              </w:rPr>
            </w:pPr>
            <w:r>
              <w:rPr>
                <w:rFonts w:ascii="Arial" w:cs="Arial" w:eastAsia="Arial" w:hAnsi="Arial"/>
                <w:sz w:val="10"/>
                <w:szCs w:val="10"/>
                <w:color w:val="auto"/>
              </w:rPr>
              <w:t>Interest income:</w:t>
            </w:r>
          </w:p>
        </w:tc>
        <w:tc>
          <w:tcPr>
            <w:tcW w:w="80" w:type="dxa"/>
            <w:vAlign w:val="bottom"/>
          </w:tcPr>
          <w:p>
            <w:pPr>
              <w:spacing w:after="0"/>
              <w:rPr>
                <w:sz w:val="9"/>
                <w:szCs w:val="9"/>
                <w:color w:val="auto"/>
              </w:rPr>
            </w:pPr>
          </w:p>
        </w:tc>
        <w:tc>
          <w:tcPr>
            <w:tcW w:w="680" w:type="dxa"/>
            <w:vAlign w:val="bottom"/>
            <w:vMerge w:val="restart"/>
          </w:tcPr>
          <w:p>
            <w:pPr>
              <w:jc w:val="right"/>
              <w:ind w:right="572"/>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38,905</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Mortgage loans</w:t>
            </w:r>
          </w:p>
        </w:tc>
        <w:tc>
          <w:tcPr>
            <w:tcW w:w="6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37,399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Securities purchased under agreements to resell</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630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Investments in securities and other</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687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36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Total interest income</w:t>
            </w:r>
          </w:p>
        </w:tc>
        <w:tc>
          <w:tcPr>
            <w:tcW w:w="80" w:type="dxa"/>
            <w:vAlign w:val="bottom"/>
          </w:tcPr>
          <w:p>
            <w:pPr>
              <w:spacing w:after="0"/>
              <w:rPr>
                <w:sz w:val="10"/>
                <w:szCs w:val="10"/>
                <w:color w:val="auto"/>
              </w:rPr>
            </w:pPr>
          </w:p>
        </w:tc>
        <w:tc>
          <w:tcPr>
            <w:tcW w:w="680" w:type="dxa"/>
            <w:vAlign w:val="bottom"/>
            <w:tcBorders>
              <w:bottom w:val="single" w:sz="8" w:color="5587A6"/>
            </w:tcBorders>
          </w:tcPr>
          <w:p>
            <w:pPr>
              <w:spacing w:after="0"/>
              <w:rPr>
                <w:sz w:val="10"/>
                <w:szCs w:val="10"/>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40,222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39,016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8440" w:type="dxa"/>
            <w:vAlign w:val="bottom"/>
            <w:gridSpan w:val="2"/>
          </w:tcPr>
          <w:p>
            <w:pPr>
              <w:spacing w:after="0"/>
              <w:rPr>
                <w:sz w:val="20"/>
                <w:szCs w:val="20"/>
                <w:color w:val="auto"/>
              </w:rPr>
            </w:pPr>
            <w:r>
              <w:rPr>
                <w:rFonts w:ascii="Arial" w:cs="Arial" w:eastAsia="Arial" w:hAnsi="Arial"/>
                <w:sz w:val="10"/>
                <w:szCs w:val="10"/>
                <w:color w:val="auto"/>
              </w:rPr>
              <w:t>Interest expense:</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Short-term debt</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(194)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Long-term debt</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(32,830)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(31,910)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36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Total interest expense</w:t>
            </w:r>
          </w:p>
        </w:tc>
        <w:tc>
          <w:tcPr>
            <w:tcW w:w="80" w:type="dxa"/>
            <w:vAlign w:val="bottom"/>
          </w:tcPr>
          <w:p>
            <w:pPr>
              <w:spacing w:after="0"/>
              <w:rPr>
                <w:sz w:val="10"/>
                <w:szCs w:val="10"/>
                <w:color w:val="auto"/>
              </w:rPr>
            </w:pPr>
          </w:p>
        </w:tc>
        <w:tc>
          <w:tcPr>
            <w:tcW w:w="680" w:type="dxa"/>
            <w:vAlign w:val="bottom"/>
            <w:tcBorders>
              <w:bottom w:val="single" w:sz="8" w:color="5587A6"/>
            </w:tcBorders>
          </w:tcPr>
          <w:p>
            <w:pPr>
              <w:spacing w:after="0"/>
              <w:rPr>
                <w:sz w:val="10"/>
                <w:szCs w:val="10"/>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(33,024)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(32,015)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36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Net interest income</w:t>
            </w:r>
          </w:p>
        </w:tc>
        <w:tc>
          <w:tcPr>
            <w:tcW w:w="80" w:type="dxa"/>
            <w:vAlign w:val="bottom"/>
          </w:tcPr>
          <w:p>
            <w:pPr>
              <w:spacing w:after="0"/>
              <w:rPr>
                <w:sz w:val="10"/>
                <w:szCs w:val="10"/>
                <w:color w:val="auto"/>
              </w:rPr>
            </w:pPr>
          </w:p>
        </w:tc>
        <w:tc>
          <w:tcPr>
            <w:tcW w:w="680" w:type="dxa"/>
            <w:vAlign w:val="bottom"/>
            <w:tcBorders>
              <w:bottom w:val="single" w:sz="8" w:color="5587A6"/>
            </w:tcBorders>
          </w:tcPr>
          <w:p>
            <w:pPr>
              <w:spacing w:after="0"/>
              <w:rPr>
                <w:sz w:val="10"/>
                <w:szCs w:val="10"/>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7,198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7,001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440" w:type="dxa"/>
            <w:vAlign w:val="bottom"/>
            <w:gridSpan w:val="2"/>
          </w:tcPr>
          <w:p>
            <w:pPr>
              <w:spacing w:after="0"/>
              <w:rPr>
                <w:sz w:val="20"/>
                <w:szCs w:val="20"/>
                <w:color w:val="auto"/>
              </w:rPr>
            </w:pPr>
            <w:r>
              <w:rPr>
                <w:rFonts w:ascii="Arial" w:cs="Arial" w:eastAsia="Arial" w:hAnsi="Arial"/>
                <w:sz w:val="10"/>
                <w:szCs w:val="10"/>
                <w:color w:val="auto"/>
              </w:rPr>
              <w:t>Fair value gains (losses), net</w:t>
            </w:r>
          </w:p>
        </w:tc>
        <w:tc>
          <w:tcPr>
            <w:tcW w:w="6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121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123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20"/>
              <w:spacing w:after="0"/>
              <w:rPr>
                <w:sz w:val="20"/>
                <w:szCs w:val="20"/>
                <w:color w:val="auto"/>
              </w:rPr>
            </w:pPr>
            <w:r>
              <w:rPr>
                <w:rFonts w:ascii="Arial" w:cs="Arial" w:eastAsia="Arial" w:hAnsi="Arial"/>
                <w:sz w:val="10"/>
                <w:szCs w:val="10"/>
                <w:color w:val="auto"/>
              </w:rPr>
              <w:t>Fee and other income</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82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Investment gains (losses), net</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36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Non-interest income</w:t>
            </w:r>
          </w:p>
        </w:tc>
        <w:tc>
          <w:tcPr>
            <w:tcW w:w="80" w:type="dxa"/>
            <w:vAlign w:val="bottom"/>
          </w:tcPr>
          <w:p>
            <w:pPr>
              <w:spacing w:after="0"/>
              <w:rPr>
                <w:sz w:val="10"/>
                <w:szCs w:val="10"/>
                <w:color w:val="auto"/>
              </w:rPr>
            </w:pPr>
          </w:p>
        </w:tc>
        <w:tc>
          <w:tcPr>
            <w:tcW w:w="680" w:type="dxa"/>
            <w:vAlign w:val="bottom"/>
            <w:tcBorders>
              <w:bottom w:val="single" w:sz="8" w:color="5587A6"/>
            </w:tcBorders>
          </w:tcPr>
          <w:p>
            <w:pPr>
              <w:spacing w:after="0"/>
              <w:rPr>
                <w:sz w:val="10"/>
                <w:szCs w:val="10"/>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440" w:type="dxa"/>
            <w:vAlign w:val="bottom"/>
            <w:gridSpan w:val="2"/>
          </w:tcPr>
          <w:p>
            <w:pPr>
              <w:spacing w:after="0"/>
              <w:rPr>
                <w:sz w:val="20"/>
                <w:szCs w:val="20"/>
                <w:color w:val="auto"/>
              </w:rPr>
            </w:pPr>
            <w:r>
              <w:rPr>
                <w:rFonts w:ascii="Arial" w:cs="Arial" w:eastAsia="Arial" w:hAnsi="Arial"/>
                <w:sz w:val="10"/>
                <w:szCs w:val="10"/>
                <w:color w:val="auto"/>
              </w:rPr>
              <w:t>(Provision) benefit for credit losses</w:t>
            </w:r>
          </w:p>
        </w:tc>
        <w:tc>
          <w:tcPr>
            <w:tcW w:w="6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(277)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440" w:type="dxa"/>
            <w:vAlign w:val="bottom"/>
            <w:gridSpan w:val="2"/>
          </w:tcPr>
          <w:p>
            <w:pPr>
              <w:spacing w:after="0"/>
              <w:rPr>
                <w:sz w:val="20"/>
                <w:szCs w:val="20"/>
                <w:color w:val="auto"/>
              </w:rPr>
            </w:pPr>
            <w:r>
              <w:rPr>
                <w:rFonts w:ascii="Arial" w:cs="Arial" w:eastAsia="Arial" w:hAnsi="Arial"/>
                <w:sz w:val="10"/>
                <w:szCs w:val="10"/>
                <w:color w:val="auto"/>
              </w:rPr>
              <w:t>Non-interest expense:</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Salaries and employee benefits</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(463)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Professional services, technology, and occupancy</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(282)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Legislative assessments</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(931)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120"/>
              <w:spacing w:after="0"/>
              <w:rPr>
                <w:sz w:val="20"/>
                <w:szCs w:val="20"/>
                <w:color w:val="auto"/>
              </w:rPr>
            </w:pPr>
            <w:r>
              <w:rPr>
                <w:rFonts w:ascii="Arial" w:cs="Arial" w:eastAsia="Arial" w:hAnsi="Arial"/>
                <w:sz w:val="10"/>
                <w:szCs w:val="10"/>
                <w:color w:val="auto"/>
              </w:rPr>
              <w:t>Credit enhancement expense</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(358)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(479)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income (expense), net</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36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Total non-interest expense</w:t>
            </w:r>
          </w:p>
        </w:tc>
        <w:tc>
          <w:tcPr>
            <w:tcW w:w="80" w:type="dxa"/>
            <w:vAlign w:val="bottom"/>
          </w:tcPr>
          <w:p>
            <w:pPr>
              <w:spacing w:after="0"/>
              <w:rPr>
                <w:sz w:val="10"/>
                <w:szCs w:val="10"/>
                <w:color w:val="auto"/>
              </w:rPr>
            </w:pPr>
          </w:p>
        </w:tc>
        <w:tc>
          <w:tcPr>
            <w:tcW w:w="680" w:type="dxa"/>
            <w:vAlign w:val="bottom"/>
            <w:tcBorders>
              <w:bottom w:val="single" w:sz="8" w:color="5587A6"/>
            </w:tcBorders>
          </w:tcPr>
          <w:p>
            <w:pPr>
              <w:spacing w:after="0"/>
              <w:rPr>
                <w:sz w:val="10"/>
                <w:szCs w:val="10"/>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(2,183)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5587A6"/>
            </w:tcBorders>
          </w:tcPr>
          <w:p>
            <w:pPr>
              <w:spacing w:after="0"/>
              <w:rPr>
                <w:sz w:val="10"/>
                <w:szCs w:val="10"/>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(2,599)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440" w:type="dxa"/>
            <w:vAlign w:val="bottom"/>
            <w:gridSpan w:val="2"/>
          </w:tcPr>
          <w:p>
            <w:pPr>
              <w:spacing w:after="0"/>
              <w:rPr>
                <w:sz w:val="20"/>
                <w:szCs w:val="20"/>
                <w:color w:val="auto"/>
              </w:rPr>
            </w:pPr>
            <w:r>
              <w:rPr>
                <w:rFonts w:ascii="Arial" w:cs="Arial" w:eastAsia="Arial" w:hAnsi="Arial"/>
                <w:sz w:val="10"/>
                <w:szCs w:val="10"/>
                <w:color w:val="auto"/>
              </w:rPr>
              <w:t>Income before federal income taxes</w:t>
            </w:r>
          </w:p>
        </w:tc>
        <w:tc>
          <w:tcPr>
            <w:tcW w:w="6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4,664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4,584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Provision for federal income taxes</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84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6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3,720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3,661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Other comprehensive income (loss)</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36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Total comprehensive income</w:t>
            </w:r>
          </w:p>
        </w:tc>
        <w:tc>
          <w:tcPr>
            <w:tcW w:w="80" w:type="dxa"/>
            <w:vAlign w:val="bottom"/>
          </w:tcPr>
          <w:p>
            <w:pPr>
              <w:spacing w:after="0"/>
              <w:rPr>
                <w:sz w:val="10"/>
                <w:szCs w:val="10"/>
                <w:color w:val="auto"/>
              </w:rPr>
            </w:pPr>
          </w:p>
        </w:tc>
        <w:tc>
          <w:tcPr>
            <w:tcW w:w="680" w:type="dxa"/>
            <w:vAlign w:val="bottom"/>
            <w:tcBorders>
              <w:bottom w:val="single" w:sz="8" w:color="5587A6"/>
            </w:tcBorders>
          </w:tcPr>
          <w:p>
            <w:pPr>
              <w:jc w:val="right"/>
              <w:ind w:right="57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3,655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5587A6"/>
            </w:tcBorders>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3,655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36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5587A6"/>
            </w:tcBorders>
          </w:tcPr>
          <w:p>
            <w:pPr>
              <w:spacing w:after="0" w:line="20" w:lineRule="exact"/>
              <w:rPr>
                <w:sz w:val="1"/>
                <w:szCs w:val="1"/>
                <w:color w:val="auto"/>
              </w:rPr>
            </w:pPr>
          </w:p>
        </w:tc>
        <w:tc>
          <w:tcPr>
            <w:tcW w:w="42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5587A6"/>
            </w:tcBorders>
          </w:tcPr>
          <w:p>
            <w:pPr>
              <w:spacing w:after="0" w:line="20" w:lineRule="exact"/>
              <w:rPr>
                <w:sz w:val="1"/>
                <w:szCs w:val="1"/>
                <w:color w:val="auto"/>
              </w:rPr>
            </w:pPr>
          </w:p>
        </w:tc>
        <w:tc>
          <w:tcPr>
            <w:tcW w:w="86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440" w:type="dxa"/>
            <w:vAlign w:val="bottom"/>
            <w:gridSpan w:val="2"/>
          </w:tcPr>
          <w:p>
            <w:pPr>
              <w:spacing w:after="0" w:line="110" w:lineRule="exact"/>
              <w:rPr>
                <w:sz w:val="20"/>
                <w:szCs w:val="20"/>
                <w:color w:val="auto"/>
              </w:rPr>
            </w:pPr>
            <w:r>
              <w:rPr>
                <w:rFonts w:ascii="Arial" w:cs="Arial" w:eastAsia="Arial" w:hAnsi="Arial"/>
                <w:sz w:val="10"/>
                <w:szCs w:val="10"/>
                <w:color w:val="auto"/>
              </w:rPr>
              <w:t>Net income</w:t>
            </w:r>
          </w:p>
        </w:tc>
        <w:tc>
          <w:tcPr>
            <w:tcW w:w="680" w:type="dxa"/>
            <w:vAlign w:val="bottom"/>
          </w:tcPr>
          <w:p>
            <w:pPr>
              <w:jc w:val="right"/>
              <w:ind w:right="572"/>
              <w:spacing w:after="0" w:line="110" w:lineRule="exact"/>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3,720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jc w:val="right"/>
              <w:ind w:right="132"/>
              <w:spacing w:after="0" w:line="110" w:lineRule="exact"/>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10" w:lineRule="exact"/>
              <w:rPr>
                <w:sz w:val="20"/>
                <w:szCs w:val="20"/>
                <w:color w:val="auto"/>
              </w:rPr>
            </w:pPr>
            <w:r>
              <w:rPr>
                <w:rFonts w:ascii="Arial" w:cs="Arial" w:eastAsia="Arial" w:hAnsi="Arial"/>
                <w:sz w:val="10"/>
                <w:szCs w:val="10"/>
                <w:color w:val="auto"/>
              </w:rPr>
              <w:t>3,661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8360" w:type="dxa"/>
            <w:vAlign w:val="bottom"/>
            <w:tcBorders>
              <w:bottom w:val="single" w:sz="8" w:color="5587A6"/>
            </w:tcBorders>
          </w:tcPr>
          <w:p>
            <w:pPr>
              <w:spacing w:after="0"/>
              <w:rPr>
                <w:sz w:val="20"/>
                <w:szCs w:val="20"/>
                <w:color w:val="auto"/>
              </w:rPr>
            </w:pPr>
            <w:r>
              <w:rPr>
                <w:rFonts w:ascii="Arial" w:cs="Arial" w:eastAsia="Arial" w:hAnsi="Arial"/>
                <w:sz w:val="10"/>
                <w:szCs w:val="10"/>
                <w:color w:val="auto"/>
              </w:rPr>
              <w:t>Dividends distributed or amounts attributable to senior preferred stock</w:t>
            </w:r>
          </w:p>
        </w:tc>
        <w:tc>
          <w:tcPr>
            <w:tcW w:w="80" w:type="dxa"/>
            <w:vAlign w:val="bottom"/>
          </w:tcPr>
          <w:p>
            <w:pPr>
              <w:spacing w:after="0"/>
              <w:rPr>
                <w:sz w:val="11"/>
                <w:szCs w:val="11"/>
                <w:color w:val="auto"/>
              </w:rPr>
            </w:pPr>
          </w:p>
        </w:tc>
        <w:tc>
          <w:tcPr>
            <w:tcW w:w="680" w:type="dxa"/>
            <w:vAlign w:val="bottom"/>
            <w:tcBorders>
              <w:bottom w:val="single" w:sz="8" w:color="5587A6"/>
            </w:tcBorders>
          </w:tcPr>
          <w:p>
            <w:pPr>
              <w:spacing w:after="0"/>
              <w:rPr>
                <w:sz w:val="11"/>
                <w:szCs w:val="11"/>
                <w:color w:val="auto"/>
              </w:rPr>
            </w:pPr>
          </w:p>
        </w:tc>
        <w:tc>
          <w:tcPr>
            <w:tcW w:w="4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(3,655)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5587A6"/>
            </w:tcBorders>
          </w:tcPr>
          <w:p>
            <w:pPr>
              <w:spacing w:after="0"/>
              <w:rPr>
                <w:sz w:val="11"/>
                <w:szCs w:val="11"/>
                <w:color w:val="auto"/>
              </w:rPr>
            </w:pPr>
          </w:p>
        </w:tc>
        <w:tc>
          <w:tcPr>
            <w:tcW w:w="86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(3,655)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440" w:type="dxa"/>
            <w:vAlign w:val="bottom"/>
            <w:gridSpan w:val="2"/>
          </w:tcPr>
          <w:p>
            <w:pPr>
              <w:spacing w:after="0"/>
              <w:rPr>
                <w:sz w:val="20"/>
                <w:szCs w:val="20"/>
                <w:color w:val="auto"/>
              </w:rPr>
            </w:pPr>
            <w:r>
              <w:rPr>
                <w:rFonts w:ascii="Arial" w:cs="Arial" w:eastAsia="Arial" w:hAnsi="Arial"/>
                <w:sz w:val="10"/>
                <w:szCs w:val="10"/>
                <w:color w:val="auto"/>
              </w:rPr>
              <w:t>Net income (loss) attributable to common stockholders</w:t>
            </w:r>
          </w:p>
        </w:tc>
        <w:tc>
          <w:tcPr>
            <w:tcW w:w="680" w:type="dxa"/>
            <w:vAlign w:val="bottom"/>
          </w:tcPr>
          <w:p>
            <w:pPr>
              <w:jc w:val="right"/>
              <w:ind w:right="57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65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5587A6"/>
              <w:bottom w:val="single" w:sz="8" w:color="5587A6"/>
            </w:tcBorders>
          </w:tcPr>
          <w:p>
            <w:pPr>
              <w:spacing w:after="0" w:line="20" w:lineRule="exact"/>
              <w:rPr>
                <w:sz w:val="1"/>
                <w:szCs w:val="1"/>
                <w:color w:val="auto"/>
              </w:rPr>
            </w:pPr>
          </w:p>
        </w:tc>
        <w:tc>
          <w:tcPr>
            <w:tcW w:w="4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5587A6"/>
              <w:bottom w:val="single" w:sz="8" w:color="5587A6"/>
            </w:tcBorders>
          </w:tcPr>
          <w:p>
            <w:pPr>
              <w:spacing w:after="0" w:line="20" w:lineRule="exact"/>
              <w:rPr>
                <w:sz w:val="1"/>
                <w:szCs w:val="1"/>
                <w:color w:val="auto"/>
              </w:rPr>
            </w:pPr>
          </w:p>
        </w:tc>
        <w:tc>
          <w:tcPr>
            <w:tcW w:w="8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440" w:type="dxa"/>
            <w:vAlign w:val="bottom"/>
            <w:gridSpan w:val="2"/>
          </w:tcPr>
          <w:p>
            <w:pPr>
              <w:spacing w:after="0" w:line="106" w:lineRule="exact"/>
              <w:rPr>
                <w:sz w:val="20"/>
                <w:szCs w:val="20"/>
                <w:color w:val="auto"/>
              </w:rPr>
            </w:pPr>
            <w:r>
              <w:rPr>
                <w:rFonts w:ascii="Arial" w:cs="Arial" w:eastAsia="Arial" w:hAnsi="Arial"/>
                <w:sz w:val="10"/>
                <w:szCs w:val="10"/>
                <w:color w:val="auto"/>
              </w:rPr>
              <w:t>Earnings per share:</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8440" w:type="dxa"/>
            <w:vAlign w:val="bottom"/>
            <w:gridSpan w:val="2"/>
          </w:tcPr>
          <w:p>
            <w:pPr>
              <w:ind w:left="140"/>
              <w:spacing w:after="0"/>
              <w:rPr>
                <w:sz w:val="20"/>
                <w:szCs w:val="20"/>
                <w:color w:val="auto"/>
              </w:rPr>
            </w:pPr>
            <w:r>
              <w:rPr>
                <w:rFonts w:ascii="Arial" w:cs="Arial" w:eastAsia="Arial" w:hAnsi="Arial"/>
                <w:sz w:val="10"/>
                <w:szCs w:val="10"/>
                <w:color w:val="auto"/>
              </w:rPr>
              <w:t>Basic</w:t>
            </w:r>
          </w:p>
        </w:tc>
        <w:tc>
          <w:tcPr>
            <w:tcW w:w="680" w:type="dxa"/>
            <w:vAlign w:val="bottom"/>
          </w:tcPr>
          <w:p>
            <w:pPr>
              <w:jc w:val="right"/>
              <w:ind w:right="572"/>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0.01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140"/>
              <w:spacing w:after="0"/>
              <w:rPr>
                <w:sz w:val="20"/>
                <w:szCs w:val="20"/>
                <w:color w:val="auto"/>
              </w:rPr>
            </w:pPr>
            <w:r>
              <w:rPr>
                <w:rFonts w:ascii="Arial" w:cs="Arial" w:eastAsia="Arial" w:hAnsi="Arial"/>
                <w:sz w:val="10"/>
                <w:szCs w:val="10"/>
                <w:color w:val="auto"/>
              </w:rPr>
              <w:t>Diluted</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0.01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440" w:type="dxa"/>
            <w:vAlign w:val="bottom"/>
            <w:gridSpan w:val="2"/>
          </w:tcPr>
          <w:p>
            <w:pPr>
              <w:spacing w:after="0"/>
              <w:rPr>
                <w:sz w:val="20"/>
                <w:szCs w:val="20"/>
                <w:color w:val="auto"/>
              </w:rPr>
            </w:pPr>
            <w:r>
              <w:rPr>
                <w:rFonts w:ascii="Arial" w:cs="Arial" w:eastAsia="Arial" w:hAnsi="Arial"/>
                <w:sz w:val="10"/>
                <w:szCs w:val="10"/>
                <w:color w:val="auto"/>
              </w:rPr>
              <w:t>Weighted-average common shares outstanding:</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440" w:type="dxa"/>
            <w:vAlign w:val="bottom"/>
            <w:gridSpan w:val="2"/>
          </w:tcPr>
          <w:p>
            <w:pPr>
              <w:ind w:left="140"/>
              <w:spacing w:after="0"/>
              <w:rPr>
                <w:sz w:val="20"/>
                <w:szCs w:val="20"/>
                <w:color w:val="auto"/>
              </w:rPr>
            </w:pPr>
            <w:r>
              <w:rPr>
                <w:rFonts w:ascii="Arial" w:cs="Arial" w:eastAsia="Arial" w:hAnsi="Arial"/>
                <w:sz w:val="10"/>
                <w:szCs w:val="10"/>
                <w:color w:val="auto"/>
              </w:rPr>
              <w:t>Basic</w:t>
            </w:r>
          </w:p>
        </w:tc>
        <w:tc>
          <w:tcPr>
            <w:tcW w:w="6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5,867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5,867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40" w:type="dxa"/>
            <w:vAlign w:val="bottom"/>
            <w:gridSpan w:val="2"/>
          </w:tcPr>
          <w:p>
            <w:pPr>
              <w:ind w:left="140"/>
              <w:spacing w:after="0"/>
              <w:rPr>
                <w:sz w:val="20"/>
                <w:szCs w:val="20"/>
                <w:color w:val="auto"/>
              </w:rPr>
            </w:pPr>
            <w:r>
              <w:rPr>
                <w:rFonts w:ascii="Arial" w:cs="Arial" w:eastAsia="Arial" w:hAnsi="Arial"/>
                <w:sz w:val="10"/>
                <w:szCs w:val="10"/>
                <w:color w:val="auto"/>
              </w:rPr>
              <w:t>Diluted</w:t>
            </w:r>
          </w:p>
        </w:tc>
        <w:tc>
          <w:tcPr>
            <w:tcW w:w="6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5,893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5,893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Notes to Condensed Consolidated Financial Statements in the First Quarter 2026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6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First Quarter 2026</w:t>
            </w:r>
          </w:p>
        </w:tc>
        <w:tc>
          <w:tcPr>
            <w:tcW w:w="524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6</w:t>
            </w:r>
          </w:p>
        </w:tc>
      </w:tr>
    </w:tbl>
    <w:p>
      <w:pPr>
        <w:sectPr>
          <w:pgSz w:w="11900" w:h="16838" w:orient="portrait"/>
          <w:cols w:equalWidth="0" w:num="1">
            <w:col w:w="11300"/>
          </w:cols>
          <w:pgMar w:left="300" w:top="778" w:right="29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FANNIE MAE</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05314D"/>
        </w:rPr>
        <w:t>Condensed Consolidated Balance Sheets — (Unaudited)</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0"/>
          <w:szCs w:val="10"/>
          <w:b w:val="1"/>
          <w:bCs w:val="1"/>
          <w:color w:val="05314D"/>
        </w:rPr>
        <w:t>(Dollars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0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100" w:type="dxa"/>
            <w:vAlign w:val="bottom"/>
            <w:tcBorders>
              <w:bottom w:val="single" w:sz="8" w:color="5587A6"/>
            </w:tcBorders>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1260" w:type="dxa"/>
            <w:vAlign w:val="bottom"/>
            <w:tcBorders>
              <w:bottom w:val="single" w:sz="8" w:color="5587A6"/>
            </w:tcBorders>
            <w:gridSpan w:val="4"/>
          </w:tcPr>
          <w:p>
            <w:pPr>
              <w:ind w:left="1000"/>
              <w:spacing w:after="0"/>
              <w:rPr>
                <w:sz w:val="20"/>
                <w:szCs w:val="20"/>
                <w:color w:val="auto"/>
              </w:rPr>
            </w:pPr>
            <w:r>
              <w:rPr>
                <w:rFonts w:ascii="Arial" w:cs="Arial" w:eastAsia="Arial" w:hAnsi="Arial"/>
                <w:sz w:val="10"/>
                <w:szCs w:val="10"/>
                <w:b w:val="1"/>
                <w:bCs w:val="1"/>
                <w:color w:val="auto"/>
                <w:w w:val="95"/>
              </w:rPr>
              <w:t>As of</w:t>
            </w:r>
          </w:p>
        </w:tc>
        <w:tc>
          <w:tcPr>
            <w:tcW w:w="100" w:type="dxa"/>
            <w:vAlign w:val="bottom"/>
            <w:tcBorders>
              <w:bottom w:val="single" w:sz="8" w:color="5587A6"/>
            </w:tcBorders>
          </w:tcPr>
          <w:p>
            <w:pPr>
              <w:spacing w:after="0"/>
              <w:rPr>
                <w:sz w:val="11"/>
                <w:szCs w:val="11"/>
                <w:color w:val="auto"/>
              </w:rPr>
            </w:pPr>
          </w:p>
        </w:tc>
        <w:tc>
          <w:tcPr>
            <w:tcW w:w="1040" w:type="dxa"/>
            <w:vAlign w:val="bottom"/>
            <w:tcBorders>
              <w:bottom w:val="single" w:sz="8" w:color="5587A6"/>
            </w:tcBorders>
          </w:tcPr>
          <w:p>
            <w:pPr>
              <w:spacing w:after="0"/>
              <w:rPr>
                <w:sz w:val="11"/>
                <w:szCs w:val="11"/>
                <w:color w:val="auto"/>
              </w:rPr>
            </w:pPr>
          </w:p>
        </w:tc>
        <w:tc>
          <w:tcPr>
            <w:tcW w:w="20" w:type="dxa"/>
            <w:vAlign w:val="bottom"/>
            <w:tcBorders>
              <w:bottom w:val="single" w:sz="8" w:color="5587A6"/>
            </w:tcBorders>
          </w:tcPr>
          <w:p>
            <w:pPr>
              <w:spacing w:after="0"/>
              <w:rPr>
                <w:sz w:val="11"/>
                <w:szCs w:val="11"/>
                <w:color w:val="auto"/>
              </w:rPr>
            </w:pPr>
          </w:p>
        </w:tc>
        <w:tc>
          <w:tcPr>
            <w:tcW w:w="40" w:type="dxa"/>
            <w:vAlign w:val="bottom"/>
            <w:tcBorders>
              <w:bottom w:val="single" w:sz="8" w:color="5587A6"/>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8560" w:type="dxa"/>
            <w:vAlign w:val="bottom"/>
            <w:vMerge w:val="restart"/>
          </w:tcPr>
          <w:p>
            <w:pPr>
              <w:ind w:left="5360"/>
              <w:spacing w:after="0"/>
              <w:rPr>
                <w:sz w:val="20"/>
                <w:szCs w:val="20"/>
                <w:color w:val="auto"/>
              </w:rPr>
            </w:pPr>
            <w:r>
              <w:rPr>
                <w:rFonts w:ascii="Arial" w:cs="Arial" w:eastAsia="Arial" w:hAnsi="Arial"/>
                <w:sz w:val="12"/>
                <w:szCs w:val="12"/>
                <w:b w:val="1"/>
                <w:bCs w:val="1"/>
                <w:color w:val="auto"/>
              </w:rPr>
              <w:t>ASSETS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4"/>
          </w:tcPr>
          <w:p>
            <w:pPr>
              <w:ind w:left="100"/>
              <w:spacing w:after="0"/>
              <w:rPr>
                <w:sz w:val="20"/>
                <w:szCs w:val="20"/>
                <w:color w:val="auto"/>
              </w:rPr>
            </w:pPr>
            <w:r>
              <w:rPr>
                <w:rFonts w:ascii="Arial" w:cs="Arial" w:eastAsia="Arial" w:hAnsi="Arial"/>
                <w:sz w:val="10"/>
                <w:szCs w:val="10"/>
                <w:b w:val="1"/>
                <w:bCs w:val="1"/>
                <w:color w:val="auto"/>
              </w:rPr>
              <w:t>March 31, 2026</w:t>
            </w:r>
          </w:p>
        </w:tc>
        <w:tc>
          <w:tcPr>
            <w:tcW w:w="10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8560" w:type="dxa"/>
            <w:vAlign w:val="bottom"/>
            <w:vMerge w:val="continue"/>
          </w:tcPr>
          <w:p>
            <w:pPr>
              <w:spacing w:after="0"/>
              <w:rPr>
                <w:sz w:val="12"/>
                <w:szCs w:val="12"/>
                <w:color w:val="auto"/>
              </w:rPr>
            </w:pPr>
          </w:p>
        </w:tc>
        <w:tc>
          <w:tcPr>
            <w:tcW w:w="100" w:type="dxa"/>
            <w:vAlign w:val="bottom"/>
            <w:tcBorders>
              <w:top w:val="single" w:sz="8" w:color="5587A6"/>
            </w:tcBorders>
          </w:tcPr>
          <w:p>
            <w:pPr>
              <w:spacing w:after="0"/>
              <w:rPr>
                <w:sz w:val="12"/>
                <w:szCs w:val="12"/>
                <w:color w:val="auto"/>
              </w:rPr>
            </w:pPr>
          </w:p>
        </w:tc>
        <w:tc>
          <w:tcPr>
            <w:tcW w:w="140" w:type="dxa"/>
            <w:vAlign w:val="bottom"/>
            <w:tcBorders>
              <w:top w:val="single" w:sz="8" w:color="5587A6"/>
            </w:tcBorders>
            <w:vMerge w:val="restart"/>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5587A6"/>
            </w:tcBorders>
            <w:vMerge w:val="restart"/>
          </w:tcPr>
          <w:p>
            <w:pPr>
              <w:jc w:val="right"/>
              <w:spacing w:after="0"/>
              <w:rPr>
                <w:sz w:val="20"/>
                <w:szCs w:val="20"/>
                <w:color w:val="auto"/>
              </w:rPr>
            </w:pPr>
            <w:r>
              <w:rPr>
                <w:rFonts w:ascii="Arial" w:cs="Arial" w:eastAsia="Arial" w:hAnsi="Arial"/>
                <w:sz w:val="10"/>
                <w:szCs w:val="10"/>
                <w:b w:val="1"/>
                <w:bCs w:val="1"/>
                <w:color w:val="auto"/>
              </w:rPr>
              <w:t>11,485</w:t>
            </w:r>
          </w:p>
        </w:tc>
        <w:tc>
          <w:tcPr>
            <w:tcW w:w="80" w:type="dxa"/>
            <w:vAlign w:val="bottom"/>
            <w:tcBorders>
              <w:top w:val="single" w:sz="8" w:color="5587A6"/>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Cash</w:t>
            </w:r>
          </w:p>
        </w:tc>
        <w:tc>
          <w:tcPr>
            <w:tcW w:w="1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11,452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Restricted cash (includes $26,323 and $22,848, respectively, related to consolidated trusts)</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33,779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31,131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Securities purchased under agreements to resell (includes $19,450 and $18,425, respectively, related to consolidated trusts)</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38,199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45,650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Investments in securities, at fair value</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75,520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69,889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Mortgage loans:</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Loans held for sale, at lower of cost or fair value</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Loans held for investment, at amortized cost:</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8660" w:type="dxa"/>
            <w:vAlign w:val="bottom"/>
            <w:gridSpan w:val="2"/>
          </w:tcPr>
          <w:p>
            <w:pPr>
              <w:ind w:left="220"/>
              <w:spacing w:after="0"/>
              <w:rPr>
                <w:sz w:val="20"/>
                <w:szCs w:val="20"/>
                <w:color w:val="auto"/>
              </w:rPr>
            </w:pPr>
            <w:r>
              <w:rPr>
                <w:rFonts w:ascii="Arial" w:cs="Arial" w:eastAsia="Arial" w:hAnsi="Arial"/>
                <w:sz w:val="10"/>
                <w:szCs w:val="10"/>
                <w:color w:val="auto"/>
              </w:rPr>
              <w:t>Of Fannie Mae</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60,595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57,970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560" w:type="dxa"/>
            <w:vAlign w:val="bottom"/>
            <w:tcBorders>
              <w:bottom w:val="single" w:sz="8" w:color="5587A6"/>
            </w:tcBorders>
          </w:tcPr>
          <w:p>
            <w:pPr>
              <w:ind w:left="220"/>
              <w:spacing w:after="0"/>
              <w:rPr>
                <w:sz w:val="20"/>
                <w:szCs w:val="20"/>
                <w:color w:val="auto"/>
              </w:rPr>
            </w:pPr>
            <w:r>
              <w:rPr>
                <w:rFonts w:ascii="Arial" w:cs="Arial" w:eastAsia="Arial" w:hAnsi="Arial"/>
                <w:sz w:val="10"/>
                <w:szCs w:val="10"/>
                <w:color w:val="auto"/>
              </w:rPr>
              <w:t>Of consolidated trusts</w:t>
            </w:r>
          </w:p>
        </w:tc>
        <w:tc>
          <w:tcPr>
            <w:tcW w:w="10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4,062,863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5587A6"/>
            </w:tcBorders>
          </w:tcPr>
          <w:p>
            <w:pPr>
              <w:spacing w:after="0"/>
              <w:rPr>
                <w:sz w:val="11"/>
                <w:szCs w:val="11"/>
                <w:color w:val="auto"/>
              </w:rPr>
            </w:pPr>
          </w:p>
        </w:tc>
        <w:tc>
          <w:tcPr>
            <w:tcW w:w="100" w:type="dxa"/>
            <w:vAlign w:val="bottom"/>
            <w:tcBorders>
              <w:bottom w:val="single" w:sz="8" w:color="5587A6"/>
            </w:tcBorders>
          </w:tcPr>
          <w:p>
            <w:pPr>
              <w:spacing w:after="0"/>
              <w:rPr>
                <w:sz w:val="11"/>
                <w:szCs w:val="11"/>
                <w:color w:val="auto"/>
              </w:rPr>
            </w:pP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4,069,498</w:t>
            </w:r>
          </w:p>
        </w:tc>
        <w:tc>
          <w:tcPr>
            <w:tcW w:w="20" w:type="dxa"/>
            <w:vAlign w:val="bottom"/>
            <w:tcBorders>
              <w:bottom w:val="single" w:sz="8" w:color="5587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8660" w:type="dxa"/>
            <w:vAlign w:val="bottom"/>
            <w:gridSpan w:val="2"/>
          </w:tcPr>
          <w:p>
            <w:pPr>
              <w:ind w:left="140"/>
              <w:spacing w:after="0"/>
              <w:rPr>
                <w:sz w:val="20"/>
                <w:szCs w:val="20"/>
                <w:color w:val="auto"/>
              </w:rPr>
            </w:pPr>
            <w:r>
              <w:rPr>
                <w:rFonts w:ascii="Arial" w:cs="Arial" w:eastAsia="Arial" w:hAnsi="Arial"/>
                <w:sz w:val="10"/>
                <w:szCs w:val="10"/>
                <w:color w:val="auto"/>
              </w:rPr>
              <w:t>Total loans held for investment (includes $5,547 and $5,464, respectively, at fair value)</w:t>
            </w:r>
          </w:p>
        </w:tc>
        <w:tc>
          <w:tcPr>
            <w:tcW w:w="1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4,123,458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4,127,468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560" w:type="dxa"/>
            <w:vAlign w:val="bottom"/>
            <w:tcBorders>
              <w:bottom w:val="single" w:sz="8" w:color="5587A6"/>
            </w:tcBorders>
          </w:tcPr>
          <w:p>
            <w:pPr>
              <w:ind w:left="160"/>
              <w:spacing w:after="0"/>
              <w:rPr>
                <w:sz w:val="20"/>
                <w:szCs w:val="20"/>
                <w:color w:val="auto"/>
              </w:rPr>
            </w:pPr>
            <w:r>
              <w:rPr>
                <w:rFonts w:ascii="Arial" w:cs="Arial" w:eastAsia="Arial" w:hAnsi="Arial"/>
                <w:sz w:val="10"/>
                <w:szCs w:val="10"/>
                <w:color w:val="auto"/>
              </w:rPr>
              <w:t>Allowance for loan losses</w:t>
            </w:r>
          </w:p>
        </w:tc>
        <w:tc>
          <w:tcPr>
            <w:tcW w:w="10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(8,357)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5587A6"/>
            </w:tcBorders>
          </w:tcPr>
          <w:p>
            <w:pPr>
              <w:spacing w:after="0"/>
              <w:rPr>
                <w:sz w:val="11"/>
                <w:szCs w:val="11"/>
                <w:color w:val="auto"/>
              </w:rPr>
            </w:pPr>
          </w:p>
        </w:tc>
        <w:tc>
          <w:tcPr>
            <w:tcW w:w="100" w:type="dxa"/>
            <w:vAlign w:val="bottom"/>
            <w:tcBorders>
              <w:bottom w:val="single" w:sz="8" w:color="5587A6"/>
            </w:tcBorders>
          </w:tcPr>
          <w:p>
            <w:pPr>
              <w:spacing w:after="0"/>
              <w:rPr>
                <w:sz w:val="11"/>
                <w:szCs w:val="11"/>
                <w:color w:val="auto"/>
              </w:rPr>
            </w:pPr>
          </w:p>
        </w:tc>
        <w:tc>
          <w:tcPr>
            <w:tcW w:w="106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0"/>
                <w:szCs w:val="10"/>
                <w:color w:val="auto"/>
              </w:rPr>
              <w:t>(8,364)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8560" w:type="dxa"/>
            <w:vAlign w:val="bottom"/>
            <w:tcBorders>
              <w:bottom w:val="single" w:sz="8" w:color="5587A6"/>
            </w:tcBorders>
          </w:tcPr>
          <w:p>
            <w:pPr>
              <w:ind w:left="340"/>
              <w:spacing w:after="0"/>
              <w:rPr>
                <w:sz w:val="20"/>
                <w:szCs w:val="20"/>
                <w:color w:val="auto"/>
              </w:rPr>
            </w:pPr>
            <w:r>
              <w:rPr>
                <w:rFonts w:ascii="Arial" w:cs="Arial" w:eastAsia="Arial" w:hAnsi="Arial"/>
                <w:sz w:val="10"/>
                <w:szCs w:val="10"/>
                <w:color w:val="auto"/>
              </w:rPr>
              <w:t>Total loans held for investment, net of allowance</w:t>
            </w:r>
          </w:p>
        </w:tc>
        <w:tc>
          <w:tcPr>
            <w:tcW w:w="100" w:type="dxa"/>
            <w:vAlign w:val="bottom"/>
          </w:tcPr>
          <w:p>
            <w:pPr>
              <w:spacing w:after="0"/>
              <w:rPr>
                <w:sz w:val="10"/>
                <w:szCs w:val="10"/>
                <w:color w:val="auto"/>
              </w:rPr>
            </w:pPr>
          </w:p>
        </w:tc>
        <w:tc>
          <w:tcPr>
            <w:tcW w:w="140" w:type="dxa"/>
            <w:vAlign w:val="bottom"/>
            <w:tcBorders>
              <w:bottom w:val="single" w:sz="8" w:color="5587A6"/>
            </w:tcBorders>
          </w:tcPr>
          <w:p>
            <w:pPr>
              <w:spacing w:after="0"/>
              <w:rPr>
                <w:sz w:val="10"/>
                <w:szCs w:val="10"/>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4,115,101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5587A6"/>
            </w:tcBorders>
          </w:tcPr>
          <w:p>
            <w:pPr>
              <w:spacing w:after="0"/>
              <w:rPr>
                <w:sz w:val="10"/>
                <w:szCs w:val="10"/>
                <w:color w:val="auto"/>
              </w:rPr>
            </w:pPr>
          </w:p>
        </w:tc>
        <w:tc>
          <w:tcPr>
            <w:tcW w:w="100" w:type="dxa"/>
            <w:vAlign w:val="bottom"/>
            <w:tcBorders>
              <w:bottom w:val="single" w:sz="8" w:color="5587A6"/>
            </w:tcBorders>
          </w:tcPr>
          <w:p>
            <w:pPr>
              <w:spacing w:after="0"/>
              <w:rPr>
                <w:sz w:val="10"/>
                <w:szCs w:val="10"/>
                <w:color w:val="auto"/>
              </w:rPr>
            </w:pP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4,119,104</w:t>
            </w:r>
          </w:p>
        </w:tc>
        <w:tc>
          <w:tcPr>
            <w:tcW w:w="20" w:type="dxa"/>
            <w:vAlign w:val="bottom"/>
            <w:tcBorders>
              <w:bottom w:val="single" w:sz="8" w:color="5587A6"/>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8660" w:type="dxa"/>
            <w:vAlign w:val="bottom"/>
            <w:gridSpan w:val="2"/>
          </w:tcPr>
          <w:p>
            <w:pPr>
              <w:ind w:left="440"/>
              <w:spacing w:after="0"/>
              <w:rPr>
                <w:sz w:val="20"/>
                <w:szCs w:val="20"/>
                <w:color w:val="auto"/>
              </w:rPr>
            </w:pPr>
            <w:r>
              <w:rPr>
                <w:rFonts w:ascii="Arial" w:cs="Arial" w:eastAsia="Arial" w:hAnsi="Arial"/>
                <w:sz w:val="10"/>
                <w:szCs w:val="10"/>
                <w:color w:val="auto"/>
              </w:rPr>
              <w:t>Total mortgage loans</w:t>
            </w:r>
          </w:p>
        </w:tc>
        <w:tc>
          <w:tcPr>
            <w:tcW w:w="1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4,115,300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4,119,313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Advances to lenders</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3,509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3,595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Deferred tax assets, net</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9,430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9,828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Accrued interest receivable (includes $11,275 and $11,129, respectively, related to consolidated trusts)</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11,915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11,689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56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Other assets</w:t>
            </w:r>
          </w:p>
        </w:tc>
        <w:tc>
          <w:tcPr>
            <w:tcW w:w="10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15,498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5587A6"/>
            </w:tcBorders>
          </w:tcPr>
          <w:p>
            <w:pPr>
              <w:spacing w:after="0"/>
              <w:rPr>
                <w:sz w:val="11"/>
                <w:szCs w:val="11"/>
                <w:color w:val="auto"/>
              </w:rPr>
            </w:pPr>
          </w:p>
        </w:tc>
        <w:tc>
          <w:tcPr>
            <w:tcW w:w="100" w:type="dxa"/>
            <w:vAlign w:val="bottom"/>
            <w:tcBorders>
              <w:bottom w:val="single" w:sz="8" w:color="5587A6"/>
            </w:tcBorders>
          </w:tcPr>
          <w:p>
            <w:pPr>
              <w:spacing w:after="0"/>
              <w:rPr>
                <w:sz w:val="11"/>
                <w:szCs w:val="11"/>
                <w:color w:val="auto"/>
              </w:rPr>
            </w:pP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14,991</w:t>
            </w:r>
          </w:p>
        </w:tc>
        <w:tc>
          <w:tcPr>
            <w:tcW w:w="20" w:type="dxa"/>
            <w:vAlign w:val="bottom"/>
            <w:tcBorders>
              <w:bottom w:val="single" w:sz="8" w:color="5587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8660" w:type="dxa"/>
            <w:vAlign w:val="bottom"/>
            <w:tcBorders>
              <w:bottom w:val="single" w:sz="8" w:color="5587A6"/>
            </w:tcBorders>
            <w:gridSpan w:val="2"/>
          </w:tcPr>
          <w:p>
            <w:pPr>
              <w:ind w:left="120"/>
              <w:spacing w:after="0"/>
              <w:rPr>
                <w:sz w:val="20"/>
                <w:szCs w:val="20"/>
                <w:color w:val="auto"/>
              </w:rPr>
            </w:pPr>
            <w:r>
              <w:rPr>
                <w:rFonts w:ascii="Arial" w:cs="Arial" w:eastAsia="Arial" w:hAnsi="Arial"/>
                <w:sz w:val="10"/>
                <w:szCs w:val="10"/>
                <w:color w:val="auto"/>
              </w:rPr>
              <w:t>Total assets</w:t>
            </w:r>
          </w:p>
        </w:tc>
        <w:tc>
          <w:tcPr>
            <w:tcW w:w="140" w:type="dxa"/>
            <w:vAlign w:val="bottom"/>
            <w:tcBorders>
              <w:bottom w:val="single" w:sz="8" w:color="5587A6"/>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4,314,635</w:t>
            </w:r>
          </w:p>
        </w:tc>
        <w:tc>
          <w:tcPr>
            <w:tcW w:w="80" w:type="dxa"/>
            <w:vAlign w:val="bottom"/>
            <w:tcBorders>
              <w:bottom w:val="single" w:sz="8" w:color="5587A6"/>
            </w:tcBorders>
          </w:tcPr>
          <w:p>
            <w:pPr>
              <w:spacing w:after="0"/>
              <w:rPr>
                <w:sz w:val="10"/>
                <w:szCs w:val="10"/>
                <w:color w:val="auto"/>
              </w:rPr>
            </w:pPr>
          </w:p>
        </w:tc>
        <w:tc>
          <w:tcPr>
            <w:tcW w:w="140" w:type="dxa"/>
            <w:vAlign w:val="bottom"/>
            <w:tcBorders>
              <w:bottom w:val="single" w:sz="8" w:color="5587A6"/>
            </w:tcBorders>
          </w:tcPr>
          <w:p>
            <w:pPr>
              <w:spacing w:after="0"/>
              <w:rPr>
                <w:sz w:val="10"/>
                <w:szCs w:val="10"/>
                <w:color w:val="auto"/>
              </w:rPr>
            </w:pPr>
          </w:p>
        </w:tc>
        <w:tc>
          <w:tcPr>
            <w:tcW w:w="20" w:type="dxa"/>
            <w:vAlign w:val="bottom"/>
            <w:tcBorders>
              <w:bottom w:val="single" w:sz="8" w:color="5587A6"/>
            </w:tcBorders>
          </w:tcPr>
          <w:p>
            <w:pPr>
              <w:spacing w:after="0"/>
              <w:rPr>
                <w:sz w:val="10"/>
                <w:szCs w:val="10"/>
                <w:color w:val="auto"/>
              </w:rPr>
            </w:pPr>
          </w:p>
        </w:tc>
        <w:tc>
          <w:tcPr>
            <w:tcW w:w="100" w:type="dxa"/>
            <w:vAlign w:val="bottom"/>
            <w:tcBorders>
              <w:bottom w:val="single" w:sz="8" w:color="5587A6"/>
            </w:tcBorders>
          </w:tcPr>
          <w:p>
            <w:pPr>
              <w:jc w:val="right"/>
              <w:ind w:right="36"/>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4,317,538</w:t>
            </w:r>
          </w:p>
        </w:tc>
        <w:tc>
          <w:tcPr>
            <w:tcW w:w="20" w:type="dxa"/>
            <w:vAlign w:val="bottom"/>
            <w:tcBorders>
              <w:bottom w:val="single" w:sz="8" w:color="5587A6"/>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60" w:type="dxa"/>
            <w:vAlign w:val="bottom"/>
            <w:tcBorders>
              <w:bottom w:val="single" w:sz="8" w:color="5587A6"/>
            </w:tcBorders>
            <w:gridSpan w:val="2"/>
          </w:tcPr>
          <w:p>
            <w:pPr>
              <w:spacing w:after="0" w:line="20" w:lineRule="exact"/>
              <w:rPr>
                <w:sz w:val="1"/>
                <w:szCs w:val="1"/>
                <w:color w:val="auto"/>
              </w:rPr>
            </w:pPr>
          </w:p>
        </w:tc>
        <w:tc>
          <w:tcPr>
            <w:tcW w:w="140" w:type="dxa"/>
            <w:vAlign w:val="bottom"/>
            <w:tcBorders>
              <w:bottom w:val="single" w:sz="8" w:color="5587A6"/>
            </w:tcBorders>
          </w:tcPr>
          <w:p>
            <w:pPr>
              <w:spacing w:after="0" w:line="20" w:lineRule="exact"/>
              <w:rPr>
                <w:sz w:val="1"/>
                <w:szCs w:val="1"/>
                <w:color w:val="auto"/>
              </w:rPr>
            </w:pPr>
          </w:p>
        </w:tc>
        <w:tc>
          <w:tcPr>
            <w:tcW w:w="102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140" w:type="dxa"/>
            <w:vAlign w:val="bottom"/>
            <w:tcBorders>
              <w:bottom w:val="single" w:sz="8" w:color="5587A6"/>
            </w:tcBorders>
          </w:tcPr>
          <w:p>
            <w:pPr>
              <w:spacing w:after="0" w:line="20" w:lineRule="exact"/>
              <w:rPr>
                <w:sz w:val="1"/>
                <w:szCs w:val="1"/>
                <w:color w:val="auto"/>
              </w:rPr>
            </w:pPr>
          </w:p>
        </w:tc>
        <w:tc>
          <w:tcPr>
            <w:tcW w:w="20" w:type="dxa"/>
            <w:vAlign w:val="bottom"/>
            <w:tcBorders>
              <w:bottom w:val="single" w:sz="8" w:color="5587A6"/>
            </w:tcBorders>
          </w:tcPr>
          <w:p>
            <w:pPr>
              <w:spacing w:after="0" w:line="20" w:lineRule="exact"/>
              <w:rPr>
                <w:sz w:val="1"/>
                <w:szCs w:val="1"/>
                <w:color w:val="auto"/>
              </w:rPr>
            </w:pPr>
          </w:p>
        </w:tc>
        <w:tc>
          <w:tcPr>
            <w:tcW w:w="100" w:type="dxa"/>
            <w:vAlign w:val="bottom"/>
            <w:tcBorders>
              <w:bottom w:val="single" w:sz="8" w:color="5587A6"/>
            </w:tcBorders>
          </w:tcPr>
          <w:p>
            <w:pPr>
              <w:spacing w:after="0" w:line="20" w:lineRule="exact"/>
              <w:rPr>
                <w:sz w:val="1"/>
                <w:szCs w:val="1"/>
                <w:color w:val="auto"/>
              </w:rPr>
            </w:pPr>
          </w:p>
        </w:tc>
        <w:tc>
          <w:tcPr>
            <w:tcW w:w="1040" w:type="dxa"/>
            <w:vAlign w:val="bottom"/>
            <w:tcBorders>
              <w:bottom w:val="single" w:sz="8" w:color="5587A6"/>
            </w:tcBorders>
          </w:tcPr>
          <w:p>
            <w:pPr>
              <w:spacing w:after="0" w:line="20" w:lineRule="exact"/>
              <w:rPr>
                <w:sz w:val="1"/>
                <w:szCs w:val="1"/>
                <w:color w:val="auto"/>
              </w:rPr>
            </w:pPr>
          </w:p>
        </w:tc>
        <w:tc>
          <w:tcPr>
            <w:tcW w:w="20" w:type="dxa"/>
            <w:vAlign w:val="bottom"/>
            <w:tcBorders>
              <w:bottom w:val="single" w:sz="8" w:color="5587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0" w:type="dxa"/>
            <w:vAlign w:val="bottom"/>
          </w:tcPr>
          <w:p>
            <w:pPr>
              <w:spacing w:after="0"/>
              <w:rPr>
                <w:sz w:val="11"/>
                <w:szCs w:val="11"/>
                <w:color w:val="auto"/>
              </w:rPr>
            </w:pPr>
          </w:p>
        </w:tc>
        <w:tc>
          <w:tcPr>
            <w:tcW w:w="8660" w:type="dxa"/>
            <w:vAlign w:val="bottom"/>
            <w:gridSpan w:val="2"/>
          </w:tcPr>
          <w:p>
            <w:pPr>
              <w:ind w:left="4880"/>
              <w:spacing w:after="0" w:line="134" w:lineRule="exact"/>
              <w:rPr>
                <w:sz w:val="20"/>
                <w:szCs w:val="20"/>
                <w:color w:val="auto"/>
              </w:rPr>
            </w:pPr>
            <w:r>
              <w:rPr>
                <w:rFonts w:ascii="Arial" w:cs="Arial" w:eastAsia="Arial" w:hAnsi="Arial"/>
                <w:sz w:val="12"/>
                <w:szCs w:val="12"/>
                <w:b w:val="1"/>
                <w:bCs w:val="1"/>
                <w:color w:val="auto"/>
              </w:rPr>
              <w:t>LIABILITIES AND EQUITY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Liabilities:</w:t>
            </w: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Accrued interest payable (includes $11,277 and $11,320, respectively, related to consolidated trusts)</w:t>
            </w: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12,213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12,035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Debt:</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8660" w:type="dxa"/>
            <w:vAlign w:val="bottom"/>
            <w:gridSpan w:val="2"/>
          </w:tcPr>
          <w:p>
            <w:pPr>
              <w:ind w:left="220"/>
              <w:spacing w:after="0"/>
              <w:rPr>
                <w:sz w:val="20"/>
                <w:szCs w:val="20"/>
                <w:color w:val="auto"/>
              </w:rPr>
            </w:pPr>
            <w:r>
              <w:rPr>
                <w:rFonts w:ascii="Arial" w:cs="Arial" w:eastAsia="Arial" w:hAnsi="Arial"/>
                <w:sz w:val="10"/>
                <w:szCs w:val="10"/>
                <w:color w:val="auto"/>
              </w:rPr>
              <w:t>Of Fannie Mae (includes $265 and $256, respectively, at fair value)</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150,438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127,289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220"/>
              <w:spacing w:after="0"/>
              <w:rPr>
                <w:sz w:val="20"/>
                <w:szCs w:val="20"/>
                <w:color w:val="auto"/>
              </w:rPr>
            </w:pPr>
            <w:r>
              <w:rPr>
                <w:rFonts w:ascii="Arial" w:cs="Arial" w:eastAsia="Arial" w:hAnsi="Arial"/>
                <w:sz w:val="10"/>
                <w:szCs w:val="10"/>
                <w:color w:val="auto"/>
              </w:rPr>
              <w:t>Of consolidated trusts (includes $13,707 and $15,060, respectively, at fair value)</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4,022,364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4,053,140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56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liabilities (includes $1,700 and $1,719, respectively, related to consolidated trusts)</w:t>
            </w:r>
          </w:p>
        </w:tc>
        <w:tc>
          <w:tcPr>
            <w:tcW w:w="10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16,953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5587A6"/>
            </w:tcBorders>
          </w:tcPr>
          <w:p>
            <w:pPr>
              <w:spacing w:after="0"/>
              <w:rPr>
                <w:sz w:val="11"/>
                <w:szCs w:val="11"/>
                <w:color w:val="auto"/>
              </w:rPr>
            </w:pPr>
          </w:p>
        </w:tc>
        <w:tc>
          <w:tcPr>
            <w:tcW w:w="100" w:type="dxa"/>
            <w:vAlign w:val="bottom"/>
            <w:tcBorders>
              <w:bottom w:val="single" w:sz="8" w:color="5587A6"/>
            </w:tcBorders>
          </w:tcPr>
          <w:p>
            <w:pPr>
              <w:spacing w:after="0"/>
              <w:rPr>
                <w:sz w:val="11"/>
                <w:szCs w:val="11"/>
                <w:color w:val="auto"/>
              </w:rPr>
            </w:pP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16,062</w:t>
            </w:r>
          </w:p>
        </w:tc>
        <w:tc>
          <w:tcPr>
            <w:tcW w:w="20" w:type="dxa"/>
            <w:vAlign w:val="bottom"/>
            <w:tcBorders>
              <w:bottom w:val="single" w:sz="8" w:color="5587A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856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Total liabilities</w:t>
            </w:r>
          </w:p>
        </w:tc>
        <w:tc>
          <w:tcPr>
            <w:tcW w:w="100" w:type="dxa"/>
            <w:vAlign w:val="bottom"/>
          </w:tcPr>
          <w:p>
            <w:pPr>
              <w:spacing w:after="0"/>
              <w:rPr>
                <w:sz w:val="10"/>
                <w:szCs w:val="10"/>
                <w:color w:val="auto"/>
              </w:rPr>
            </w:pPr>
          </w:p>
        </w:tc>
        <w:tc>
          <w:tcPr>
            <w:tcW w:w="140" w:type="dxa"/>
            <w:vAlign w:val="bottom"/>
            <w:tcBorders>
              <w:bottom w:val="single" w:sz="8" w:color="5587A6"/>
            </w:tcBorders>
          </w:tcPr>
          <w:p>
            <w:pPr>
              <w:spacing w:after="0"/>
              <w:rPr>
                <w:sz w:val="10"/>
                <w:szCs w:val="10"/>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4,201,968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5587A6"/>
            </w:tcBorders>
          </w:tcPr>
          <w:p>
            <w:pPr>
              <w:spacing w:after="0"/>
              <w:rPr>
                <w:sz w:val="10"/>
                <w:szCs w:val="10"/>
                <w:color w:val="auto"/>
              </w:rPr>
            </w:pPr>
          </w:p>
        </w:tc>
        <w:tc>
          <w:tcPr>
            <w:tcW w:w="100" w:type="dxa"/>
            <w:vAlign w:val="bottom"/>
            <w:tcBorders>
              <w:bottom w:val="single" w:sz="8" w:color="5587A6"/>
            </w:tcBorders>
          </w:tcPr>
          <w:p>
            <w:pPr>
              <w:spacing w:after="0"/>
              <w:rPr>
                <w:sz w:val="10"/>
                <w:szCs w:val="10"/>
                <w:color w:val="auto"/>
              </w:rPr>
            </w:pP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4,208,526</w:t>
            </w:r>
          </w:p>
        </w:tc>
        <w:tc>
          <w:tcPr>
            <w:tcW w:w="20" w:type="dxa"/>
            <w:vAlign w:val="bottom"/>
            <w:tcBorders>
              <w:bottom w:val="single" w:sz="8" w:color="5587A6"/>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Commitments and contingencies (Note 14)</w:t>
            </w:r>
          </w:p>
        </w:tc>
        <w:tc>
          <w:tcPr>
            <w:tcW w:w="140" w:type="dxa"/>
            <w:vAlign w:val="bottom"/>
          </w:tcPr>
          <w:p>
            <w:pPr>
              <w:spacing w:after="0"/>
              <w:rPr>
                <w:sz w:val="10"/>
                <w:szCs w:val="10"/>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0"/>
                <w:szCs w:val="1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8660" w:type="dxa"/>
            <w:vAlign w:val="bottom"/>
            <w:gridSpan w:val="2"/>
          </w:tcPr>
          <w:p>
            <w:pPr>
              <w:ind w:left="20"/>
              <w:spacing w:after="0"/>
              <w:rPr>
                <w:sz w:val="20"/>
                <w:szCs w:val="20"/>
                <w:color w:val="auto"/>
              </w:rPr>
            </w:pPr>
            <w:r>
              <w:rPr>
                <w:rFonts w:ascii="Arial" w:cs="Arial" w:eastAsia="Arial" w:hAnsi="Arial"/>
                <w:sz w:val="10"/>
                <w:szCs w:val="10"/>
                <w:color w:val="auto"/>
              </w:rPr>
              <w:t>Fannie Mae stockholders’ equity: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Senior preferred stock (liquidation preference of $230,511 and $226,984, respectively)</w:t>
            </w: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120,836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120,836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Preferred stock, 700,000,000 shares are authorized—555,374,922 shares issued and outstanding</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19,130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19,130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Common stock, no par value, no maximum authorization—1,308,762,703 shares issued and 1,158,087,567 shares outstanding</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687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687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Accumulated deficit</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(20,541)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0"/>
                <w:szCs w:val="10"/>
                <w:color w:val="auto"/>
              </w:rPr>
              <w:t>(24,261)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Accumulated other comprehensive income (loss)</w:t>
            </w:r>
          </w:p>
        </w:tc>
        <w:tc>
          <w:tcPr>
            <w:tcW w:w="1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856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Treasury stock, at cost, 150,675,136 shares</w:t>
            </w:r>
          </w:p>
        </w:tc>
        <w:tc>
          <w:tcPr>
            <w:tcW w:w="10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(7,400)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5587A6"/>
            </w:tcBorders>
          </w:tcPr>
          <w:p>
            <w:pPr>
              <w:spacing w:after="0"/>
              <w:rPr>
                <w:sz w:val="11"/>
                <w:szCs w:val="11"/>
                <w:color w:val="auto"/>
              </w:rPr>
            </w:pPr>
          </w:p>
        </w:tc>
        <w:tc>
          <w:tcPr>
            <w:tcW w:w="100" w:type="dxa"/>
            <w:vAlign w:val="bottom"/>
            <w:tcBorders>
              <w:bottom w:val="single" w:sz="8" w:color="5587A6"/>
            </w:tcBorders>
          </w:tcPr>
          <w:p>
            <w:pPr>
              <w:spacing w:after="0"/>
              <w:rPr>
                <w:sz w:val="11"/>
                <w:szCs w:val="11"/>
                <w:color w:val="auto"/>
              </w:rPr>
            </w:pPr>
          </w:p>
        </w:tc>
        <w:tc>
          <w:tcPr>
            <w:tcW w:w="1060" w:type="dxa"/>
            <w:vAlign w:val="bottom"/>
            <w:tcBorders>
              <w:bottom w:val="single" w:sz="8" w:color="5587A6"/>
            </w:tcBorders>
            <w:gridSpan w:val="2"/>
          </w:tcPr>
          <w:p>
            <w:pPr>
              <w:jc w:val="right"/>
              <w:ind w:right="20"/>
              <w:spacing w:after="0"/>
              <w:rPr>
                <w:sz w:val="20"/>
                <w:szCs w:val="20"/>
                <w:color w:val="auto"/>
              </w:rPr>
            </w:pPr>
            <w:r>
              <w:rPr>
                <w:rFonts w:ascii="Arial" w:cs="Arial" w:eastAsia="Arial" w:hAnsi="Arial"/>
                <w:sz w:val="10"/>
                <w:szCs w:val="10"/>
                <w:color w:val="auto"/>
              </w:rPr>
              <w:t>(7,400)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856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Total stockholders’ equity</w:t>
            </w:r>
          </w:p>
        </w:tc>
        <w:tc>
          <w:tcPr>
            <w:tcW w:w="10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10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112,667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5587A6"/>
            </w:tcBorders>
          </w:tcPr>
          <w:p>
            <w:pPr>
              <w:spacing w:after="0"/>
              <w:rPr>
                <w:sz w:val="12"/>
                <w:szCs w:val="12"/>
                <w:color w:val="auto"/>
              </w:rPr>
            </w:pPr>
          </w:p>
        </w:tc>
        <w:tc>
          <w:tcPr>
            <w:tcW w:w="100" w:type="dxa"/>
            <w:vAlign w:val="bottom"/>
            <w:tcBorders>
              <w:bottom w:val="single" w:sz="8" w:color="5587A6"/>
            </w:tcBorders>
          </w:tcPr>
          <w:p>
            <w:pPr>
              <w:spacing w:after="0"/>
              <w:rPr>
                <w:sz w:val="12"/>
                <w:szCs w:val="12"/>
                <w:color w:val="auto"/>
              </w:rPr>
            </w:pPr>
          </w:p>
        </w:tc>
        <w:tc>
          <w:tcPr>
            <w:tcW w:w="10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109,012</w:t>
            </w:r>
          </w:p>
        </w:tc>
        <w:tc>
          <w:tcPr>
            <w:tcW w:w="20" w:type="dxa"/>
            <w:vAlign w:val="bottom"/>
            <w:tcBorders>
              <w:bottom w:val="single" w:sz="8" w:color="5587A6"/>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8660" w:type="dxa"/>
            <w:vAlign w:val="bottom"/>
            <w:gridSpan w:val="2"/>
          </w:tcPr>
          <w:p>
            <w:pPr>
              <w:ind w:left="120"/>
              <w:spacing w:after="0"/>
              <w:rPr>
                <w:sz w:val="20"/>
                <w:szCs w:val="20"/>
                <w:color w:val="auto"/>
              </w:rPr>
            </w:pPr>
            <w:r>
              <w:rPr>
                <w:rFonts w:ascii="Arial" w:cs="Arial" w:eastAsia="Arial" w:hAnsi="Arial"/>
                <w:sz w:val="10"/>
                <w:szCs w:val="10"/>
                <w:color w:val="auto"/>
              </w:rPr>
              <w:t>Total liabilities and equity</w:t>
            </w: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4,314,635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4,317,538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560" w:type="dxa"/>
            <w:vAlign w:val="bottom"/>
            <w:tcBorders>
              <w:top w:val="single" w:sz="8" w:color="5587A6"/>
              <w:bottom w:val="single" w:sz="8" w:color="5587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10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5587A6"/>
              <w:bottom w:val="single" w:sz="8" w:color="5587A6"/>
            </w:tcBorders>
          </w:tcPr>
          <w:p>
            <w:pPr>
              <w:spacing w:after="0" w:line="20" w:lineRule="exact"/>
              <w:rPr>
                <w:sz w:val="1"/>
                <w:szCs w:val="1"/>
                <w:color w:val="auto"/>
              </w:rPr>
            </w:pPr>
          </w:p>
        </w:tc>
        <w:tc>
          <w:tcPr>
            <w:tcW w:w="100" w:type="dxa"/>
            <w:vAlign w:val="bottom"/>
            <w:tcBorders>
              <w:top w:val="single" w:sz="8" w:color="5587A6"/>
              <w:bottom w:val="single" w:sz="8" w:color="5587A6"/>
            </w:tcBorders>
          </w:tcPr>
          <w:p>
            <w:pPr>
              <w:spacing w:after="0" w:line="20" w:lineRule="exact"/>
              <w:rPr>
                <w:sz w:val="1"/>
                <w:szCs w:val="1"/>
                <w:color w:val="auto"/>
              </w:rPr>
            </w:pPr>
          </w:p>
        </w:tc>
        <w:tc>
          <w:tcPr>
            <w:tcW w:w="1040" w:type="dxa"/>
            <w:vAlign w:val="bottom"/>
            <w:tcBorders>
              <w:top w:val="single" w:sz="8" w:color="5587A6"/>
              <w:bottom w:val="single" w:sz="8" w:color="5587A6"/>
            </w:tcBorders>
          </w:tcPr>
          <w:p>
            <w:pPr>
              <w:spacing w:after="0" w:line="20" w:lineRule="exact"/>
              <w:rPr>
                <w:sz w:val="1"/>
                <w:szCs w:val="1"/>
                <w:color w:val="auto"/>
              </w:rPr>
            </w:pPr>
          </w:p>
        </w:tc>
        <w:tc>
          <w:tcPr>
            <w:tcW w:w="20" w:type="dxa"/>
            <w:vAlign w:val="bottom"/>
            <w:tcBorders>
              <w:top w:val="single" w:sz="8" w:color="5587A6"/>
              <w:bottom w:val="single" w:sz="8" w:color="5587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0" w:type="dxa"/>
            <w:vAlign w:val="bottom"/>
          </w:tcPr>
          <w:p>
            <w:pPr>
              <w:spacing w:after="0"/>
              <w:rPr>
                <w:sz w:val="24"/>
                <w:szCs w:val="24"/>
                <w:color w:val="auto"/>
              </w:rPr>
            </w:pPr>
          </w:p>
        </w:tc>
        <w:tc>
          <w:tcPr>
            <w:tcW w:w="8660" w:type="dxa"/>
            <w:vAlign w:val="bottom"/>
            <w:gridSpan w:val="2"/>
          </w:tcPr>
          <w:p>
            <w:pPr>
              <w:ind w:left="3480"/>
              <w:spacing w:after="0"/>
              <w:rPr>
                <w:sz w:val="20"/>
                <w:szCs w:val="20"/>
                <w:color w:val="auto"/>
              </w:rPr>
            </w:pPr>
            <w:r>
              <w:rPr>
                <w:rFonts w:ascii="Arial" w:cs="Arial" w:eastAsia="Arial" w:hAnsi="Arial"/>
                <w:sz w:val="10"/>
                <w:szCs w:val="10"/>
                <w:color w:val="auto"/>
              </w:rPr>
              <w:t>See Notes to Condensed Consolidated Financial Statements in the First Quarter 2026 Form 10-Q</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760" w:type="dxa"/>
            <w:vAlign w:val="bottom"/>
            <w:tcBorders>
              <w:bottom w:val="single" w:sz="8" w:color="05314D"/>
            </w:tcBorders>
            <w:gridSpan w:val="3"/>
          </w:tcPr>
          <w:p>
            <w:pPr>
              <w:spacing w:after="0"/>
              <w:rPr>
                <w:sz w:val="24"/>
                <w:szCs w:val="24"/>
                <w:color w:val="auto"/>
              </w:rPr>
            </w:pPr>
          </w:p>
        </w:tc>
        <w:tc>
          <w:tcPr>
            <w:tcW w:w="140" w:type="dxa"/>
            <w:vAlign w:val="bottom"/>
            <w:tcBorders>
              <w:bottom w:val="single" w:sz="8" w:color="05314D"/>
            </w:tcBorders>
          </w:tcPr>
          <w:p>
            <w:pPr>
              <w:spacing w:after="0"/>
              <w:rPr>
                <w:sz w:val="24"/>
                <w:szCs w:val="24"/>
                <w:color w:val="auto"/>
              </w:rPr>
            </w:pPr>
          </w:p>
        </w:tc>
        <w:tc>
          <w:tcPr>
            <w:tcW w:w="102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40" w:type="dxa"/>
            <w:vAlign w:val="bottom"/>
            <w:tcBorders>
              <w:bottom w:val="single" w:sz="8" w:color="05314D"/>
            </w:tcBorders>
          </w:tcPr>
          <w:p>
            <w:pPr>
              <w:spacing w:after="0"/>
              <w:rPr>
                <w:sz w:val="24"/>
                <w:szCs w:val="24"/>
                <w:color w:val="auto"/>
              </w:rPr>
            </w:pPr>
          </w:p>
        </w:tc>
        <w:tc>
          <w:tcPr>
            <w:tcW w:w="20" w:type="dxa"/>
            <w:vAlign w:val="bottom"/>
            <w:tcBorders>
              <w:bottom w:val="single" w:sz="8" w:color="05314D"/>
            </w:tcBorders>
          </w:tcPr>
          <w:p>
            <w:pPr>
              <w:spacing w:after="0"/>
              <w:rPr>
                <w:sz w:val="24"/>
                <w:szCs w:val="24"/>
                <w:color w:val="auto"/>
              </w:rPr>
            </w:pPr>
          </w:p>
        </w:tc>
        <w:tc>
          <w:tcPr>
            <w:tcW w:w="100" w:type="dxa"/>
            <w:vAlign w:val="bottom"/>
            <w:tcBorders>
              <w:bottom w:val="single" w:sz="8" w:color="05314D"/>
            </w:tcBorders>
          </w:tcPr>
          <w:p>
            <w:pPr>
              <w:spacing w:after="0"/>
              <w:rPr>
                <w:sz w:val="24"/>
                <w:szCs w:val="24"/>
                <w:color w:val="auto"/>
              </w:rPr>
            </w:pPr>
          </w:p>
        </w:tc>
        <w:tc>
          <w:tcPr>
            <w:tcW w:w="1040" w:type="dxa"/>
            <w:vAlign w:val="bottom"/>
            <w:tcBorders>
              <w:bottom w:val="single" w:sz="8" w:color="05314D"/>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760" w:type="dxa"/>
            <w:vAlign w:val="bottom"/>
            <w:gridSpan w:val="3"/>
          </w:tcPr>
          <w:p>
            <w:pPr>
              <w:spacing w:after="0"/>
              <w:rPr>
                <w:sz w:val="20"/>
                <w:szCs w:val="20"/>
                <w:color w:val="auto"/>
              </w:rPr>
            </w:pPr>
            <w:r>
              <w:rPr>
                <w:rFonts w:ascii="Arial" w:cs="Arial" w:eastAsia="Arial" w:hAnsi="Arial"/>
                <w:sz w:val="11"/>
                <w:szCs w:val="11"/>
                <w:color w:val="auto"/>
              </w:rPr>
              <w:t>First Quarter 2026</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7184390</wp:posOffset>
            </wp:positionH>
            <wp:positionV relativeFrom="paragraph">
              <wp:posOffset>-3838575</wp:posOffset>
            </wp:positionV>
            <wp:extent cx="2921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210" cy="5715"/>
                    </a:xfrm>
                    <a:prstGeom prst="rect">
                      <a:avLst/>
                    </a:prstGeom>
                    <a:noFill/>
                  </pic:spPr>
                </pic:pic>
              </a:graphicData>
            </a:graphic>
          </wp:anchor>
        </w:drawing>
      </w:r>
    </w:p>
    <w:p>
      <w:pPr>
        <w:sectPr>
          <w:pgSz w:w="11900" w:h="16838" w:orient="portrait"/>
          <w:cols w:equalWidth="0" w:num="1">
            <w:col w:w="11360"/>
          </w:cols>
          <w:pgMar w:left="300" w:top="778"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2026-04-29T06:20:13Z</dcterms:created>
  <dcterms:modified xsi:type="dcterms:W3CDTF">2026-04-29T06:20:13Z</dcterms:modified>
</cp:coreProperties>
</file>