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205105</wp:posOffset>
            </wp:positionH>
            <wp:positionV relativeFrom="page">
              <wp:posOffset>686435</wp:posOffset>
            </wp:positionV>
            <wp:extent cx="713867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16510"/>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727710</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UNITED STATES SECURITIES AND EXCHANGE COMMISSION</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200" w:lineRule="exact"/>
        <w:rPr>
          <w:sz w:val="24"/>
          <w:szCs w:val="24"/>
          <w:color w:val="auto"/>
        </w:rPr>
      </w:pPr>
    </w:p>
    <w:p>
      <w:pPr>
        <w:spacing w:after="0" w:line="219" w:lineRule="exact"/>
        <w:rPr>
          <w:sz w:val="24"/>
          <w:szCs w:val="24"/>
          <w:color w:val="auto"/>
        </w:rPr>
      </w:pPr>
    </w:p>
    <w:p>
      <w:pPr>
        <w:ind w:left="340" w:hanging="337"/>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74" w:lineRule="exact"/>
        <w:rPr>
          <w:sz w:val="24"/>
          <w:szCs w:val="24"/>
          <w:color w:val="auto"/>
        </w:rPr>
      </w:pPr>
    </w:p>
    <w:p>
      <w:pPr>
        <w:ind w:left="620"/>
        <w:spacing w:after="0"/>
        <w:rPr>
          <w:sz w:val="20"/>
          <w:szCs w:val="20"/>
          <w:color w:val="auto"/>
        </w:rPr>
      </w:pPr>
      <w:r>
        <w:rPr>
          <w:rFonts w:ascii="Arial" w:cs="Arial" w:eastAsia="Arial" w:hAnsi="Arial"/>
          <w:sz w:val="16"/>
          <w:szCs w:val="16"/>
          <w:b w:val="1"/>
          <w:bCs w:val="1"/>
          <w:color w:val="auto"/>
        </w:rPr>
        <w:t>For the quarterly period ended June 30, 2023</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06" w:lineRule="exact"/>
        <w:rPr>
          <w:sz w:val="24"/>
          <w:szCs w:val="24"/>
          <w:color w:val="auto"/>
        </w:rPr>
      </w:pPr>
    </w:p>
    <w:p>
      <w:pPr>
        <w:ind w:left="340" w:hanging="337"/>
        <w:spacing w:after="0"/>
        <w:tabs>
          <w:tab w:leader="none" w:pos="340" w:val="left"/>
        </w:tabs>
        <w:numPr>
          <w:ilvl w:val="0"/>
          <w:numId w:val="2"/>
        </w:numPr>
        <w:rPr>
          <w:rFonts w:ascii="MS PGothic" w:cs="MS PGothic" w:eastAsia="MS PGothic" w:hAnsi="MS PGothic"/>
          <w:sz w:val="16"/>
          <w:szCs w:val="16"/>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74" w:lineRule="exact"/>
        <w:rPr>
          <w:sz w:val="24"/>
          <w:szCs w:val="24"/>
          <w:color w:val="auto"/>
        </w:rPr>
      </w:pPr>
    </w:p>
    <w:p>
      <w:pPr>
        <w:ind w:left="620"/>
        <w:spacing w:after="0"/>
        <w:tabs>
          <w:tab w:leader="none" w:pos="3160" w:val="left"/>
        </w:tabs>
        <w:rPr>
          <w:sz w:val="20"/>
          <w:szCs w:val="20"/>
          <w:color w:val="auto"/>
        </w:rPr>
      </w:pPr>
      <w:r>
        <w:rPr>
          <w:rFonts w:ascii="Arial" w:cs="Arial" w:eastAsia="Arial" w:hAnsi="Arial"/>
          <w:sz w:val="16"/>
          <w:szCs w:val="16"/>
          <w:b w:val="1"/>
          <w:bCs w:val="1"/>
          <w:color w:val="auto"/>
        </w:rPr>
        <w:t>For the transition period from</w:t>
        <w:tab/>
        <w:t>to</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0-50231</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Federal National Mortgage Association</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Fannie Mae</w:t>
      </w:r>
    </w:p>
    <w:p>
      <w:pPr>
        <w:spacing w:after="0" w:line="135" w:lineRule="exact"/>
        <w:rPr>
          <w:sz w:val="24"/>
          <w:szCs w:val="24"/>
          <w:color w:val="auto"/>
        </w:rPr>
      </w:pPr>
    </w:p>
    <w:tbl>
      <w:tblPr>
        <w:tblLayout w:type="fixed"/>
        <w:tblInd w:w="320" w:type="dxa"/>
        <w:tblCellMar>
          <w:top w:w="0" w:type="dxa"/>
          <w:left w:w="0" w:type="dxa"/>
          <w:bottom w:w="0" w:type="dxa"/>
          <w:right w:w="0" w:type="dxa"/>
        </w:tblCellMar>
      </w:tblPr>
      <w:tr>
        <w:trPr>
          <w:trHeight w:val="229"/>
        </w:trPr>
        <w:tc>
          <w:tcPr>
            <w:tcW w:w="298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Federally chartered corporation</w:t>
            </w: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52-0883107</w:t>
            </w:r>
          </w:p>
        </w:tc>
        <w:tc>
          <w:tcPr>
            <w:tcW w:w="298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1100 15th Street, NW</w:t>
            </w:r>
          </w:p>
        </w:tc>
        <w:tc>
          <w:tcPr>
            <w:tcW w:w="2940" w:type="dxa"/>
            <w:vAlign w:val="bottom"/>
            <w:tcBorders>
              <w:top w:val="single" w:sz="8" w:color="auto"/>
            </w:tcBorders>
          </w:tcPr>
          <w:p>
            <w:pPr>
              <w:jc w:val="right"/>
              <w:ind w:right="828"/>
              <w:spacing w:after="0"/>
              <w:rPr>
                <w:sz w:val="20"/>
                <w:szCs w:val="20"/>
                <w:color w:val="auto"/>
              </w:rPr>
            </w:pPr>
            <w:r>
              <w:rPr>
                <w:rFonts w:ascii="Arial" w:cs="Arial" w:eastAsia="Arial" w:hAnsi="Arial"/>
                <w:sz w:val="15"/>
                <w:szCs w:val="15"/>
                <w:b w:val="1"/>
                <w:bCs w:val="1"/>
                <w:color w:val="auto"/>
              </w:rPr>
              <w:t>800  232-6643</w:t>
            </w:r>
          </w:p>
        </w:tc>
      </w:tr>
      <w:tr>
        <w:trPr>
          <w:trHeight w:val="664"/>
        </w:trPr>
        <w:tc>
          <w:tcPr>
            <w:tcW w:w="2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5"/>
                <w:szCs w:val="15"/>
                <w:b w:val="1"/>
                <w:bCs w:val="1"/>
                <w:color w:val="auto"/>
              </w:rPr>
              <w:t>Washington,  DC  20005</w:t>
            </w:r>
          </w:p>
        </w:tc>
        <w:tc>
          <w:tcPr>
            <w:tcW w:w="2940" w:type="dxa"/>
            <w:vAlign w:val="bottom"/>
          </w:tcPr>
          <w:p>
            <w:pPr>
              <w:spacing w:after="0"/>
              <w:rPr>
                <w:sz w:val="24"/>
                <w:szCs w:val="24"/>
                <w:color w:val="auto"/>
              </w:rPr>
            </w:pPr>
          </w:p>
        </w:tc>
      </w:tr>
      <w:tr>
        <w:trPr>
          <w:trHeight w:val="142"/>
        </w:trPr>
        <w:tc>
          <w:tcPr>
            <w:tcW w:w="2980" w:type="dxa"/>
            <w:vAlign w:val="bottom"/>
          </w:tcPr>
          <w:p>
            <w:pPr>
              <w:jc w:val="center"/>
              <w:spacing w:after="0" w:line="142" w:lineRule="exact"/>
              <w:rPr>
                <w:sz w:val="20"/>
                <w:szCs w:val="20"/>
                <w:color w:val="auto"/>
              </w:rPr>
            </w:pPr>
            <w:r>
              <w:rPr>
                <w:rFonts w:ascii="Arial" w:cs="Arial" w:eastAsia="Arial" w:hAnsi="Arial"/>
                <w:sz w:val="14"/>
                <w:szCs w:val="14"/>
                <w:i w:val="1"/>
                <w:iCs w:val="1"/>
                <w:color w:val="auto"/>
                <w:w w:val="98"/>
              </w:rPr>
              <w:t>(State or other jurisdiction of</w:t>
            </w:r>
          </w:p>
        </w:tc>
        <w:tc>
          <w:tcPr>
            <w:tcW w:w="1720" w:type="dxa"/>
            <w:vAlign w:val="bottom"/>
          </w:tcPr>
          <w:p>
            <w:pPr>
              <w:jc w:val="center"/>
              <w:spacing w:after="0" w:line="142" w:lineRule="exact"/>
              <w:rPr>
                <w:sz w:val="20"/>
                <w:szCs w:val="20"/>
                <w:color w:val="auto"/>
              </w:rPr>
            </w:pPr>
            <w:r>
              <w:rPr>
                <w:rFonts w:ascii="Arial" w:cs="Arial" w:eastAsia="Arial" w:hAnsi="Arial"/>
                <w:sz w:val="14"/>
                <w:szCs w:val="14"/>
                <w:i w:val="1"/>
                <w:iCs w:val="1"/>
                <w:color w:val="auto"/>
                <w:w w:val="99"/>
              </w:rPr>
              <w:t>(I.R.S. Employer</w:t>
            </w:r>
          </w:p>
        </w:tc>
        <w:tc>
          <w:tcPr>
            <w:tcW w:w="2980" w:type="dxa"/>
            <w:vAlign w:val="bottom"/>
          </w:tcPr>
          <w:p>
            <w:pPr>
              <w:jc w:val="center"/>
              <w:spacing w:after="0" w:line="142" w:lineRule="exact"/>
              <w:rPr>
                <w:sz w:val="20"/>
                <w:szCs w:val="20"/>
                <w:color w:val="auto"/>
              </w:rPr>
            </w:pPr>
            <w:r>
              <w:rPr>
                <w:rFonts w:ascii="Arial" w:cs="Arial" w:eastAsia="Arial" w:hAnsi="Arial"/>
                <w:sz w:val="14"/>
                <w:szCs w:val="14"/>
                <w:i w:val="1"/>
                <w:iCs w:val="1"/>
                <w:color w:val="auto"/>
                <w:w w:val="97"/>
              </w:rPr>
              <w:t>(Address of principal executive offices,</w:t>
            </w:r>
          </w:p>
        </w:tc>
        <w:tc>
          <w:tcPr>
            <w:tcW w:w="2940" w:type="dxa"/>
            <w:vAlign w:val="bottom"/>
          </w:tcPr>
          <w:p>
            <w:pPr>
              <w:jc w:val="center"/>
              <w:ind w:left="88"/>
              <w:spacing w:after="0" w:line="142" w:lineRule="exact"/>
              <w:rPr>
                <w:sz w:val="20"/>
                <w:szCs w:val="20"/>
                <w:color w:val="auto"/>
              </w:rPr>
            </w:pPr>
            <w:r>
              <w:rPr>
                <w:rFonts w:ascii="Arial" w:cs="Arial" w:eastAsia="Arial" w:hAnsi="Arial"/>
                <w:sz w:val="14"/>
                <w:szCs w:val="14"/>
                <w:i w:val="1"/>
                <w:iCs w:val="1"/>
                <w:color w:val="auto"/>
                <w:w w:val="98"/>
              </w:rPr>
              <w:t>(Registrant’s telephone number, including</w:t>
            </w:r>
          </w:p>
        </w:tc>
      </w:tr>
      <w:tr>
        <w:trPr>
          <w:trHeight w:val="177"/>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8"/>
              </w:rPr>
              <w:t>incorporation or organization)</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7"/>
              </w:rPr>
              <w:t>Identification No.)</w:t>
            </w: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8"/>
              </w:rPr>
              <w:t>including zip code)</w:t>
            </w:r>
          </w:p>
        </w:tc>
        <w:tc>
          <w:tcPr>
            <w:tcW w:w="294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i w:val="1"/>
                <w:iCs w:val="1"/>
                <w:color w:val="auto"/>
                <w:w w:val="98"/>
              </w:rPr>
              <w:t>area code)</w:t>
            </w:r>
          </w:p>
        </w:tc>
      </w:tr>
    </w:tbl>
    <w:p>
      <w:pPr>
        <w:spacing w:after="0" w:line="188"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36" w:lineRule="exact"/>
        <w:rPr>
          <w:sz w:val="24"/>
          <w:szCs w:val="24"/>
          <w:color w:val="auto"/>
        </w:rPr>
      </w:pPr>
    </w:p>
    <w:tbl>
      <w:tblPr>
        <w:tblLayout w:type="fixed"/>
        <w:tblInd w:w="10" w:type="dxa"/>
        <w:tblCellMar>
          <w:top w:w="0" w:type="dxa"/>
          <w:left w:w="0" w:type="dxa"/>
          <w:bottom w:w="0" w:type="dxa"/>
          <w:right w:w="0" w:type="dxa"/>
        </w:tblCellMar>
      </w:tblPr>
      <w:tr>
        <w:trPr>
          <w:trHeight w:val="219"/>
        </w:trPr>
        <w:tc>
          <w:tcPr>
            <w:tcW w:w="2460" w:type="dxa"/>
            <w:vAlign w:val="bottom"/>
            <w:tcBorders>
              <w:top w:val="single" w:sz="8" w:color="auto"/>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5"/>
                <w:szCs w:val="15"/>
                <w:b w:val="1"/>
                <w:bCs w:val="1"/>
                <w:color w:val="auto"/>
              </w:rPr>
              <w:t>Title of each class</w:t>
            </w:r>
          </w:p>
        </w:tc>
        <w:tc>
          <w:tcPr>
            <w:tcW w:w="2420" w:type="dxa"/>
            <w:vAlign w:val="bottom"/>
            <w:tcBorders>
              <w:top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5"/>
                <w:szCs w:val="15"/>
                <w:b w:val="1"/>
                <w:bCs w:val="1"/>
                <w:color w:val="auto"/>
              </w:rPr>
              <w:t>Trading Symbol(s)</w:t>
            </w:r>
          </w:p>
        </w:tc>
        <w:tc>
          <w:tcPr>
            <w:tcW w:w="6380" w:type="dxa"/>
            <w:vAlign w:val="bottom"/>
            <w:tcBorders>
              <w:top w:val="single" w:sz="8" w:color="auto"/>
              <w:bottom w:val="single" w:sz="8" w:color="auto"/>
              <w:right w:val="single" w:sz="8" w:color="auto"/>
            </w:tcBorders>
          </w:tcPr>
          <w:p>
            <w:pPr>
              <w:ind w:left="1540"/>
              <w:spacing w:after="0"/>
              <w:rPr>
                <w:sz w:val="20"/>
                <w:szCs w:val="20"/>
                <w:color w:val="auto"/>
              </w:rPr>
            </w:pPr>
            <w:r>
              <w:rPr>
                <w:rFonts w:ascii="Arial" w:cs="Arial" w:eastAsia="Arial" w:hAnsi="Arial"/>
                <w:sz w:val="15"/>
                <w:szCs w:val="15"/>
                <w:b w:val="1"/>
                <w:bCs w:val="1"/>
                <w:color w:val="auto"/>
              </w:rPr>
              <w:t>Name of each exchange on which registered</w:t>
            </w:r>
          </w:p>
        </w:tc>
      </w:tr>
      <w:tr>
        <w:trPr>
          <w:trHeight w:val="196"/>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None</w:t>
            </w:r>
          </w:p>
        </w:tc>
        <w:tc>
          <w:tcPr>
            <w:tcW w:w="2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N/A</w:t>
            </w:r>
          </w:p>
        </w:tc>
        <w:tc>
          <w:tcPr>
            <w:tcW w:w="6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N/A</w:t>
            </w:r>
          </w:p>
        </w:tc>
      </w:tr>
    </w:tbl>
    <w:p>
      <w:pPr>
        <w:spacing w:after="0" w:line="137" w:lineRule="exact"/>
        <w:rPr>
          <w:sz w:val="24"/>
          <w:szCs w:val="24"/>
          <w:color w:val="auto"/>
        </w:rPr>
      </w:pPr>
    </w:p>
    <w:p>
      <w:pPr>
        <w:jc w:val="both"/>
        <w:ind w:right="380"/>
        <w:spacing w:after="0" w:line="21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ind w:right="400"/>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ind w:right="120"/>
        <w:spacing w:after="0" w:line="26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360" w:type="dxa"/>
        <w:tblCellMar>
          <w:top w:w="0" w:type="dxa"/>
          <w:left w:w="0" w:type="dxa"/>
          <w:bottom w:w="0" w:type="dxa"/>
          <w:right w:w="0" w:type="dxa"/>
        </w:tblCellMar>
      </w:tblPr>
      <w:tr>
        <w:trPr>
          <w:trHeight w:val="229"/>
        </w:trPr>
        <w:tc>
          <w:tcPr>
            <w:tcW w:w="18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120" w:type="dxa"/>
            <w:vAlign w:val="bottom"/>
          </w:tcPr>
          <w:p>
            <w:pPr>
              <w:ind w:left="340"/>
              <w:spacing w:after="0" w:line="151" w:lineRule="exact"/>
              <w:rPr>
                <w:sz w:val="20"/>
                <w:szCs w:val="20"/>
                <w:color w:val="auto"/>
              </w:rPr>
            </w:pPr>
            <w:r>
              <w:rPr>
                <w:rFonts w:ascii="MS PGothic" w:cs="MS PGothic" w:eastAsia="MS PGothic" w:hAnsi="MS PGothic"/>
                <w:sz w:val="15"/>
                <w:szCs w:val="15"/>
                <w:color w:val="auto"/>
              </w:rPr>
              <w:t>☐</w:t>
            </w:r>
          </w:p>
        </w:tc>
        <w:tc>
          <w:tcPr>
            <w:tcW w:w="4860" w:type="dxa"/>
            <w:vAlign w:val="bottom"/>
          </w:tcPr>
          <w:p>
            <w:pPr>
              <w:ind w:left="2620"/>
              <w:spacing w:after="0"/>
              <w:rPr>
                <w:sz w:val="20"/>
                <w:szCs w:val="20"/>
                <w:color w:val="auto"/>
              </w:rPr>
            </w:pPr>
            <w:r>
              <w:rPr>
                <w:rFonts w:ascii="Arial" w:cs="Arial" w:eastAsia="Arial" w:hAnsi="Arial"/>
                <w:sz w:val="15"/>
                <w:szCs w:val="15"/>
                <w:color w:val="auto"/>
              </w:rPr>
              <w:t>Accelerated filer</w:t>
            </w:r>
          </w:p>
        </w:tc>
        <w:tc>
          <w:tcPr>
            <w:tcW w:w="5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6"/>
        </w:trPr>
        <w:tc>
          <w:tcPr>
            <w:tcW w:w="1880" w:type="dxa"/>
            <w:vAlign w:val="bottom"/>
          </w:tcPr>
          <w:p>
            <w:pPr>
              <w:spacing w:after="0"/>
              <w:rPr>
                <w:sz w:val="20"/>
                <w:szCs w:val="20"/>
                <w:color w:val="auto"/>
              </w:rPr>
            </w:pPr>
            <w:r>
              <w:rPr>
                <w:rFonts w:ascii="Arial" w:cs="Arial" w:eastAsia="Arial" w:hAnsi="Arial"/>
                <w:sz w:val="15"/>
                <w:szCs w:val="15"/>
                <w:color w:val="auto"/>
              </w:rPr>
              <w:t>Non-accelerated filer</w:t>
            </w:r>
          </w:p>
        </w:tc>
        <w:tc>
          <w:tcPr>
            <w:tcW w:w="3120" w:type="dxa"/>
            <w:vAlign w:val="bottom"/>
          </w:tcPr>
          <w:p>
            <w:pPr>
              <w:ind w:left="340"/>
              <w:spacing w:after="0" w:line="151" w:lineRule="exact"/>
              <w:rPr>
                <w:sz w:val="20"/>
                <w:szCs w:val="20"/>
                <w:color w:val="auto"/>
              </w:rPr>
            </w:pPr>
            <w:r>
              <w:rPr>
                <w:rFonts w:ascii="MS PGothic" w:cs="MS PGothic" w:eastAsia="MS PGothic" w:hAnsi="MS PGothic"/>
                <w:sz w:val="15"/>
                <w:szCs w:val="15"/>
                <w:color w:val="auto"/>
              </w:rPr>
              <w:t>☐</w:t>
            </w:r>
          </w:p>
        </w:tc>
        <w:tc>
          <w:tcPr>
            <w:tcW w:w="4860" w:type="dxa"/>
            <w:vAlign w:val="bottom"/>
          </w:tcPr>
          <w:p>
            <w:pPr>
              <w:ind w:left="2620"/>
              <w:spacing w:after="0"/>
              <w:rPr>
                <w:sz w:val="20"/>
                <w:szCs w:val="20"/>
                <w:color w:val="auto"/>
              </w:rPr>
            </w:pPr>
            <w:r>
              <w:rPr>
                <w:rFonts w:ascii="Arial" w:cs="Arial" w:eastAsia="Arial" w:hAnsi="Arial"/>
                <w:sz w:val="15"/>
                <w:szCs w:val="15"/>
                <w:color w:val="auto"/>
              </w:rPr>
              <w:t>Smaller reporting company</w:t>
            </w:r>
          </w:p>
        </w:tc>
        <w:tc>
          <w:tcPr>
            <w:tcW w:w="540" w:type="dxa"/>
            <w:vAlign w:val="bottom"/>
          </w:tcPr>
          <w:p>
            <w:pPr>
              <w:ind w:left="380"/>
              <w:spacing w:after="0" w:line="151" w:lineRule="exact"/>
              <w:rPr>
                <w:sz w:val="20"/>
                <w:szCs w:val="20"/>
                <w:color w:val="auto"/>
              </w:rPr>
            </w:pPr>
            <w:r>
              <w:rPr>
                <w:rFonts w:ascii="MS PGothic" w:cs="MS PGothic" w:eastAsia="MS PGothic" w:hAnsi="MS PGothic"/>
                <w:sz w:val="15"/>
                <w:szCs w:val="15"/>
                <w:color w:val="auto"/>
                <w:w w:val="93"/>
              </w:rPr>
              <w:t>☐</w:t>
            </w:r>
          </w:p>
        </w:tc>
      </w:tr>
      <w:tr>
        <w:trPr>
          <w:trHeight w:val="260"/>
        </w:trPr>
        <w:tc>
          <w:tcPr>
            <w:tcW w:w="18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860" w:type="dxa"/>
            <w:vAlign w:val="bottom"/>
          </w:tcPr>
          <w:p>
            <w:pPr>
              <w:ind w:left="2620"/>
              <w:spacing w:after="0"/>
              <w:rPr>
                <w:sz w:val="20"/>
                <w:szCs w:val="20"/>
                <w:color w:val="auto"/>
              </w:rPr>
            </w:pPr>
            <w:r>
              <w:rPr>
                <w:rFonts w:ascii="Arial" w:cs="Arial" w:eastAsia="Arial" w:hAnsi="Arial"/>
                <w:sz w:val="15"/>
                <w:szCs w:val="15"/>
                <w:color w:val="auto"/>
              </w:rPr>
              <w:t>Emerging growth company</w:t>
            </w:r>
          </w:p>
        </w:tc>
        <w:tc>
          <w:tcPr>
            <w:tcW w:w="540" w:type="dxa"/>
            <w:vAlign w:val="bottom"/>
          </w:tcPr>
          <w:p>
            <w:pPr>
              <w:ind w:left="380"/>
              <w:spacing w:after="0" w:line="151" w:lineRule="exact"/>
              <w:rPr>
                <w:sz w:val="20"/>
                <w:szCs w:val="20"/>
                <w:color w:val="auto"/>
              </w:rPr>
            </w:pPr>
            <w:r>
              <w:rPr>
                <w:rFonts w:ascii="MS PGothic" w:cs="MS PGothic" w:eastAsia="MS PGothic" w:hAnsi="MS PGothic"/>
                <w:sz w:val="15"/>
                <w:szCs w:val="15"/>
                <w:color w:val="auto"/>
                <w:w w:val="93"/>
              </w:rPr>
              <w:t>☐</w:t>
            </w:r>
          </w:p>
        </w:tc>
      </w:tr>
    </w:tbl>
    <w:p>
      <w:pPr>
        <w:spacing w:after="0" w:line="118" w:lineRule="exact"/>
        <w:rPr>
          <w:sz w:val="24"/>
          <w:szCs w:val="24"/>
          <w:color w:val="auto"/>
        </w:rPr>
      </w:pPr>
    </w:p>
    <w:p>
      <w:pPr>
        <w:ind w:right="6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5" w:lineRule="exact"/>
        <w:rPr>
          <w:sz w:val="24"/>
          <w:szCs w:val="24"/>
          <w:color w:val="auto"/>
        </w:rPr>
      </w:pPr>
    </w:p>
    <w:p>
      <w:pPr>
        <w:ind w:right="2180"/>
        <w:spacing w:after="0" w:line="298" w:lineRule="exact"/>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July 14, 2023, there were 1,158,087,567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718820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92710</wp:posOffset>
            </wp:positionV>
            <wp:extent cx="7122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117475</wp:posOffset>
            </wp:positionV>
            <wp:extent cx="712216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2160" cy="16510"/>
                    </a:xfrm>
                    <a:prstGeom prst="rect">
                      <a:avLst/>
                    </a:prstGeom>
                    <a:noFill/>
                  </pic:spPr>
                </pic:pic>
              </a:graphicData>
            </a:graphic>
          </wp:anchor>
        </w:drawing>
      </w:r>
    </w:p>
    <w:p>
      <w:pPr>
        <w:sectPr>
          <w:pgSz w:w="11900" w:h="16838" w:orient="portrait"/>
          <w:cols w:equalWidth="0" w:num="1">
            <w:col w:w="11240"/>
          </w:cols>
          <w:pgMar w:left="320" w:top="1268"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24"/>
          <w:szCs w:val="24"/>
          <w:b w:val="1"/>
          <w:bCs w:val="1"/>
          <w:color w:val="05314D"/>
        </w:rPr>
        <w:t>TABLE OF CONTENTS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680" w:type="dxa"/>
            <w:vAlign w:val="bottom"/>
            <w:tcBorders>
              <w:top w:val="single" w:sz="8" w:color="2C6937"/>
            </w:tcBorders>
            <w:gridSpan w:val="2"/>
            <w:vMerge w:val="restart"/>
          </w:tcPr>
          <w:p>
            <w:pPr>
              <w:spacing w:after="0"/>
              <w:rPr>
                <w:sz w:val="20"/>
                <w:szCs w:val="20"/>
                <w:color w:val="auto"/>
              </w:rPr>
            </w:pPr>
            <w:r>
              <w:rPr>
                <w:rFonts w:ascii="Arial" w:cs="Arial" w:eastAsia="Arial" w:hAnsi="Arial"/>
                <w:sz w:val="15"/>
                <w:szCs w:val="15"/>
                <w:b w:val="1"/>
                <w:bCs w:val="1"/>
                <w:color w:val="auto"/>
              </w:rPr>
              <w:t>PART I—Financial Information</w:t>
            </w:r>
          </w:p>
        </w:tc>
        <w:tc>
          <w:tcPr>
            <w:tcW w:w="540" w:type="dxa"/>
            <w:vAlign w:val="bottom"/>
            <w:tcBorders>
              <w:top w:val="single" w:sz="8" w:color="2C6937"/>
            </w:tcBorders>
            <w:gridSpan w:val="7"/>
          </w:tcPr>
          <w:p>
            <w:pPr>
              <w:spacing w:after="0"/>
              <w:rPr>
                <w:sz w:val="20"/>
                <w:szCs w:val="20"/>
                <w:color w:val="auto"/>
              </w:rPr>
            </w:pPr>
            <w:r>
              <w:rPr>
                <w:rFonts w:ascii="Arial" w:cs="Arial" w:eastAsia="Arial" w:hAnsi="Arial"/>
                <w:sz w:val="15"/>
                <w:szCs w:val="15"/>
                <w:b w:val="1"/>
                <w:bCs w:val="1"/>
                <w:color w:val="auto"/>
              </w:rPr>
              <w:t>Page</w:t>
            </w:r>
          </w:p>
        </w:tc>
        <w:tc>
          <w:tcPr>
            <w:tcW w:w="0" w:type="dxa"/>
            <w:vAlign w:val="bottom"/>
          </w:tcPr>
          <w:p>
            <w:pPr>
              <w:spacing w:after="0"/>
              <w:rPr>
                <w:sz w:val="1"/>
                <w:szCs w:val="1"/>
                <w:color w:val="auto"/>
              </w:rPr>
            </w:pPr>
          </w:p>
        </w:tc>
      </w:tr>
      <w:tr>
        <w:trPr>
          <w:trHeight w:val="186"/>
        </w:trPr>
        <w:tc>
          <w:tcPr>
            <w:tcW w:w="10680" w:type="dxa"/>
            <w:vAlign w:val="bottom"/>
            <w:tcBorders>
              <w:top w:val="single" w:sz="8" w:color="2C6937"/>
            </w:tcBorders>
            <w:gridSpan w:val="2"/>
            <w:vMerge w:val="continue"/>
          </w:tcPr>
          <w:p>
            <w:pPr>
              <w:spacing w:after="0"/>
              <w:rPr>
                <w:sz w:val="16"/>
                <w:szCs w:val="16"/>
                <w:color w:val="auto"/>
              </w:rPr>
            </w:pPr>
          </w:p>
        </w:tc>
        <w:tc>
          <w:tcPr>
            <w:tcW w:w="360" w:type="dxa"/>
            <w:vAlign w:val="bottom"/>
            <w:tcBorders>
              <w:top w:val="single" w:sz="8" w:color="auto"/>
            </w:tcBorders>
            <w:gridSpan w:val="4"/>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0000FF"/>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0" w:type="dxa"/>
            <w:vAlign w:val="bottom"/>
          </w:tcPr>
          <w:p>
            <w:pPr>
              <w:spacing w:after="0"/>
              <w:rPr>
                <w:sz w:val="20"/>
                <w:szCs w:val="20"/>
                <w:color w:val="auto"/>
              </w:rPr>
            </w:pPr>
            <w:r>
              <w:rPr>
                <w:rFonts w:ascii="Arial" w:cs="Arial" w:eastAsia="Arial" w:hAnsi="Arial"/>
                <w:sz w:val="15"/>
                <w:szCs w:val="15"/>
                <w:color w:val="auto"/>
              </w:rPr>
              <w:t>Item 1.</w:t>
            </w:r>
          </w:p>
        </w:tc>
        <w:tc>
          <w:tcPr>
            <w:tcW w:w="9920" w:type="dxa"/>
            <w:vAlign w:val="bottom"/>
          </w:tcPr>
          <w:p>
            <w:pPr>
              <w:ind w:left="280"/>
              <w:spacing w:after="0"/>
              <w:rPr>
                <w:sz w:val="20"/>
                <w:szCs w:val="20"/>
                <w:color w:val="auto"/>
              </w:rPr>
            </w:pPr>
            <w:r>
              <w:rPr>
                <w:rFonts w:ascii="Arial" w:cs="Arial" w:eastAsia="Arial" w:hAnsi="Arial"/>
                <w:sz w:val="15"/>
                <w:szCs w:val="15"/>
                <w:color w:val="auto"/>
              </w:rPr>
              <w:t>Financial Statements</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760" w:type="dxa"/>
            <w:vAlign w:val="bottom"/>
          </w:tcPr>
          <w:p>
            <w:pPr>
              <w:spacing w:after="0"/>
              <w:rPr>
                <w:sz w:val="15"/>
                <w:szCs w:val="15"/>
                <w:color w:val="auto"/>
              </w:rPr>
            </w:pPr>
          </w:p>
        </w:tc>
        <w:tc>
          <w:tcPr>
            <w:tcW w:w="9920" w:type="dxa"/>
            <w:vAlign w:val="bottom"/>
          </w:tcPr>
          <w:p>
            <w:pPr>
              <w:ind w:left="280"/>
              <w:spacing w:after="0"/>
              <w:rPr>
                <w:sz w:val="20"/>
                <w:szCs w:val="20"/>
                <w:color w:val="auto"/>
              </w:rPr>
            </w:pPr>
            <w:r>
              <w:rPr>
                <w:rFonts w:ascii="Arial" w:cs="Arial" w:eastAsia="Arial" w:hAnsi="Arial"/>
                <w:sz w:val="15"/>
                <w:szCs w:val="15"/>
                <w:color w:val="auto"/>
              </w:rPr>
              <w:t>Condensed Consolidated Balance Sheets</w:t>
            </w:r>
          </w:p>
        </w:tc>
        <w:tc>
          <w:tcPr>
            <w:tcW w:w="340" w:type="dxa"/>
            <w:vAlign w:val="bottom"/>
            <w:gridSpan w:val="3"/>
          </w:tcPr>
          <w:p>
            <w:pPr>
              <w:spacing w:after="0"/>
              <w:rPr>
                <w:sz w:val="15"/>
                <w:szCs w:val="15"/>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280"/>
              <w:spacing w:after="0"/>
              <w:rPr>
                <w:sz w:val="20"/>
                <w:szCs w:val="20"/>
                <w:color w:val="auto"/>
              </w:rPr>
            </w:pPr>
            <w:r>
              <w:rPr>
                <w:rFonts w:ascii="Arial" w:cs="Arial" w:eastAsia="Arial" w:hAnsi="Arial"/>
                <w:sz w:val="15"/>
                <w:szCs w:val="15"/>
                <w:color w:val="auto"/>
              </w:rPr>
              <w:t>Condensed Consolidated Statements of Operations and Comprehensive Income</w:t>
            </w:r>
          </w:p>
        </w:tc>
        <w:tc>
          <w:tcPr>
            <w:tcW w:w="34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280"/>
              <w:spacing w:after="0"/>
              <w:rPr>
                <w:sz w:val="20"/>
                <w:szCs w:val="20"/>
                <w:color w:val="auto"/>
              </w:rPr>
            </w:pPr>
            <w:r>
              <w:rPr>
                <w:rFonts w:ascii="Arial" w:cs="Arial" w:eastAsia="Arial" w:hAnsi="Arial"/>
                <w:sz w:val="15"/>
                <w:szCs w:val="15"/>
                <w:color w:val="auto"/>
              </w:rPr>
              <w:t>Condensed Consolidated Statements of Cash Flows</w:t>
            </w:r>
          </w:p>
        </w:tc>
        <w:tc>
          <w:tcPr>
            <w:tcW w:w="34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280"/>
              <w:spacing w:after="0"/>
              <w:rPr>
                <w:sz w:val="20"/>
                <w:szCs w:val="20"/>
                <w:color w:val="auto"/>
              </w:rPr>
            </w:pPr>
            <w:r>
              <w:rPr>
                <w:rFonts w:ascii="Arial" w:cs="Arial" w:eastAsia="Arial" w:hAnsi="Arial"/>
                <w:sz w:val="15"/>
                <w:szCs w:val="15"/>
                <w:color w:val="auto"/>
              </w:rPr>
              <w:t>Condensed Consolidated Statements of Changes in Equity</w:t>
            </w:r>
          </w:p>
        </w:tc>
        <w:tc>
          <w:tcPr>
            <w:tcW w:w="34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440"/>
              <w:spacing w:after="0"/>
              <w:rPr>
                <w:sz w:val="20"/>
                <w:szCs w:val="20"/>
                <w:color w:val="auto"/>
              </w:rPr>
            </w:pPr>
            <w:r>
              <w:rPr>
                <w:rFonts w:ascii="Arial" w:cs="Arial" w:eastAsia="Arial" w:hAnsi="Arial"/>
                <w:sz w:val="15"/>
                <w:szCs w:val="15"/>
                <w:color w:val="auto"/>
              </w:rPr>
              <w:t>Note 1—Summary of Significant Accounting Policies</w:t>
            </w:r>
          </w:p>
        </w:tc>
        <w:tc>
          <w:tcPr>
            <w:tcW w:w="34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440"/>
              <w:spacing w:after="0"/>
              <w:rPr>
                <w:sz w:val="20"/>
                <w:szCs w:val="20"/>
                <w:color w:val="auto"/>
              </w:rPr>
            </w:pPr>
            <w:r>
              <w:rPr>
                <w:rFonts w:ascii="Arial" w:cs="Arial" w:eastAsia="Arial" w:hAnsi="Arial"/>
                <w:sz w:val="15"/>
                <w:szCs w:val="15"/>
                <w:color w:val="auto"/>
              </w:rPr>
              <w:t>Note 2—Consolidations and Transfers of Financial Assets</w:t>
            </w:r>
          </w:p>
        </w:tc>
        <w:tc>
          <w:tcPr>
            <w:tcW w:w="34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440"/>
              <w:spacing w:after="0"/>
              <w:rPr>
                <w:sz w:val="20"/>
                <w:szCs w:val="20"/>
                <w:color w:val="auto"/>
              </w:rPr>
            </w:pPr>
            <w:r>
              <w:rPr>
                <w:rFonts w:ascii="Arial" w:cs="Arial" w:eastAsia="Arial" w:hAnsi="Arial"/>
                <w:sz w:val="15"/>
                <w:szCs w:val="15"/>
                <w:color w:val="auto"/>
              </w:rPr>
              <w:t>Note 3—Mortgage Loans</w:t>
            </w:r>
          </w:p>
        </w:tc>
        <w:tc>
          <w:tcPr>
            <w:tcW w:w="34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73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440"/>
              <w:spacing w:after="0"/>
              <w:rPr>
                <w:sz w:val="20"/>
                <w:szCs w:val="20"/>
                <w:color w:val="auto"/>
              </w:rPr>
            </w:pPr>
            <w:r>
              <w:rPr>
                <w:rFonts w:ascii="Arial" w:cs="Arial" w:eastAsia="Arial" w:hAnsi="Arial"/>
                <w:sz w:val="15"/>
                <w:szCs w:val="15"/>
                <w:color w:val="auto"/>
              </w:rPr>
              <w:t>Note 4—Allowance for Loan Losses</w:t>
            </w:r>
          </w:p>
        </w:tc>
        <w:tc>
          <w:tcPr>
            <w:tcW w:w="34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440"/>
              <w:spacing w:after="0"/>
              <w:rPr>
                <w:sz w:val="20"/>
                <w:szCs w:val="20"/>
                <w:color w:val="auto"/>
              </w:rPr>
            </w:pPr>
            <w:r>
              <w:rPr>
                <w:rFonts w:ascii="Arial" w:cs="Arial" w:eastAsia="Arial" w:hAnsi="Arial"/>
                <w:sz w:val="15"/>
                <w:szCs w:val="15"/>
                <w:color w:val="auto"/>
              </w:rPr>
              <w:t>Note 5—Investments in Securities</w:t>
            </w:r>
          </w:p>
        </w:tc>
        <w:tc>
          <w:tcPr>
            <w:tcW w:w="34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90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440"/>
              <w:spacing w:after="0"/>
              <w:rPr>
                <w:sz w:val="20"/>
                <w:szCs w:val="20"/>
                <w:color w:val="auto"/>
              </w:rPr>
            </w:pPr>
            <w:r>
              <w:rPr>
                <w:rFonts w:ascii="Arial" w:cs="Arial" w:eastAsia="Arial" w:hAnsi="Arial"/>
                <w:sz w:val="15"/>
                <w:szCs w:val="15"/>
                <w:color w:val="auto"/>
              </w:rPr>
              <w:t>Note 6—Financial Guarantees</w:t>
            </w:r>
          </w:p>
        </w:tc>
        <w:tc>
          <w:tcPr>
            <w:tcW w:w="34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440"/>
              <w:spacing w:after="0"/>
              <w:rPr>
                <w:sz w:val="20"/>
                <w:szCs w:val="20"/>
                <w:color w:val="auto"/>
              </w:rPr>
            </w:pPr>
            <w:r>
              <w:rPr>
                <w:rFonts w:ascii="Arial" w:cs="Arial" w:eastAsia="Arial" w:hAnsi="Arial"/>
                <w:sz w:val="15"/>
                <w:szCs w:val="15"/>
                <w:color w:val="auto"/>
              </w:rPr>
              <w:t>Note 7—Short-Term and Long-Term Debt</w:t>
            </w:r>
          </w:p>
        </w:tc>
        <w:tc>
          <w:tcPr>
            <w:tcW w:w="34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93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440"/>
              <w:spacing w:after="0"/>
              <w:rPr>
                <w:sz w:val="20"/>
                <w:szCs w:val="20"/>
                <w:color w:val="auto"/>
              </w:rPr>
            </w:pPr>
            <w:r>
              <w:rPr>
                <w:rFonts w:ascii="Arial" w:cs="Arial" w:eastAsia="Arial" w:hAnsi="Arial"/>
                <w:sz w:val="15"/>
                <w:szCs w:val="15"/>
                <w:color w:val="auto"/>
              </w:rPr>
              <w:t>Note 8—Derivative Instruments</w:t>
            </w:r>
          </w:p>
        </w:tc>
        <w:tc>
          <w:tcPr>
            <w:tcW w:w="34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440"/>
              <w:spacing w:after="0"/>
              <w:rPr>
                <w:sz w:val="20"/>
                <w:szCs w:val="20"/>
                <w:color w:val="auto"/>
              </w:rPr>
            </w:pPr>
            <w:r>
              <w:rPr>
                <w:rFonts w:ascii="Arial" w:cs="Arial" w:eastAsia="Arial" w:hAnsi="Arial"/>
                <w:sz w:val="15"/>
                <w:szCs w:val="15"/>
                <w:color w:val="auto"/>
              </w:rPr>
              <w:t>Note 9—Segment Reporting</w:t>
            </w:r>
          </w:p>
        </w:tc>
        <w:tc>
          <w:tcPr>
            <w:tcW w:w="34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440"/>
              <w:spacing w:after="0"/>
              <w:rPr>
                <w:sz w:val="20"/>
                <w:szCs w:val="20"/>
                <w:color w:val="auto"/>
              </w:rPr>
            </w:pPr>
            <w:r>
              <w:rPr>
                <w:rFonts w:ascii="Arial" w:cs="Arial" w:eastAsia="Arial" w:hAnsi="Arial"/>
                <w:sz w:val="15"/>
                <w:szCs w:val="15"/>
                <w:color w:val="auto"/>
              </w:rPr>
              <w:t>Note 10—Concentrations of Credit Risk</w:t>
            </w:r>
          </w:p>
        </w:tc>
        <w:tc>
          <w:tcPr>
            <w:tcW w:w="260" w:type="dxa"/>
            <w:vAlign w:val="bottom"/>
          </w:tcPr>
          <w:p>
            <w:pPr>
              <w:spacing w:after="0"/>
              <w:rPr>
                <w:sz w:val="16"/>
                <w:szCs w:val="16"/>
                <w:color w:val="auto"/>
              </w:rPr>
            </w:pPr>
          </w:p>
        </w:tc>
        <w:tc>
          <w:tcPr>
            <w:tcW w:w="260" w:type="dxa"/>
            <w:vAlign w:val="bottom"/>
            <w:tcBorders>
              <w:bottom w:val="single" w:sz="8" w:color="0000FF"/>
            </w:tcBorders>
            <w:gridSpan w:val="5"/>
          </w:tcPr>
          <w:p>
            <w:pPr>
              <w:jc w:val="right"/>
              <w:spacing w:after="0"/>
              <w:rPr>
                <w:sz w:val="20"/>
                <w:szCs w:val="20"/>
                <w:color w:val="auto"/>
              </w:rPr>
            </w:pPr>
            <w:r>
              <w:rPr>
                <w:rFonts w:ascii="Arial" w:cs="Arial" w:eastAsia="Arial" w:hAnsi="Arial"/>
                <w:sz w:val="15"/>
                <w:szCs w:val="15"/>
                <w:color w:val="0000FF"/>
                <w:w w:val="95"/>
              </w:rPr>
              <w:t>100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440"/>
              <w:spacing w:after="0"/>
              <w:rPr>
                <w:sz w:val="20"/>
                <w:szCs w:val="20"/>
                <w:color w:val="auto"/>
              </w:rPr>
            </w:pPr>
            <w:r>
              <w:rPr>
                <w:rFonts w:ascii="Arial" w:cs="Arial" w:eastAsia="Arial" w:hAnsi="Arial"/>
                <w:sz w:val="15"/>
                <w:szCs w:val="15"/>
                <w:color w:val="auto"/>
              </w:rPr>
              <w:t>Note 11—Netting Arrangements</w:t>
            </w:r>
          </w:p>
        </w:tc>
        <w:tc>
          <w:tcPr>
            <w:tcW w:w="260" w:type="dxa"/>
            <w:vAlign w:val="bottom"/>
          </w:tcPr>
          <w:p>
            <w:pPr>
              <w:spacing w:after="0"/>
              <w:rPr>
                <w:sz w:val="16"/>
                <w:szCs w:val="16"/>
                <w:color w:val="auto"/>
              </w:rPr>
            </w:pPr>
          </w:p>
        </w:tc>
        <w:tc>
          <w:tcPr>
            <w:tcW w:w="260" w:type="dxa"/>
            <w:vAlign w:val="bottom"/>
            <w:tcBorders>
              <w:bottom w:val="single" w:sz="8" w:color="0000FF"/>
            </w:tcBorders>
            <w:gridSpan w:val="5"/>
          </w:tcPr>
          <w:p>
            <w:pPr>
              <w:jc w:val="right"/>
              <w:spacing w:after="0"/>
              <w:rPr>
                <w:sz w:val="20"/>
                <w:szCs w:val="20"/>
                <w:color w:val="auto"/>
              </w:rPr>
            </w:pPr>
            <w:r>
              <w:rPr>
                <w:rFonts w:ascii="Arial" w:cs="Arial" w:eastAsia="Arial" w:hAnsi="Arial"/>
                <w:sz w:val="15"/>
                <w:szCs w:val="15"/>
                <w:color w:val="0000FF"/>
                <w:w w:val="95"/>
              </w:rPr>
              <w:t>104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440"/>
              <w:spacing w:after="0"/>
              <w:rPr>
                <w:sz w:val="20"/>
                <w:szCs w:val="20"/>
                <w:color w:val="auto"/>
              </w:rPr>
            </w:pPr>
            <w:r>
              <w:rPr>
                <w:rFonts w:ascii="Arial" w:cs="Arial" w:eastAsia="Arial" w:hAnsi="Arial"/>
                <w:sz w:val="15"/>
                <w:szCs w:val="15"/>
                <w:color w:val="auto"/>
              </w:rPr>
              <w:t>Note 12—Fair Value</w:t>
            </w:r>
          </w:p>
        </w:tc>
        <w:tc>
          <w:tcPr>
            <w:tcW w:w="520" w:type="dxa"/>
            <w:vAlign w:val="bottom"/>
            <w:gridSpan w:val="6"/>
          </w:tcPr>
          <w:p>
            <w:pPr>
              <w:jc w:val="right"/>
              <w:spacing w:after="0"/>
              <w:rPr>
                <w:sz w:val="20"/>
                <w:szCs w:val="20"/>
                <w:color w:val="auto"/>
              </w:rPr>
            </w:pPr>
            <w:r>
              <w:rPr>
                <w:rFonts w:ascii="Arial" w:cs="Arial" w:eastAsia="Arial" w:hAnsi="Arial"/>
                <w:sz w:val="15"/>
                <w:szCs w:val="15"/>
                <w:color w:val="0000FF"/>
              </w:rPr>
              <w:t>105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30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440"/>
              <w:spacing w:after="0"/>
              <w:rPr>
                <w:sz w:val="20"/>
                <w:szCs w:val="20"/>
                <w:color w:val="auto"/>
              </w:rPr>
            </w:pPr>
            <w:r>
              <w:rPr>
                <w:rFonts w:ascii="Arial" w:cs="Arial" w:eastAsia="Arial" w:hAnsi="Arial"/>
                <w:sz w:val="15"/>
                <w:szCs w:val="15"/>
                <w:color w:val="auto"/>
              </w:rPr>
              <w:t>Note 13—Commitments and Contingencies</w:t>
            </w:r>
          </w:p>
        </w:tc>
        <w:tc>
          <w:tcPr>
            <w:tcW w:w="520" w:type="dxa"/>
            <w:vAlign w:val="bottom"/>
            <w:gridSpan w:val="6"/>
          </w:tcPr>
          <w:p>
            <w:pPr>
              <w:jc w:val="right"/>
              <w:spacing w:after="0"/>
              <w:rPr>
                <w:sz w:val="20"/>
                <w:szCs w:val="20"/>
                <w:color w:val="auto"/>
              </w:rPr>
            </w:pPr>
            <w:r>
              <w:rPr>
                <w:rFonts w:ascii="Arial" w:cs="Arial" w:eastAsia="Arial" w:hAnsi="Arial"/>
                <w:sz w:val="15"/>
                <w:szCs w:val="15"/>
                <w:color w:val="0000FF"/>
              </w:rPr>
              <w:t>114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440"/>
              <w:spacing w:after="0"/>
              <w:rPr>
                <w:sz w:val="20"/>
                <w:szCs w:val="20"/>
                <w:color w:val="auto"/>
              </w:rPr>
            </w:pPr>
            <w:r>
              <w:rPr>
                <w:rFonts w:ascii="Arial" w:cs="Arial" w:eastAsia="Arial" w:hAnsi="Arial"/>
                <w:sz w:val="15"/>
                <w:szCs w:val="15"/>
                <w:color w:val="auto"/>
              </w:rPr>
              <w:t>Note 14—Regulatory Capital Requirements</w:t>
            </w:r>
          </w:p>
        </w:tc>
        <w:tc>
          <w:tcPr>
            <w:tcW w:w="520" w:type="dxa"/>
            <w:vAlign w:val="bottom"/>
            <w:gridSpan w:val="6"/>
          </w:tcPr>
          <w:p>
            <w:pPr>
              <w:jc w:val="right"/>
              <w:spacing w:after="0"/>
              <w:rPr>
                <w:sz w:val="20"/>
                <w:szCs w:val="20"/>
                <w:color w:val="auto"/>
              </w:rPr>
            </w:pPr>
            <w:r>
              <w:rPr>
                <w:rFonts w:ascii="Arial" w:cs="Arial" w:eastAsia="Arial" w:hAnsi="Arial"/>
                <w:sz w:val="15"/>
                <w:szCs w:val="15"/>
                <w:color w:val="0000FF"/>
              </w:rPr>
              <w:t>115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20"/>
                <w:szCs w:val="20"/>
                <w:color w:val="auto"/>
              </w:rPr>
            </w:pPr>
            <w:r>
              <w:rPr>
                <w:rFonts w:ascii="Arial" w:cs="Arial" w:eastAsia="Arial" w:hAnsi="Arial"/>
                <w:sz w:val="15"/>
                <w:szCs w:val="15"/>
                <w:color w:val="auto"/>
              </w:rPr>
              <w:t>Item 2.</w:t>
            </w:r>
          </w:p>
        </w:tc>
        <w:tc>
          <w:tcPr>
            <w:tcW w:w="9920" w:type="dxa"/>
            <w:vAlign w:val="bottom"/>
          </w:tcPr>
          <w:p>
            <w:pPr>
              <w:ind w:left="280"/>
              <w:spacing w:after="0"/>
              <w:rPr>
                <w:sz w:val="20"/>
                <w:szCs w:val="20"/>
                <w:color w:val="auto"/>
              </w:rPr>
            </w:pPr>
            <w:r>
              <w:rPr>
                <w:rFonts w:ascii="Arial" w:cs="Arial" w:eastAsia="Arial" w:hAnsi="Arial"/>
                <w:sz w:val="15"/>
                <w:szCs w:val="15"/>
                <w:color w:val="auto"/>
              </w:rPr>
              <w:t>Management’s Discussion and Analysis of Financial Condition and Results of Operations</w:t>
            </w:r>
          </w:p>
        </w:tc>
        <w:tc>
          <w:tcPr>
            <w:tcW w:w="300" w:type="dxa"/>
            <w:vAlign w:val="bottom"/>
            <w:gridSpan w:val="2"/>
          </w:tcPr>
          <w:p>
            <w:pPr>
              <w:spacing w:after="0"/>
              <w:rPr>
                <w:sz w:val="16"/>
                <w:szCs w:val="16"/>
                <w:color w:val="auto"/>
              </w:rPr>
            </w:pPr>
          </w:p>
        </w:tc>
        <w:tc>
          <w:tcPr>
            <w:tcW w:w="220" w:type="dxa"/>
            <w:vAlign w:val="bottom"/>
            <w:tcBorders>
              <w:top w:val="single" w:sz="8" w:color="0000FF"/>
            </w:tcBorders>
            <w:gridSpan w:val="4"/>
          </w:tcPr>
          <w:p>
            <w:pPr>
              <w:jc w:val="right"/>
              <w:spacing w:after="0"/>
              <w:rPr>
                <w:sz w:val="20"/>
                <w:szCs w:val="20"/>
                <w:color w:val="auto"/>
              </w:rPr>
            </w:pPr>
            <w:r>
              <w:rPr>
                <w:rFonts w:ascii="Arial" w:cs="Arial" w:eastAsia="Arial" w:hAnsi="Arial"/>
                <w:sz w:val="15"/>
                <w:szCs w:val="15"/>
                <w:color w:val="0000FF"/>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280"/>
              <w:spacing w:after="0"/>
              <w:rPr>
                <w:sz w:val="20"/>
                <w:szCs w:val="20"/>
                <w:color w:val="auto"/>
              </w:rPr>
            </w:pPr>
            <w:r>
              <w:rPr>
                <w:rFonts w:ascii="Arial" w:cs="Arial" w:eastAsia="Arial" w:hAnsi="Arial"/>
                <w:sz w:val="15"/>
                <w:szCs w:val="15"/>
                <w:color w:val="auto"/>
              </w:rPr>
              <w:t>Introduction</w:t>
            </w:r>
          </w:p>
        </w:tc>
        <w:tc>
          <w:tcPr>
            <w:tcW w:w="520" w:type="dxa"/>
            <w:vAlign w:val="bottom"/>
            <w:gridSpan w:val="6"/>
          </w:tcPr>
          <w:p>
            <w:pPr>
              <w:jc w:val="right"/>
              <w:spacing w:after="0"/>
              <w:rPr>
                <w:sz w:val="20"/>
                <w:szCs w:val="20"/>
                <w:color w:val="auto"/>
              </w:rPr>
            </w:pPr>
            <w:r>
              <w:rPr>
                <w:rFonts w:ascii="Arial" w:cs="Arial" w:eastAsia="Arial" w:hAnsi="Arial"/>
                <w:sz w:val="15"/>
                <w:szCs w:val="15"/>
                <w:color w:val="0000FF"/>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280"/>
              <w:spacing w:after="0"/>
              <w:rPr>
                <w:sz w:val="20"/>
                <w:szCs w:val="20"/>
                <w:color w:val="auto"/>
              </w:rPr>
            </w:pPr>
            <w:r>
              <w:rPr>
                <w:rFonts w:ascii="Arial" w:cs="Arial" w:eastAsia="Arial" w:hAnsi="Arial"/>
                <w:sz w:val="15"/>
                <w:szCs w:val="15"/>
                <w:color w:val="auto"/>
              </w:rPr>
              <w:t>Executive Summary</w:t>
            </w:r>
          </w:p>
        </w:tc>
        <w:tc>
          <w:tcPr>
            <w:tcW w:w="520" w:type="dxa"/>
            <w:vAlign w:val="bottom"/>
            <w:gridSpan w:val="6"/>
          </w:tcPr>
          <w:p>
            <w:pPr>
              <w:jc w:val="right"/>
              <w:spacing w:after="0"/>
              <w:rPr>
                <w:sz w:val="20"/>
                <w:szCs w:val="20"/>
                <w:color w:val="auto"/>
              </w:rPr>
            </w:pPr>
            <w:r>
              <w:rPr>
                <w:rFonts w:ascii="Arial" w:cs="Arial" w:eastAsia="Arial" w:hAnsi="Arial"/>
                <w:sz w:val="15"/>
                <w:szCs w:val="15"/>
                <w:color w:val="0000FF"/>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440"/>
              <w:spacing w:after="0"/>
              <w:rPr>
                <w:sz w:val="20"/>
                <w:szCs w:val="20"/>
                <w:color w:val="auto"/>
              </w:rPr>
            </w:pPr>
            <w:r>
              <w:rPr>
                <w:rFonts w:ascii="Arial" w:cs="Arial" w:eastAsia="Arial" w:hAnsi="Arial"/>
                <w:sz w:val="15"/>
                <w:szCs w:val="15"/>
                <w:color w:val="auto"/>
              </w:rPr>
              <w:t>Summary of Our Financial Performance</w:t>
            </w:r>
          </w:p>
        </w:tc>
        <w:tc>
          <w:tcPr>
            <w:tcW w:w="520" w:type="dxa"/>
            <w:vAlign w:val="bottom"/>
            <w:gridSpan w:val="6"/>
          </w:tcPr>
          <w:p>
            <w:pPr>
              <w:jc w:val="right"/>
              <w:spacing w:after="0"/>
              <w:rPr>
                <w:sz w:val="20"/>
                <w:szCs w:val="20"/>
                <w:color w:val="auto"/>
              </w:rPr>
            </w:pPr>
            <w:r>
              <w:rPr>
                <w:rFonts w:ascii="Arial" w:cs="Arial" w:eastAsia="Arial" w:hAnsi="Arial"/>
                <w:sz w:val="15"/>
                <w:szCs w:val="15"/>
                <w:color w:val="0000FF"/>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440"/>
              <w:spacing w:after="0"/>
              <w:rPr>
                <w:sz w:val="20"/>
                <w:szCs w:val="20"/>
                <w:color w:val="auto"/>
              </w:rPr>
            </w:pPr>
            <w:r>
              <w:rPr>
                <w:rFonts w:ascii="Arial" w:cs="Arial" w:eastAsia="Arial" w:hAnsi="Arial"/>
                <w:sz w:val="15"/>
                <w:szCs w:val="15"/>
                <w:color w:val="auto"/>
              </w:rPr>
              <w:t>Liquidity Provided in the First Half of 2023</w:t>
            </w:r>
          </w:p>
        </w:tc>
        <w:tc>
          <w:tcPr>
            <w:tcW w:w="520" w:type="dxa"/>
            <w:vAlign w:val="bottom"/>
            <w:gridSpan w:val="6"/>
          </w:tcPr>
          <w:p>
            <w:pPr>
              <w:jc w:val="right"/>
              <w:spacing w:after="0"/>
              <w:rPr>
                <w:sz w:val="20"/>
                <w:szCs w:val="20"/>
                <w:color w:val="auto"/>
              </w:rPr>
            </w:pPr>
            <w:r>
              <w:rPr>
                <w:rFonts w:ascii="Arial" w:cs="Arial" w:eastAsia="Arial" w:hAnsi="Arial"/>
                <w:sz w:val="15"/>
                <w:szCs w:val="15"/>
                <w:color w:val="0000FF"/>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280"/>
              <w:spacing w:after="0"/>
              <w:rPr>
                <w:sz w:val="20"/>
                <w:szCs w:val="20"/>
                <w:color w:val="auto"/>
              </w:rPr>
            </w:pPr>
            <w:r>
              <w:rPr>
                <w:rFonts w:ascii="Arial" w:cs="Arial" w:eastAsia="Arial" w:hAnsi="Arial"/>
                <w:sz w:val="15"/>
                <w:szCs w:val="15"/>
                <w:color w:val="auto"/>
              </w:rPr>
              <w:t>Legislation and Regulation</w:t>
            </w:r>
          </w:p>
        </w:tc>
        <w:tc>
          <w:tcPr>
            <w:tcW w:w="520" w:type="dxa"/>
            <w:vAlign w:val="bottom"/>
            <w:gridSpan w:val="6"/>
          </w:tcPr>
          <w:p>
            <w:pPr>
              <w:jc w:val="right"/>
              <w:spacing w:after="0"/>
              <w:rPr>
                <w:sz w:val="20"/>
                <w:szCs w:val="20"/>
                <w:color w:val="auto"/>
              </w:rPr>
            </w:pPr>
            <w:r>
              <w:rPr>
                <w:rFonts w:ascii="Arial" w:cs="Arial" w:eastAsia="Arial" w:hAnsi="Arial"/>
                <w:sz w:val="15"/>
                <w:szCs w:val="15"/>
                <w:color w:val="0000FF"/>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280"/>
              <w:spacing w:after="0"/>
              <w:rPr>
                <w:sz w:val="20"/>
                <w:szCs w:val="20"/>
                <w:color w:val="auto"/>
              </w:rPr>
            </w:pPr>
            <w:r>
              <w:rPr>
                <w:rFonts w:ascii="Arial" w:cs="Arial" w:eastAsia="Arial" w:hAnsi="Arial"/>
                <w:sz w:val="15"/>
                <w:szCs w:val="15"/>
                <w:color w:val="auto"/>
              </w:rPr>
              <w:t>Key Market Economic Indicators</w:t>
            </w:r>
          </w:p>
        </w:tc>
        <w:tc>
          <w:tcPr>
            <w:tcW w:w="520" w:type="dxa"/>
            <w:vAlign w:val="bottom"/>
            <w:gridSpan w:val="6"/>
          </w:tcPr>
          <w:p>
            <w:pPr>
              <w:jc w:val="right"/>
              <w:spacing w:after="0"/>
              <w:rPr>
                <w:sz w:val="20"/>
                <w:szCs w:val="20"/>
                <w:color w:val="auto"/>
              </w:rPr>
            </w:pPr>
            <w:r>
              <w:rPr>
                <w:rFonts w:ascii="Arial" w:cs="Arial" w:eastAsia="Arial" w:hAnsi="Arial"/>
                <w:sz w:val="15"/>
                <w:szCs w:val="15"/>
                <w:color w:val="0000FF"/>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280"/>
              <w:spacing w:after="0"/>
              <w:rPr>
                <w:sz w:val="20"/>
                <w:szCs w:val="20"/>
                <w:color w:val="auto"/>
              </w:rPr>
            </w:pPr>
            <w:r>
              <w:rPr>
                <w:rFonts w:ascii="Arial" w:cs="Arial" w:eastAsia="Arial" w:hAnsi="Arial"/>
                <w:sz w:val="15"/>
                <w:szCs w:val="15"/>
                <w:color w:val="auto"/>
              </w:rPr>
              <w:t>Consolidated Results of Operations</w:t>
            </w:r>
          </w:p>
        </w:tc>
        <w:tc>
          <w:tcPr>
            <w:tcW w:w="520" w:type="dxa"/>
            <w:vAlign w:val="bottom"/>
            <w:gridSpan w:val="6"/>
          </w:tcPr>
          <w:p>
            <w:pPr>
              <w:jc w:val="right"/>
              <w:spacing w:after="0"/>
              <w:rPr>
                <w:sz w:val="20"/>
                <w:szCs w:val="20"/>
                <w:color w:val="auto"/>
              </w:rPr>
            </w:pPr>
            <w:r>
              <w:rPr>
                <w:rFonts w:ascii="Arial" w:cs="Arial" w:eastAsia="Arial" w:hAnsi="Arial"/>
                <w:sz w:val="15"/>
                <w:szCs w:val="15"/>
                <w:color w:val="0000FF"/>
              </w:rPr>
              <w:t>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280"/>
              <w:spacing w:after="0"/>
              <w:rPr>
                <w:sz w:val="20"/>
                <w:szCs w:val="20"/>
                <w:color w:val="auto"/>
              </w:rPr>
            </w:pPr>
            <w:r>
              <w:rPr>
                <w:rFonts w:ascii="Arial" w:cs="Arial" w:eastAsia="Arial" w:hAnsi="Arial"/>
                <w:sz w:val="15"/>
                <w:szCs w:val="15"/>
                <w:color w:val="auto"/>
              </w:rPr>
              <w:t>Consolidated Balance Sheet Analysis</w:t>
            </w:r>
          </w:p>
        </w:tc>
        <w:tc>
          <w:tcPr>
            <w:tcW w:w="34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280"/>
              <w:spacing w:after="0"/>
              <w:rPr>
                <w:sz w:val="20"/>
                <w:szCs w:val="20"/>
                <w:color w:val="auto"/>
              </w:rPr>
            </w:pPr>
            <w:r>
              <w:rPr>
                <w:rFonts w:ascii="Arial" w:cs="Arial" w:eastAsia="Arial" w:hAnsi="Arial"/>
                <w:sz w:val="15"/>
                <w:szCs w:val="15"/>
                <w:color w:val="auto"/>
              </w:rPr>
              <w:t>Retained Mortgage Portfolio</w:t>
            </w:r>
          </w:p>
        </w:tc>
        <w:tc>
          <w:tcPr>
            <w:tcW w:w="34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280"/>
              <w:spacing w:after="0"/>
              <w:rPr>
                <w:sz w:val="20"/>
                <w:szCs w:val="20"/>
                <w:color w:val="auto"/>
              </w:rPr>
            </w:pPr>
            <w:r>
              <w:rPr>
                <w:rFonts w:ascii="Arial" w:cs="Arial" w:eastAsia="Arial" w:hAnsi="Arial"/>
                <w:sz w:val="15"/>
                <w:szCs w:val="15"/>
                <w:color w:val="auto"/>
              </w:rPr>
              <w:t>Guaranty Book of Business</w:t>
            </w:r>
          </w:p>
        </w:tc>
        <w:tc>
          <w:tcPr>
            <w:tcW w:w="34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280"/>
              <w:spacing w:after="0"/>
              <w:rPr>
                <w:sz w:val="20"/>
                <w:szCs w:val="20"/>
                <w:color w:val="auto"/>
              </w:rPr>
            </w:pPr>
            <w:r>
              <w:rPr>
                <w:rFonts w:ascii="Arial" w:cs="Arial" w:eastAsia="Arial" w:hAnsi="Arial"/>
                <w:sz w:val="15"/>
                <w:szCs w:val="15"/>
                <w:color w:val="auto"/>
              </w:rPr>
              <w:t>Business Segments</w:t>
            </w:r>
          </w:p>
        </w:tc>
        <w:tc>
          <w:tcPr>
            <w:tcW w:w="34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280"/>
              <w:spacing w:after="0"/>
              <w:rPr>
                <w:sz w:val="20"/>
                <w:szCs w:val="20"/>
                <w:color w:val="auto"/>
              </w:rPr>
            </w:pPr>
            <w:r>
              <w:rPr>
                <w:rFonts w:ascii="Arial" w:cs="Arial" w:eastAsia="Arial" w:hAnsi="Arial"/>
                <w:sz w:val="15"/>
                <w:szCs w:val="15"/>
                <w:color w:val="auto"/>
              </w:rPr>
              <w:t>Single-Family Business</w:t>
            </w:r>
          </w:p>
        </w:tc>
        <w:tc>
          <w:tcPr>
            <w:tcW w:w="34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440"/>
              <w:spacing w:after="0"/>
              <w:rPr>
                <w:sz w:val="20"/>
                <w:szCs w:val="20"/>
                <w:color w:val="auto"/>
              </w:rPr>
            </w:pPr>
            <w:r>
              <w:rPr>
                <w:rFonts w:ascii="Arial" w:cs="Arial" w:eastAsia="Arial" w:hAnsi="Arial"/>
                <w:sz w:val="15"/>
                <w:szCs w:val="15"/>
                <w:color w:val="auto"/>
              </w:rPr>
              <w:t>Single-Family Mortgage Market</w:t>
            </w:r>
          </w:p>
        </w:tc>
        <w:tc>
          <w:tcPr>
            <w:tcW w:w="34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440"/>
              <w:spacing w:after="0"/>
              <w:rPr>
                <w:sz w:val="20"/>
                <w:szCs w:val="20"/>
                <w:color w:val="auto"/>
              </w:rPr>
            </w:pPr>
            <w:r>
              <w:rPr>
                <w:rFonts w:ascii="Arial" w:cs="Arial" w:eastAsia="Arial" w:hAnsi="Arial"/>
                <w:sz w:val="15"/>
                <w:szCs w:val="15"/>
                <w:color w:val="auto"/>
              </w:rPr>
              <w:t>Single-Family Mortgage-Related Securities Issuances Share</w:t>
            </w:r>
          </w:p>
        </w:tc>
        <w:tc>
          <w:tcPr>
            <w:tcW w:w="34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440"/>
              <w:spacing w:after="0"/>
              <w:rPr>
                <w:sz w:val="20"/>
                <w:szCs w:val="20"/>
                <w:color w:val="auto"/>
              </w:rPr>
            </w:pPr>
            <w:r>
              <w:rPr>
                <w:rFonts w:ascii="Arial" w:cs="Arial" w:eastAsia="Arial" w:hAnsi="Arial"/>
                <w:sz w:val="15"/>
                <w:szCs w:val="15"/>
                <w:color w:val="auto"/>
              </w:rPr>
              <w:t>Single-Family Business Metrics</w:t>
            </w:r>
          </w:p>
        </w:tc>
        <w:tc>
          <w:tcPr>
            <w:tcW w:w="34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440"/>
              <w:spacing w:after="0"/>
              <w:rPr>
                <w:sz w:val="20"/>
                <w:szCs w:val="20"/>
                <w:color w:val="auto"/>
              </w:rPr>
            </w:pPr>
            <w:r>
              <w:rPr>
                <w:rFonts w:ascii="Arial" w:cs="Arial" w:eastAsia="Arial" w:hAnsi="Arial"/>
                <w:sz w:val="15"/>
                <w:szCs w:val="15"/>
                <w:color w:val="auto"/>
              </w:rPr>
              <w:t>Single-Family Business Financial Results</w:t>
            </w:r>
          </w:p>
        </w:tc>
        <w:tc>
          <w:tcPr>
            <w:tcW w:w="34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440"/>
              <w:spacing w:after="0"/>
              <w:rPr>
                <w:sz w:val="20"/>
                <w:szCs w:val="20"/>
                <w:color w:val="auto"/>
              </w:rPr>
            </w:pPr>
            <w:r>
              <w:rPr>
                <w:rFonts w:ascii="Arial" w:cs="Arial" w:eastAsia="Arial" w:hAnsi="Arial"/>
                <w:sz w:val="15"/>
                <w:szCs w:val="15"/>
                <w:color w:val="auto"/>
              </w:rPr>
              <w:t>Single-Family Mortgage Credit Risk Management</w:t>
            </w:r>
          </w:p>
        </w:tc>
        <w:tc>
          <w:tcPr>
            <w:tcW w:w="34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280"/>
              <w:spacing w:after="0"/>
              <w:rPr>
                <w:sz w:val="20"/>
                <w:szCs w:val="20"/>
                <w:color w:val="auto"/>
              </w:rPr>
            </w:pPr>
            <w:r>
              <w:rPr>
                <w:rFonts w:ascii="Arial" w:cs="Arial" w:eastAsia="Arial" w:hAnsi="Arial"/>
                <w:sz w:val="15"/>
                <w:szCs w:val="15"/>
                <w:color w:val="auto"/>
              </w:rPr>
              <w:t>Multifamily Business</w:t>
            </w:r>
          </w:p>
        </w:tc>
        <w:tc>
          <w:tcPr>
            <w:tcW w:w="34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440"/>
              <w:spacing w:after="0"/>
              <w:rPr>
                <w:sz w:val="20"/>
                <w:szCs w:val="20"/>
                <w:color w:val="auto"/>
              </w:rPr>
            </w:pPr>
            <w:r>
              <w:rPr>
                <w:rFonts w:ascii="Arial" w:cs="Arial" w:eastAsia="Arial" w:hAnsi="Arial"/>
                <w:sz w:val="15"/>
                <w:szCs w:val="15"/>
                <w:color w:val="auto"/>
              </w:rPr>
              <w:t>Multifamily Mortgage Market</w:t>
            </w:r>
          </w:p>
        </w:tc>
        <w:tc>
          <w:tcPr>
            <w:tcW w:w="34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440"/>
              <w:spacing w:after="0"/>
              <w:rPr>
                <w:sz w:val="20"/>
                <w:szCs w:val="20"/>
                <w:color w:val="auto"/>
              </w:rPr>
            </w:pPr>
            <w:r>
              <w:rPr>
                <w:rFonts w:ascii="Arial" w:cs="Arial" w:eastAsia="Arial" w:hAnsi="Arial"/>
                <w:sz w:val="15"/>
                <w:szCs w:val="15"/>
                <w:color w:val="auto"/>
              </w:rPr>
              <w:t>Multifamily Business Metrics</w:t>
            </w:r>
          </w:p>
        </w:tc>
        <w:tc>
          <w:tcPr>
            <w:tcW w:w="34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440"/>
              <w:spacing w:after="0"/>
              <w:rPr>
                <w:sz w:val="20"/>
                <w:szCs w:val="20"/>
                <w:color w:val="auto"/>
              </w:rPr>
            </w:pPr>
            <w:r>
              <w:rPr>
                <w:rFonts w:ascii="Arial" w:cs="Arial" w:eastAsia="Arial" w:hAnsi="Arial"/>
                <w:sz w:val="15"/>
                <w:szCs w:val="15"/>
                <w:color w:val="auto"/>
              </w:rPr>
              <w:t>Multifamily Business Financial Results</w:t>
            </w:r>
          </w:p>
        </w:tc>
        <w:tc>
          <w:tcPr>
            <w:tcW w:w="34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440"/>
              <w:spacing w:after="0"/>
              <w:rPr>
                <w:sz w:val="20"/>
                <w:szCs w:val="20"/>
                <w:color w:val="auto"/>
              </w:rPr>
            </w:pPr>
            <w:r>
              <w:rPr>
                <w:rFonts w:ascii="Arial" w:cs="Arial" w:eastAsia="Arial" w:hAnsi="Arial"/>
                <w:sz w:val="15"/>
                <w:szCs w:val="15"/>
                <w:color w:val="auto"/>
              </w:rPr>
              <w:t>Multifamily Mortgage Credit Risk Management</w:t>
            </w:r>
          </w:p>
        </w:tc>
        <w:tc>
          <w:tcPr>
            <w:tcW w:w="34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280"/>
              <w:spacing w:after="0"/>
              <w:rPr>
                <w:sz w:val="20"/>
                <w:szCs w:val="20"/>
                <w:color w:val="auto"/>
              </w:rPr>
            </w:pPr>
            <w:r>
              <w:rPr>
                <w:rFonts w:ascii="Arial" w:cs="Arial" w:eastAsia="Arial" w:hAnsi="Arial"/>
                <w:sz w:val="15"/>
                <w:szCs w:val="15"/>
                <w:color w:val="auto"/>
              </w:rPr>
              <w:t>Consolidated Credit Ratios and Select Credit Information</w:t>
            </w:r>
          </w:p>
        </w:tc>
        <w:tc>
          <w:tcPr>
            <w:tcW w:w="34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280"/>
              <w:spacing w:after="0"/>
              <w:rPr>
                <w:sz w:val="20"/>
                <w:szCs w:val="20"/>
                <w:color w:val="auto"/>
              </w:rPr>
            </w:pPr>
            <w:r>
              <w:rPr>
                <w:rFonts w:ascii="Arial" w:cs="Arial" w:eastAsia="Arial" w:hAnsi="Arial"/>
                <w:sz w:val="15"/>
                <w:szCs w:val="15"/>
                <w:color w:val="auto"/>
              </w:rPr>
              <w:t>Liquidity and Capital Management</w:t>
            </w:r>
          </w:p>
        </w:tc>
        <w:tc>
          <w:tcPr>
            <w:tcW w:w="34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280"/>
              <w:spacing w:after="0"/>
              <w:rPr>
                <w:sz w:val="20"/>
                <w:szCs w:val="20"/>
                <w:color w:val="auto"/>
              </w:rPr>
            </w:pPr>
            <w:r>
              <w:rPr>
                <w:rFonts w:ascii="Arial" w:cs="Arial" w:eastAsia="Arial" w:hAnsi="Arial"/>
                <w:sz w:val="15"/>
                <w:szCs w:val="15"/>
                <w:color w:val="auto"/>
              </w:rPr>
              <w:t>Risk Management</w:t>
            </w:r>
          </w:p>
        </w:tc>
        <w:tc>
          <w:tcPr>
            <w:tcW w:w="34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440"/>
              <w:spacing w:after="0"/>
              <w:rPr>
                <w:sz w:val="20"/>
                <w:szCs w:val="20"/>
                <w:color w:val="auto"/>
              </w:rPr>
            </w:pPr>
            <w:r>
              <w:rPr>
                <w:rFonts w:ascii="Arial" w:cs="Arial" w:eastAsia="Arial" w:hAnsi="Arial"/>
                <w:sz w:val="15"/>
                <w:szCs w:val="15"/>
                <w:color w:val="auto"/>
              </w:rPr>
              <w:t>Market Risk Management, including Interest-Rate Risk Management</w:t>
            </w:r>
          </w:p>
        </w:tc>
        <w:tc>
          <w:tcPr>
            <w:tcW w:w="34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280"/>
              <w:spacing w:after="0"/>
              <w:rPr>
                <w:sz w:val="20"/>
                <w:szCs w:val="20"/>
                <w:color w:val="auto"/>
              </w:rPr>
            </w:pPr>
            <w:r>
              <w:rPr>
                <w:rFonts w:ascii="Arial" w:cs="Arial" w:eastAsia="Arial" w:hAnsi="Arial"/>
                <w:sz w:val="15"/>
                <w:szCs w:val="15"/>
                <w:color w:val="auto"/>
              </w:rPr>
              <w:t>Critical Accounting Estimates</w:t>
            </w:r>
          </w:p>
        </w:tc>
        <w:tc>
          <w:tcPr>
            <w:tcW w:w="34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280"/>
              <w:spacing w:after="0"/>
              <w:rPr>
                <w:sz w:val="20"/>
                <w:szCs w:val="20"/>
                <w:color w:val="auto"/>
              </w:rPr>
            </w:pPr>
            <w:r>
              <w:rPr>
                <w:rFonts w:ascii="Arial" w:cs="Arial" w:eastAsia="Arial" w:hAnsi="Arial"/>
                <w:sz w:val="15"/>
                <w:szCs w:val="15"/>
                <w:color w:val="auto"/>
              </w:rPr>
              <w:t>Impact of Future Adoption of New Accounting Guidance</w:t>
            </w:r>
          </w:p>
        </w:tc>
        <w:tc>
          <w:tcPr>
            <w:tcW w:w="34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9920" w:type="dxa"/>
            <w:vAlign w:val="bottom"/>
          </w:tcPr>
          <w:p>
            <w:pPr>
              <w:ind w:left="280"/>
              <w:spacing w:after="0"/>
              <w:rPr>
                <w:sz w:val="20"/>
                <w:szCs w:val="20"/>
                <w:color w:val="auto"/>
              </w:rPr>
            </w:pPr>
            <w:r>
              <w:rPr>
                <w:rFonts w:ascii="Arial" w:cs="Arial" w:eastAsia="Arial" w:hAnsi="Arial"/>
                <w:sz w:val="15"/>
                <w:szCs w:val="15"/>
                <w:color w:val="auto"/>
              </w:rPr>
              <w:t>Forward-Looking Statements</w:t>
            </w:r>
          </w:p>
        </w:tc>
        <w:tc>
          <w:tcPr>
            <w:tcW w:w="34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474980</wp:posOffset>
            </wp:positionV>
            <wp:extent cx="7007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00"/>
        <w:spacing w:after="0"/>
        <w:tabs>
          <w:tab w:leader="none" w:pos="11060" w:val="left"/>
        </w:tabs>
        <w:rPr>
          <w:sz w:val="20"/>
          <w:szCs w:val="20"/>
          <w:color w:val="auto"/>
        </w:rPr>
      </w:pPr>
      <w:r>
        <w:rPr>
          <w:rFonts w:ascii="Arial" w:cs="Arial" w:eastAsia="Arial" w:hAnsi="Arial"/>
          <w:sz w:val="14"/>
          <w:szCs w:val="14"/>
          <w:color w:val="05314D"/>
        </w:rPr>
        <w:t>Fannie Mae Second Quarter 2023 Form 10-Q</w:t>
      </w:r>
      <w:r>
        <w:rPr>
          <w:sz w:val="20"/>
          <w:szCs w:val="20"/>
          <w:color w:val="auto"/>
        </w:rPr>
        <w:tab/>
      </w:r>
      <w:r>
        <w:rPr>
          <w:rFonts w:ascii="Arial" w:cs="Arial" w:eastAsia="Arial" w:hAnsi="Arial"/>
          <w:sz w:val="9"/>
          <w:szCs w:val="9"/>
          <w:color w:val="05314D"/>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117475</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137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2"/>
        </w:trPr>
        <w:tc>
          <w:tcPr>
            <w:tcW w:w="820" w:type="dxa"/>
            <w:vAlign w:val="bottom"/>
          </w:tcPr>
          <w:p>
            <w:pPr>
              <w:spacing w:after="0"/>
              <w:rPr>
                <w:sz w:val="20"/>
                <w:szCs w:val="20"/>
                <w:color w:val="auto"/>
              </w:rPr>
            </w:pPr>
            <w:r>
              <w:rPr>
                <w:rFonts w:ascii="Arial" w:cs="Arial" w:eastAsia="Arial" w:hAnsi="Arial"/>
                <w:sz w:val="15"/>
                <w:szCs w:val="15"/>
                <w:color w:val="auto"/>
              </w:rPr>
              <w:t>Item 3.</w:t>
            </w:r>
          </w:p>
        </w:tc>
        <w:tc>
          <w:tcPr>
            <w:tcW w:w="10120" w:type="dxa"/>
            <w:vAlign w:val="bottom"/>
          </w:tcPr>
          <w:p>
            <w:pPr>
              <w:ind w:left="220"/>
              <w:spacing w:after="0"/>
              <w:rPr>
                <w:sz w:val="20"/>
                <w:szCs w:val="20"/>
                <w:color w:val="auto"/>
              </w:rPr>
            </w:pPr>
            <w:r>
              <w:rPr>
                <w:rFonts w:ascii="Arial" w:cs="Arial" w:eastAsia="Arial" w:hAnsi="Arial"/>
                <w:sz w:val="15"/>
                <w:szCs w:val="15"/>
                <w:color w:val="auto"/>
              </w:rPr>
              <w:t>Quantitative and Qualitative Disclosures about Market Risk</w:t>
            </w:r>
          </w:p>
        </w:tc>
        <w:tc>
          <w:tcPr>
            <w:tcW w:w="260" w:type="dxa"/>
            <w:vAlign w:val="bottom"/>
            <w:gridSpan w:val="2"/>
          </w:tcPr>
          <w:p>
            <w:pPr>
              <w:jc w:val="right"/>
              <w:spacing w:after="0"/>
              <w:rPr>
                <w:sz w:val="20"/>
                <w:szCs w:val="20"/>
                <w:color w:val="auto"/>
              </w:rPr>
            </w:pPr>
            <w:r>
              <w:rPr>
                <w:rFonts w:ascii="Arial" w:cs="Arial" w:eastAsia="Arial" w:hAnsi="Arial"/>
                <w:sz w:val="15"/>
                <w:szCs w:val="15"/>
                <w:color w:val="0000FF"/>
                <w:w w:val="95"/>
              </w:rPr>
              <w:t>117</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0" w:type="dxa"/>
            <w:vAlign w:val="bottom"/>
          </w:tcPr>
          <w:p>
            <w:pPr>
              <w:spacing w:after="0"/>
              <w:rPr>
                <w:sz w:val="20"/>
                <w:szCs w:val="20"/>
                <w:color w:val="auto"/>
              </w:rPr>
            </w:pPr>
            <w:r>
              <w:rPr>
                <w:rFonts w:ascii="Arial" w:cs="Arial" w:eastAsia="Arial" w:hAnsi="Arial"/>
                <w:sz w:val="15"/>
                <w:szCs w:val="15"/>
                <w:color w:val="auto"/>
              </w:rPr>
              <w:t>Item 4.</w:t>
            </w:r>
          </w:p>
        </w:tc>
        <w:tc>
          <w:tcPr>
            <w:tcW w:w="10120" w:type="dxa"/>
            <w:vAlign w:val="bottom"/>
          </w:tcPr>
          <w:p>
            <w:pPr>
              <w:ind w:left="220"/>
              <w:spacing w:after="0"/>
              <w:rPr>
                <w:sz w:val="20"/>
                <w:szCs w:val="20"/>
                <w:color w:val="auto"/>
              </w:rPr>
            </w:pPr>
            <w:r>
              <w:rPr>
                <w:rFonts w:ascii="Arial" w:cs="Arial" w:eastAsia="Arial" w:hAnsi="Arial"/>
                <w:sz w:val="15"/>
                <w:szCs w:val="15"/>
                <w:color w:val="auto"/>
              </w:rPr>
              <w:t>Controls and Procedures</w:t>
            </w:r>
          </w:p>
        </w:tc>
        <w:tc>
          <w:tcPr>
            <w:tcW w:w="260" w:type="dxa"/>
            <w:vAlign w:val="bottom"/>
            <w:gridSpan w:val="2"/>
          </w:tcPr>
          <w:p>
            <w:pPr>
              <w:jc w:val="right"/>
              <w:spacing w:after="0"/>
              <w:rPr>
                <w:sz w:val="20"/>
                <w:szCs w:val="20"/>
                <w:color w:val="auto"/>
              </w:rPr>
            </w:pPr>
            <w:r>
              <w:rPr>
                <w:rFonts w:ascii="Arial" w:cs="Arial" w:eastAsia="Arial" w:hAnsi="Arial"/>
                <w:sz w:val="15"/>
                <w:szCs w:val="15"/>
                <w:color w:val="0000FF"/>
                <w:w w:val="95"/>
              </w:rPr>
              <w:t>117</w:t>
            </w:r>
          </w:p>
        </w:tc>
        <w:tc>
          <w:tcPr>
            <w:tcW w:w="0" w:type="dxa"/>
            <w:vAlign w:val="bottom"/>
          </w:tcPr>
          <w:p>
            <w:pPr>
              <w:spacing w:after="0"/>
              <w:rPr>
                <w:sz w:val="1"/>
                <w:szCs w:val="1"/>
                <w:color w:val="auto"/>
              </w:rPr>
            </w:pPr>
          </w:p>
        </w:tc>
      </w:tr>
      <w:tr>
        <w:trPr>
          <w:trHeight w:val="20"/>
        </w:trPr>
        <w:tc>
          <w:tcPr>
            <w:tcW w:w="109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PART II—Other Information</w:t>
            </w: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940" w:type="dxa"/>
            <w:vAlign w:val="bottom"/>
            <w:gridSpan w:val="2"/>
            <w:vMerge w:val="continue"/>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Arial" w:cs="Arial" w:eastAsia="Arial" w:hAnsi="Arial"/>
                <w:sz w:val="15"/>
                <w:szCs w:val="15"/>
                <w:color w:val="0000FF"/>
                <w:w w:val="95"/>
              </w:rPr>
              <w:t>119</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0" w:type="dxa"/>
            <w:vAlign w:val="bottom"/>
          </w:tcPr>
          <w:p>
            <w:pPr>
              <w:spacing w:after="0"/>
              <w:rPr>
                <w:sz w:val="20"/>
                <w:szCs w:val="20"/>
                <w:color w:val="auto"/>
              </w:rPr>
            </w:pPr>
            <w:r>
              <w:rPr>
                <w:rFonts w:ascii="Arial" w:cs="Arial" w:eastAsia="Arial" w:hAnsi="Arial"/>
                <w:sz w:val="15"/>
                <w:szCs w:val="15"/>
                <w:color w:val="auto"/>
              </w:rPr>
              <w:t>Item 1.</w:t>
            </w:r>
          </w:p>
        </w:tc>
        <w:tc>
          <w:tcPr>
            <w:tcW w:w="10120" w:type="dxa"/>
            <w:vAlign w:val="bottom"/>
          </w:tcPr>
          <w:p>
            <w:pPr>
              <w:ind w:left="220"/>
              <w:spacing w:after="0"/>
              <w:rPr>
                <w:sz w:val="20"/>
                <w:szCs w:val="20"/>
                <w:color w:val="auto"/>
              </w:rPr>
            </w:pPr>
            <w:r>
              <w:rPr>
                <w:rFonts w:ascii="Arial" w:cs="Arial" w:eastAsia="Arial" w:hAnsi="Arial"/>
                <w:sz w:val="15"/>
                <w:szCs w:val="15"/>
                <w:color w:val="auto"/>
              </w:rPr>
              <w:t>Legal Proceedings</w:t>
            </w:r>
          </w:p>
        </w:tc>
        <w:tc>
          <w:tcPr>
            <w:tcW w:w="260" w:type="dxa"/>
            <w:vAlign w:val="bottom"/>
            <w:gridSpan w:val="2"/>
          </w:tcPr>
          <w:p>
            <w:pPr>
              <w:jc w:val="right"/>
              <w:spacing w:after="0"/>
              <w:rPr>
                <w:sz w:val="20"/>
                <w:szCs w:val="20"/>
                <w:color w:val="auto"/>
              </w:rPr>
            </w:pPr>
            <w:r>
              <w:rPr>
                <w:rFonts w:ascii="Arial" w:cs="Arial" w:eastAsia="Arial" w:hAnsi="Arial"/>
                <w:sz w:val="15"/>
                <w:szCs w:val="15"/>
                <w:color w:val="0000FF"/>
                <w:w w:val="95"/>
              </w:rPr>
              <w:t>119</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0" w:type="dxa"/>
            <w:vAlign w:val="bottom"/>
          </w:tcPr>
          <w:p>
            <w:pPr>
              <w:spacing w:after="0"/>
              <w:rPr>
                <w:sz w:val="20"/>
                <w:szCs w:val="20"/>
                <w:color w:val="auto"/>
              </w:rPr>
            </w:pPr>
            <w:r>
              <w:rPr>
                <w:rFonts w:ascii="Arial" w:cs="Arial" w:eastAsia="Arial" w:hAnsi="Arial"/>
                <w:sz w:val="15"/>
                <w:szCs w:val="15"/>
                <w:color w:val="auto"/>
              </w:rPr>
              <w:t>Item 1A.</w:t>
            </w:r>
          </w:p>
        </w:tc>
        <w:tc>
          <w:tcPr>
            <w:tcW w:w="10120" w:type="dxa"/>
            <w:vAlign w:val="bottom"/>
          </w:tcPr>
          <w:p>
            <w:pPr>
              <w:ind w:left="220"/>
              <w:spacing w:after="0"/>
              <w:rPr>
                <w:sz w:val="20"/>
                <w:szCs w:val="20"/>
                <w:color w:val="auto"/>
              </w:rPr>
            </w:pPr>
            <w:r>
              <w:rPr>
                <w:rFonts w:ascii="Arial" w:cs="Arial" w:eastAsia="Arial" w:hAnsi="Arial"/>
                <w:sz w:val="15"/>
                <w:szCs w:val="15"/>
                <w:color w:val="auto"/>
              </w:rPr>
              <w:t>Risk Factors</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120</w:t>
            </w:r>
          </w:p>
        </w:tc>
        <w:tc>
          <w:tcPr>
            <w:tcW w:w="0" w:type="dxa"/>
            <w:vAlign w:val="bottom"/>
          </w:tcPr>
          <w:p>
            <w:pPr>
              <w:spacing w:after="0"/>
              <w:rPr>
                <w:sz w:val="1"/>
                <w:szCs w:val="1"/>
                <w:color w:val="auto"/>
              </w:rPr>
            </w:pPr>
          </w:p>
        </w:tc>
      </w:tr>
      <w:tr>
        <w:trPr>
          <w:trHeight w:val="186"/>
        </w:trPr>
        <w:tc>
          <w:tcPr>
            <w:tcW w:w="820" w:type="dxa"/>
            <w:vAlign w:val="bottom"/>
          </w:tcPr>
          <w:p>
            <w:pPr>
              <w:spacing w:after="0"/>
              <w:rPr>
                <w:sz w:val="20"/>
                <w:szCs w:val="20"/>
                <w:color w:val="auto"/>
              </w:rPr>
            </w:pPr>
            <w:r>
              <w:rPr>
                <w:rFonts w:ascii="Arial" w:cs="Arial" w:eastAsia="Arial" w:hAnsi="Arial"/>
                <w:sz w:val="15"/>
                <w:szCs w:val="15"/>
                <w:color w:val="auto"/>
              </w:rPr>
              <w:t>Item 2.</w:t>
            </w:r>
          </w:p>
        </w:tc>
        <w:tc>
          <w:tcPr>
            <w:tcW w:w="10120" w:type="dxa"/>
            <w:vAlign w:val="bottom"/>
          </w:tcPr>
          <w:p>
            <w:pPr>
              <w:ind w:left="220"/>
              <w:spacing w:after="0"/>
              <w:rPr>
                <w:sz w:val="20"/>
                <w:szCs w:val="20"/>
                <w:color w:val="auto"/>
              </w:rPr>
            </w:pPr>
            <w:r>
              <w:rPr>
                <w:rFonts w:ascii="Arial" w:cs="Arial" w:eastAsia="Arial" w:hAnsi="Arial"/>
                <w:sz w:val="15"/>
                <w:szCs w:val="15"/>
                <w:color w:val="auto"/>
              </w:rPr>
              <w:t>Unregistered Sales of Equity Securities and Use of Proceeds</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120</w:t>
            </w:r>
          </w:p>
        </w:tc>
        <w:tc>
          <w:tcPr>
            <w:tcW w:w="0" w:type="dxa"/>
            <w:vAlign w:val="bottom"/>
          </w:tcPr>
          <w:p>
            <w:pPr>
              <w:spacing w:after="0"/>
              <w:rPr>
                <w:sz w:val="1"/>
                <w:szCs w:val="1"/>
                <w:color w:val="auto"/>
              </w:rPr>
            </w:pPr>
          </w:p>
        </w:tc>
      </w:tr>
      <w:tr>
        <w:trPr>
          <w:trHeight w:val="186"/>
        </w:trPr>
        <w:tc>
          <w:tcPr>
            <w:tcW w:w="820" w:type="dxa"/>
            <w:vAlign w:val="bottom"/>
          </w:tcPr>
          <w:p>
            <w:pPr>
              <w:spacing w:after="0"/>
              <w:rPr>
                <w:sz w:val="20"/>
                <w:szCs w:val="20"/>
                <w:color w:val="auto"/>
              </w:rPr>
            </w:pPr>
            <w:r>
              <w:rPr>
                <w:rFonts w:ascii="Arial" w:cs="Arial" w:eastAsia="Arial" w:hAnsi="Arial"/>
                <w:sz w:val="15"/>
                <w:szCs w:val="15"/>
                <w:color w:val="auto"/>
              </w:rPr>
              <w:t>Item 3.</w:t>
            </w:r>
          </w:p>
        </w:tc>
        <w:tc>
          <w:tcPr>
            <w:tcW w:w="10120" w:type="dxa"/>
            <w:vAlign w:val="bottom"/>
          </w:tcPr>
          <w:p>
            <w:pPr>
              <w:ind w:left="220"/>
              <w:spacing w:after="0"/>
              <w:rPr>
                <w:sz w:val="20"/>
                <w:szCs w:val="20"/>
                <w:color w:val="auto"/>
              </w:rPr>
            </w:pPr>
            <w:r>
              <w:rPr>
                <w:rFonts w:ascii="Arial" w:cs="Arial" w:eastAsia="Arial" w:hAnsi="Arial"/>
                <w:sz w:val="15"/>
                <w:szCs w:val="15"/>
                <w:color w:val="auto"/>
              </w:rPr>
              <w:t>Defaults Upon Senior Securities</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122</w:t>
            </w:r>
          </w:p>
        </w:tc>
        <w:tc>
          <w:tcPr>
            <w:tcW w:w="0" w:type="dxa"/>
            <w:vAlign w:val="bottom"/>
          </w:tcPr>
          <w:p>
            <w:pPr>
              <w:spacing w:after="0"/>
              <w:rPr>
                <w:sz w:val="1"/>
                <w:szCs w:val="1"/>
                <w:color w:val="auto"/>
              </w:rPr>
            </w:pPr>
          </w:p>
        </w:tc>
      </w:tr>
      <w:tr>
        <w:trPr>
          <w:trHeight w:val="186"/>
        </w:trPr>
        <w:tc>
          <w:tcPr>
            <w:tcW w:w="820" w:type="dxa"/>
            <w:vAlign w:val="bottom"/>
          </w:tcPr>
          <w:p>
            <w:pPr>
              <w:spacing w:after="0"/>
              <w:rPr>
                <w:sz w:val="20"/>
                <w:szCs w:val="20"/>
                <w:color w:val="auto"/>
              </w:rPr>
            </w:pPr>
            <w:r>
              <w:rPr>
                <w:rFonts w:ascii="Arial" w:cs="Arial" w:eastAsia="Arial" w:hAnsi="Arial"/>
                <w:sz w:val="15"/>
                <w:szCs w:val="15"/>
                <w:color w:val="auto"/>
              </w:rPr>
              <w:t>Item 4.</w:t>
            </w:r>
          </w:p>
        </w:tc>
        <w:tc>
          <w:tcPr>
            <w:tcW w:w="10120" w:type="dxa"/>
            <w:vAlign w:val="bottom"/>
          </w:tcPr>
          <w:p>
            <w:pPr>
              <w:ind w:left="220"/>
              <w:spacing w:after="0"/>
              <w:rPr>
                <w:sz w:val="20"/>
                <w:szCs w:val="20"/>
                <w:color w:val="auto"/>
              </w:rPr>
            </w:pPr>
            <w:r>
              <w:rPr>
                <w:rFonts w:ascii="Arial" w:cs="Arial" w:eastAsia="Arial" w:hAnsi="Arial"/>
                <w:sz w:val="15"/>
                <w:szCs w:val="15"/>
                <w:color w:val="auto"/>
              </w:rPr>
              <w:t>Mine Safety Disclosures</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122</w:t>
            </w:r>
          </w:p>
        </w:tc>
        <w:tc>
          <w:tcPr>
            <w:tcW w:w="0" w:type="dxa"/>
            <w:vAlign w:val="bottom"/>
          </w:tcPr>
          <w:p>
            <w:pPr>
              <w:spacing w:after="0"/>
              <w:rPr>
                <w:sz w:val="1"/>
                <w:szCs w:val="1"/>
                <w:color w:val="auto"/>
              </w:rPr>
            </w:pPr>
          </w:p>
        </w:tc>
      </w:tr>
      <w:tr>
        <w:trPr>
          <w:trHeight w:val="186"/>
        </w:trPr>
        <w:tc>
          <w:tcPr>
            <w:tcW w:w="820" w:type="dxa"/>
            <w:vAlign w:val="bottom"/>
          </w:tcPr>
          <w:p>
            <w:pPr>
              <w:spacing w:after="0"/>
              <w:rPr>
                <w:sz w:val="20"/>
                <w:szCs w:val="20"/>
                <w:color w:val="auto"/>
              </w:rPr>
            </w:pPr>
            <w:r>
              <w:rPr>
                <w:rFonts w:ascii="Arial" w:cs="Arial" w:eastAsia="Arial" w:hAnsi="Arial"/>
                <w:sz w:val="15"/>
                <w:szCs w:val="15"/>
                <w:color w:val="auto"/>
              </w:rPr>
              <w:t>Item 5.</w:t>
            </w:r>
          </w:p>
        </w:tc>
        <w:tc>
          <w:tcPr>
            <w:tcW w:w="10120" w:type="dxa"/>
            <w:vAlign w:val="bottom"/>
          </w:tcPr>
          <w:p>
            <w:pPr>
              <w:ind w:left="220"/>
              <w:spacing w:after="0"/>
              <w:rPr>
                <w:sz w:val="20"/>
                <w:szCs w:val="20"/>
                <w:color w:val="auto"/>
              </w:rPr>
            </w:pPr>
            <w:r>
              <w:rPr>
                <w:rFonts w:ascii="Arial" w:cs="Arial" w:eastAsia="Arial" w:hAnsi="Arial"/>
                <w:sz w:val="15"/>
                <w:szCs w:val="15"/>
                <w:color w:val="auto"/>
              </w:rPr>
              <w:t>Other Information</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122</w:t>
            </w:r>
          </w:p>
        </w:tc>
        <w:tc>
          <w:tcPr>
            <w:tcW w:w="0" w:type="dxa"/>
            <w:vAlign w:val="bottom"/>
          </w:tcPr>
          <w:p>
            <w:pPr>
              <w:spacing w:after="0"/>
              <w:rPr>
                <w:sz w:val="1"/>
                <w:szCs w:val="1"/>
                <w:color w:val="auto"/>
              </w:rPr>
            </w:pPr>
          </w:p>
        </w:tc>
      </w:tr>
      <w:tr>
        <w:trPr>
          <w:trHeight w:val="186"/>
        </w:trPr>
        <w:tc>
          <w:tcPr>
            <w:tcW w:w="820" w:type="dxa"/>
            <w:vAlign w:val="bottom"/>
          </w:tcPr>
          <w:p>
            <w:pPr>
              <w:spacing w:after="0"/>
              <w:rPr>
                <w:sz w:val="20"/>
                <w:szCs w:val="20"/>
                <w:color w:val="auto"/>
              </w:rPr>
            </w:pPr>
            <w:r>
              <w:rPr>
                <w:rFonts w:ascii="Arial" w:cs="Arial" w:eastAsia="Arial" w:hAnsi="Arial"/>
                <w:sz w:val="15"/>
                <w:szCs w:val="15"/>
                <w:color w:val="auto"/>
              </w:rPr>
              <w:t>Item 6.</w:t>
            </w:r>
          </w:p>
        </w:tc>
        <w:tc>
          <w:tcPr>
            <w:tcW w:w="10120" w:type="dxa"/>
            <w:vAlign w:val="bottom"/>
          </w:tcPr>
          <w:p>
            <w:pPr>
              <w:ind w:left="220"/>
              <w:spacing w:after="0"/>
              <w:rPr>
                <w:sz w:val="20"/>
                <w:szCs w:val="20"/>
                <w:color w:val="auto"/>
              </w:rPr>
            </w:pPr>
            <w:r>
              <w:rPr>
                <w:rFonts w:ascii="Arial" w:cs="Arial" w:eastAsia="Arial" w:hAnsi="Arial"/>
                <w:sz w:val="15"/>
                <w:szCs w:val="15"/>
                <w:color w:val="auto"/>
              </w:rPr>
              <w:t>Exhibits</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122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474980</wp:posOffset>
            </wp:positionV>
            <wp:extent cx="7007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00"/>
        <w:spacing w:after="0"/>
        <w:tabs>
          <w:tab w:leader="none" w:pos="11020" w:val="left"/>
        </w:tabs>
        <w:rPr>
          <w:sz w:val="20"/>
          <w:szCs w:val="20"/>
          <w:color w:val="auto"/>
        </w:rPr>
      </w:pPr>
      <w:r>
        <w:rPr>
          <w:rFonts w:ascii="Arial" w:cs="Arial" w:eastAsia="Arial" w:hAnsi="Arial"/>
          <w:sz w:val="14"/>
          <w:szCs w:val="14"/>
          <w:color w:val="05314D"/>
        </w:rPr>
        <w:t>Fannie Mae Second Quarter 2023 Form 10-Q</w:t>
      </w:r>
      <w:r>
        <w:rPr>
          <w:sz w:val="20"/>
          <w:szCs w:val="20"/>
          <w:color w:val="auto"/>
        </w:rPr>
        <w:tab/>
      </w:r>
      <w:r>
        <w:rPr>
          <w:rFonts w:ascii="Arial" w:cs="Arial" w:eastAsia="Arial" w:hAnsi="Arial"/>
          <w:sz w:val="13"/>
          <w:szCs w:val="13"/>
          <w:color w:val="05314D"/>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125730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40" w:top="1398" w:right="359" w:bottom="1440" w:gutter="0" w:footer="0" w:header="0"/>
        </w:sectPr>
      </w:pPr>
    </w:p>
    <w:bookmarkStart w:id="3" w:name="page4"/>
    <w:bookmarkEnd w:id="3"/>
    <w:p>
      <w:pPr>
        <w:ind w:left="9900"/>
        <w:spacing w:after="0"/>
        <w:rPr>
          <w:sz w:val="20"/>
          <w:szCs w:val="20"/>
          <w:color w:val="auto"/>
        </w:rPr>
      </w:pPr>
      <w:r>
        <w:rPr>
          <w:rFonts w:ascii="Arial" w:cs="Arial" w:eastAsia="Arial" w:hAnsi="Arial"/>
          <w:sz w:val="14"/>
          <w:szCs w:val="14"/>
          <w:color w:val="001543"/>
        </w:rPr>
        <w:t>MD&amp;A | 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05314D"/>
        </w:rPr>
        <w:t>PART I—FINANCIAL INFORMATION</w:t>
      </w:r>
    </w:p>
    <w:p>
      <w:pPr>
        <w:spacing w:after="0" w:line="168" w:lineRule="exact"/>
        <w:rPr>
          <w:sz w:val="20"/>
          <w:szCs w:val="20"/>
          <w:color w:val="auto"/>
        </w:rPr>
      </w:pPr>
    </w:p>
    <w:p>
      <w:pPr>
        <w:ind w:right="1240"/>
        <w:spacing w:after="0" w:line="286" w:lineRule="auto"/>
        <w:rPr>
          <w:sz w:val="20"/>
          <w:szCs w:val="20"/>
          <w:color w:val="auto"/>
        </w:rPr>
      </w:pPr>
      <w:r>
        <w:rPr>
          <w:rFonts w:ascii="Arial" w:cs="Arial" w:eastAsia="Arial" w:hAnsi="Arial"/>
          <w:sz w:val="27"/>
          <w:szCs w:val="27"/>
          <w:b w:val="1"/>
          <w:bCs w:val="1"/>
          <w:color w:val="05314D"/>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6535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1653540"/>
                    </a:xfrm>
                    <a:prstGeom prst="rect">
                      <a:avLst/>
                    </a:prstGeom>
                    <a:noFill/>
                  </pic:spPr>
                </pic:pic>
              </a:graphicData>
            </a:graphic>
          </wp:anchor>
        </w:drawing>
      </w:r>
    </w:p>
    <w:p>
      <w:pPr>
        <w:spacing w:after="0" w:line="89" w:lineRule="exact"/>
        <w:rPr>
          <w:sz w:val="20"/>
          <w:szCs w:val="20"/>
          <w:color w:val="auto"/>
        </w:rPr>
      </w:pPr>
    </w:p>
    <w:p>
      <w:pPr>
        <w:ind w:left="180" w:right="340"/>
        <w:spacing w:after="0" w:line="250" w:lineRule="auto"/>
        <w:rPr>
          <w:sz w:val="20"/>
          <w:szCs w:val="20"/>
          <w:color w:val="auto"/>
        </w:rPr>
      </w:pPr>
      <w:r>
        <w:rPr>
          <w:rFonts w:ascii="Arial" w:cs="Arial" w:eastAsia="Arial" w:hAnsi="Arial"/>
          <w:sz w:val="15"/>
          <w:szCs w:val="15"/>
          <w:color w:val="auto"/>
        </w:rPr>
        <w:t>We have been under conservatorship, with the Federal Housing Finance Agency (“FHFA”) acting as conservator, since September 6, 2008. As conservator, FHFA succeeded to all rights, titles, powers and privileges of the company, and of any shareholder, officer or director of the company with respect to the company and its assets. The conservator has since provided for the exercise of certain functions and authorities by our Board of Directors. Our directors owe their fiduciary duties of care and loyalty solely to the conservator. Thus, while we are in conservatorship, the Board has no fiduciary duties to the company or its stockholders.</w:t>
      </w:r>
    </w:p>
    <w:p>
      <w:pPr>
        <w:spacing w:after="0" w:line="30" w:lineRule="exact"/>
        <w:rPr>
          <w:sz w:val="20"/>
          <w:szCs w:val="20"/>
          <w:color w:val="auto"/>
        </w:rPr>
      </w:pPr>
    </w:p>
    <w:p>
      <w:pPr>
        <w:jc w:val="both"/>
        <w:ind w:left="180" w:right="280"/>
        <w:spacing w:after="0" w:line="258" w:lineRule="auto"/>
        <w:rPr>
          <w:sz w:val="20"/>
          <w:szCs w:val="20"/>
          <w:color w:val="auto"/>
        </w:rPr>
      </w:pPr>
      <w:r>
        <w:rPr>
          <w:rFonts w:ascii="Arial" w:cs="Arial" w:eastAsia="Arial" w:hAnsi="Arial"/>
          <w:sz w:val="15"/>
          <w:szCs w:val="15"/>
          <w:color w:val="auto"/>
        </w:rPr>
        <w:t>We do not know when or how the conservatorship will terminate, what further changes to our business will be made during or following conservatorship, what form we will have and what ownership interest, if any, our current common and preferred stockholders will hold in us after the conservatorship is terminated or whether we will continue to exist following conservatorship.</w:t>
      </w:r>
    </w:p>
    <w:p>
      <w:pPr>
        <w:spacing w:after="0" w:line="88" w:lineRule="exact"/>
        <w:rPr>
          <w:sz w:val="20"/>
          <w:szCs w:val="20"/>
          <w:color w:val="auto"/>
        </w:rPr>
      </w:pPr>
    </w:p>
    <w:p>
      <w:pPr>
        <w:ind w:left="180" w:right="280"/>
        <w:spacing w:after="0" w:line="268" w:lineRule="auto"/>
        <w:rPr>
          <w:sz w:val="20"/>
          <w:szCs w:val="20"/>
          <w:color w:val="auto"/>
        </w:rPr>
      </w:pPr>
      <w:r>
        <w:rPr>
          <w:rFonts w:ascii="Arial" w:cs="Arial" w:eastAsia="Arial" w:hAnsi="Arial"/>
          <w:sz w:val="15"/>
          <w:szCs w:val="15"/>
          <w:color w:val="auto"/>
        </w:rPr>
        <w:t>We are not currently permitted to pay dividends or other distributions to stockholders. Our agreements with the U.S. Department of the Treasury (“Treasury”) include a commitment from Treasury to provide us with funds to maintain a positive net worth under specified conditions; however, the U.S. government does not guarantee our securities or other obligations. Our agreements with Treasury also include covenants that significantly restrict our business activities. For additional information on the conservatorship, the uncertainty of our future, and our agreements with Treasury, see “Business—Conservatorship and Treasury Agreements” and “Risk Factors—GSE and Conservatorship Risk” in our Form 10-K for the year ended December 31, 2022 (“2022 Form 10-K”).</w:t>
      </w:r>
    </w:p>
    <w:p>
      <w:pPr>
        <w:spacing w:after="0" w:line="158"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i w:val="1"/>
          <w:iCs w:val="1"/>
          <w:color w:val="auto"/>
        </w:rPr>
        <w:t>You should read this Management’s Discussion and Analysis of Financial Condition and Results of Operations (“MD&amp;A”) in conjunction with our unaudited condensed consolidated financial statements and related notes in this report and the more detailed information in our 2022 Form 10-K. You can find a “Glossary of Terms Used in This Report” in MD&amp;A in our 2022 Form 10-K.</w:t>
      </w:r>
    </w:p>
    <w:p>
      <w:pPr>
        <w:spacing w:after="0" w:line="37" w:lineRule="exact"/>
        <w:rPr>
          <w:sz w:val="20"/>
          <w:szCs w:val="20"/>
          <w:color w:val="auto"/>
        </w:rPr>
      </w:pPr>
    </w:p>
    <w:p>
      <w:pPr>
        <w:ind w:right="420"/>
        <w:spacing w:after="0" w:line="269" w:lineRule="auto"/>
        <w:rPr>
          <w:sz w:val="20"/>
          <w:szCs w:val="20"/>
          <w:color w:val="auto"/>
        </w:rPr>
      </w:pPr>
      <w:r>
        <w:rPr>
          <w:rFonts w:ascii="Arial" w:cs="Arial" w:eastAsia="Arial" w:hAnsi="Arial"/>
          <w:sz w:val="16"/>
          <w:szCs w:val="16"/>
          <w:i w:val="1"/>
          <w:iCs w:val="1"/>
          <w:color w:val="auto"/>
        </w:rPr>
        <w:t>Forward-looking statements in this report are based on management’s current expectations and are subject to significant uncertainties and changes in circumstances, as we describe in “Forward-Looking Statements.” Future events and our future results may differ materially from those reflected in our forward-looking statements due to a variety of factors, including those discussed in “Risk Factors” in our 2022 Form 10-K and elsewhere in our 2022 Form 10-K and in this report.</w:t>
      </w:r>
    </w:p>
    <w:p>
      <w:pPr>
        <w:spacing w:after="0" w:line="106"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52705</wp:posOffset>
            </wp:positionV>
            <wp:extent cx="713867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64"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Fannie Mae is a leading source of financing for mortgages in the United States. Organized as a government-sponsored enterprise, Fannie Mae is a shareholder-owned corporation. We were chartered by Congress to provide liquidity and stability to the residential mortgage market and to promote access to mortgage credit. Our revenues are primarily driven by guaranty fees we receive for assuming the credit risk on loans underlying the mortgage-backed securities we issue. We do not originate mortgage loans or lend money directly to borrowers. Rather, we work primarily with lenders who originate mortgage loans to borrowers. We acquire and securitize those loans into mortgage-backed securities that we guarantee (which we refer to as Fannie Mae MBS or our MBS).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1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880" w:type="dxa"/>
            <w:vAlign w:val="bottom"/>
            <w:tcBorders>
              <w:bottom w:val="single" w:sz="8" w:color="9A9A9A"/>
            </w:tcBorders>
          </w:tcPr>
          <w:p>
            <w:pPr>
              <w:spacing w:after="0"/>
              <w:rPr>
                <w:sz w:val="17"/>
                <w:szCs w:val="17"/>
                <w:color w:val="auto"/>
              </w:rPr>
            </w:pPr>
          </w:p>
        </w:tc>
        <w:tc>
          <w:tcPr>
            <w:tcW w:w="41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4" w:name="page5"/>
    <w:bookmarkEnd w:id="4"/>
    <w:p>
      <w:pPr>
        <w:ind w:left="9400"/>
        <w:spacing w:after="0"/>
        <w:rPr>
          <w:sz w:val="20"/>
          <w:szCs w:val="20"/>
          <w:color w:val="auto"/>
        </w:rPr>
      </w:pPr>
      <w:r>
        <w:rPr>
          <w:rFonts w:ascii="Arial" w:cs="Arial" w:eastAsia="Arial" w:hAnsi="Arial"/>
          <w:sz w:val="14"/>
          <w:szCs w:val="14"/>
          <w:color w:val="001543"/>
        </w:rPr>
        <w:t>MD&amp;A | 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52705</wp:posOffset>
            </wp:positionV>
            <wp:extent cx="713867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Summary of Our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788035</wp:posOffset>
            </wp:positionH>
            <wp:positionV relativeFrom="paragraph">
              <wp:posOffset>60325</wp:posOffset>
            </wp:positionV>
            <wp:extent cx="5452110" cy="2456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2110" cy="2456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20" w:right="740" w:hanging="307"/>
        <w:spacing w:after="0" w:line="288" w:lineRule="auto"/>
        <w:tabs>
          <w:tab w:leader="none" w:pos="62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decreased $784 million in the second quarter of 2023 compared with the second quarter of 2022, primarily due to lower net</w:t>
      </w:r>
      <w:r>
        <w:rPr>
          <w:rFonts w:ascii="Arial" w:cs="Arial" w:eastAsia="Arial" w:hAnsi="Arial"/>
          <w:sz w:val="16"/>
          <w:szCs w:val="16"/>
          <w:i w:val="1"/>
          <w:iCs w:val="1"/>
          <w:color w:val="auto"/>
        </w:rPr>
        <w:t xml:space="preserve"> </w:t>
      </w:r>
      <w:r>
        <w:rPr>
          <w:rFonts w:ascii="Arial" w:cs="Arial" w:eastAsia="Arial" w:hAnsi="Arial"/>
          <w:sz w:val="16"/>
          <w:szCs w:val="16"/>
          <w:color w:val="auto"/>
        </w:rPr>
        <w:t>amortization income, partially offset by higher income from portfolios.</w:t>
      </w:r>
    </w:p>
    <w:p>
      <w:pPr>
        <w:spacing w:after="0" w:line="26" w:lineRule="exact"/>
        <w:rPr>
          <w:rFonts w:ascii="Arial" w:cs="Arial" w:eastAsia="Arial" w:hAnsi="Arial"/>
          <w:sz w:val="16"/>
          <w:szCs w:val="16"/>
          <w:i w:val="1"/>
          <w:iCs w:val="1"/>
          <w:color w:val="auto"/>
        </w:rPr>
      </w:pPr>
    </w:p>
    <w:p>
      <w:pPr>
        <w:ind w:left="1240" w:right="400" w:hanging="309"/>
        <w:spacing w:after="0" w:line="300" w:lineRule="auto"/>
        <w:tabs>
          <w:tab w:leader="none" w:pos="1240" w:val="left"/>
        </w:tabs>
        <w:numPr>
          <w:ilvl w:val="1"/>
          <w:numId w:val="3"/>
        </w:numPr>
        <w:rPr>
          <w:rFonts w:ascii="Arial" w:cs="Arial" w:eastAsia="Arial" w:hAnsi="Arial"/>
          <w:sz w:val="16"/>
          <w:szCs w:val="16"/>
          <w:i w:val="1"/>
          <w:iCs w:val="1"/>
          <w:color w:val="auto"/>
        </w:rPr>
      </w:pPr>
      <w:r>
        <w:rPr>
          <w:rFonts w:ascii="Arial" w:cs="Arial" w:eastAsia="Arial" w:hAnsi="Arial"/>
          <w:sz w:val="16"/>
          <w:szCs w:val="16"/>
          <w:color w:val="auto"/>
        </w:rPr>
        <w:t>Lower amortization income was driven by a higher interest-rate environment in the second quarter of 2023, which significantly slowed refinancing activity, driving lower loan prepayment volumes compared with the second quarter of 2022.</w:t>
      </w:r>
    </w:p>
    <w:p>
      <w:pPr>
        <w:spacing w:after="0" w:line="17" w:lineRule="exact"/>
        <w:rPr>
          <w:rFonts w:ascii="Arial" w:cs="Arial" w:eastAsia="Arial" w:hAnsi="Arial"/>
          <w:sz w:val="16"/>
          <w:szCs w:val="16"/>
          <w:i w:val="1"/>
          <w:iCs w:val="1"/>
          <w:color w:val="auto"/>
        </w:rPr>
      </w:pPr>
    </w:p>
    <w:p>
      <w:pPr>
        <w:ind w:left="1240" w:right="380" w:hanging="309"/>
        <w:spacing w:after="0" w:line="283" w:lineRule="auto"/>
        <w:tabs>
          <w:tab w:leader="none" w:pos="1240" w:val="left"/>
        </w:tabs>
        <w:numPr>
          <w:ilvl w:val="1"/>
          <w:numId w:val="3"/>
        </w:numPr>
        <w:rPr>
          <w:rFonts w:ascii="Arial" w:cs="Arial" w:eastAsia="Arial" w:hAnsi="Arial"/>
          <w:sz w:val="16"/>
          <w:szCs w:val="16"/>
          <w:i w:val="1"/>
          <w:iCs w:val="1"/>
          <w:color w:val="auto"/>
        </w:rPr>
      </w:pPr>
      <w:r>
        <w:rPr>
          <w:rFonts w:ascii="Arial" w:cs="Arial" w:eastAsia="Arial" w:hAnsi="Arial"/>
          <w:sz w:val="16"/>
          <w:szCs w:val="16"/>
          <w:color w:val="auto"/>
        </w:rPr>
        <w:t>Higher income from portfolios was primarily driven by higher interest rates in the second quarter of 2023 than in the second quarter of 2022 on securities in our other investments portfolio.</w:t>
      </w:r>
    </w:p>
    <w:p>
      <w:pPr>
        <w:spacing w:after="0" w:line="26" w:lineRule="exact"/>
        <w:rPr>
          <w:rFonts w:ascii="Arial" w:cs="Arial" w:eastAsia="Arial" w:hAnsi="Arial"/>
          <w:sz w:val="16"/>
          <w:szCs w:val="16"/>
          <w:i w:val="1"/>
          <w:iCs w:val="1"/>
          <w:color w:val="auto"/>
        </w:rPr>
      </w:pPr>
    </w:p>
    <w:p>
      <w:pPr>
        <w:ind w:left="620" w:right="60" w:hanging="307"/>
        <w:spacing w:after="0" w:line="269" w:lineRule="auto"/>
        <w:tabs>
          <w:tab w:leader="none" w:pos="62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increased $341 million for the second quarter of 2023 compared with the second quarter of 2022, driven primarily by a shift to benefit</w:t>
      </w:r>
      <w:r>
        <w:rPr>
          <w:rFonts w:ascii="Arial" w:cs="Arial" w:eastAsia="Arial" w:hAnsi="Arial"/>
          <w:sz w:val="16"/>
          <w:szCs w:val="16"/>
          <w:i w:val="1"/>
          <w:iCs w:val="1"/>
          <w:color w:val="auto"/>
        </w:rPr>
        <w:t xml:space="preserve"> </w:t>
      </w:r>
      <w:r>
        <w:rPr>
          <w:rFonts w:ascii="Arial" w:cs="Arial" w:eastAsia="Arial" w:hAnsi="Arial"/>
          <w:sz w:val="16"/>
          <w:szCs w:val="16"/>
          <w:color w:val="auto"/>
        </w:rPr>
        <w:t>for credit losses in the second quarter of 2023 from provision for credit losses in the second quarter of 2022, partially offset by a decrease in net revenues. Our benefit for credit losses in the second quarter of 2023 was driven primarily by increases in actual and forecasted single-family home prices.</w:t>
      </w:r>
    </w:p>
    <w:p>
      <w:pPr>
        <w:spacing w:after="0" w:line="38" w:lineRule="exact"/>
        <w:rPr>
          <w:rFonts w:ascii="Arial" w:cs="Arial" w:eastAsia="Arial" w:hAnsi="Arial"/>
          <w:sz w:val="16"/>
          <w:szCs w:val="16"/>
          <w:i w:val="1"/>
          <w:iCs w:val="1"/>
          <w:color w:val="auto"/>
        </w:rPr>
      </w:pPr>
    </w:p>
    <w:p>
      <w:pPr>
        <w:ind w:left="620" w:right="480" w:hanging="307"/>
        <w:spacing w:after="0" w:line="288" w:lineRule="auto"/>
        <w:tabs>
          <w:tab w:leader="none" w:pos="62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Net worth </w:t>
      </w:r>
      <w:r>
        <w:rPr>
          <w:rFonts w:ascii="Arial" w:cs="Arial" w:eastAsia="Arial" w:hAnsi="Arial"/>
          <w:sz w:val="16"/>
          <w:szCs w:val="16"/>
          <w:color w:val="auto"/>
        </w:rPr>
        <w:t>increased to $69.0 billion as of June 30, 2023 from $64.0 billion as of March 31, 2023. The increase is attributable to $5.0 billion of</w:t>
      </w:r>
      <w:r>
        <w:rPr>
          <w:rFonts w:ascii="Arial" w:cs="Arial" w:eastAsia="Arial" w:hAnsi="Arial"/>
          <w:sz w:val="16"/>
          <w:szCs w:val="16"/>
          <w:i w:val="1"/>
          <w:iCs w:val="1"/>
          <w:color w:val="auto"/>
        </w:rPr>
        <w:t xml:space="preserve"> </w:t>
      </w:r>
      <w:r>
        <w:rPr>
          <w:rFonts w:ascii="Arial" w:cs="Arial" w:eastAsia="Arial" w:hAnsi="Arial"/>
          <w:sz w:val="16"/>
          <w:szCs w:val="16"/>
          <w:color w:val="auto"/>
        </w:rPr>
        <w:t>comprehensive income for the second quarter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1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880" w:type="dxa"/>
            <w:vAlign w:val="bottom"/>
            <w:tcBorders>
              <w:bottom w:val="single" w:sz="8" w:color="9A9A9A"/>
            </w:tcBorders>
          </w:tcPr>
          <w:p>
            <w:pPr>
              <w:spacing w:after="0"/>
              <w:rPr>
                <w:sz w:val="17"/>
                <w:szCs w:val="17"/>
                <w:color w:val="auto"/>
              </w:rPr>
            </w:pPr>
          </w:p>
        </w:tc>
        <w:tc>
          <w:tcPr>
            <w:tcW w:w="41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5" w:name="page6"/>
    <w:bookmarkEnd w:id="5"/>
    <w:p>
      <w:pPr>
        <w:ind w:left="9400"/>
        <w:spacing w:after="0"/>
        <w:rPr>
          <w:sz w:val="20"/>
          <w:szCs w:val="20"/>
          <w:color w:val="auto"/>
        </w:rPr>
      </w:pPr>
      <w:r>
        <w:rPr>
          <w:rFonts w:ascii="Arial" w:cs="Arial" w:eastAsia="Arial" w:hAnsi="Arial"/>
          <w:sz w:val="14"/>
          <w:szCs w:val="14"/>
          <w:color w:val="001543"/>
        </w:rPr>
        <w:t>MD&amp;A | 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07225" cy="8255"/>
                    </a:xfrm>
                    <a:prstGeom prst="rect">
                      <a:avLst/>
                    </a:prstGeom>
                    <a:noFill/>
                  </pic:spPr>
                </pic:pic>
              </a:graphicData>
            </a:graphic>
          </wp:anchor>
        </w:drawing>
        <w:drawing>
          <wp:anchor simplePos="0" relativeHeight="251657728" behindDoc="1" locked="0" layoutInCell="0" allowOverlap="1">
            <wp:simplePos x="0" y="0"/>
            <wp:positionH relativeFrom="column">
              <wp:posOffset>788035</wp:posOffset>
            </wp:positionH>
            <wp:positionV relativeFrom="paragraph">
              <wp:posOffset>613410</wp:posOffset>
            </wp:positionV>
            <wp:extent cx="5452110" cy="2456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52110" cy="2456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20" w:right="320" w:hanging="307"/>
        <w:spacing w:after="0" w:line="288" w:lineRule="auto"/>
        <w:tabs>
          <w:tab w:leader="none" w:pos="62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decreased $1.4 billion in the first half of 2023 compared with the first half of 2022, primarily due to lower net amortization income,</w:t>
      </w:r>
      <w:r>
        <w:rPr>
          <w:rFonts w:ascii="Arial" w:cs="Arial" w:eastAsia="Arial" w:hAnsi="Arial"/>
          <w:sz w:val="16"/>
          <w:szCs w:val="16"/>
          <w:i w:val="1"/>
          <w:iCs w:val="1"/>
          <w:color w:val="auto"/>
        </w:rPr>
        <w:t xml:space="preserve"> </w:t>
      </w:r>
      <w:r>
        <w:rPr>
          <w:rFonts w:ascii="Arial" w:cs="Arial" w:eastAsia="Arial" w:hAnsi="Arial"/>
          <w:sz w:val="16"/>
          <w:szCs w:val="16"/>
          <w:color w:val="auto"/>
        </w:rPr>
        <w:t>partially offset by higher income from portfolios.</w:t>
      </w:r>
    </w:p>
    <w:p>
      <w:pPr>
        <w:spacing w:after="0" w:line="26" w:lineRule="exact"/>
        <w:rPr>
          <w:rFonts w:ascii="Arial" w:cs="Arial" w:eastAsia="Arial" w:hAnsi="Arial"/>
          <w:sz w:val="16"/>
          <w:szCs w:val="16"/>
          <w:i w:val="1"/>
          <w:iCs w:val="1"/>
          <w:color w:val="auto"/>
        </w:rPr>
      </w:pPr>
    </w:p>
    <w:p>
      <w:pPr>
        <w:ind w:left="1240" w:right="60" w:hanging="309"/>
        <w:spacing w:after="0" w:line="283" w:lineRule="auto"/>
        <w:tabs>
          <w:tab w:leader="none" w:pos="1240" w:val="left"/>
        </w:tabs>
        <w:numPr>
          <w:ilvl w:val="1"/>
          <w:numId w:val="4"/>
        </w:numPr>
        <w:rPr>
          <w:rFonts w:ascii="Arial" w:cs="Arial" w:eastAsia="Arial" w:hAnsi="Arial"/>
          <w:sz w:val="16"/>
          <w:szCs w:val="16"/>
          <w:i w:val="1"/>
          <w:iCs w:val="1"/>
          <w:color w:val="auto"/>
        </w:rPr>
      </w:pPr>
      <w:r>
        <w:rPr>
          <w:rFonts w:ascii="Arial" w:cs="Arial" w:eastAsia="Arial" w:hAnsi="Arial"/>
          <w:sz w:val="16"/>
          <w:szCs w:val="16"/>
          <w:color w:val="auto"/>
        </w:rPr>
        <w:t>Lower amortization income was driven by a higher interest-rate environment in the first half of 2023, which significantly slowed refinancing activity, driving lower loan prepayment volumes compared with the first half of 2022.</w:t>
      </w:r>
    </w:p>
    <w:p>
      <w:pPr>
        <w:spacing w:after="0" w:line="30" w:lineRule="exact"/>
        <w:rPr>
          <w:rFonts w:ascii="Arial" w:cs="Arial" w:eastAsia="Arial" w:hAnsi="Arial"/>
          <w:sz w:val="16"/>
          <w:szCs w:val="16"/>
          <w:i w:val="1"/>
          <w:iCs w:val="1"/>
          <w:color w:val="auto"/>
        </w:rPr>
      </w:pPr>
    </w:p>
    <w:p>
      <w:pPr>
        <w:ind w:left="1240" w:right="60" w:hanging="309"/>
        <w:spacing w:after="0" w:line="283" w:lineRule="auto"/>
        <w:tabs>
          <w:tab w:leader="none" w:pos="1240" w:val="left"/>
        </w:tabs>
        <w:numPr>
          <w:ilvl w:val="1"/>
          <w:numId w:val="4"/>
        </w:numPr>
        <w:rPr>
          <w:rFonts w:ascii="Arial" w:cs="Arial" w:eastAsia="Arial" w:hAnsi="Arial"/>
          <w:sz w:val="16"/>
          <w:szCs w:val="16"/>
          <w:i w:val="1"/>
          <w:iCs w:val="1"/>
          <w:color w:val="auto"/>
        </w:rPr>
      </w:pPr>
      <w:r>
        <w:rPr>
          <w:rFonts w:ascii="Arial" w:cs="Arial" w:eastAsia="Arial" w:hAnsi="Arial"/>
          <w:sz w:val="16"/>
          <w:szCs w:val="16"/>
          <w:color w:val="auto"/>
        </w:rPr>
        <w:t>Higher income from portfolios was primarily driven by higher interest rates in the first half of 2023 than in the first half of 2022 on securities in our other investments portfolio.</w:t>
      </w:r>
    </w:p>
    <w:p>
      <w:pPr>
        <w:spacing w:after="0" w:line="39" w:lineRule="exact"/>
        <w:rPr>
          <w:rFonts w:ascii="Arial" w:cs="Arial" w:eastAsia="Arial" w:hAnsi="Arial"/>
          <w:sz w:val="16"/>
          <w:szCs w:val="16"/>
          <w:i w:val="1"/>
          <w:iCs w:val="1"/>
          <w:color w:val="auto"/>
        </w:rPr>
      </w:pPr>
    </w:p>
    <w:p>
      <w:pPr>
        <w:ind w:left="620" w:right="280" w:hanging="307"/>
        <w:spacing w:after="0" w:line="270" w:lineRule="auto"/>
        <w:tabs>
          <w:tab w:leader="none" w:pos="62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decreased $295 million for the first half of 2023 compared with the first half of 2022, driven primarily by lower net revenues and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in fair value gains, partially offset by a shift to benefit for credit losses in the first half of 2023 from provision for credit losses in the first half of 2022 due to increases in actual and forecasted single-family home prices.</w:t>
      </w:r>
    </w:p>
    <w:p>
      <w:pPr>
        <w:spacing w:after="0" w:line="36" w:lineRule="exact"/>
        <w:rPr>
          <w:rFonts w:ascii="Arial" w:cs="Arial" w:eastAsia="Arial" w:hAnsi="Arial"/>
          <w:sz w:val="16"/>
          <w:szCs w:val="16"/>
          <w:i w:val="1"/>
          <w:iCs w:val="1"/>
          <w:color w:val="auto"/>
        </w:rPr>
      </w:pPr>
    </w:p>
    <w:p>
      <w:pPr>
        <w:ind w:left="620" w:right="200" w:hanging="307"/>
        <w:spacing w:after="0" w:line="288" w:lineRule="auto"/>
        <w:tabs>
          <w:tab w:leader="none" w:pos="62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Net worth </w:t>
      </w:r>
      <w:r>
        <w:rPr>
          <w:rFonts w:ascii="Arial" w:cs="Arial" w:eastAsia="Arial" w:hAnsi="Arial"/>
          <w:sz w:val="16"/>
          <w:szCs w:val="16"/>
          <w:color w:val="auto"/>
        </w:rPr>
        <w:t>increased to $69.0 billion as of June 30, 2023 from $60.3 billion as of December 31, 2022. The increase is attributable to $8.8 billion of</w:t>
      </w:r>
      <w:r>
        <w:rPr>
          <w:rFonts w:ascii="Arial" w:cs="Arial" w:eastAsia="Arial" w:hAnsi="Arial"/>
          <w:sz w:val="16"/>
          <w:szCs w:val="16"/>
          <w:i w:val="1"/>
          <w:iCs w:val="1"/>
          <w:color w:val="auto"/>
        </w:rPr>
        <w:t xml:space="preserve"> </w:t>
      </w:r>
      <w:r>
        <w:rPr>
          <w:rFonts w:ascii="Arial" w:cs="Arial" w:eastAsia="Arial" w:hAnsi="Arial"/>
          <w:sz w:val="16"/>
          <w:szCs w:val="16"/>
          <w:color w:val="auto"/>
        </w:rPr>
        <w:t>comprehensive income for the first half of 2023.</w:t>
      </w:r>
    </w:p>
    <w:p>
      <w:pPr>
        <w:spacing w:after="0" w:line="69"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Liquidity Provided in the First Half of 2023</w:t>
      </w:r>
    </w:p>
    <w:p>
      <w:pPr>
        <w:spacing w:after="0" w:line="103"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Through our single-family and multifamily business segments, we provided $182 billion in liquidity to the mortgage market in the first half of 2023, enabling the financing of approximately 726,000 home purchases, refinancings and rental units.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5314D"/>
        </w:rPr>
        <w:t>Fannie Mae Provided $182 Billion in Liquidity in the First Half of 2023</w:t>
      </w:r>
    </w:p>
    <w:p>
      <w:pPr>
        <w:sectPr>
          <w:pgSz w:w="11900" w:h="16838" w:orient="portrait"/>
          <w:cols w:equalWidth="0" w:num="1">
            <w:col w:w="11240"/>
          </w:cols>
          <w:pgMar w:left="320" w:top="250" w:right="339" w:bottom="1440" w:gutter="0" w:footer="0" w:header="0"/>
        </w:sectPr>
      </w:pPr>
    </w:p>
    <w:p>
      <w:pPr>
        <w:spacing w:after="0" w:line="134" w:lineRule="exact"/>
        <w:rPr>
          <w:sz w:val="20"/>
          <w:szCs w:val="20"/>
          <w:color w:val="auto"/>
        </w:rPr>
      </w:pPr>
    </w:p>
    <w:p>
      <w:pPr>
        <w:ind w:left="2100"/>
        <w:spacing w:after="0"/>
        <w:rPr>
          <w:sz w:val="20"/>
          <w:szCs w:val="20"/>
          <w:color w:val="auto"/>
        </w:rPr>
      </w:pPr>
      <w:r>
        <w:rPr>
          <w:rFonts w:ascii="Arial" w:cs="Arial" w:eastAsia="Arial" w:hAnsi="Arial"/>
          <w:sz w:val="15"/>
          <w:szCs w:val="15"/>
          <w:b w:val="1"/>
          <w:bCs w:val="1"/>
          <w:color w:val="05314D"/>
        </w:rPr>
        <w:t>Unpaid Principal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98425</wp:posOffset>
            </wp:positionV>
            <wp:extent cx="2881630" cy="2540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81630" cy="2540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color w:val="05314D"/>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-1423035</wp:posOffset>
            </wp:positionH>
            <wp:positionV relativeFrom="paragraph">
              <wp:posOffset>98425</wp:posOffset>
            </wp:positionV>
            <wp:extent cx="3094355" cy="2540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094355" cy="254000"/>
                    </a:xfrm>
                    <a:prstGeom prst="rect">
                      <a:avLst/>
                    </a:prstGeom>
                    <a:noFill/>
                  </pic:spPr>
                </pic:pic>
              </a:graphicData>
            </a:graphic>
          </wp:anchor>
        </w:drawing>
      </w:r>
    </w:p>
    <w:p>
      <w:pPr>
        <w:spacing w:after="0" w:line="156" w:lineRule="exact"/>
        <w:rPr>
          <w:sz w:val="20"/>
          <w:szCs w:val="20"/>
          <w:color w:val="auto"/>
        </w:rPr>
      </w:pPr>
    </w:p>
    <w:p>
      <w:pPr>
        <w:sectPr>
          <w:pgSz w:w="11900" w:h="16838" w:orient="portrait"/>
          <w:cols w:equalWidth="0" w:num="2">
            <w:col w:w="7120" w:space="720"/>
            <w:col w:w="3400"/>
          </w:cols>
          <w:pgMar w:left="320" w:top="250" w:right="339" w:bottom="1440" w:gutter="0" w:footer="0" w:header="0"/>
          <w:type w:val="continuous"/>
        </w:sectPr>
      </w:pPr>
    </w:p>
    <w:p>
      <w:pPr>
        <w:ind w:left="7840"/>
        <w:spacing w:after="0"/>
        <w:rPr>
          <w:sz w:val="20"/>
          <w:szCs w:val="20"/>
          <w:color w:val="auto"/>
        </w:rPr>
      </w:pPr>
      <w:r>
        <w:rPr>
          <w:rFonts w:ascii="Arial" w:cs="Arial" w:eastAsia="Arial" w:hAnsi="Arial"/>
          <w:sz w:val="16"/>
          <w:szCs w:val="16"/>
          <w:color w:val="FFFFFF"/>
        </w:rPr>
        <w:t>397K</w:t>
      </w:r>
    </w:p>
    <w:p>
      <w:pPr>
        <w:sectPr>
          <w:pgSz w:w="11900" w:h="16838" w:orient="portrait"/>
          <w:cols w:equalWidth="0" w:num="1">
            <w:col w:w="11240"/>
          </w:cols>
          <w:pgMar w:left="320" w:top="250" w:right="339" w:bottom="1440" w:gutter="0" w:footer="0" w:header="0"/>
          <w:type w:val="continuous"/>
        </w:sectPr>
      </w:pPr>
    </w:p>
    <w:tbl>
      <w:tblPr>
        <w:tblLayout w:type="fixed"/>
        <w:tblInd w:w="780" w:type="dxa"/>
        <w:tblCellMar>
          <w:top w:w="0" w:type="dxa"/>
          <w:left w:w="0" w:type="dxa"/>
          <w:bottom w:w="0" w:type="dxa"/>
          <w:right w:w="0" w:type="dxa"/>
        </w:tblCellMar>
      </w:tblPr>
      <w:tr>
        <w:trPr>
          <w:trHeight w:val="230"/>
        </w:trPr>
        <w:tc>
          <w:tcPr>
            <w:tcW w:w="4540" w:type="dxa"/>
            <w:vAlign w:val="bottom"/>
          </w:tcPr>
          <w:p>
            <w:pPr>
              <w:jc w:val="center"/>
              <w:spacing w:after="0"/>
              <w:rPr>
                <w:sz w:val="20"/>
                <w:szCs w:val="20"/>
                <w:color w:val="auto"/>
              </w:rPr>
            </w:pPr>
            <w:r>
              <w:rPr>
                <w:rFonts w:ascii="Arial" w:cs="Arial" w:eastAsia="Arial" w:hAnsi="Arial"/>
                <w:sz w:val="17"/>
                <w:szCs w:val="17"/>
                <w:color w:val="FFFFFF"/>
                <w:w w:val="93"/>
              </w:rPr>
              <w:t>$133B</w:t>
            </w:r>
          </w:p>
        </w:tc>
        <w:tc>
          <w:tcPr>
            <w:tcW w:w="280" w:type="dxa"/>
            <w:vAlign w:val="bottom"/>
          </w:tcPr>
          <w:p>
            <w:pPr>
              <w:spacing w:after="0"/>
              <w:rPr>
                <w:sz w:val="20"/>
                <w:szCs w:val="20"/>
                <w:color w:val="auto"/>
              </w:rPr>
            </w:pPr>
          </w:p>
        </w:tc>
        <w:tc>
          <w:tcPr>
            <w:tcW w:w="4880" w:type="dxa"/>
            <w:vAlign w:val="bottom"/>
            <w:vMerge w:val="restart"/>
          </w:tcPr>
          <w:p>
            <w:pPr>
              <w:jc w:val="center"/>
              <w:spacing w:after="0"/>
              <w:rPr>
                <w:sz w:val="20"/>
                <w:szCs w:val="20"/>
                <w:color w:val="auto"/>
              </w:rPr>
            </w:pPr>
            <w:r>
              <w:rPr>
                <w:rFonts w:ascii="Arial" w:cs="Arial" w:eastAsia="Arial" w:hAnsi="Arial"/>
                <w:sz w:val="17"/>
                <w:szCs w:val="17"/>
                <w:color w:val="FFFFFF"/>
                <w:w w:val="91"/>
              </w:rPr>
              <w:t>Single-Family Home Purchases</w:t>
            </w:r>
          </w:p>
        </w:tc>
        <w:tc>
          <w:tcPr>
            <w:tcW w:w="0" w:type="dxa"/>
            <w:vAlign w:val="bottom"/>
          </w:tcPr>
          <w:p>
            <w:pPr>
              <w:spacing w:after="0"/>
              <w:rPr>
                <w:sz w:val="1"/>
                <w:szCs w:val="1"/>
                <w:color w:val="auto"/>
              </w:rPr>
            </w:pPr>
          </w:p>
        </w:tc>
      </w:tr>
      <w:tr>
        <w:trPr>
          <w:trHeight w:val="100"/>
        </w:trPr>
        <w:tc>
          <w:tcPr>
            <w:tcW w:w="4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4540" w:type="dxa"/>
            <w:vAlign w:val="bottom"/>
            <w:vMerge w:val="restart"/>
            <w:shd w:val="clear" w:color="auto" w:fill="CBC8C3"/>
          </w:tcPr>
          <w:p>
            <w:pPr>
              <w:jc w:val="center"/>
              <w:spacing w:after="0"/>
              <w:rPr>
                <w:sz w:val="20"/>
                <w:szCs w:val="20"/>
                <w:color w:val="auto"/>
              </w:rPr>
            </w:pPr>
            <w:r>
              <w:rPr>
                <w:rFonts w:ascii="Arial" w:cs="Arial" w:eastAsia="Arial" w:hAnsi="Arial"/>
                <w:sz w:val="17"/>
                <w:szCs w:val="17"/>
                <w:color w:val="auto"/>
                <w:w w:val="95"/>
              </w:rPr>
              <w:t>$24B</w:t>
            </w:r>
          </w:p>
        </w:tc>
        <w:tc>
          <w:tcPr>
            <w:tcW w:w="280" w:type="dxa"/>
            <w:vAlign w:val="bottom"/>
          </w:tcPr>
          <w:p>
            <w:pPr>
              <w:spacing w:after="0"/>
              <w:rPr>
                <w:sz w:val="14"/>
                <w:szCs w:val="14"/>
                <w:color w:val="auto"/>
              </w:rPr>
            </w:pPr>
          </w:p>
        </w:tc>
        <w:tc>
          <w:tcPr>
            <w:tcW w:w="4880" w:type="dxa"/>
            <w:vAlign w:val="bottom"/>
            <w:shd w:val="clear" w:color="auto" w:fill="CBC8C3"/>
          </w:tcPr>
          <w:p>
            <w:pPr>
              <w:jc w:val="center"/>
              <w:spacing w:after="0" w:line="168" w:lineRule="exact"/>
              <w:rPr>
                <w:sz w:val="20"/>
                <w:szCs w:val="20"/>
                <w:color w:val="auto"/>
              </w:rPr>
            </w:pPr>
            <w:r>
              <w:rPr>
                <w:rFonts w:ascii="Arial" w:cs="Arial" w:eastAsia="Arial" w:hAnsi="Arial"/>
                <w:sz w:val="17"/>
                <w:szCs w:val="17"/>
                <w:color w:val="auto"/>
                <w:w w:val="99"/>
              </w:rPr>
              <w:t>99K</w:t>
            </w:r>
          </w:p>
        </w:tc>
        <w:tc>
          <w:tcPr>
            <w:tcW w:w="0" w:type="dxa"/>
            <w:vAlign w:val="bottom"/>
          </w:tcPr>
          <w:p>
            <w:pPr>
              <w:spacing w:after="0"/>
              <w:rPr>
                <w:sz w:val="1"/>
                <w:szCs w:val="1"/>
                <w:color w:val="auto"/>
              </w:rPr>
            </w:pPr>
          </w:p>
        </w:tc>
      </w:tr>
      <w:tr>
        <w:trPr>
          <w:trHeight w:val="127"/>
        </w:trPr>
        <w:tc>
          <w:tcPr>
            <w:tcW w:w="4540" w:type="dxa"/>
            <w:vAlign w:val="bottom"/>
            <w:vMerge w:val="continue"/>
            <w:shd w:val="clear" w:color="auto" w:fill="CBC8C3"/>
          </w:tcPr>
          <w:p>
            <w:pPr>
              <w:spacing w:after="0"/>
              <w:rPr>
                <w:sz w:val="11"/>
                <w:szCs w:val="11"/>
                <w:color w:val="auto"/>
              </w:rPr>
            </w:pPr>
          </w:p>
        </w:tc>
        <w:tc>
          <w:tcPr>
            <w:tcW w:w="280" w:type="dxa"/>
            <w:vAlign w:val="bottom"/>
          </w:tcPr>
          <w:p>
            <w:pPr>
              <w:spacing w:after="0"/>
              <w:rPr>
                <w:sz w:val="11"/>
                <w:szCs w:val="11"/>
                <w:color w:val="auto"/>
              </w:rPr>
            </w:pPr>
          </w:p>
        </w:tc>
        <w:tc>
          <w:tcPr>
            <w:tcW w:w="4880" w:type="dxa"/>
            <w:vAlign w:val="bottom"/>
            <w:vMerge w:val="restart"/>
            <w:shd w:val="clear" w:color="auto" w:fill="CBC8C3"/>
          </w:tcPr>
          <w:p>
            <w:pPr>
              <w:jc w:val="center"/>
              <w:spacing w:after="0"/>
              <w:rPr>
                <w:sz w:val="20"/>
                <w:szCs w:val="20"/>
                <w:color w:val="auto"/>
              </w:rPr>
            </w:pPr>
            <w:r>
              <w:rPr>
                <w:rFonts w:ascii="Arial" w:cs="Arial" w:eastAsia="Arial" w:hAnsi="Arial"/>
                <w:sz w:val="17"/>
                <w:szCs w:val="17"/>
                <w:color w:val="auto"/>
                <w:w w:val="94"/>
              </w:rPr>
              <w:t>Single-Family Refinancings</w:t>
            </w:r>
          </w:p>
        </w:tc>
        <w:tc>
          <w:tcPr>
            <w:tcW w:w="0" w:type="dxa"/>
            <w:vAlign w:val="bottom"/>
          </w:tcPr>
          <w:p>
            <w:pPr>
              <w:spacing w:after="0"/>
              <w:rPr>
                <w:sz w:val="1"/>
                <w:szCs w:val="1"/>
                <w:color w:val="auto"/>
              </w:rPr>
            </w:pPr>
          </w:p>
        </w:tc>
      </w:tr>
      <w:tr>
        <w:trPr>
          <w:trHeight w:val="92"/>
        </w:trPr>
        <w:tc>
          <w:tcPr>
            <w:tcW w:w="4540" w:type="dxa"/>
            <w:vAlign w:val="bottom"/>
            <w:shd w:val="clear" w:color="auto" w:fill="CBC8C3"/>
          </w:tcPr>
          <w:p>
            <w:pPr>
              <w:spacing w:after="0"/>
              <w:rPr>
                <w:sz w:val="7"/>
                <w:szCs w:val="7"/>
                <w:color w:val="auto"/>
              </w:rPr>
            </w:pPr>
          </w:p>
        </w:tc>
        <w:tc>
          <w:tcPr>
            <w:tcW w:w="280" w:type="dxa"/>
            <w:vAlign w:val="bottom"/>
          </w:tcPr>
          <w:p>
            <w:pPr>
              <w:spacing w:after="0"/>
              <w:rPr>
                <w:sz w:val="7"/>
                <w:szCs w:val="7"/>
                <w:color w:val="auto"/>
              </w:rPr>
            </w:pPr>
          </w:p>
        </w:tc>
        <w:tc>
          <w:tcPr>
            <w:tcW w:w="4880" w:type="dxa"/>
            <w:vAlign w:val="bottom"/>
            <w:vMerge w:val="continue"/>
            <w:shd w:val="clear" w:color="auto" w:fill="CBC8C3"/>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4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4540" w:type="dxa"/>
            <w:vAlign w:val="bottom"/>
            <w:vMerge w:val="restart"/>
            <w:shd w:val="clear" w:color="auto" w:fill="001543"/>
          </w:tcPr>
          <w:p>
            <w:pPr>
              <w:jc w:val="center"/>
              <w:spacing w:after="0"/>
              <w:rPr>
                <w:sz w:val="20"/>
                <w:szCs w:val="20"/>
                <w:color w:val="auto"/>
              </w:rPr>
            </w:pPr>
            <w:r>
              <w:rPr>
                <w:rFonts w:ascii="Arial" w:cs="Arial" w:eastAsia="Arial" w:hAnsi="Arial"/>
                <w:sz w:val="17"/>
                <w:szCs w:val="17"/>
                <w:color w:val="FFFFFF"/>
                <w:w w:val="95"/>
              </w:rPr>
              <w:t>$25B</w:t>
            </w:r>
          </w:p>
        </w:tc>
        <w:tc>
          <w:tcPr>
            <w:tcW w:w="280" w:type="dxa"/>
            <w:vAlign w:val="bottom"/>
          </w:tcPr>
          <w:p>
            <w:pPr>
              <w:spacing w:after="0"/>
              <w:rPr>
                <w:sz w:val="15"/>
                <w:szCs w:val="15"/>
                <w:color w:val="auto"/>
              </w:rPr>
            </w:pPr>
          </w:p>
        </w:tc>
        <w:tc>
          <w:tcPr>
            <w:tcW w:w="4880" w:type="dxa"/>
            <w:vAlign w:val="bottom"/>
            <w:shd w:val="clear" w:color="auto" w:fill="001543"/>
          </w:tcPr>
          <w:p>
            <w:pPr>
              <w:jc w:val="center"/>
              <w:spacing w:after="0" w:line="181" w:lineRule="exact"/>
              <w:rPr>
                <w:sz w:val="20"/>
                <w:szCs w:val="20"/>
                <w:color w:val="auto"/>
              </w:rPr>
            </w:pPr>
            <w:r>
              <w:rPr>
                <w:rFonts w:ascii="Arial" w:cs="Arial" w:eastAsia="Arial" w:hAnsi="Arial"/>
                <w:sz w:val="17"/>
                <w:szCs w:val="17"/>
                <w:color w:val="FFFFFF"/>
                <w:w w:val="95"/>
              </w:rPr>
              <w:t>230K</w:t>
            </w:r>
          </w:p>
        </w:tc>
        <w:tc>
          <w:tcPr>
            <w:tcW w:w="0" w:type="dxa"/>
            <w:vAlign w:val="bottom"/>
          </w:tcPr>
          <w:p>
            <w:pPr>
              <w:spacing w:after="0"/>
              <w:rPr>
                <w:sz w:val="1"/>
                <w:szCs w:val="1"/>
                <w:color w:val="auto"/>
              </w:rPr>
            </w:pPr>
          </w:p>
        </w:tc>
      </w:tr>
      <w:tr>
        <w:trPr>
          <w:trHeight w:val="127"/>
        </w:trPr>
        <w:tc>
          <w:tcPr>
            <w:tcW w:w="4540" w:type="dxa"/>
            <w:vAlign w:val="bottom"/>
            <w:vMerge w:val="continue"/>
            <w:shd w:val="clear" w:color="auto" w:fill="001543"/>
          </w:tcPr>
          <w:p>
            <w:pPr>
              <w:spacing w:after="0"/>
              <w:rPr>
                <w:sz w:val="11"/>
                <w:szCs w:val="11"/>
                <w:color w:val="auto"/>
              </w:rPr>
            </w:pPr>
          </w:p>
        </w:tc>
        <w:tc>
          <w:tcPr>
            <w:tcW w:w="280" w:type="dxa"/>
            <w:vAlign w:val="bottom"/>
          </w:tcPr>
          <w:p>
            <w:pPr>
              <w:spacing w:after="0"/>
              <w:rPr>
                <w:sz w:val="11"/>
                <w:szCs w:val="11"/>
                <w:color w:val="auto"/>
              </w:rPr>
            </w:pPr>
          </w:p>
        </w:tc>
        <w:tc>
          <w:tcPr>
            <w:tcW w:w="4880" w:type="dxa"/>
            <w:vAlign w:val="bottom"/>
            <w:vMerge w:val="restart"/>
            <w:shd w:val="clear" w:color="auto" w:fill="001543"/>
          </w:tcPr>
          <w:p>
            <w:pPr>
              <w:jc w:val="center"/>
              <w:spacing w:after="0"/>
              <w:rPr>
                <w:sz w:val="20"/>
                <w:szCs w:val="20"/>
                <w:color w:val="auto"/>
              </w:rPr>
            </w:pPr>
            <w:r>
              <w:rPr>
                <w:rFonts w:ascii="Arial" w:cs="Arial" w:eastAsia="Arial" w:hAnsi="Arial"/>
                <w:sz w:val="17"/>
                <w:szCs w:val="17"/>
                <w:color w:val="FFFFFF"/>
                <w:w w:val="97"/>
              </w:rPr>
              <w:t>Multifamily Rental Units</w:t>
            </w:r>
          </w:p>
        </w:tc>
        <w:tc>
          <w:tcPr>
            <w:tcW w:w="0" w:type="dxa"/>
            <w:vAlign w:val="bottom"/>
          </w:tcPr>
          <w:p>
            <w:pPr>
              <w:spacing w:after="0"/>
              <w:rPr>
                <w:sz w:val="1"/>
                <w:szCs w:val="1"/>
                <w:color w:val="auto"/>
              </w:rPr>
            </w:pPr>
          </w:p>
        </w:tc>
      </w:tr>
      <w:tr>
        <w:trPr>
          <w:trHeight w:val="92"/>
        </w:trPr>
        <w:tc>
          <w:tcPr>
            <w:tcW w:w="4540" w:type="dxa"/>
            <w:vAlign w:val="bottom"/>
            <w:shd w:val="clear" w:color="auto" w:fill="001543"/>
          </w:tcPr>
          <w:p>
            <w:pPr>
              <w:spacing w:after="0"/>
              <w:rPr>
                <w:sz w:val="7"/>
                <w:szCs w:val="7"/>
                <w:color w:val="auto"/>
              </w:rPr>
            </w:pPr>
          </w:p>
        </w:tc>
        <w:tc>
          <w:tcPr>
            <w:tcW w:w="280" w:type="dxa"/>
            <w:vAlign w:val="bottom"/>
          </w:tcPr>
          <w:p>
            <w:pPr>
              <w:spacing w:after="0"/>
              <w:rPr>
                <w:sz w:val="7"/>
                <w:szCs w:val="7"/>
                <w:color w:val="auto"/>
              </w:rPr>
            </w:pPr>
          </w:p>
        </w:tc>
        <w:tc>
          <w:tcPr>
            <w:tcW w:w="4880" w:type="dxa"/>
            <w:vAlign w:val="bottom"/>
            <w:vMerge w:val="continue"/>
            <w:shd w:val="clear" w:color="auto" w:fill="001543"/>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1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880" w:type="dxa"/>
            <w:vAlign w:val="bottom"/>
            <w:tcBorders>
              <w:bottom w:val="single" w:sz="8" w:color="9A9A9A"/>
            </w:tcBorders>
          </w:tcPr>
          <w:p>
            <w:pPr>
              <w:spacing w:after="0"/>
              <w:rPr>
                <w:sz w:val="18"/>
                <w:szCs w:val="18"/>
                <w:color w:val="auto"/>
              </w:rPr>
            </w:pPr>
          </w:p>
        </w:tc>
        <w:tc>
          <w:tcPr>
            <w:tcW w:w="41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type w:val="continuous"/>
        </w:sectPr>
      </w:pPr>
    </w:p>
    <w:bookmarkStart w:id="6" w:name="page7"/>
    <w:bookmarkEnd w:id="6"/>
    <w:p>
      <w:pPr>
        <w:ind w:left="9000"/>
        <w:spacing w:after="0"/>
        <w:rPr>
          <w:sz w:val="20"/>
          <w:szCs w:val="20"/>
          <w:color w:val="auto"/>
        </w:rPr>
      </w:pPr>
      <w:r>
        <w:rPr>
          <w:rFonts w:ascii="Arial" w:cs="Arial" w:eastAsia="Arial" w:hAnsi="Arial"/>
          <w:sz w:val="14"/>
          <w:szCs w:val="14"/>
          <w:color w:val="001543"/>
        </w:rPr>
        <w:t>MD&amp;A | Legislation and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Legislation and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52705</wp:posOffset>
            </wp:positionV>
            <wp:extent cx="713867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9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information in this section updates and supplements information regarding legislative, regulatory, conservatorship and other developments affecting our business set forth in “Business—Conservatorship and Treasury Agreements” and “Business—Legislation and Regulation” in our 2022 Form 10-K, as well as in “MD&amp;A—Legislation and Regulation” in our Form 10-Q for the quarter ended March 31, 2023 (“First Quarter 2023 Form 10-Q”). Also see “Risk Factors” in our 2022 Form 10-K for discussions of risks relating to legislative and regulatory matters.</w:t>
      </w:r>
    </w:p>
    <w:p>
      <w:pPr>
        <w:spacing w:after="0" w:line="71"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Middle Class Borrower Protection Act of 2023</w:t>
      </w:r>
    </w:p>
    <w:p>
      <w:pPr>
        <w:spacing w:after="0" w:line="103"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On May 1, 2023, Fannie Mae implemented changes to our single-family pricing framework that introduced redesigned and recalibrated upfront fee matrices for purchase, rate-term refinance, and cash-out refinance loans. These changes are described in “MD&amp;A—Single-Family Business—Single-Family Business Metrics—Recent and Future Price Changes” in our 2022 Form 10-K and “Single-Family Business—Single-Family Business Metrics—Recent Price Changes” in this report.</w:t>
      </w:r>
    </w:p>
    <w:p>
      <w:pPr>
        <w:spacing w:after="0" w:line="68"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On June 23, 2023, the House of Representatives passed the Middle Class Borrower Protection Act of 2023. If enacted, the bill would require the Director of FHFA to revise Fannie Mae and Freddie Mac’s (together, referred to as the “Enterprises”) single-family pricing framework to the version that was in effect immediately before May 1, 2023, and to maintain the revised framework without further adjustment until 90 days after the Government Accountability Office submits a report to Congress on its analysis of the May 1, 2023 pricing changes. After this period, the bill would restrict FHFA’s authority to engage in future pricing changes, including prohibiting any loan-level pricing adjustments based on debt-to-income ratio and requiring FHFA to follow procedures similar to those required for a federal agency issuing a rule under the Administrative Procedure Act when proposing adjustments to the Enterprises’ single-family pricing framework. In addition, the bill would extend by one year (to October 1, 2033) the Enterprises’ obligations under the Temporary Payroll Tax Cut Continuation Act of 2011 to collect 10 basis points in guaranty fees on single-family residential mortgages delivered to us and pay the associated revenue to Treasury.</w:t>
      </w:r>
    </w:p>
    <w:p>
      <w:pPr>
        <w:spacing w:after="0" w:line="287"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A companion bill has been introduced in the Senate; however, as of the date of this filing, neither the House nor Senate bill has been considered by the Senate. If either bill is enacted, our single-family guaranty fees on new acquisitions could decline, which could adversely affect our revenues, our ability to improve our capital position and our ability to meet FHFA’s minimum return on equity targets for single-family acquisitions. In addition, the changes in our pricing could significantly affect our single-family loan acquisition volumes, the credit risk profile of our single-family acquisitions, our competitive position, and the type and mix of loans we acquire.</w:t>
      </w:r>
    </w:p>
    <w:p>
      <w:pPr>
        <w:spacing w:after="0" w:line="94"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Single-Family Pricing Request for Input</w:t>
      </w:r>
    </w:p>
    <w:p>
      <w:pPr>
        <w:spacing w:after="0" w:line="10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In May 2023, FHFA issued a request for input (“RFI”) on the Enterprises’ single-family pricing framework. The RFI seeks public feedback on the goals and policy priorities that FHFA should pursue in its oversight of the pricing framework, as well as input on the process for setting the Enterprises’ single-family upfront guaranty fees. Specific topics on which FHFA requested input included, among other things, the appropriate long-term commercially reasonable return on capital threshold for the Enterprises to achieve, whether upfront guaranty fees should be eliminated, and whether risk-based pricing should be calibrated to the enterprise regulatory capital framework. As described in “Risk Factors—GSE and Conservatorship Risk” in our 2022 Form 10-K, FHFA’s control over our guaranty fee pricing can constrain our ability to address changing market conditions, pursue certain strategic objectives, or manage the mix of loans we acquire.</w:t>
      </w:r>
    </w:p>
    <w:p>
      <w:pPr>
        <w:spacing w:after="0" w:line="78"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Multifamily Tenant Protections Request for Input</w:t>
      </w:r>
    </w:p>
    <w:p>
      <w:pPr>
        <w:spacing w:after="0" w:line="103"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In May 2023, FHFA issued an RFI to gather input on tenant protections at multifamily properties with mortgages backed by the Enterprises. The RFI states that FHFA is soliciting public input on issues faced by tenants in multifamily properties, and on any opportunities and potential impacts associated with requiring or encouraging specific tenant protections at multifamily properties backed by the Enterprises.</w:t>
      </w:r>
    </w:p>
    <w:p>
      <w:pPr>
        <w:spacing w:after="0" w:line="65"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Stress Testing</w:t>
      </w:r>
    </w:p>
    <w:p>
      <w:pPr>
        <w:spacing w:after="0" w:line="103"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The Dodd-Frank Wall Street Reform and Consumer Protection Act (the “Dodd-Frank Act”) requires certain financial companies to conduct annual stress tests to determine whether the companies have the capital necessary to absorb losses as a result of adverse economic conditions. Under FHFA regulations implementing this requirement, each year we are required to conduct a stress test using two different scenarios of financial conditions provided by FHFA— baseline and severely adverse—and to publish a summary of our stress test results for the severely adverse scenario by August 15.</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1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880" w:type="dxa"/>
            <w:vAlign w:val="bottom"/>
            <w:tcBorders>
              <w:bottom w:val="single" w:sz="8" w:color="9A9A9A"/>
            </w:tcBorders>
          </w:tcPr>
          <w:p>
            <w:pPr>
              <w:spacing w:after="0"/>
              <w:rPr>
                <w:sz w:val="18"/>
                <w:szCs w:val="18"/>
                <w:color w:val="auto"/>
              </w:rPr>
            </w:pPr>
          </w:p>
        </w:tc>
        <w:tc>
          <w:tcPr>
            <w:tcW w:w="41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7" w:name="page8"/>
    <w:bookmarkEnd w:id="7"/>
    <w:p>
      <w:pPr>
        <w:ind w:left="9000"/>
        <w:spacing w:after="0"/>
        <w:rPr>
          <w:sz w:val="20"/>
          <w:szCs w:val="20"/>
          <w:color w:val="auto"/>
        </w:rPr>
      </w:pPr>
      <w:r>
        <w:rPr>
          <w:rFonts w:ascii="Arial" w:cs="Arial" w:eastAsia="Arial" w:hAnsi="Arial"/>
          <w:sz w:val="14"/>
          <w:szCs w:val="14"/>
          <w:color w:val="001543"/>
        </w:rPr>
        <w:t>MD&amp;A | Legislation and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Following our publication of our 2022 stress test results on our website in August 2022, we discovered errors in a model we use to prepare our annual stress test results that affected these results for 2022 and prior years. We have completed our evaluation of the errors relating to our stress test results for 2018 to 2022. We have posted corrected 2022 and 2021 stress test results for the severely adverse scenario on our website. We posted 2022 results on June 12, 2023 and 2021 results on July 27, 2023. We determined the errors for 2018, 2019 and 2020 were not material and therefore will not post revised stress test results for these years.</w:t>
      </w:r>
    </w:p>
    <w:p>
      <w:pPr>
        <w:spacing w:after="0" w:line="74"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Quality Control Standards for Automated Valuation Models Proposed Rule</w:t>
      </w:r>
    </w:p>
    <w:p>
      <w:pPr>
        <w:spacing w:after="0" w:line="10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 June 2023, FHFA and five other federal regulatory agencies issued a proposed rule to implement the quality control standards mandated by the Dodd-Frank Act for the use of automated valuation models (referred to as “AVMs”) by mortgage originators and secondary market issuers in determining the collateral worth of a mortgage secured by a consumer’s principal dwelling. Under the proposed rule, the agencies would require institutions that engage in certain credit decisions or securitization determinations to adopt policies, practices, procedures and control systems to: ensure that AVMs used to determine the value of mortgage collateral in these transactions adhere to quality control standards designed to ensure a high level of confidence in the estimates produced by AVMs; protect against the manipulation of data; seek to avoid conflicts of interest; require random sample testing and reviews; and comply with applicable nondiscrimination laws.</w:t>
      </w:r>
    </w:p>
    <w:p>
      <w:pPr>
        <w:spacing w:after="0" w:line="112"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Key Market Economic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52705</wp:posOffset>
            </wp:positionV>
            <wp:extent cx="713867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77"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Below we discuss how varying macroeconomic conditions can influence our financial results across different business and economic environments. Our forecasts and expectations are based on many assumptions, subject to many uncertainties and may change, perhaps substantially, from our current forecasts and expectations. See “Risk Factors” in our 2022 Form 10-K and “Forward-Looking Statements” in this report for a discussion of factors that could cause actual results to differ materially from our current forecasts and expectations. For further discussion on housing activity, see “Single-Family Business —Single-Family Mortgage Market” and “Multifamily Business—Multifamily Mortgage Market.”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5314D"/>
        </w:rPr>
        <w:t>Selected Benchmark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14605</wp:posOffset>
            </wp:positionV>
            <wp:extent cx="5468620" cy="31927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68620" cy="319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40" w:right="180" w:hanging="237"/>
        <w:spacing w:after="0" w:line="225" w:lineRule="auto"/>
        <w:tabs>
          <w:tab w:leader="none" w:pos="24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Refers to the U.S. weekly average fixed-rate mortgage rate according to Freddie Mac's Primary Mortgage Market Survey</w:t>
      </w:r>
      <w:r>
        <w:rPr>
          <w:rFonts w:ascii="Arial" w:cs="Arial" w:eastAsia="Arial" w:hAnsi="Arial"/>
          <w:sz w:val="17"/>
          <w:szCs w:val="17"/>
          <w:color w:val="auto"/>
          <w:vertAlign w:val="superscript"/>
        </w:rPr>
        <w:t>®</w:t>
      </w:r>
      <w:r>
        <w:rPr>
          <w:rFonts w:ascii="Arial" w:cs="Arial" w:eastAsia="Arial" w:hAnsi="Arial"/>
          <w:sz w:val="14"/>
          <w:szCs w:val="14"/>
          <w:color w:val="auto"/>
        </w:rPr>
        <w:t>. These rates are reported using the latest available data for a given period.</w:t>
      </w:r>
    </w:p>
    <w:p>
      <w:pPr>
        <w:spacing w:after="0" w:line="1" w:lineRule="exact"/>
        <w:rPr>
          <w:rFonts w:ascii="Arial" w:cs="Arial" w:eastAsia="Arial" w:hAnsi="Arial"/>
          <w:sz w:val="18"/>
          <w:szCs w:val="18"/>
          <w:color w:val="auto"/>
          <w:vertAlign w:val="superscript"/>
        </w:rPr>
      </w:pPr>
    </w:p>
    <w:p>
      <w:pPr>
        <w:ind w:left="240" w:hanging="237"/>
        <w:spacing w:after="0"/>
        <w:tabs>
          <w:tab w:leader="none" w:pos="24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According to Bloomberg. The final U.S. dollar LIBOR bank panel ended on June 30, 2023.</w:t>
      </w:r>
    </w:p>
    <w:p>
      <w:pPr>
        <w:spacing w:after="0" w:line="28" w:lineRule="exact"/>
        <w:rPr>
          <w:rFonts w:ascii="Arial" w:cs="Arial" w:eastAsia="Arial" w:hAnsi="Arial"/>
          <w:sz w:val="18"/>
          <w:szCs w:val="18"/>
          <w:color w:val="auto"/>
          <w:vertAlign w:val="superscript"/>
        </w:rPr>
      </w:pPr>
    </w:p>
    <w:p>
      <w:pPr>
        <w:ind w:left="240" w:hanging="237"/>
        <w:spacing w:after="0"/>
        <w:tabs>
          <w:tab w:leader="none" w:pos="240" w:val="left"/>
        </w:tabs>
        <w:numPr>
          <w:ilvl w:val="0"/>
          <w:numId w:val="5"/>
        </w:numPr>
        <w:rPr>
          <w:rFonts w:ascii="Arial" w:cs="Arial" w:eastAsia="Arial" w:hAnsi="Arial"/>
          <w:sz w:val="9"/>
          <w:szCs w:val="9"/>
          <w:color w:val="auto"/>
        </w:rPr>
      </w:pPr>
      <w:r>
        <w:rPr>
          <w:rFonts w:ascii="Arial" w:cs="Arial" w:eastAsia="Arial" w:hAnsi="Arial"/>
          <w:sz w:val="14"/>
          <w:szCs w:val="14"/>
          <w:color w:val="auto"/>
        </w:rPr>
        <w:t>Refers to the daily rate per the Federal Reserve Bank of New York.</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1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880" w:type="dxa"/>
            <w:vAlign w:val="bottom"/>
            <w:tcBorders>
              <w:bottom w:val="single" w:sz="8" w:color="9A9A9A"/>
            </w:tcBorders>
          </w:tcPr>
          <w:p>
            <w:pPr>
              <w:spacing w:after="0"/>
              <w:rPr>
                <w:sz w:val="17"/>
                <w:szCs w:val="17"/>
                <w:color w:val="auto"/>
              </w:rPr>
            </w:pPr>
          </w:p>
        </w:tc>
        <w:tc>
          <w:tcPr>
            <w:tcW w:w="41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8" w:name="page9"/>
    <w:bookmarkEnd w:id="8"/>
    <w:p>
      <w:pPr>
        <w:ind w:left="8640"/>
        <w:spacing w:after="0"/>
        <w:rPr>
          <w:sz w:val="20"/>
          <w:szCs w:val="20"/>
          <w:color w:val="auto"/>
        </w:rPr>
      </w:pPr>
      <w:r>
        <w:rPr>
          <w:rFonts w:ascii="Arial" w:cs="Arial" w:eastAsia="Arial" w:hAnsi="Arial"/>
          <w:sz w:val="14"/>
          <w:szCs w:val="14"/>
          <w:color w:val="001543"/>
        </w:rPr>
        <w:t>MD&amp;A | Key Market Economic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How Interest Rates Can Affect Our Financial Results</w:t>
      </w:r>
    </w:p>
    <w:p>
      <w:pPr>
        <w:spacing w:after="0" w:line="67" w:lineRule="exact"/>
        <w:rPr>
          <w:sz w:val="20"/>
          <w:szCs w:val="20"/>
          <w:color w:val="auto"/>
        </w:rPr>
      </w:pPr>
    </w:p>
    <w:p>
      <w:pPr>
        <w:ind w:left="620" w:hanging="307"/>
        <w:spacing w:after="0" w:line="260" w:lineRule="auto"/>
        <w:tabs>
          <w:tab w:leader="none" w:pos="62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Net interest income</w:t>
      </w:r>
      <w:r>
        <w:rPr>
          <w:rFonts w:ascii="Arial" w:cs="Arial" w:eastAsia="Arial" w:hAnsi="Arial"/>
          <w:sz w:val="16"/>
          <w:szCs w:val="16"/>
          <w:color w:val="auto"/>
        </w:rPr>
        <w:t>. In a rising interest-rate environment, our mortgage loans generally prepay more slowly as borrowers are less likely to</w:t>
      </w:r>
      <w:r>
        <w:rPr>
          <w:rFonts w:ascii="Arial" w:cs="Arial" w:eastAsia="Arial" w:hAnsi="Arial"/>
          <w:sz w:val="16"/>
          <w:szCs w:val="16"/>
          <w:i w:val="1"/>
          <w:iCs w:val="1"/>
          <w:color w:val="auto"/>
        </w:rPr>
        <w:t xml:space="preserve"> </w:t>
      </w:r>
      <w:r>
        <w:rPr>
          <w:rFonts w:ascii="Arial" w:cs="Arial" w:eastAsia="Arial" w:hAnsi="Arial"/>
          <w:sz w:val="16"/>
          <w:szCs w:val="16"/>
          <w:color w:val="auto"/>
        </w:rPr>
        <w:t>refinance. We amortize various cost basis adjustments over the life of the mortgage loan, including those relating to certain upfront fees we receive at the time we acquire single-family loans. As a result, prepayment of a loan results in an accelerated realization of those upfront fees as income. Therefore, as loan prepayments slow, the accelerated realization of amortization income also slows. Conversely, in a declining interest-rate environment, our mortgage loans generally prepay faster as borrowers are more likely to refinance, typically resulting in the opposite trend of higher amortization income from cost basis adjustments on mortgage loans. Interest rates also affect the amount of interest income we earn on our assets. Our other investments portfolio and our retained mortgage portfolio typically earn more interest income in a higher interest-rate environment and less interest income in a lower interest-rate environment, which, depending on the size of these portfolios, can impact the amount of interest income we recognize during the period. See “Consolidated Results of Operations—Net Interest Income” for a discussion of how interest rate changes impacted our financial results.</w:t>
      </w:r>
    </w:p>
    <w:p>
      <w:pPr>
        <w:spacing w:after="0" w:line="43" w:lineRule="exact"/>
        <w:rPr>
          <w:rFonts w:ascii="Arial" w:cs="Arial" w:eastAsia="Arial" w:hAnsi="Arial"/>
          <w:sz w:val="16"/>
          <w:szCs w:val="16"/>
          <w:i w:val="1"/>
          <w:iCs w:val="1"/>
          <w:color w:val="auto"/>
        </w:rPr>
      </w:pPr>
    </w:p>
    <w:p>
      <w:pPr>
        <w:ind w:left="620" w:right="20" w:hanging="307"/>
        <w:spacing w:after="0" w:line="261" w:lineRule="auto"/>
        <w:tabs>
          <w:tab w:leader="none" w:pos="62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Fair value gains (loss</w:t>
      </w:r>
      <w:r>
        <w:rPr>
          <w:rFonts w:ascii="Arial" w:cs="Arial" w:eastAsia="Arial" w:hAnsi="Arial"/>
          <w:sz w:val="16"/>
          <w:szCs w:val="16"/>
          <w:color w:val="auto"/>
        </w:rPr>
        <w:t>es</w:t>
      </w:r>
      <w:r>
        <w:rPr>
          <w:rFonts w:ascii="Arial" w:cs="Arial" w:eastAsia="Arial" w:hAnsi="Arial"/>
          <w:sz w:val="16"/>
          <w:szCs w:val="16"/>
          <w:i w:val="1"/>
          <w:iCs w:val="1"/>
          <w:color w:val="auto"/>
        </w:rPr>
        <w:t>)</w:t>
      </w:r>
      <w:r>
        <w:rPr>
          <w:rFonts w:ascii="Arial" w:cs="Arial" w:eastAsia="Arial" w:hAnsi="Arial"/>
          <w:sz w:val="16"/>
          <w:szCs w:val="16"/>
          <w:color w:val="auto"/>
        </w:rPr>
        <w:t>. We have exposure to fair value gains and losses resulting from changes in interest rates, primarily through our mortgage</w:t>
      </w:r>
      <w:r>
        <w:rPr>
          <w:rFonts w:ascii="Arial" w:cs="Arial" w:eastAsia="Arial" w:hAnsi="Arial"/>
          <w:sz w:val="16"/>
          <w:szCs w:val="16"/>
          <w:i w:val="1"/>
          <w:iCs w:val="1"/>
          <w:color w:val="auto"/>
        </w:rPr>
        <w:t xml:space="preserve"> </w:t>
      </w:r>
      <w:r>
        <w:rPr>
          <w:rFonts w:ascii="Arial" w:cs="Arial" w:eastAsia="Arial" w:hAnsi="Arial"/>
          <w:sz w:val="16"/>
          <w:szCs w:val="16"/>
          <w:color w:val="auto"/>
        </w:rPr>
        <w:t>commitment derivatives and risk management derivatives, which we mark to market through earnings. Fair value gains and losses on our mortgage commitment derivatives fluctuate depending on how interest rates and prices move between the time a commitment is opened and when it settles. The net position and composition across the yield curve of our risk management derivatives changes over time. As a result, interest rate changes (increases or decreases) and yield curve changes (parallel, steepening or flattening shifts) will generate varying amounts of fair value gains or losses in a given period. For more information about fair value gains (losses), including the impact of hedge accounting, see “Consolidated Results of Operations—Fair Value Gains, Net.”</w:t>
      </w:r>
    </w:p>
    <w:p>
      <w:pPr>
        <w:spacing w:after="0" w:line="43" w:lineRule="exact"/>
        <w:rPr>
          <w:rFonts w:ascii="Arial" w:cs="Arial" w:eastAsia="Arial" w:hAnsi="Arial"/>
          <w:sz w:val="16"/>
          <w:szCs w:val="16"/>
          <w:i w:val="1"/>
          <w:iCs w:val="1"/>
          <w:color w:val="auto"/>
        </w:rPr>
      </w:pPr>
    </w:p>
    <w:p>
      <w:pPr>
        <w:ind w:left="620" w:right="180" w:hanging="307"/>
        <w:spacing w:after="0" w:line="265" w:lineRule="auto"/>
        <w:tabs>
          <w:tab w:leader="none" w:pos="62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Benefit (provision) for credit losses. </w:t>
      </w:r>
      <w:r>
        <w:rPr>
          <w:rFonts w:ascii="Arial" w:cs="Arial" w:eastAsia="Arial" w:hAnsi="Arial"/>
          <w:sz w:val="16"/>
          <w:szCs w:val="16"/>
          <w:color w:val="auto"/>
        </w:rPr>
        <w:t>Increases in mortgage interest rates tend to lengthen the expected lives of our loans as borrowers are less</w:t>
      </w:r>
      <w:r>
        <w:rPr>
          <w:rFonts w:ascii="Arial" w:cs="Arial" w:eastAsia="Arial" w:hAnsi="Arial"/>
          <w:sz w:val="16"/>
          <w:szCs w:val="16"/>
          <w:i w:val="1"/>
          <w:iCs w:val="1"/>
          <w:color w:val="auto"/>
        </w:rPr>
        <w:t xml:space="preserve"> </w:t>
      </w:r>
      <w:r>
        <w:rPr>
          <w:rFonts w:ascii="Arial" w:cs="Arial" w:eastAsia="Arial" w:hAnsi="Arial"/>
          <w:sz w:val="16"/>
          <w:szCs w:val="16"/>
          <w:color w:val="auto"/>
        </w:rPr>
        <w:t>likely to refinance, which generally increases the expected impairment and provision for credit losses on loans. Decreases in mortgage interest rates tend to shorten the expected lives of our loans as borrowers are more likely to refinance, which generally reduces the impairment and provision for credit losses on such loans. For more information on benefit (provision) for credit losses, see “Consolidated Results of Operations— Benefit (Provision) for Credit Losses.”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5314D"/>
        </w:rPr>
        <w:t>Single-Family Quarterly Home Price Growth (Decline) Rate</w:t>
      </w:r>
      <w:r>
        <w:rPr>
          <w:rFonts w:ascii="Arial" w:cs="Arial" w:eastAsia="Arial" w:hAnsi="Arial"/>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1115060</wp:posOffset>
            </wp:positionH>
            <wp:positionV relativeFrom="paragraph">
              <wp:posOffset>125730</wp:posOffset>
            </wp:positionV>
            <wp:extent cx="4911725" cy="15474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11725" cy="1547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40" w:right="380" w:hanging="237"/>
        <w:spacing w:after="0" w:line="289" w:lineRule="auto"/>
        <w:tabs>
          <w:tab w:leader="none" w:pos="240" w:val="left"/>
        </w:tabs>
        <w:numPr>
          <w:ilvl w:val="0"/>
          <w:numId w:val="7"/>
        </w:numPr>
        <w:rPr>
          <w:rFonts w:ascii="Arial" w:cs="Arial" w:eastAsia="Arial" w:hAnsi="Arial"/>
          <w:sz w:val="8"/>
          <w:szCs w:val="8"/>
          <w:color w:val="auto"/>
        </w:rPr>
      </w:pPr>
      <w:r>
        <w:rPr>
          <w:rFonts w:ascii="Arial" w:cs="Arial" w:eastAsia="Arial" w:hAnsi="Arial"/>
          <w:sz w:val="13"/>
          <w:szCs w:val="13"/>
          <w:color w:val="auto"/>
        </w:rPr>
        <w:t>Calculated internally using property data on loans purchased by Fannie Mae, Freddie Mac and other third-party home sales data. Fannie Mae’s home price index is a weighted repeat-transactions index, measuring average price changes in repeat sales on the same properties. Fannie Mae’s home price index excludes prices on properties sold in foreclosure. Fannie Mae’s home price estimates are based on non-seasonally adjusted preliminary data and are subject to change as additional data becomes available.</w:t>
      </w:r>
    </w:p>
    <w:p>
      <w:pPr>
        <w:spacing w:after="0" w:line="6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How Home Prices Can Affect Our Financial Results</w:t>
      </w:r>
    </w:p>
    <w:p>
      <w:pPr>
        <w:spacing w:after="0" w:line="71" w:lineRule="exact"/>
        <w:rPr>
          <w:sz w:val="20"/>
          <w:szCs w:val="20"/>
          <w:color w:val="auto"/>
        </w:rPr>
      </w:pPr>
    </w:p>
    <w:p>
      <w:pPr>
        <w:ind w:left="620" w:hanging="307"/>
        <w:spacing w:after="0"/>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Actual and forecasted home prices impact our provision or benefit for credit losses as well as the growth and size of our guaranty book of business.</w:t>
      </w:r>
    </w:p>
    <w:p>
      <w:pPr>
        <w:spacing w:after="0" w:line="86" w:lineRule="exact"/>
        <w:rPr>
          <w:rFonts w:ascii="Arial" w:cs="Arial" w:eastAsia="Arial" w:hAnsi="Arial"/>
          <w:sz w:val="16"/>
          <w:szCs w:val="16"/>
          <w:color w:val="auto"/>
        </w:rPr>
      </w:pPr>
    </w:p>
    <w:p>
      <w:pPr>
        <w:ind w:left="620" w:right="820" w:hanging="307"/>
        <w:spacing w:after="0" w:line="283" w:lineRule="auto"/>
        <w:tabs>
          <w:tab w:leader="none" w:pos="620" w:val="left"/>
        </w:tabs>
        <w:numPr>
          <w:ilvl w:val="0"/>
          <w:numId w:val="8"/>
        </w:numPr>
        <w:rPr>
          <w:rFonts w:ascii="Arial" w:cs="Arial" w:eastAsia="Arial" w:hAnsi="Arial"/>
          <w:sz w:val="16"/>
          <w:szCs w:val="16"/>
          <w:i w:val="1"/>
          <w:iCs w:val="1"/>
          <w:color w:val="auto"/>
        </w:rPr>
      </w:pPr>
      <w:r>
        <w:rPr>
          <w:rFonts w:ascii="Arial" w:cs="Arial" w:eastAsia="Arial" w:hAnsi="Arial"/>
          <w:sz w:val="16"/>
          <w:szCs w:val="16"/>
          <w:color w:val="auto"/>
        </w:rPr>
        <w:t>Changes in home prices affect the amount of equity that borrowers have in their homes. Borrowers with less equity typically have higher delinquency and default rates, particularly in times of economic stress.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1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6</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880" w:type="dxa"/>
            <w:vAlign w:val="bottom"/>
            <w:tcBorders>
              <w:bottom w:val="single" w:sz="8" w:color="9A9A9A"/>
            </w:tcBorders>
          </w:tcPr>
          <w:p>
            <w:pPr>
              <w:spacing w:after="0"/>
              <w:rPr>
                <w:sz w:val="18"/>
                <w:szCs w:val="18"/>
                <w:color w:val="auto"/>
              </w:rPr>
            </w:pPr>
          </w:p>
        </w:tc>
        <w:tc>
          <w:tcPr>
            <w:tcW w:w="41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9" w:name="page10"/>
    <w:bookmarkEnd w:id="9"/>
    <w:p>
      <w:pPr>
        <w:ind w:left="8640"/>
        <w:spacing w:after="0"/>
        <w:rPr>
          <w:sz w:val="20"/>
          <w:szCs w:val="20"/>
          <w:color w:val="auto"/>
        </w:rPr>
      </w:pPr>
      <w:r>
        <w:rPr>
          <w:rFonts w:ascii="Arial" w:cs="Arial" w:eastAsia="Arial" w:hAnsi="Arial"/>
          <w:sz w:val="14"/>
          <w:szCs w:val="14"/>
          <w:color w:val="001543"/>
        </w:rPr>
        <w:t>MD&amp;A | Key Market Economic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20" w:right="400" w:hanging="307"/>
        <w:spacing w:after="0" w:line="283" w:lineRule="auto"/>
        <w:tabs>
          <w:tab w:leader="none" w:pos="620" w:val="left"/>
        </w:tabs>
        <w:numPr>
          <w:ilvl w:val="0"/>
          <w:numId w:val="9"/>
        </w:numPr>
        <w:rPr>
          <w:rFonts w:ascii="Arial" w:cs="Arial" w:eastAsia="Arial" w:hAnsi="Arial"/>
          <w:sz w:val="16"/>
          <w:szCs w:val="16"/>
          <w:i w:val="1"/>
          <w:iCs w:val="1"/>
          <w:color w:val="auto"/>
        </w:rPr>
      </w:pPr>
      <w:r>
        <w:rPr>
          <w:rFonts w:ascii="Arial" w:cs="Arial" w:eastAsia="Arial" w:hAnsi="Arial"/>
          <w:sz w:val="16"/>
          <w:szCs w:val="16"/>
          <w:color w:val="auto"/>
        </w:rPr>
        <w:t>As home prices increase, the severity of losses we incur on defaulted loans that we hold or guarantee decreases because the amount we can recover from the properties securing the loans increases. Declines in home prices increase the losses we incur on defaulted loans.</w:t>
      </w:r>
    </w:p>
    <w:p>
      <w:pPr>
        <w:spacing w:after="0" w:line="30" w:lineRule="exact"/>
        <w:rPr>
          <w:rFonts w:ascii="Arial" w:cs="Arial" w:eastAsia="Arial" w:hAnsi="Arial"/>
          <w:sz w:val="16"/>
          <w:szCs w:val="16"/>
          <w:i w:val="1"/>
          <w:iCs w:val="1"/>
          <w:color w:val="auto"/>
        </w:rPr>
      </w:pPr>
    </w:p>
    <w:p>
      <w:pPr>
        <w:ind w:left="620" w:right="60" w:hanging="307"/>
        <w:spacing w:after="0" w:line="268" w:lineRule="auto"/>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As home prices rise, the principal balance of loans associated with newly acquired purchase loans may increase, causing growth in the size of our guaranty book. Additionally, rising home prices can increase the amount of equity borrowers have in their home, which may lead to an increase in origination volumes for cash-out refinance loans with higher principal balances than the existing loan. Replacing existing loans with newly acquired cash-out refinances can affect the growth and size of our guaranty book.</w:t>
      </w:r>
    </w:p>
    <w:p>
      <w:pPr>
        <w:spacing w:after="0" w:line="41" w:lineRule="exact"/>
        <w:rPr>
          <w:rFonts w:ascii="Arial" w:cs="Arial" w:eastAsia="Arial" w:hAnsi="Arial"/>
          <w:sz w:val="16"/>
          <w:szCs w:val="16"/>
          <w:color w:val="auto"/>
        </w:rPr>
      </w:pPr>
    </w:p>
    <w:p>
      <w:pPr>
        <w:ind w:left="620" w:hanging="307"/>
        <w:spacing w:after="0" w:line="276" w:lineRule="auto"/>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Home prices on a national basis grew by 5.0% in the first half of 2023. We forecast home prices will decline in the second half of 2023; however, as a result of the strong home price growth in the first half of the year, we forecast national home price growth of 3.9% for the full year of 2023. We expect regional variation in home price changes.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5314D"/>
        </w:rPr>
        <w:t>New Housing Starts</w:t>
      </w:r>
      <w:r>
        <w:rPr>
          <w:rFonts w:ascii="Arial" w:cs="Arial" w:eastAsia="Arial" w:hAnsi="Arial"/>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1115060</wp:posOffset>
            </wp:positionH>
            <wp:positionV relativeFrom="paragraph">
              <wp:posOffset>-20955</wp:posOffset>
            </wp:positionV>
            <wp:extent cx="4911725" cy="31927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11725" cy="319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40" w:hanging="237"/>
        <w:spacing w:after="0"/>
        <w:tabs>
          <w:tab w:leader="none" w:pos="24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According to the U.S. Census Bureau and subject to revision.</w:t>
      </w:r>
    </w:p>
    <w:p>
      <w:pPr>
        <w:spacing w:after="0" w:line="9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How Housing Activity Can Affect Our Financial Results</w:t>
      </w:r>
    </w:p>
    <w:p>
      <w:pPr>
        <w:spacing w:after="0" w:line="71" w:lineRule="exact"/>
        <w:rPr>
          <w:sz w:val="20"/>
          <w:szCs w:val="20"/>
          <w:color w:val="auto"/>
        </w:rPr>
      </w:pPr>
    </w:p>
    <w:p>
      <w:pPr>
        <w:ind w:left="620" w:right="280" w:hanging="307"/>
        <w:spacing w:after="0" w:line="267" w:lineRule="auto"/>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Housing is among the most interest-rate sensitive sectors of the economy. In addition to interest rates, two key aspects of economic activity that can impact supply and demand for housing, and thus our business and financial results, are the rates of household formation and housing construction.</w:t>
      </w:r>
    </w:p>
    <w:p>
      <w:pPr>
        <w:spacing w:after="0" w:line="56" w:lineRule="exact"/>
        <w:rPr>
          <w:rFonts w:ascii="Arial" w:cs="Arial" w:eastAsia="Arial" w:hAnsi="Arial"/>
          <w:sz w:val="16"/>
          <w:szCs w:val="16"/>
          <w:color w:val="auto"/>
        </w:rPr>
      </w:pPr>
    </w:p>
    <w:p>
      <w:pPr>
        <w:ind w:left="620" w:hanging="307"/>
        <w:spacing w:after="0" w:line="267" w:lineRule="auto"/>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Household formation is a key driver of demand for both single-family and multifamily housing as a newly formed household will either rent or purchase a home. Thus, changes in the pace of household formation can affect home prices, multifamily property values and credit performance as well as the degree of loss on defaulted loans.</w:t>
      </w:r>
    </w:p>
    <w:p>
      <w:pPr>
        <w:spacing w:after="0" w:line="43" w:lineRule="exact"/>
        <w:rPr>
          <w:rFonts w:ascii="Arial" w:cs="Arial" w:eastAsia="Arial" w:hAnsi="Arial"/>
          <w:sz w:val="16"/>
          <w:szCs w:val="16"/>
          <w:color w:val="auto"/>
        </w:rPr>
      </w:pPr>
    </w:p>
    <w:p>
      <w:pPr>
        <w:ind w:left="620" w:right="100" w:hanging="307"/>
        <w:spacing w:after="0" w:line="283" w:lineRule="auto"/>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Growth of household formation stimulates homebuilding. Homebuilding has typically been a cyclical leader, weakening prior to a slowdown in U.S. economic activity and accelerating prior to a recovery, which contributes to the growth of U.S. gross domestic product (“GDP”) and employment.</w:t>
      </w:r>
    </w:p>
    <w:p>
      <w:pPr>
        <w:spacing w:after="0" w:line="30" w:lineRule="exact"/>
        <w:rPr>
          <w:rFonts w:ascii="Arial" w:cs="Arial" w:eastAsia="Arial" w:hAnsi="Arial"/>
          <w:sz w:val="16"/>
          <w:szCs w:val="16"/>
          <w:color w:val="auto"/>
        </w:rPr>
      </w:pPr>
    </w:p>
    <w:p>
      <w:pPr>
        <w:ind w:left="620" w:right="60" w:hanging="307"/>
        <w:spacing w:after="0" w:line="276" w:lineRule="auto"/>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decline in housing starts results in fewer new homes being available for purchase and potentially a lower volume of mortgage originations. Construction activity can also affect credit losses through its impact on home prices. If the growth of demand exceeds the growth of supply, prices will appreciate and impact the risk profile of newly originated home purchase mortgages, depending on where in the housing cycle the market is. A</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1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7</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880" w:type="dxa"/>
            <w:vAlign w:val="bottom"/>
            <w:tcBorders>
              <w:bottom w:val="single" w:sz="8" w:color="9A9A9A"/>
            </w:tcBorders>
          </w:tcPr>
          <w:p>
            <w:pPr>
              <w:spacing w:after="0"/>
              <w:rPr>
                <w:sz w:val="17"/>
                <w:szCs w:val="17"/>
                <w:color w:val="auto"/>
              </w:rPr>
            </w:pPr>
          </w:p>
        </w:tc>
        <w:tc>
          <w:tcPr>
            <w:tcW w:w="41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0" w:name="page11"/>
    <w:bookmarkEnd w:id="10"/>
    <w:p>
      <w:pPr>
        <w:ind w:left="8640"/>
        <w:spacing w:after="0"/>
        <w:rPr>
          <w:sz w:val="20"/>
          <w:szCs w:val="20"/>
          <w:color w:val="auto"/>
        </w:rPr>
      </w:pPr>
      <w:r>
        <w:rPr>
          <w:rFonts w:ascii="Arial" w:cs="Arial" w:eastAsia="Arial" w:hAnsi="Arial"/>
          <w:sz w:val="14"/>
          <w:szCs w:val="14"/>
          <w:color w:val="001543"/>
        </w:rPr>
        <w:t>MD&amp;A | Key Market Economic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20" w:right="40"/>
        <w:spacing w:after="0" w:line="283" w:lineRule="auto"/>
        <w:rPr>
          <w:sz w:val="20"/>
          <w:szCs w:val="20"/>
          <w:color w:val="auto"/>
        </w:rPr>
      </w:pPr>
      <w:r>
        <w:rPr>
          <w:rFonts w:ascii="Arial" w:cs="Arial" w:eastAsia="Arial" w:hAnsi="Arial"/>
          <w:sz w:val="16"/>
          <w:szCs w:val="16"/>
          <w:color w:val="auto"/>
        </w:rPr>
        <w:t>reduced pace of construction is often associated with a broader economic slowdown and may signal expected increases in delinquency and losses on defaulted loans.</w:t>
      </w:r>
    </w:p>
    <w:p>
      <w:pPr>
        <w:spacing w:after="0" w:line="30" w:lineRule="exact"/>
        <w:rPr>
          <w:sz w:val="20"/>
          <w:szCs w:val="20"/>
          <w:color w:val="auto"/>
        </w:rPr>
      </w:pPr>
    </w:p>
    <w:p>
      <w:pPr>
        <w:ind w:left="620" w:right="240" w:hanging="307"/>
        <w:spacing w:after="0" w:line="276" w:lineRule="auto"/>
        <w:tabs>
          <w:tab w:leader="none" w:pos="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Although we expect continued increases in new home construction and new home sales over the short term, we expect total home sales to decrease due to a decline in sales of existing homes. We expect existing home sales to decline due to the reluctance of existing homeowners to give up their low mortgage rates and the likelihood of a recession beginning in the fourth quarter of 2023 or the first quarter of 2024.</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5314D"/>
        </w:rPr>
        <w:t>GDP, Unemployment Rate and Personal Consumption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22860</wp:posOffset>
            </wp:positionV>
            <wp:extent cx="5403215" cy="27832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03215" cy="2783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40" w:hanging="237"/>
        <w:spacing w:after="0"/>
        <w:tabs>
          <w:tab w:leader="none" w:pos="240" w:val="left"/>
        </w:tabs>
        <w:numPr>
          <w:ilvl w:val="0"/>
          <w:numId w:val="13"/>
        </w:numPr>
        <w:rPr>
          <w:rFonts w:ascii="Arial" w:cs="Arial" w:eastAsia="Arial" w:hAnsi="Arial"/>
          <w:sz w:val="17"/>
          <w:szCs w:val="17"/>
          <w:color w:val="auto"/>
          <w:vertAlign w:val="superscript"/>
        </w:rPr>
      </w:pPr>
      <w:r>
        <w:rPr>
          <w:rFonts w:ascii="Arial" w:cs="Arial" w:eastAsia="Arial" w:hAnsi="Arial"/>
          <w:sz w:val="13"/>
          <w:szCs w:val="13"/>
          <w:color w:val="auto"/>
        </w:rPr>
        <w:t>Real GDP growth (decline) and personal consumption growth (decline) are based on the quarterly series calculated by the Bureau of Economic Analysis and are subject to revision.</w:t>
      </w:r>
    </w:p>
    <w:p>
      <w:pPr>
        <w:spacing w:after="0" w:line="41" w:lineRule="exact"/>
        <w:rPr>
          <w:rFonts w:ascii="Arial" w:cs="Arial" w:eastAsia="Arial" w:hAnsi="Arial"/>
          <w:sz w:val="17"/>
          <w:szCs w:val="17"/>
          <w:color w:val="auto"/>
          <w:vertAlign w:val="superscript"/>
        </w:rPr>
      </w:pPr>
    </w:p>
    <w:p>
      <w:pPr>
        <w:ind w:left="240" w:hanging="237"/>
        <w:spacing w:after="0" w:line="190" w:lineRule="auto"/>
        <w:tabs>
          <w:tab w:leader="none" w:pos="24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According to the U.S. Bureau of Labor Statistics and subject to revision.</w:t>
      </w:r>
    </w:p>
    <w:p>
      <w:pPr>
        <w:spacing w:after="0" w:line="9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How GDP, the Unemployment Rate and Personal Consumption Can Affect Our Financial Results</w:t>
      </w:r>
    </w:p>
    <w:p>
      <w:pPr>
        <w:spacing w:after="0" w:line="71" w:lineRule="exact"/>
        <w:rPr>
          <w:sz w:val="20"/>
          <w:szCs w:val="20"/>
          <w:color w:val="auto"/>
        </w:rPr>
      </w:pPr>
    </w:p>
    <w:p>
      <w:pPr>
        <w:ind w:left="620" w:right="320" w:hanging="307"/>
        <w:spacing w:after="0" w:line="283" w:lineRule="auto"/>
        <w:tabs>
          <w:tab w:leader="none" w:pos="620" w:val="left"/>
        </w:tabs>
        <w:numPr>
          <w:ilvl w:val="0"/>
          <w:numId w:val="14"/>
        </w:numPr>
        <w:rPr>
          <w:rFonts w:ascii="Arial" w:cs="Arial" w:eastAsia="Arial" w:hAnsi="Arial"/>
          <w:sz w:val="16"/>
          <w:szCs w:val="16"/>
          <w:i w:val="1"/>
          <w:iCs w:val="1"/>
          <w:color w:val="auto"/>
        </w:rPr>
      </w:pPr>
      <w:r>
        <w:rPr>
          <w:rFonts w:ascii="Arial" w:cs="Arial" w:eastAsia="Arial" w:hAnsi="Arial"/>
          <w:sz w:val="16"/>
          <w:szCs w:val="16"/>
          <w:color w:val="auto"/>
        </w:rPr>
        <w:t>Changes in GDP, the unemployment rate and personal consumption can affect several mortgage market factors, including the demand for both single-family and multifamily housing and the level of loan delinquencies, which impacts credit losses.</w:t>
      </w:r>
    </w:p>
    <w:p>
      <w:pPr>
        <w:spacing w:after="0" w:line="30" w:lineRule="exact"/>
        <w:rPr>
          <w:rFonts w:ascii="Arial" w:cs="Arial" w:eastAsia="Arial" w:hAnsi="Arial"/>
          <w:sz w:val="16"/>
          <w:szCs w:val="16"/>
          <w:i w:val="1"/>
          <w:iCs w:val="1"/>
          <w:color w:val="auto"/>
        </w:rPr>
      </w:pPr>
    </w:p>
    <w:p>
      <w:pPr>
        <w:ind w:left="620" w:hanging="307"/>
        <w:spacing w:after="0" w:line="268" w:lineRule="auto"/>
        <w:tabs>
          <w:tab w:leader="none" w:pos="620" w:val="left"/>
        </w:tabs>
        <w:numPr>
          <w:ilvl w:val="0"/>
          <w:numId w:val="14"/>
        </w:numPr>
        <w:rPr>
          <w:rFonts w:ascii="Arial" w:cs="Arial" w:eastAsia="Arial" w:hAnsi="Arial"/>
          <w:sz w:val="16"/>
          <w:szCs w:val="16"/>
          <w:i w:val="1"/>
          <w:iCs w:val="1"/>
          <w:color w:val="auto"/>
        </w:rPr>
      </w:pPr>
      <w:r>
        <w:rPr>
          <w:rFonts w:ascii="Arial" w:cs="Arial" w:eastAsia="Arial" w:hAnsi="Arial"/>
          <w:sz w:val="16"/>
          <w:szCs w:val="16"/>
          <w:color w:val="auto"/>
        </w:rPr>
        <w:t>Economic growth is a key factor for the performance of mortgage-related assets. In a growing economy, employment and income are typically rising, thus allowing borrowers to meet payment requirements, existing homeowners to consider purchasing and moving to another home, and renters to consider becoming homeowners. Homebuilding typically increases to meet the rise in demand. Mortgage delinquencies typically fall in an expanding economy, thereby decreasing credit losses.</w:t>
      </w:r>
    </w:p>
    <w:p>
      <w:pPr>
        <w:spacing w:after="0" w:line="41" w:lineRule="exact"/>
        <w:rPr>
          <w:rFonts w:ascii="Arial" w:cs="Arial" w:eastAsia="Arial" w:hAnsi="Arial"/>
          <w:sz w:val="16"/>
          <w:szCs w:val="16"/>
          <w:i w:val="1"/>
          <w:iCs w:val="1"/>
          <w:color w:val="auto"/>
        </w:rPr>
      </w:pPr>
    </w:p>
    <w:p>
      <w:pPr>
        <w:ind w:left="620" w:right="160" w:hanging="307"/>
        <w:spacing w:after="0" w:line="268" w:lineRule="auto"/>
        <w:tabs>
          <w:tab w:leader="none" w:pos="620" w:val="left"/>
        </w:tabs>
        <w:numPr>
          <w:ilvl w:val="0"/>
          <w:numId w:val="14"/>
        </w:numPr>
        <w:rPr>
          <w:rFonts w:ascii="Arial" w:cs="Arial" w:eastAsia="Arial" w:hAnsi="Arial"/>
          <w:sz w:val="16"/>
          <w:szCs w:val="16"/>
          <w:i w:val="1"/>
          <w:iCs w:val="1"/>
          <w:color w:val="auto"/>
        </w:rPr>
      </w:pPr>
      <w:r>
        <w:rPr>
          <w:rFonts w:ascii="Arial" w:cs="Arial" w:eastAsia="Arial" w:hAnsi="Arial"/>
          <w:sz w:val="16"/>
          <w:szCs w:val="16"/>
          <w:color w:val="auto"/>
        </w:rPr>
        <w:t>In a slowing economy, income growth and housing activity typically slow as an early indicator of reduced economic activity, followed by slowing employment. Typically, as an economic slowdown intensifies, households reduce their spending. This reduction in consumption then accelerates the slowdown. An economic slowdown can lead to employment losses, impairing the ability of borrowers and renters to meet mortgage and rental payments, thus causing loan delinquencies to rise. Home sales and mortgage originations also typically fall in a slowing economy.</w:t>
      </w:r>
    </w:p>
    <w:p>
      <w:pPr>
        <w:spacing w:after="0" w:line="41" w:lineRule="exact"/>
        <w:rPr>
          <w:rFonts w:ascii="Arial" w:cs="Arial" w:eastAsia="Arial" w:hAnsi="Arial"/>
          <w:sz w:val="16"/>
          <w:szCs w:val="16"/>
          <w:i w:val="1"/>
          <w:iCs w:val="1"/>
          <w:color w:val="auto"/>
        </w:rPr>
      </w:pPr>
    </w:p>
    <w:p>
      <w:pPr>
        <w:ind w:left="620" w:right="120" w:hanging="307"/>
        <w:spacing w:after="0" w:line="262" w:lineRule="auto"/>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GDP increased in the first half of 2023. We expect that a modest recession is likely to occur beginning in the fourth quarter of 2023 or the first quarter of 2024, resulting in an increase in the unemployment rate. We expect our economic outlook will be influenced by a number of factors that are subject to change, such as the persistence of inflationary pressures, the speed at which expected monetary policy tightening is adjusted and the risk of further financial market disruptions.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1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8</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880" w:type="dxa"/>
            <w:vAlign w:val="bottom"/>
            <w:tcBorders>
              <w:bottom w:val="single" w:sz="8" w:color="9A9A9A"/>
            </w:tcBorders>
          </w:tcPr>
          <w:p>
            <w:pPr>
              <w:spacing w:after="0"/>
              <w:rPr>
                <w:sz w:val="18"/>
                <w:szCs w:val="18"/>
                <w:color w:val="auto"/>
              </w:rPr>
            </w:pPr>
          </w:p>
        </w:tc>
        <w:tc>
          <w:tcPr>
            <w:tcW w:w="41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1" w:name="page12"/>
    <w:bookmarkEnd w:id="11"/>
    <w:p>
      <w:pPr>
        <w:ind w:left="8640"/>
        <w:spacing w:after="0"/>
        <w:rPr>
          <w:sz w:val="20"/>
          <w:szCs w:val="20"/>
          <w:color w:val="auto"/>
        </w:rPr>
      </w:pPr>
      <w:r>
        <w:rPr>
          <w:rFonts w:ascii="Arial" w:cs="Arial" w:eastAsia="Arial" w:hAnsi="Arial"/>
          <w:sz w:val="14"/>
          <w:szCs w:val="14"/>
          <w:color w:val="001543"/>
        </w:rPr>
        <w:t>MD&amp;A | Key Market Economic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20" w:right="320" w:hanging="307"/>
        <w:spacing w:after="0" w:line="283" w:lineRule="auto"/>
        <w:tabs>
          <w:tab w:leader="none" w:pos="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Stress in the banking sector, particularly for regional banks with significant exposure to commercial real estate, could further tighten bank credit conditions, dampen consumer and business confidence, and lead to reduced consumer spending, business investment, and hiring activity.</w:t>
      </w:r>
    </w:p>
    <w:p>
      <w:pPr>
        <w:spacing w:after="0" w:line="56" w:lineRule="exact"/>
        <w:rPr>
          <w:sz w:val="20"/>
          <w:szCs w:val="20"/>
          <w:color w:val="auto"/>
        </w:rPr>
      </w:pPr>
    </w:p>
    <w:p>
      <w:pPr>
        <w:ind w:right="40"/>
        <w:spacing w:after="0" w:line="300" w:lineRule="auto"/>
        <w:rPr>
          <w:sz w:val="20"/>
          <w:szCs w:val="20"/>
          <w:color w:val="auto"/>
        </w:rPr>
      </w:pPr>
      <w:r>
        <w:rPr>
          <w:rFonts w:ascii="Arial" w:cs="Arial" w:eastAsia="Arial" w:hAnsi="Arial"/>
          <w:sz w:val="16"/>
          <w:szCs w:val="16"/>
          <w:color w:val="auto"/>
        </w:rPr>
        <w:t>See “Market and Industry Risk” and “Credit Risk” in “Risk Factors” in our 2022 Form 10-K for further discussion of risks to our business and financial results associated with interest rates, home prices, housing activity, economic conditions, and our reliance on institutional counterparties and mortgage servicers.</w:t>
      </w:r>
    </w:p>
    <w:p>
      <w:pPr>
        <w:spacing w:after="0" w:line="80"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44450</wp:posOffset>
            </wp:positionV>
            <wp:extent cx="7138670"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6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section discusses our condensed consolidated results of operations and should be read together with our condensed consolidated financial statements and the accompanying notes.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Summary of Condensed Consolidated Results of Operations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780" w:type="dxa"/>
            <w:vAlign w:val="bottom"/>
            <w:tcBorders>
              <w:top w:val="single" w:sz="8" w:color="2C6937"/>
            </w:tcBorders>
          </w:tcPr>
          <w:p>
            <w:pPr>
              <w:spacing w:after="0"/>
              <w:rPr>
                <w:sz w:val="14"/>
                <w:szCs w:val="14"/>
                <w:color w:val="auto"/>
              </w:rPr>
            </w:pPr>
          </w:p>
        </w:tc>
        <w:tc>
          <w:tcPr>
            <w:tcW w:w="80" w:type="dxa"/>
            <w:vAlign w:val="bottom"/>
            <w:tcBorders>
              <w:top w:val="single" w:sz="8" w:color="2C6937"/>
            </w:tcBorders>
          </w:tcPr>
          <w:p>
            <w:pPr>
              <w:spacing w:after="0"/>
              <w:rPr>
                <w:sz w:val="14"/>
                <w:szCs w:val="14"/>
                <w:color w:val="auto"/>
              </w:rPr>
            </w:pPr>
          </w:p>
        </w:tc>
        <w:tc>
          <w:tcPr>
            <w:tcW w:w="2060" w:type="dxa"/>
            <w:vAlign w:val="bottom"/>
            <w:tcBorders>
              <w:top w:val="single" w:sz="8" w:color="2C6937"/>
            </w:tcBorders>
            <w:gridSpan w:val="5"/>
          </w:tcPr>
          <w:p>
            <w:pPr>
              <w:jc w:val="right"/>
              <w:ind w:right="23"/>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Borders>
              <w:top w:val="single" w:sz="8" w:color="2C6937"/>
            </w:tcBorders>
          </w:tcPr>
          <w:p>
            <w:pPr>
              <w:spacing w:after="0"/>
              <w:rPr>
                <w:sz w:val="14"/>
                <w:szCs w:val="14"/>
                <w:color w:val="auto"/>
              </w:rPr>
            </w:pPr>
          </w:p>
        </w:tc>
        <w:tc>
          <w:tcPr>
            <w:tcW w:w="160" w:type="dxa"/>
            <w:vAlign w:val="bottom"/>
            <w:tcBorders>
              <w:top w:val="single" w:sz="8" w:color="2C6937"/>
            </w:tcBorders>
          </w:tcPr>
          <w:p>
            <w:pPr>
              <w:spacing w:after="0"/>
              <w:rPr>
                <w:sz w:val="14"/>
                <w:szCs w:val="14"/>
                <w:color w:val="auto"/>
              </w:rPr>
            </w:pPr>
          </w:p>
        </w:tc>
        <w:tc>
          <w:tcPr>
            <w:tcW w:w="820" w:type="dxa"/>
            <w:vAlign w:val="bottom"/>
            <w:tcBorders>
              <w:top w:val="single" w:sz="8" w:color="2C6937"/>
            </w:tcBorders>
          </w:tcPr>
          <w:p>
            <w:pPr>
              <w:spacing w:after="0"/>
              <w:rPr>
                <w:sz w:val="14"/>
                <w:szCs w:val="14"/>
                <w:color w:val="auto"/>
              </w:rPr>
            </w:pPr>
          </w:p>
        </w:tc>
        <w:tc>
          <w:tcPr>
            <w:tcW w:w="100" w:type="dxa"/>
            <w:vAlign w:val="bottom"/>
            <w:tcBorders>
              <w:top w:val="single" w:sz="8" w:color="2C6937"/>
            </w:tcBorders>
          </w:tcPr>
          <w:p>
            <w:pPr>
              <w:spacing w:after="0"/>
              <w:rPr>
                <w:sz w:val="14"/>
                <w:szCs w:val="14"/>
                <w:color w:val="auto"/>
              </w:rPr>
            </w:pPr>
          </w:p>
        </w:tc>
        <w:tc>
          <w:tcPr>
            <w:tcW w:w="140" w:type="dxa"/>
            <w:vAlign w:val="bottom"/>
            <w:tcBorders>
              <w:top w:val="single" w:sz="8" w:color="2C6937"/>
            </w:tcBorders>
          </w:tcPr>
          <w:p>
            <w:pPr>
              <w:spacing w:after="0"/>
              <w:rPr>
                <w:sz w:val="14"/>
                <w:szCs w:val="14"/>
                <w:color w:val="auto"/>
              </w:rPr>
            </w:pPr>
          </w:p>
        </w:tc>
        <w:tc>
          <w:tcPr>
            <w:tcW w:w="1920" w:type="dxa"/>
            <w:vAlign w:val="bottom"/>
            <w:tcBorders>
              <w:top w:val="single" w:sz="8" w:color="2C6937"/>
            </w:tcBorders>
            <w:gridSpan w:val="4"/>
          </w:tcPr>
          <w:p>
            <w:pPr>
              <w:jc w:val="right"/>
              <w:ind w:right="103"/>
              <w:spacing w:after="0"/>
              <w:rPr>
                <w:sz w:val="20"/>
                <w:szCs w:val="20"/>
                <w:color w:val="auto"/>
              </w:rPr>
            </w:pPr>
            <w:r>
              <w:rPr>
                <w:rFonts w:ascii="Arial" w:cs="Arial" w:eastAsia="Arial" w:hAnsi="Arial"/>
                <w:sz w:val="14"/>
                <w:szCs w:val="14"/>
                <w:b w:val="1"/>
                <w:bCs w:val="1"/>
                <w:color w:val="auto"/>
                <w:w w:val="99"/>
              </w:rPr>
              <w:t>For the Six Months Ended</w:t>
            </w:r>
          </w:p>
        </w:tc>
        <w:tc>
          <w:tcPr>
            <w:tcW w:w="100" w:type="dxa"/>
            <w:vAlign w:val="bottom"/>
            <w:tcBorders>
              <w:top w:val="single" w:sz="8" w:color="2C6937"/>
            </w:tcBorders>
          </w:tcPr>
          <w:p>
            <w:pPr>
              <w:spacing w:after="0"/>
              <w:rPr>
                <w:sz w:val="14"/>
                <w:szCs w:val="14"/>
                <w:color w:val="auto"/>
              </w:rPr>
            </w:pPr>
          </w:p>
        </w:tc>
        <w:tc>
          <w:tcPr>
            <w:tcW w:w="160" w:type="dxa"/>
            <w:vAlign w:val="bottom"/>
            <w:tcBorders>
              <w:top w:val="single" w:sz="8" w:color="2C6937"/>
            </w:tcBorders>
          </w:tcPr>
          <w:p>
            <w:pPr>
              <w:spacing w:after="0"/>
              <w:rPr>
                <w:sz w:val="14"/>
                <w:szCs w:val="14"/>
                <w:color w:val="auto"/>
              </w:rPr>
            </w:pPr>
          </w:p>
        </w:tc>
        <w:tc>
          <w:tcPr>
            <w:tcW w:w="820" w:type="dxa"/>
            <w:vAlign w:val="bottom"/>
            <w:tcBorders>
              <w:top w:val="single" w:sz="8" w:color="2C6937"/>
            </w:tcBorders>
          </w:tcPr>
          <w:p>
            <w:pPr>
              <w:spacing w:after="0"/>
              <w:rPr>
                <w:sz w:val="14"/>
                <w:szCs w:val="14"/>
                <w:color w:val="auto"/>
              </w:rPr>
            </w:pPr>
          </w:p>
        </w:tc>
      </w:tr>
      <w:tr>
        <w:trPr>
          <w:trHeight w:val="179"/>
        </w:trPr>
        <w:tc>
          <w:tcPr>
            <w:tcW w:w="4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2C6937"/>
            </w:tcBorders>
          </w:tcPr>
          <w:p>
            <w:pPr>
              <w:spacing w:after="0"/>
              <w:rPr>
                <w:sz w:val="15"/>
                <w:szCs w:val="15"/>
                <w:color w:val="auto"/>
              </w:rPr>
            </w:pPr>
          </w:p>
        </w:tc>
        <w:tc>
          <w:tcPr>
            <w:tcW w:w="1140" w:type="dxa"/>
            <w:vAlign w:val="bottom"/>
            <w:tcBorders>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5"/>
        </w:trPr>
        <w:tc>
          <w:tcPr>
            <w:tcW w:w="4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ind w:right="26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2C6937"/>
            </w:tcBorders>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ind w:right="26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gridSpan w:val="2"/>
          </w:tcPr>
          <w:p>
            <w:pPr>
              <w:ind w:left="40"/>
              <w:spacing w:after="0"/>
              <w:rPr>
                <w:sz w:val="20"/>
                <w:szCs w:val="20"/>
                <w:color w:val="auto"/>
              </w:rPr>
            </w:pPr>
            <w:r>
              <w:rPr>
                <w:rFonts w:ascii="Arial" w:cs="Arial" w:eastAsia="Arial" w:hAnsi="Arial"/>
                <w:sz w:val="14"/>
                <w:szCs w:val="14"/>
                <w:b w:val="1"/>
                <w:bCs w:val="1"/>
                <w:color w:val="auto"/>
              </w:rPr>
              <w:t>Variance</w:t>
            </w:r>
          </w:p>
        </w:tc>
        <w:tc>
          <w:tcPr>
            <w:tcW w:w="14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tcPr>
          <w:p>
            <w:pPr>
              <w:jc w:val="right"/>
              <w:ind w:right="26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2C6937"/>
            </w:tcBorders>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ind w:right="26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ind w:right="123"/>
              <w:spacing w:after="0"/>
              <w:rPr>
                <w:sz w:val="20"/>
                <w:szCs w:val="20"/>
                <w:color w:val="auto"/>
              </w:rPr>
            </w:pPr>
            <w:r>
              <w:rPr>
                <w:rFonts w:ascii="Arial" w:cs="Arial" w:eastAsia="Arial" w:hAnsi="Arial"/>
                <w:sz w:val="14"/>
                <w:szCs w:val="14"/>
                <w:b w:val="1"/>
                <w:bCs w:val="1"/>
                <w:color w:val="auto"/>
              </w:rPr>
              <w:t>Variance</w:t>
            </w:r>
          </w:p>
        </w:tc>
      </w:tr>
      <w:tr>
        <w:trPr>
          <w:trHeight w:val="184"/>
        </w:trPr>
        <w:tc>
          <w:tcPr>
            <w:tcW w:w="4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4"/>
          </w:tcPr>
          <w:p>
            <w:pPr>
              <w:jc w:val="right"/>
              <w:ind w:right="304"/>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06"/>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Net interest income</w:t>
            </w:r>
          </w:p>
        </w:tc>
        <w:tc>
          <w:tcPr>
            <w:tcW w:w="220" w:type="dxa"/>
            <w:vAlign w:val="bottom"/>
          </w:tcPr>
          <w:p>
            <w:pPr>
              <w:jc w:val="right"/>
              <w:ind w:right="45"/>
              <w:spacing w:after="0"/>
              <w:rPr>
                <w:sz w:val="20"/>
                <w:szCs w:val="20"/>
                <w:color w:val="auto"/>
              </w:rPr>
            </w:pPr>
            <w:r>
              <w:rPr>
                <w:rFonts w:ascii="Arial" w:cs="Arial" w:eastAsia="Arial" w:hAnsi="Arial"/>
                <w:sz w:val="15"/>
                <w:szCs w:val="15"/>
                <w:b w:val="1"/>
                <w:bCs w:val="1"/>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7,035</w:t>
            </w:r>
          </w:p>
        </w:tc>
        <w:tc>
          <w:tcPr>
            <w:tcW w:w="380" w:type="dxa"/>
            <w:vAlign w:val="bottom"/>
            <w:gridSpan w:val="2"/>
          </w:tcPr>
          <w:p>
            <w:pPr>
              <w:jc w:val="right"/>
              <w:ind w:right="103"/>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7,808</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(773)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13,821</w:t>
            </w:r>
          </w:p>
        </w:tc>
        <w:tc>
          <w:tcPr>
            <w:tcW w:w="380" w:type="dxa"/>
            <w:vAlign w:val="bottom"/>
            <w:gridSpan w:val="2"/>
          </w:tcPr>
          <w:p>
            <w:pPr>
              <w:jc w:val="right"/>
              <w:ind w:right="103"/>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15,207</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(1,386)</w:t>
            </w:r>
          </w:p>
        </w:tc>
      </w:tr>
      <w:tr>
        <w:trPr>
          <w:trHeight w:val="210"/>
        </w:trPr>
        <w:tc>
          <w:tcPr>
            <w:tcW w:w="47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Fee and other income</w:t>
            </w:r>
          </w:p>
        </w:tc>
        <w:tc>
          <w:tcPr>
            <w:tcW w:w="8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70</w:t>
            </w:r>
          </w:p>
        </w:tc>
        <w:tc>
          <w:tcPr>
            <w:tcW w:w="10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81</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133</w:t>
            </w:r>
          </w:p>
        </w:tc>
        <w:tc>
          <w:tcPr>
            <w:tcW w:w="10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164</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(31)</w:t>
            </w:r>
          </w:p>
        </w:tc>
      </w:tr>
      <w:tr>
        <w:trPr>
          <w:trHeight w:val="196"/>
        </w:trPr>
        <w:tc>
          <w:tcPr>
            <w:tcW w:w="4860" w:type="dxa"/>
            <w:vAlign w:val="bottom"/>
            <w:gridSpan w:val="2"/>
          </w:tcPr>
          <w:p>
            <w:pPr>
              <w:ind w:left="180"/>
              <w:spacing w:after="0"/>
              <w:rPr>
                <w:sz w:val="20"/>
                <w:szCs w:val="20"/>
                <w:color w:val="auto"/>
              </w:rPr>
            </w:pPr>
            <w:r>
              <w:rPr>
                <w:rFonts w:ascii="Arial" w:cs="Arial" w:eastAsia="Arial" w:hAnsi="Arial"/>
                <w:sz w:val="15"/>
                <w:szCs w:val="15"/>
                <w:color w:val="auto"/>
              </w:rPr>
              <w:t>Net revenues</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7,105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7,889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13,954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15,371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(1,417)</w:t>
            </w:r>
          </w:p>
        </w:tc>
      </w:tr>
      <w:tr>
        <w:trPr>
          <w:trHeight w:val="206"/>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Investment gains (losses), net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(42)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109</w:t>
            </w:r>
          </w:p>
        </w:tc>
      </w:tr>
      <w:tr>
        <w:trPr>
          <w:trHeight w:val="206"/>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Fair value gains, net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404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608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(401)</w:t>
            </w:r>
          </w:p>
        </w:tc>
      </w:tr>
      <w:tr>
        <w:trPr>
          <w:trHeight w:val="206"/>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Administrative expenses</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(864)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(1,732)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(1,603)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(129)</w:t>
            </w:r>
          </w:p>
        </w:tc>
      </w:tr>
      <w:tr>
        <w:trPr>
          <w:trHeight w:val="203"/>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Benefit (provision) for credit losses</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1,266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1,484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1,134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(458)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1,592</w:t>
            </w:r>
          </w:p>
        </w:tc>
      </w:tr>
      <w:tr>
        <w:trPr>
          <w:trHeight w:val="206"/>
        </w:trPr>
        <w:tc>
          <w:tcPr>
            <w:tcW w:w="4860" w:type="dxa"/>
            <w:vAlign w:val="bottom"/>
            <w:gridSpan w:val="2"/>
          </w:tcPr>
          <w:p>
            <w:pPr>
              <w:ind w:left="40"/>
              <w:spacing w:after="0" w:line="207" w:lineRule="exact"/>
              <w:rPr>
                <w:sz w:val="20"/>
                <w:szCs w:val="20"/>
                <w:color w:val="auto"/>
              </w:rPr>
            </w:pPr>
            <w:r>
              <w:rPr>
                <w:rFonts w:ascii="Arial" w:cs="Arial" w:eastAsia="Arial" w:hAnsi="Arial"/>
                <w:sz w:val="15"/>
                <w:szCs w:val="15"/>
                <w:color w:val="auto"/>
              </w:rPr>
              <w:t>TCCA fees</w:t>
            </w:r>
            <w:r>
              <w:rPr>
                <w:rFonts w:ascii="Arial" w:cs="Arial" w:eastAsia="Arial" w:hAnsi="Arial"/>
                <w:sz w:val="20"/>
                <w:szCs w:val="20"/>
                <w:color w:val="auto"/>
                <w:vertAlign w:val="superscript"/>
              </w:rPr>
              <w:t>(1)</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(856)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(841)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(1,711)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(1,665)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(46)</w:t>
            </w:r>
          </w:p>
        </w:tc>
      </w:tr>
      <w:tr>
        <w:trPr>
          <w:trHeight w:val="219"/>
        </w:trPr>
        <w:tc>
          <w:tcPr>
            <w:tcW w:w="4860" w:type="dxa"/>
            <w:vAlign w:val="bottom"/>
            <w:gridSpan w:val="2"/>
          </w:tcPr>
          <w:p>
            <w:pPr>
              <w:ind w:left="20"/>
              <w:spacing w:after="0" w:line="219" w:lineRule="exact"/>
              <w:rPr>
                <w:sz w:val="20"/>
                <w:szCs w:val="20"/>
                <w:color w:val="auto"/>
              </w:rPr>
            </w:pPr>
            <w:r>
              <w:rPr>
                <w:rFonts w:ascii="Arial" w:cs="Arial" w:eastAsia="Arial" w:hAnsi="Arial"/>
                <w:sz w:val="15"/>
                <w:szCs w:val="15"/>
                <w:color w:val="auto"/>
              </w:rPr>
              <w:t>Credit enhancement expense</w:t>
            </w:r>
            <w:r>
              <w:rPr>
                <w:rFonts w:ascii="Arial" w:cs="Arial" w:eastAsia="Arial" w:hAnsi="Arial"/>
                <w:sz w:val="20"/>
                <w:szCs w:val="20"/>
                <w:color w:val="auto"/>
                <w:vertAlign w:val="superscript"/>
              </w:rPr>
              <w:t>(2)</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(384)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(725)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(115)</w:t>
            </w:r>
          </w:p>
        </w:tc>
      </w:tr>
      <w:tr>
        <w:trPr>
          <w:trHeight w:val="223"/>
        </w:trPr>
        <w:tc>
          <w:tcPr>
            <w:tcW w:w="4860" w:type="dxa"/>
            <w:vAlign w:val="bottom"/>
            <w:gridSpan w:val="2"/>
          </w:tcPr>
          <w:p>
            <w:pPr>
              <w:ind w:left="20"/>
              <w:spacing w:after="0" w:line="223" w:lineRule="exact"/>
              <w:rPr>
                <w:sz w:val="20"/>
                <w:szCs w:val="20"/>
                <w:color w:val="auto"/>
              </w:rPr>
            </w:pPr>
            <w:r>
              <w:rPr>
                <w:rFonts w:ascii="Arial" w:cs="Arial" w:eastAsia="Arial" w:hAnsi="Arial"/>
                <w:sz w:val="15"/>
                <w:szCs w:val="15"/>
                <w:color w:val="auto"/>
              </w:rPr>
              <w:t>Change in expected credit enhancement recoveries</w:t>
            </w:r>
            <w:r>
              <w:rPr>
                <w:rFonts w:ascii="Arial" w:cs="Arial" w:eastAsia="Arial" w:hAnsi="Arial"/>
                <w:sz w:val="20"/>
                <w:szCs w:val="20"/>
                <w:color w:val="auto"/>
                <w:vertAlign w:val="superscript"/>
              </w:rPr>
              <w:t>(3)</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(160)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(53)</w:t>
            </w:r>
          </w:p>
        </w:tc>
      </w:tr>
      <w:tr>
        <w:trPr>
          <w:trHeight w:val="210"/>
        </w:trPr>
        <w:tc>
          <w:tcPr>
            <w:tcW w:w="4780" w:type="dxa"/>
            <w:vAlign w:val="bottom"/>
            <w:tcBorders>
              <w:bottom w:val="single" w:sz="8" w:color="2C6937"/>
            </w:tcBorders>
          </w:tcPr>
          <w:p>
            <w:pPr>
              <w:ind w:left="20"/>
              <w:spacing w:after="0" w:line="209" w:lineRule="exact"/>
              <w:rPr>
                <w:sz w:val="20"/>
                <w:szCs w:val="20"/>
                <w:color w:val="auto"/>
              </w:rPr>
            </w:pPr>
            <w:r>
              <w:rPr>
                <w:rFonts w:ascii="Arial" w:cs="Arial" w:eastAsia="Arial" w:hAnsi="Arial"/>
                <w:sz w:val="15"/>
                <w:szCs w:val="15"/>
                <w:color w:val="auto"/>
              </w:rPr>
              <w:t>Other expenses, net</w:t>
            </w:r>
            <w:r>
              <w:rPr>
                <w:rFonts w:ascii="Arial" w:cs="Arial" w:eastAsia="Arial" w:hAnsi="Arial"/>
                <w:sz w:val="20"/>
                <w:szCs w:val="20"/>
                <w:color w:val="auto"/>
                <w:vertAlign w:val="superscript"/>
              </w:rPr>
              <w:t>(4)</w:t>
            </w:r>
          </w:p>
        </w:tc>
        <w:tc>
          <w:tcPr>
            <w:tcW w:w="8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(257)</w:t>
            </w:r>
          </w:p>
        </w:tc>
        <w:tc>
          <w:tcPr>
            <w:tcW w:w="10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(261)</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(387)</w:t>
            </w:r>
          </w:p>
        </w:tc>
        <w:tc>
          <w:tcPr>
            <w:tcW w:w="10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(458)</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71</w:t>
            </w:r>
          </w:p>
        </w:tc>
      </w:tr>
      <w:tr>
        <w:trPr>
          <w:trHeight w:val="196"/>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Income before federal income taxes</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6,279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5,875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11,059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11,448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(389)</w:t>
            </w:r>
          </w:p>
        </w:tc>
      </w:tr>
      <w:tr>
        <w:trPr>
          <w:trHeight w:val="210"/>
        </w:trPr>
        <w:tc>
          <w:tcPr>
            <w:tcW w:w="47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Provision for federal income taxes</w:t>
            </w:r>
          </w:p>
        </w:tc>
        <w:tc>
          <w:tcPr>
            <w:tcW w:w="8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(1,285)</w:t>
            </w:r>
          </w:p>
        </w:tc>
        <w:tc>
          <w:tcPr>
            <w:tcW w:w="10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(1,222)</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(63)</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(2,293)</w:t>
            </w:r>
          </w:p>
        </w:tc>
        <w:tc>
          <w:tcPr>
            <w:tcW w:w="10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(2,387)</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94</w:t>
            </w:r>
          </w:p>
        </w:tc>
      </w:tr>
      <w:tr>
        <w:trPr>
          <w:trHeight w:val="199"/>
        </w:trPr>
        <w:tc>
          <w:tcPr>
            <w:tcW w:w="478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Net income</w:t>
            </w:r>
          </w:p>
        </w:tc>
        <w:tc>
          <w:tcPr>
            <w:tcW w:w="80" w:type="dxa"/>
            <w:vAlign w:val="bottom"/>
          </w:tcPr>
          <w:p>
            <w:pPr>
              <w:spacing w:after="0"/>
              <w:rPr>
                <w:sz w:val="17"/>
                <w:szCs w:val="17"/>
                <w:color w:val="auto"/>
              </w:rPr>
            </w:pPr>
          </w:p>
        </w:tc>
        <w:tc>
          <w:tcPr>
            <w:tcW w:w="220" w:type="dxa"/>
            <w:vAlign w:val="bottom"/>
            <w:tcBorders>
              <w:bottom w:val="single" w:sz="8" w:color="2C6937"/>
            </w:tcBorders>
          </w:tcPr>
          <w:p>
            <w:pPr>
              <w:jc w:val="right"/>
              <w:ind w:right="45"/>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4,994</w:t>
            </w:r>
          </w:p>
        </w:tc>
        <w:tc>
          <w:tcPr>
            <w:tcW w:w="100" w:type="dxa"/>
            <w:vAlign w:val="bottom"/>
          </w:tcPr>
          <w:p>
            <w:pPr>
              <w:spacing w:after="0"/>
              <w:rPr>
                <w:sz w:val="17"/>
                <w:szCs w:val="17"/>
                <w:color w:val="auto"/>
              </w:rPr>
            </w:pPr>
          </w:p>
        </w:tc>
        <w:tc>
          <w:tcPr>
            <w:tcW w:w="280" w:type="dxa"/>
            <w:vAlign w:val="bottom"/>
            <w:tcBorders>
              <w:bottom w:val="single" w:sz="8" w:color="2C6937"/>
            </w:tcBorders>
          </w:tcPr>
          <w:p>
            <w:pPr>
              <w:jc w:val="right"/>
              <w:ind w:right="103"/>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4,653</w:t>
            </w:r>
          </w:p>
        </w:tc>
        <w:tc>
          <w:tcPr>
            <w:tcW w:w="100" w:type="dxa"/>
            <w:vAlign w:val="bottom"/>
          </w:tcPr>
          <w:p>
            <w:pPr>
              <w:spacing w:after="0"/>
              <w:rPr>
                <w:sz w:val="17"/>
                <w:szCs w:val="17"/>
                <w:color w:val="auto"/>
              </w:rPr>
            </w:pPr>
          </w:p>
        </w:tc>
        <w:tc>
          <w:tcPr>
            <w:tcW w:w="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341</w:t>
            </w:r>
          </w:p>
        </w:tc>
        <w:tc>
          <w:tcPr>
            <w:tcW w:w="100" w:type="dxa"/>
            <w:vAlign w:val="bottom"/>
          </w:tcPr>
          <w:p>
            <w:pPr>
              <w:spacing w:after="0"/>
              <w:rPr>
                <w:sz w:val="17"/>
                <w:szCs w:val="17"/>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8,766</w:t>
            </w:r>
          </w:p>
        </w:tc>
        <w:tc>
          <w:tcPr>
            <w:tcW w:w="100" w:type="dxa"/>
            <w:vAlign w:val="bottom"/>
          </w:tcPr>
          <w:p>
            <w:pPr>
              <w:spacing w:after="0"/>
              <w:rPr>
                <w:sz w:val="17"/>
                <w:szCs w:val="17"/>
                <w:color w:val="auto"/>
              </w:rPr>
            </w:pPr>
          </w:p>
        </w:tc>
        <w:tc>
          <w:tcPr>
            <w:tcW w:w="280" w:type="dxa"/>
            <w:vAlign w:val="bottom"/>
            <w:tcBorders>
              <w:bottom w:val="single" w:sz="8" w:color="2C6937"/>
            </w:tcBorders>
          </w:tcPr>
          <w:p>
            <w:pPr>
              <w:jc w:val="right"/>
              <w:ind w:right="103"/>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9,061</w:t>
            </w:r>
          </w:p>
        </w:tc>
        <w:tc>
          <w:tcPr>
            <w:tcW w:w="100" w:type="dxa"/>
            <w:vAlign w:val="bottom"/>
          </w:tcPr>
          <w:p>
            <w:pPr>
              <w:spacing w:after="0"/>
              <w:rPr>
                <w:sz w:val="17"/>
                <w:szCs w:val="17"/>
                <w:color w:val="auto"/>
              </w:rPr>
            </w:pPr>
          </w:p>
        </w:tc>
        <w:tc>
          <w:tcPr>
            <w:tcW w:w="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(295)</w:t>
            </w:r>
          </w:p>
        </w:tc>
      </w:tr>
      <w:tr>
        <w:trPr>
          <w:trHeight w:val="20"/>
        </w:trPr>
        <w:tc>
          <w:tcPr>
            <w:tcW w:w="478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8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820" w:type="dxa"/>
            <w:vAlign w:val="bottom"/>
            <w:tcBorders>
              <w:bottom w:val="single" w:sz="8" w:color="2C6937"/>
            </w:tcBorders>
          </w:tcPr>
          <w:p>
            <w:pPr>
              <w:spacing w:after="0" w:line="20" w:lineRule="exact"/>
              <w:rPr>
                <w:sz w:val="1"/>
                <w:szCs w:val="1"/>
                <w:color w:val="auto"/>
              </w:rPr>
            </w:pPr>
          </w:p>
        </w:tc>
      </w:tr>
      <w:tr>
        <w:trPr>
          <w:trHeight w:val="208"/>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Total comprehensive income</w:t>
            </w:r>
          </w:p>
        </w:tc>
        <w:tc>
          <w:tcPr>
            <w:tcW w:w="220" w:type="dxa"/>
            <w:vAlign w:val="bottom"/>
          </w:tcPr>
          <w:p>
            <w:pPr>
              <w:jc w:val="right"/>
              <w:ind w:right="45"/>
              <w:spacing w:after="0"/>
              <w:rPr>
                <w:sz w:val="20"/>
                <w:szCs w:val="20"/>
                <w:color w:val="auto"/>
              </w:rPr>
            </w:pPr>
            <w:r>
              <w:rPr>
                <w:rFonts w:ascii="Arial" w:cs="Arial" w:eastAsia="Arial" w:hAnsi="Arial"/>
                <w:sz w:val="15"/>
                <w:szCs w:val="15"/>
                <w:b w:val="1"/>
                <w:bCs w:val="1"/>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4,995</w:t>
            </w:r>
          </w:p>
        </w:tc>
        <w:tc>
          <w:tcPr>
            <w:tcW w:w="380" w:type="dxa"/>
            <w:vAlign w:val="bottom"/>
            <w:gridSpan w:val="2"/>
          </w:tcPr>
          <w:p>
            <w:pPr>
              <w:jc w:val="right"/>
              <w:ind w:right="103"/>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4,649</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346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8,767</w:t>
            </w:r>
          </w:p>
        </w:tc>
        <w:tc>
          <w:tcPr>
            <w:tcW w:w="380" w:type="dxa"/>
            <w:vAlign w:val="bottom"/>
            <w:gridSpan w:val="2"/>
          </w:tcPr>
          <w:p>
            <w:pPr>
              <w:jc w:val="right"/>
              <w:ind w:right="103"/>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9,050</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(283)</w:t>
            </w:r>
          </w:p>
        </w:tc>
      </w:tr>
    </w:tbl>
    <w:p>
      <w:pPr>
        <w:spacing w:after="0" w:line="114" w:lineRule="exact"/>
        <w:rPr>
          <w:sz w:val="20"/>
          <w:szCs w:val="20"/>
          <w:color w:val="auto"/>
        </w:rPr>
      </w:pPr>
    </w:p>
    <w:p>
      <w:pPr>
        <w:ind w:left="240" w:right="220" w:hanging="237"/>
        <w:spacing w:after="0" w:line="225" w:lineRule="auto"/>
        <w:tabs>
          <w:tab w:leader="none" w:pos="24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TCCA fees refers to the expense recognized as a result of the 10 basis point increase in guaranty fees on all single-family residential mortgages delivered to us on or after April 1, 2012 pursuant to the Temporary Payroll Tax Cut Continuation Act of 2011 and as extended by the Infrastructure Investment and Jobs Act, which we remit to Treasury. For more information on TCCA fees, see “Note 1, Summary of Significant Accounting Policies—Related Parties—Transactions with Treasury” in our 2022 Form 10-K.</w:t>
      </w:r>
    </w:p>
    <w:p>
      <w:pPr>
        <w:spacing w:after="0" w:line="28" w:lineRule="exact"/>
        <w:rPr>
          <w:rFonts w:ascii="Arial" w:cs="Arial" w:eastAsia="Arial" w:hAnsi="Arial"/>
          <w:sz w:val="18"/>
          <w:szCs w:val="18"/>
          <w:color w:val="auto"/>
          <w:vertAlign w:val="superscript"/>
        </w:rPr>
      </w:pPr>
    </w:p>
    <w:p>
      <w:pPr>
        <w:ind w:left="240" w:right="200" w:hanging="237"/>
        <w:spacing w:after="0" w:line="231" w:lineRule="auto"/>
        <w:tabs>
          <w:tab w:leader="none" w:pos="24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Consists of costs associated with our freestanding credit enhancements, which primarily include our Connecticut Avenue Securities</w:t>
      </w:r>
      <w:r>
        <w:rPr>
          <w:rFonts w:ascii="Arial" w:cs="Arial" w:eastAsia="Arial" w:hAnsi="Arial"/>
          <w:sz w:val="17"/>
          <w:szCs w:val="17"/>
          <w:color w:val="auto"/>
          <w:vertAlign w:val="superscript"/>
        </w:rPr>
        <w:t>®</w:t>
      </w:r>
      <w:r>
        <w:rPr>
          <w:rFonts w:ascii="Arial" w:cs="Arial" w:eastAsia="Arial" w:hAnsi="Arial"/>
          <w:sz w:val="14"/>
          <w:szCs w:val="14"/>
          <w:color w:val="auto"/>
        </w:rPr>
        <w:t xml:space="preserve"> (“CAS”) and Credit Insurance Risk Transfer</w:t>
      </w:r>
      <w:r>
        <w:rPr>
          <w:rFonts w:ascii="Arial" w:cs="Arial" w:eastAsia="Arial" w:hAnsi="Arial"/>
          <w:sz w:val="17"/>
          <w:szCs w:val="17"/>
          <w:color w:val="auto"/>
          <w:vertAlign w:val="superscript"/>
        </w:rPr>
        <w:t>TM</w:t>
      </w:r>
      <w:r>
        <w:rPr>
          <w:rFonts w:ascii="Arial" w:cs="Arial" w:eastAsia="Arial" w:hAnsi="Arial"/>
          <w:sz w:val="14"/>
          <w:szCs w:val="14"/>
          <w:color w:val="auto"/>
        </w:rPr>
        <w:t xml:space="preserve"> (“CIRT</w:t>
      </w:r>
      <w:r>
        <w:rPr>
          <w:rFonts w:ascii="Arial" w:cs="Arial" w:eastAsia="Arial" w:hAnsi="Arial"/>
          <w:sz w:val="17"/>
          <w:szCs w:val="17"/>
          <w:color w:val="auto"/>
          <w:vertAlign w:val="superscript"/>
        </w:rPr>
        <w:t>TM</w:t>
      </w:r>
      <w:r>
        <w:rPr>
          <w:rFonts w:ascii="Arial" w:cs="Arial" w:eastAsia="Arial" w:hAnsi="Arial"/>
          <w:sz w:val="14"/>
          <w:szCs w:val="14"/>
          <w:color w:val="auto"/>
        </w:rPr>
        <w:t>”) programs, enterprise-paid mortgage insurance and certain lender risk-sharing programs.</w:t>
      </w:r>
    </w:p>
    <w:p>
      <w:pPr>
        <w:ind w:left="240" w:hanging="237"/>
        <w:spacing w:after="0" w:line="190" w:lineRule="auto"/>
        <w:tabs>
          <w:tab w:leader="none" w:pos="24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Includes estimated changes in benefits, as well as any realized amounts, from our freestanding credit enhancements.</w:t>
      </w:r>
    </w:p>
    <w:p>
      <w:pPr>
        <w:spacing w:after="0" w:line="42" w:lineRule="exact"/>
        <w:rPr>
          <w:rFonts w:ascii="Arial" w:cs="Arial" w:eastAsia="Arial" w:hAnsi="Arial"/>
          <w:sz w:val="18"/>
          <w:szCs w:val="18"/>
          <w:color w:val="auto"/>
          <w:vertAlign w:val="superscript"/>
        </w:rPr>
      </w:pPr>
    </w:p>
    <w:p>
      <w:pPr>
        <w:ind w:left="240" w:right="580" w:hanging="237"/>
        <w:spacing w:after="0" w:line="208" w:lineRule="auto"/>
        <w:tabs>
          <w:tab w:leader="none" w:pos="24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Consists of debt extinguishment gains and losses, foreclosed property income (expense), gains and losses from partnership investments, housing trust fund expenses, loan subservicing costs, and servicer fees paid in connection with certain loss mitigation activities.</w:t>
      </w:r>
    </w:p>
    <w:p>
      <w:pPr>
        <w:spacing w:after="0" w:line="88"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Net Interest Income</w:t>
      </w:r>
    </w:p>
    <w:p>
      <w:pPr>
        <w:spacing w:after="0" w:line="77" w:lineRule="exact"/>
        <w:rPr>
          <w:sz w:val="20"/>
          <w:szCs w:val="20"/>
          <w:color w:val="auto"/>
        </w:rPr>
      </w:pPr>
    </w:p>
    <w:p>
      <w:pPr>
        <w:ind w:right="500"/>
        <w:spacing w:after="0" w:line="300" w:lineRule="auto"/>
        <w:rPr>
          <w:sz w:val="20"/>
          <w:szCs w:val="20"/>
          <w:color w:val="auto"/>
        </w:rPr>
      </w:pPr>
      <w:r>
        <w:rPr>
          <w:rFonts w:ascii="Arial" w:cs="Arial" w:eastAsia="Arial" w:hAnsi="Arial"/>
          <w:sz w:val="16"/>
          <w:szCs w:val="16"/>
          <w:color w:val="auto"/>
        </w:rPr>
        <w:t>Our primary source of net interest income is guaranty fees we receive for managing the credit risk on loans underlying Fannie Mae MBS held by third parties.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Guaranty fees consist of two primary components:</w:t>
      </w:r>
    </w:p>
    <w:p>
      <w:pPr>
        <w:spacing w:after="0" w:line="87" w:lineRule="exact"/>
        <w:rPr>
          <w:sz w:val="20"/>
          <w:szCs w:val="20"/>
          <w:color w:val="auto"/>
        </w:rPr>
      </w:pPr>
    </w:p>
    <w:p>
      <w:pPr>
        <w:ind w:left="620" w:hanging="307"/>
        <w:spacing w:after="0"/>
        <w:tabs>
          <w:tab w:leader="none" w:pos="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 guaranty fees that we receive over the life of the loan; and</w:t>
      </w:r>
    </w:p>
    <w:p>
      <w:pPr>
        <w:spacing w:after="0" w:line="86" w:lineRule="exact"/>
        <w:rPr>
          <w:rFonts w:ascii="Arial" w:cs="Arial" w:eastAsia="Arial" w:hAnsi="Arial"/>
          <w:sz w:val="16"/>
          <w:szCs w:val="16"/>
          <w:color w:val="auto"/>
        </w:rPr>
      </w:pPr>
    </w:p>
    <w:p>
      <w:pPr>
        <w:ind w:left="620" w:right="140" w:hanging="307"/>
        <w:spacing w:after="0" w:line="276" w:lineRule="auto"/>
        <w:tabs>
          <w:tab w:leader="none" w:pos="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upfront fees that we receive at the time of loan acquisition primarily related to single-family loan-level price adjustments and other fees we receive from lenders, which are amortized into net interest income as cost basis adjustments over the contractual life of the loan. We refer to this as amortization income.</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1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9</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880" w:type="dxa"/>
            <w:vAlign w:val="bottom"/>
            <w:tcBorders>
              <w:bottom w:val="single" w:sz="8" w:color="9A9A9A"/>
            </w:tcBorders>
          </w:tcPr>
          <w:p>
            <w:pPr>
              <w:spacing w:after="0"/>
              <w:rPr>
                <w:sz w:val="18"/>
                <w:szCs w:val="18"/>
                <w:color w:val="auto"/>
              </w:rPr>
            </w:pPr>
          </w:p>
        </w:tc>
        <w:tc>
          <w:tcPr>
            <w:tcW w:w="41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2" w:name="page13"/>
    <w:bookmarkEnd w:id="12"/>
    <w:p>
      <w:pPr>
        <w:ind w:left="846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20"/>
        <w:spacing w:after="0" w:line="267" w:lineRule="auto"/>
        <w:rPr>
          <w:sz w:val="20"/>
          <w:szCs w:val="20"/>
          <w:color w:val="auto"/>
        </w:rPr>
      </w:pPr>
      <w:r>
        <w:rPr>
          <w:rFonts w:ascii="Arial" w:cs="Arial" w:eastAsia="Arial" w:hAnsi="Arial"/>
          <w:sz w:val="16"/>
          <w:szCs w:val="16"/>
          <w:color w:val="auto"/>
        </w:rPr>
        <w:t>We recognize almost all of our guaranty fee revenue in net interest income because we consolidate the substantial majority of loans underlying our Fannie Mae MBS in consolidated trusts in our condensed consolidated balance sheets. Guaranty fees from these loans account for the difference between the interest income on loans in consolidated trusts and the interest expense on the debt of consolidated trusts.</w:t>
      </w:r>
    </w:p>
    <w:p>
      <w:pPr>
        <w:spacing w:after="0" w:line="56"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The timing of when we recognize the upfront fees received on loan acquisitions as amortization income can vary based on a number of factors, the most significant of which is a change in mortgage interest rates. Although we amortize these upfront fees over the contractual life of the mortgage loan, when a loan prepays, the remaining upfront fees on the loan are recognized as income in that period. As a result, in a declining interest-rate environment, our mortgage loans generally prepay faster as borrowers are more likely to refinance, typically resulting in higher amortization income as it accelerates the realization of those upfront fees as income. Conversely, in a rising interest-rate environment, our mortgage loans generally prepay more slowly as borrowers are less likely to refinance, which typically results in lower amortization income as those upfront fees are amortized over a longer period of time.</w:t>
      </w:r>
    </w:p>
    <w:p>
      <w:pPr>
        <w:spacing w:after="0" w:line="50" w:lineRule="exact"/>
        <w:rPr>
          <w:sz w:val="20"/>
          <w:szCs w:val="20"/>
          <w:color w:val="auto"/>
        </w:rPr>
      </w:pPr>
    </w:p>
    <w:p>
      <w:pPr>
        <w:jc w:val="both"/>
        <w:ind w:right="360"/>
        <w:spacing w:after="0" w:line="267" w:lineRule="auto"/>
        <w:rPr>
          <w:sz w:val="20"/>
          <w:szCs w:val="20"/>
          <w:color w:val="auto"/>
        </w:rPr>
      </w:pPr>
      <w:r>
        <w:rPr>
          <w:rFonts w:ascii="Arial" w:cs="Arial" w:eastAsia="Arial" w:hAnsi="Arial"/>
          <w:sz w:val="16"/>
          <w:szCs w:val="16"/>
          <w:color w:val="auto"/>
        </w:rPr>
        <w:t>We also recognize net interest income on the difference between interest income earned on the assets in our retained mortgage portfolio and our other investments portfolio (collectively, our “portfolios”) and the interest expense associated with the debt that funds those assets. See “Retained Mortgage Portfolio” and “Liquidity and Capital Management—Liquidity Management—Other Investments Portfolio” for more information about our portfolios.</w:t>
      </w:r>
    </w:p>
    <w:p>
      <w:pPr>
        <w:spacing w:after="0" w:line="43"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We recognize the effects of hedge accounting as a component of net interest income, as demonstrated in the table below. As of June 30, 2023, we had $4.2 billion in net cumulative fair value hedge basis adjustments, which will be amortized as net expenses over the remaining contractual life of the respective hedged items in the “Income (expense) from hedge accounting” line item in the table below. The substantial majority of these hedge basis adjustments relate to our funding debt. See “Fair Value Gains, Net” below and “Note 8, Derivative Instruments” in this report for more information about our hedge accounting program, as well as “Note 1, Summary of Significant Accounting Policies” in our 2022 Form 10-K.</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10</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3" w:name="page14"/>
    <w:bookmarkEnd w:id="13"/>
    <w:p>
      <w:pPr>
        <w:ind w:left="846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The table below displays the components of our net interest income from our guaranty book of business, which we discuss in “Guaranty Book of Business,” and from our portfolios, as well as from hedge accounting.</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Components of Net Interest Income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400" w:type="dxa"/>
            <w:vAlign w:val="bottom"/>
            <w:tcBorders>
              <w:top w:val="single" w:sz="8" w:color="2C6937"/>
            </w:tcBorders>
          </w:tcPr>
          <w:p>
            <w:pPr>
              <w:spacing w:after="0"/>
              <w:rPr>
                <w:sz w:val="15"/>
                <w:szCs w:val="15"/>
                <w:color w:val="auto"/>
              </w:rPr>
            </w:pPr>
          </w:p>
        </w:tc>
        <w:tc>
          <w:tcPr>
            <w:tcW w:w="2200" w:type="dxa"/>
            <w:vAlign w:val="bottom"/>
            <w:tcBorders>
              <w:top w:val="single" w:sz="8" w:color="2C6937"/>
            </w:tcBorders>
            <w:gridSpan w:val="2"/>
          </w:tcPr>
          <w:p>
            <w:pPr>
              <w:jc w:val="center"/>
              <w:spacing w:after="0"/>
              <w:rPr>
                <w:sz w:val="20"/>
                <w:szCs w:val="20"/>
                <w:color w:val="auto"/>
              </w:rPr>
            </w:pPr>
            <w:r>
              <w:rPr>
                <w:rFonts w:ascii="Arial" w:cs="Arial" w:eastAsia="Arial" w:hAnsi="Arial"/>
                <w:sz w:val="15"/>
                <w:szCs w:val="15"/>
                <w:b w:val="1"/>
                <w:bCs w:val="1"/>
                <w:color w:val="auto"/>
              </w:rPr>
              <w:t>For the Three Months Ended</w:t>
            </w:r>
          </w:p>
        </w:tc>
        <w:tc>
          <w:tcPr>
            <w:tcW w:w="1280" w:type="dxa"/>
            <w:vAlign w:val="bottom"/>
            <w:tcBorders>
              <w:top w:val="single" w:sz="8" w:color="2C6937"/>
            </w:tcBorders>
          </w:tcPr>
          <w:p>
            <w:pPr>
              <w:spacing w:after="0"/>
              <w:rPr>
                <w:sz w:val="15"/>
                <w:szCs w:val="15"/>
                <w:color w:val="auto"/>
              </w:rPr>
            </w:pPr>
          </w:p>
        </w:tc>
        <w:tc>
          <w:tcPr>
            <w:tcW w:w="2200" w:type="dxa"/>
            <w:vAlign w:val="bottom"/>
            <w:tcBorders>
              <w:top w:val="single" w:sz="8" w:color="2C6937"/>
            </w:tcBorders>
            <w:gridSpan w:val="2"/>
          </w:tcPr>
          <w:p>
            <w:pPr>
              <w:jc w:val="center"/>
              <w:spacing w:after="0"/>
              <w:rPr>
                <w:sz w:val="20"/>
                <w:szCs w:val="20"/>
                <w:color w:val="auto"/>
              </w:rPr>
            </w:pPr>
            <w:r>
              <w:rPr>
                <w:rFonts w:ascii="Arial" w:cs="Arial" w:eastAsia="Arial" w:hAnsi="Arial"/>
                <w:sz w:val="15"/>
                <w:szCs w:val="15"/>
                <w:b w:val="1"/>
                <w:bCs w:val="1"/>
                <w:color w:val="auto"/>
              </w:rPr>
              <w:t>For the Six Months Ended</w:t>
            </w:r>
          </w:p>
        </w:tc>
        <w:tc>
          <w:tcPr>
            <w:tcW w:w="1160" w:type="dxa"/>
            <w:vAlign w:val="bottom"/>
            <w:tcBorders>
              <w:top w:val="single" w:sz="8" w:color="2C6937"/>
            </w:tcBorders>
          </w:tcPr>
          <w:p>
            <w:pPr>
              <w:spacing w:after="0"/>
              <w:rPr>
                <w:sz w:val="15"/>
                <w:szCs w:val="15"/>
                <w:color w:val="auto"/>
              </w:rPr>
            </w:pPr>
          </w:p>
        </w:tc>
      </w:tr>
      <w:tr>
        <w:trPr>
          <w:trHeight w:val="206"/>
        </w:trPr>
        <w:tc>
          <w:tcPr>
            <w:tcW w:w="4400" w:type="dxa"/>
            <w:vAlign w:val="bottom"/>
          </w:tcPr>
          <w:p>
            <w:pPr>
              <w:spacing w:after="0"/>
              <w:rPr>
                <w:sz w:val="17"/>
                <w:szCs w:val="17"/>
                <w:color w:val="auto"/>
              </w:rPr>
            </w:pPr>
          </w:p>
        </w:tc>
        <w:tc>
          <w:tcPr>
            <w:tcW w:w="740" w:type="dxa"/>
            <w:vAlign w:val="bottom"/>
            <w:tcBorders>
              <w:bottom w:val="single" w:sz="8" w:color="2C6937"/>
            </w:tcBorders>
          </w:tcPr>
          <w:p>
            <w:pPr>
              <w:spacing w:after="0"/>
              <w:rPr>
                <w:sz w:val="17"/>
                <w:szCs w:val="17"/>
                <w:color w:val="auto"/>
              </w:rPr>
            </w:pPr>
          </w:p>
        </w:tc>
        <w:tc>
          <w:tcPr>
            <w:tcW w:w="1460" w:type="dxa"/>
            <w:vAlign w:val="bottom"/>
            <w:tcBorders>
              <w:bottom w:val="single" w:sz="8" w:color="2C6937"/>
            </w:tcBorders>
          </w:tcPr>
          <w:p>
            <w:pPr>
              <w:jc w:val="center"/>
              <w:ind w:right="683"/>
              <w:spacing w:after="0"/>
              <w:rPr>
                <w:sz w:val="20"/>
                <w:szCs w:val="20"/>
                <w:color w:val="auto"/>
              </w:rPr>
            </w:pPr>
            <w:r>
              <w:rPr>
                <w:rFonts w:ascii="Arial" w:cs="Arial" w:eastAsia="Arial" w:hAnsi="Arial"/>
                <w:sz w:val="15"/>
                <w:szCs w:val="15"/>
                <w:b w:val="1"/>
                <w:bCs w:val="1"/>
                <w:color w:val="auto"/>
              </w:rPr>
              <w:t>June 30,</w:t>
            </w:r>
          </w:p>
        </w:tc>
        <w:tc>
          <w:tcPr>
            <w:tcW w:w="1280" w:type="dxa"/>
            <w:vAlign w:val="bottom"/>
          </w:tcPr>
          <w:p>
            <w:pPr>
              <w:spacing w:after="0"/>
              <w:rPr>
                <w:sz w:val="17"/>
                <w:szCs w:val="17"/>
                <w:color w:val="auto"/>
              </w:rPr>
            </w:pPr>
          </w:p>
        </w:tc>
        <w:tc>
          <w:tcPr>
            <w:tcW w:w="740" w:type="dxa"/>
            <w:vAlign w:val="bottom"/>
            <w:tcBorders>
              <w:bottom w:val="single" w:sz="8" w:color="2C6937"/>
            </w:tcBorders>
          </w:tcPr>
          <w:p>
            <w:pPr>
              <w:spacing w:after="0"/>
              <w:rPr>
                <w:sz w:val="17"/>
                <w:szCs w:val="17"/>
                <w:color w:val="auto"/>
              </w:rPr>
            </w:pPr>
          </w:p>
        </w:tc>
        <w:tc>
          <w:tcPr>
            <w:tcW w:w="1460" w:type="dxa"/>
            <w:vAlign w:val="bottom"/>
            <w:tcBorders>
              <w:bottom w:val="single" w:sz="8" w:color="2C6937"/>
            </w:tcBorders>
          </w:tcPr>
          <w:p>
            <w:pPr>
              <w:jc w:val="center"/>
              <w:ind w:right="683"/>
              <w:spacing w:after="0"/>
              <w:rPr>
                <w:sz w:val="20"/>
                <w:szCs w:val="20"/>
                <w:color w:val="auto"/>
              </w:rPr>
            </w:pPr>
            <w:r>
              <w:rPr>
                <w:rFonts w:ascii="Arial" w:cs="Arial" w:eastAsia="Arial" w:hAnsi="Arial"/>
                <w:sz w:val="15"/>
                <w:szCs w:val="15"/>
                <w:b w:val="1"/>
                <w:bCs w:val="1"/>
                <w:color w:val="auto"/>
              </w:rPr>
              <w:t>June 30,</w:t>
            </w:r>
          </w:p>
        </w:tc>
        <w:tc>
          <w:tcPr>
            <w:tcW w:w="1160" w:type="dxa"/>
            <w:vAlign w:val="bottom"/>
          </w:tcPr>
          <w:p>
            <w:pPr>
              <w:spacing w:after="0"/>
              <w:rPr>
                <w:sz w:val="17"/>
                <w:szCs w:val="17"/>
                <w:color w:val="auto"/>
              </w:rPr>
            </w:pPr>
          </w:p>
        </w:tc>
      </w:tr>
      <w:tr>
        <w:trPr>
          <w:trHeight w:val="199"/>
        </w:trPr>
        <w:tc>
          <w:tcPr>
            <w:tcW w:w="4400" w:type="dxa"/>
            <w:vAlign w:val="bottom"/>
          </w:tcPr>
          <w:p>
            <w:pPr>
              <w:spacing w:after="0"/>
              <w:rPr>
                <w:sz w:val="17"/>
                <w:szCs w:val="17"/>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2023</w:t>
            </w:r>
          </w:p>
        </w:tc>
        <w:tc>
          <w:tcPr>
            <w:tcW w:w="1460" w:type="dxa"/>
            <w:vAlign w:val="bottom"/>
            <w:tcBorders>
              <w:bottom w:val="single" w:sz="8" w:color="2C6937"/>
            </w:tcBorders>
          </w:tcPr>
          <w:p>
            <w:pPr>
              <w:jc w:val="right"/>
              <w:ind w:right="283"/>
              <w:spacing w:after="0"/>
              <w:rPr>
                <w:sz w:val="20"/>
                <w:szCs w:val="20"/>
                <w:color w:val="auto"/>
              </w:rPr>
            </w:pPr>
            <w:r>
              <w:rPr>
                <w:rFonts w:ascii="Arial" w:cs="Arial" w:eastAsia="Arial" w:hAnsi="Arial"/>
                <w:sz w:val="15"/>
                <w:szCs w:val="15"/>
                <w:b w:val="1"/>
                <w:bCs w:val="1"/>
                <w:color w:val="auto"/>
              </w:rPr>
              <w:t>2022</w:t>
            </w:r>
          </w:p>
        </w:tc>
        <w:tc>
          <w:tcPr>
            <w:tcW w:w="1280" w:type="dxa"/>
            <w:vAlign w:val="bottom"/>
            <w:tcBorders>
              <w:bottom w:val="single" w:sz="8" w:color="2C6937"/>
            </w:tcBorders>
          </w:tcPr>
          <w:p>
            <w:pPr>
              <w:ind w:left="320"/>
              <w:spacing w:after="0"/>
              <w:rPr>
                <w:sz w:val="20"/>
                <w:szCs w:val="20"/>
                <w:color w:val="auto"/>
              </w:rPr>
            </w:pPr>
            <w:r>
              <w:rPr>
                <w:rFonts w:ascii="Arial" w:cs="Arial" w:eastAsia="Arial" w:hAnsi="Arial"/>
                <w:sz w:val="15"/>
                <w:szCs w:val="15"/>
                <w:b w:val="1"/>
                <w:bCs w:val="1"/>
                <w:color w:val="auto"/>
              </w:rPr>
              <w:t>Variance</w:t>
            </w: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2023</w:t>
            </w:r>
          </w:p>
        </w:tc>
        <w:tc>
          <w:tcPr>
            <w:tcW w:w="1460" w:type="dxa"/>
            <w:vAlign w:val="bottom"/>
            <w:tcBorders>
              <w:bottom w:val="single" w:sz="8" w:color="2C6937"/>
            </w:tcBorders>
          </w:tcPr>
          <w:p>
            <w:pPr>
              <w:jc w:val="right"/>
              <w:ind w:right="283"/>
              <w:spacing w:after="0"/>
              <w:rPr>
                <w:sz w:val="20"/>
                <w:szCs w:val="20"/>
                <w:color w:val="auto"/>
              </w:rPr>
            </w:pPr>
            <w:r>
              <w:rPr>
                <w:rFonts w:ascii="Arial" w:cs="Arial" w:eastAsia="Arial" w:hAnsi="Arial"/>
                <w:sz w:val="15"/>
                <w:szCs w:val="15"/>
                <w:b w:val="1"/>
                <w:bCs w:val="1"/>
                <w:color w:val="auto"/>
              </w:rPr>
              <w:t>2022</w:t>
            </w:r>
          </w:p>
        </w:tc>
        <w:tc>
          <w:tcPr>
            <w:tcW w:w="1160" w:type="dxa"/>
            <w:vAlign w:val="bottom"/>
            <w:tcBorders>
              <w:bottom w:val="single" w:sz="8" w:color="2C6937"/>
            </w:tcBorders>
          </w:tcPr>
          <w:p>
            <w:pPr>
              <w:ind w:left="320"/>
              <w:spacing w:after="0"/>
              <w:rPr>
                <w:sz w:val="20"/>
                <w:szCs w:val="20"/>
                <w:color w:val="auto"/>
              </w:rPr>
            </w:pPr>
            <w:r>
              <w:rPr>
                <w:rFonts w:ascii="Arial" w:cs="Arial" w:eastAsia="Arial" w:hAnsi="Arial"/>
                <w:sz w:val="15"/>
                <w:szCs w:val="15"/>
                <w:b w:val="1"/>
                <w:bCs w:val="1"/>
                <w:color w:val="auto"/>
              </w:rPr>
              <w:t>Variance</w:t>
            </w:r>
          </w:p>
        </w:tc>
      </w:tr>
    </w:tbl>
    <w:p>
      <w:pPr>
        <w:spacing w:after="0" w:line="87" w:lineRule="exact"/>
        <w:rPr>
          <w:sz w:val="20"/>
          <w:szCs w:val="20"/>
          <w:color w:val="auto"/>
        </w:rPr>
      </w:pPr>
    </w:p>
    <w:p>
      <w:pPr>
        <w:ind w:left="7100"/>
        <w:spacing w:after="0"/>
        <w:rPr>
          <w:sz w:val="20"/>
          <w:szCs w:val="20"/>
          <w:color w:val="auto"/>
        </w:rPr>
      </w:pPr>
      <w:r>
        <w:rPr>
          <w:rFonts w:ascii="Arial" w:cs="Arial" w:eastAsia="Arial" w:hAnsi="Arial"/>
          <w:sz w:val="15"/>
          <w:szCs w:val="15"/>
          <w:b w:val="1"/>
          <w:bCs w:val="1"/>
          <w:color w:val="auto"/>
        </w:rPr>
        <w:t>(Dollars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00" w:type="dxa"/>
            <w:vAlign w:val="bottom"/>
          </w:tcPr>
          <w:p>
            <w:pPr>
              <w:ind w:left="20"/>
              <w:spacing w:after="0"/>
              <w:rPr>
                <w:sz w:val="20"/>
                <w:szCs w:val="20"/>
                <w:color w:val="auto"/>
              </w:rPr>
            </w:pPr>
            <w:r>
              <w:rPr>
                <w:rFonts w:ascii="Arial" w:cs="Arial" w:eastAsia="Arial" w:hAnsi="Arial"/>
                <w:sz w:val="15"/>
                <w:szCs w:val="15"/>
                <w:color w:val="auto"/>
              </w:rPr>
              <w:t>Net interest income from guaranty book of business:</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4300" w:type="dxa"/>
            <w:vAlign w:val="bottom"/>
          </w:tcPr>
          <w:p>
            <w:pPr>
              <w:ind w:left="180"/>
              <w:spacing w:after="0"/>
              <w:rPr>
                <w:sz w:val="20"/>
                <w:szCs w:val="20"/>
                <w:color w:val="auto"/>
              </w:rPr>
            </w:pPr>
            <w:r>
              <w:rPr>
                <w:rFonts w:ascii="Arial" w:cs="Arial" w:eastAsia="Arial" w:hAnsi="Arial"/>
                <w:sz w:val="15"/>
                <w:szCs w:val="15"/>
                <w:color w:val="auto"/>
              </w:rPr>
              <w:t>Base guaranty fee income</w:t>
            </w:r>
            <w:r>
              <w:rPr>
                <w:rFonts w:ascii="Arial" w:cs="Arial" w:eastAsia="Arial" w:hAnsi="Arial"/>
                <w:sz w:val="20"/>
                <w:szCs w:val="20"/>
                <w:color w:val="auto"/>
                <w:vertAlign w:val="superscript"/>
              </w:rPr>
              <w:t>(1)</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w:t>
            </w:r>
          </w:p>
        </w:tc>
        <w:tc>
          <w:tcPr>
            <w:tcW w:w="700" w:type="dxa"/>
            <w:vAlign w:val="bottom"/>
          </w:tcPr>
          <w:p>
            <w:pPr>
              <w:jc w:val="right"/>
              <w:ind w:right="3"/>
              <w:spacing w:after="0"/>
              <w:rPr>
                <w:sz w:val="20"/>
                <w:szCs w:val="20"/>
                <w:color w:val="auto"/>
              </w:rPr>
            </w:pPr>
            <w:r>
              <w:rPr>
                <w:rFonts w:ascii="Arial" w:cs="Arial" w:eastAsia="Arial" w:hAnsi="Arial"/>
                <w:sz w:val="15"/>
                <w:szCs w:val="15"/>
                <w:b w:val="1"/>
                <w:bCs w:val="1"/>
                <w:color w:val="auto"/>
              </w:rPr>
              <w:t>4,025</w:t>
            </w:r>
          </w:p>
        </w:tc>
        <w:tc>
          <w:tcPr>
            <w:tcW w:w="4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3"/>
              <w:spacing w:after="0"/>
              <w:rPr>
                <w:sz w:val="20"/>
                <w:szCs w:val="20"/>
                <w:color w:val="auto"/>
              </w:rPr>
            </w:pPr>
            <w:r>
              <w:rPr>
                <w:rFonts w:ascii="Arial" w:cs="Arial" w:eastAsia="Arial" w:hAnsi="Arial"/>
                <w:sz w:val="15"/>
                <w:szCs w:val="15"/>
                <w:color w:val="auto"/>
              </w:rPr>
              <w:t>4,078</w:t>
            </w:r>
          </w:p>
        </w:tc>
        <w:tc>
          <w:tcPr>
            <w:tcW w:w="4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(53)</w:t>
            </w:r>
          </w:p>
        </w:tc>
        <w:tc>
          <w:tcPr>
            <w:tcW w:w="42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8,017</w:t>
            </w:r>
          </w:p>
        </w:tc>
        <w:tc>
          <w:tcPr>
            <w:tcW w:w="4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7,975</w:t>
            </w:r>
          </w:p>
        </w:tc>
        <w:tc>
          <w:tcPr>
            <w:tcW w:w="4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309"/>
        </w:trPr>
        <w:tc>
          <w:tcPr>
            <w:tcW w:w="4300" w:type="dxa"/>
            <w:vAlign w:val="bottom"/>
          </w:tcPr>
          <w:p>
            <w:pPr>
              <w:ind w:left="180"/>
              <w:spacing w:after="0"/>
              <w:rPr>
                <w:sz w:val="20"/>
                <w:szCs w:val="20"/>
                <w:color w:val="auto"/>
              </w:rPr>
            </w:pPr>
            <w:r>
              <w:rPr>
                <w:rFonts w:ascii="Arial" w:cs="Arial" w:eastAsia="Arial" w:hAnsi="Arial"/>
                <w:sz w:val="15"/>
                <w:szCs w:val="15"/>
                <w:color w:val="auto"/>
              </w:rPr>
              <w:t>Base guaranty fee income related to TCCA</w:t>
            </w:r>
            <w:r>
              <w:rPr>
                <w:rFonts w:ascii="Arial" w:cs="Arial" w:eastAsia="Arial" w:hAnsi="Arial"/>
                <w:sz w:val="20"/>
                <w:szCs w:val="20"/>
                <w:color w:val="auto"/>
                <w:vertAlign w:val="superscript"/>
              </w:rPr>
              <w:t>(2)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ind w:right="3"/>
              <w:spacing w:after="0"/>
              <w:rPr>
                <w:sz w:val="20"/>
                <w:szCs w:val="20"/>
                <w:color w:val="auto"/>
              </w:rPr>
            </w:pPr>
            <w:r>
              <w:rPr>
                <w:rFonts w:ascii="Arial" w:cs="Arial" w:eastAsia="Arial" w:hAnsi="Arial"/>
                <w:sz w:val="15"/>
                <w:szCs w:val="15"/>
                <w:b w:val="1"/>
                <w:bCs w:val="1"/>
                <w:color w:val="auto"/>
              </w:rPr>
              <w:t>856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ind w:right="3"/>
              <w:spacing w:after="0"/>
              <w:rPr>
                <w:sz w:val="20"/>
                <w:szCs w:val="20"/>
                <w:color w:val="auto"/>
              </w:rPr>
            </w:pPr>
            <w:r>
              <w:rPr>
                <w:rFonts w:ascii="Arial" w:cs="Arial" w:eastAsia="Arial" w:hAnsi="Arial"/>
                <w:sz w:val="15"/>
                <w:szCs w:val="15"/>
                <w:color w:val="auto"/>
              </w:rPr>
              <w:t>841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1,711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1,665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272"/>
        </w:trPr>
        <w:tc>
          <w:tcPr>
            <w:tcW w:w="4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Net amortization income</w:t>
            </w:r>
            <w:r>
              <w:rPr>
                <w:rFonts w:ascii="Arial" w:cs="Arial" w:eastAsia="Arial" w:hAnsi="Arial"/>
                <w:sz w:val="20"/>
                <w:szCs w:val="20"/>
                <w:color w:val="auto"/>
                <w:vertAlign w:val="superscript"/>
              </w:rPr>
              <w:t>(3)</w:t>
            </w:r>
          </w:p>
        </w:tc>
        <w:tc>
          <w:tcPr>
            <w:tcW w:w="100" w:type="dxa"/>
            <w:vAlign w:val="bottom"/>
          </w:tcPr>
          <w:p>
            <w:pPr>
              <w:spacing w:after="0"/>
              <w:rPr>
                <w:sz w:val="23"/>
                <w:szCs w:val="23"/>
                <w:color w:val="auto"/>
              </w:rPr>
            </w:pPr>
          </w:p>
        </w:tc>
        <w:tc>
          <w:tcPr>
            <w:tcW w:w="340" w:type="dxa"/>
            <w:vAlign w:val="bottom"/>
            <w:tcBorders>
              <w:bottom w:val="single" w:sz="8" w:color="2C6937"/>
            </w:tcBorders>
          </w:tcPr>
          <w:p>
            <w:pPr>
              <w:spacing w:after="0"/>
              <w:rPr>
                <w:sz w:val="23"/>
                <w:szCs w:val="23"/>
                <w:color w:val="auto"/>
              </w:rPr>
            </w:pPr>
          </w:p>
        </w:tc>
        <w:tc>
          <w:tcPr>
            <w:tcW w:w="7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888</w:t>
            </w:r>
          </w:p>
        </w:tc>
        <w:tc>
          <w:tcPr>
            <w:tcW w:w="100" w:type="dxa"/>
            <w:vAlign w:val="bottom"/>
          </w:tcPr>
          <w:p>
            <w:pPr>
              <w:spacing w:after="0"/>
              <w:rPr>
                <w:sz w:val="23"/>
                <w:szCs w:val="23"/>
                <w:color w:val="auto"/>
              </w:rPr>
            </w:pPr>
          </w:p>
        </w:tc>
        <w:tc>
          <w:tcPr>
            <w:tcW w:w="360" w:type="dxa"/>
            <w:vAlign w:val="bottom"/>
            <w:tcBorders>
              <w:bottom w:val="single" w:sz="8" w:color="2C6937"/>
            </w:tcBorders>
          </w:tcPr>
          <w:p>
            <w:pPr>
              <w:spacing w:after="0"/>
              <w:rPr>
                <w:sz w:val="23"/>
                <w:szCs w:val="23"/>
                <w:color w:val="auto"/>
              </w:rPr>
            </w:pPr>
          </w:p>
        </w:tc>
        <w:tc>
          <w:tcPr>
            <w:tcW w:w="7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2,121</w:t>
            </w:r>
          </w:p>
        </w:tc>
        <w:tc>
          <w:tcPr>
            <w:tcW w:w="100" w:type="dxa"/>
            <w:vAlign w:val="bottom"/>
          </w:tcPr>
          <w:p>
            <w:pPr>
              <w:spacing w:after="0"/>
              <w:rPr>
                <w:sz w:val="23"/>
                <w:szCs w:val="23"/>
                <w:color w:val="auto"/>
              </w:rPr>
            </w:pPr>
          </w:p>
        </w:tc>
        <w:tc>
          <w:tcPr>
            <w:tcW w:w="320" w:type="dxa"/>
            <w:vAlign w:val="bottom"/>
            <w:tcBorders>
              <w:bottom w:val="single" w:sz="8" w:color="2C6937"/>
            </w:tcBorders>
          </w:tcPr>
          <w:p>
            <w:pPr>
              <w:spacing w:after="0"/>
              <w:rPr>
                <w:sz w:val="23"/>
                <w:szCs w:val="23"/>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(1,233)</w:t>
            </w:r>
          </w:p>
        </w:tc>
        <w:tc>
          <w:tcPr>
            <w:tcW w:w="120" w:type="dxa"/>
            <w:vAlign w:val="bottom"/>
          </w:tcPr>
          <w:p>
            <w:pPr>
              <w:spacing w:after="0"/>
              <w:rPr>
                <w:sz w:val="23"/>
                <w:szCs w:val="23"/>
                <w:color w:val="auto"/>
              </w:rPr>
            </w:pPr>
          </w:p>
        </w:tc>
        <w:tc>
          <w:tcPr>
            <w:tcW w:w="300" w:type="dxa"/>
            <w:vAlign w:val="bottom"/>
            <w:tcBorders>
              <w:bottom w:val="single" w:sz="8" w:color="2C6937"/>
            </w:tcBorders>
          </w:tcPr>
          <w:p>
            <w:pPr>
              <w:spacing w:after="0"/>
              <w:rPr>
                <w:sz w:val="23"/>
                <w:szCs w:val="23"/>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1,669</w:t>
            </w:r>
          </w:p>
        </w:tc>
        <w:tc>
          <w:tcPr>
            <w:tcW w:w="100" w:type="dxa"/>
            <w:vAlign w:val="bottom"/>
          </w:tcPr>
          <w:p>
            <w:pPr>
              <w:spacing w:after="0"/>
              <w:rPr>
                <w:sz w:val="23"/>
                <w:szCs w:val="23"/>
                <w:color w:val="auto"/>
              </w:rPr>
            </w:pPr>
          </w:p>
        </w:tc>
        <w:tc>
          <w:tcPr>
            <w:tcW w:w="320" w:type="dxa"/>
            <w:vAlign w:val="bottom"/>
            <w:tcBorders>
              <w:bottom w:val="single" w:sz="8" w:color="2C6937"/>
            </w:tcBorders>
          </w:tcPr>
          <w:p>
            <w:pPr>
              <w:spacing w:after="0"/>
              <w:rPr>
                <w:sz w:val="23"/>
                <w:szCs w:val="23"/>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4,495</w:t>
            </w:r>
          </w:p>
        </w:tc>
        <w:tc>
          <w:tcPr>
            <w:tcW w:w="100" w:type="dxa"/>
            <w:vAlign w:val="bottom"/>
          </w:tcPr>
          <w:p>
            <w:pPr>
              <w:spacing w:after="0"/>
              <w:rPr>
                <w:sz w:val="23"/>
                <w:szCs w:val="23"/>
                <w:color w:val="auto"/>
              </w:rPr>
            </w:pPr>
          </w:p>
        </w:tc>
        <w:tc>
          <w:tcPr>
            <w:tcW w:w="340" w:type="dxa"/>
            <w:vAlign w:val="bottom"/>
            <w:tcBorders>
              <w:bottom w:val="single" w:sz="8" w:color="2C6937"/>
            </w:tcBorders>
          </w:tcPr>
          <w:p>
            <w:pPr>
              <w:spacing w:after="0"/>
              <w:rPr>
                <w:sz w:val="23"/>
                <w:szCs w:val="23"/>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(2,826)</w:t>
            </w:r>
          </w:p>
        </w:tc>
        <w:tc>
          <w:tcPr>
            <w:tcW w:w="0" w:type="dxa"/>
            <w:vAlign w:val="bottom"/>
          </w:tcPr>
          <w:p>
            <w:pPr>
              <w:spacing w:after="0"/>
              <w:rPr>
                <w:sz w:val="1"/>
                <w:szCs w:val="1"/>
                <w:color w:val="auto"/>
              </w:rPr>
            </w:pPr>
          </w:p>
        </w:tc>
      </w:tr>
      <w:tr>
        <w:trPr>
          <w:trHeight w:val="309"/>
        </w:trPr>
        <w:tc>
          <w:tcPr>
            <w:tcW w:w="4300" w:type="dxa"/>
            <w:vAlign w:val="bottom"/>
          </w:tcPr>
          <w:p>
            <w:pPr>
              <w:ind w:left="320"/>
              <w:spacing w:after="0"/>
              <w:rPr>
                <w:sz w:val="20"/>
                <w:szCs w:val="20"/>
                <w:color w:val="auto"/>
              </w:rPr>
            </w:pPr>
            <w:r>
              <w:rPr>
                <w:rFonts w:ascii="Arial" w:cs="Arial" w:eastAsia="Arial" w:hAnsi="Arial"/>
                <w:sz w:val="15"/>
                <w:szCs w:val="15"/>
                <w:color w:val="auto"/>
              </w:rPr>
              <w:t>Total net interest income from guaranty book of business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ind w:right="3"/>
              <w:spacing w:after="0"/>
              <w:rPr>
                <w:sz w:val="20"/>
                <w:szCs w:val="20"/>
                <w:color w:val="auto"/>
              </w:rPr>
            </w:pPr>
            <w:r>
              <w:rPr>
                <w:rFonts w:ascii="Arial" w:cs="Arial" w:eastAsia="Arial" w:hAnsi="Arial"/>
                <w:sz w:val="15"/>
                <w:szCs w:val="15"/>
                <w:b w:val="1"/>
                <w:bCs w:val="1"/>
                <w:color w:val="auto"/>
              </w:rPr>
              <w:t>5,769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ind w:right="3"/>
              <w:spacing w:after="0"/>
              <w:rPr>
                <w:sz w:val="20"/>
                <w:szCs w:val="20"/>
                <w:color w:val="auto"/>
              </w:rPr>
            </w:pPr>
            <w:r>
              <w:rPr>
                <w:rFonts w:ascii="Arial" w:cs="Arial" w:eastAsia="Arial" w:hAnsi="Arial"/>
                <w:sz w:val="15"/>
                <w:szCs w:val="15"/>
                <w:color w:val="auto"/>
              </w:rPr>
              <w:t>7,040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(1,271)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11,397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14,135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(2,738)</w:t>
            </w:r>
          </w:p>
        </w:tc>
        <w:tc>
          <w:tcPr>
            <w:tcW w:w="0" w:type="dxa"/>
            <w:vAlign w:val="bottom"/>
          </w:tcPr>
          <w:p>
            <w:pPr>
              <w:spacing w:after="0"/>
              <w:rPr>
                <w:sz w:val="1"/>
                <w:szCs w:val="1"/>
                <w:color w:val="auto"/>
              </w:rPr>
            </w:pPr>
          </w:p>
        </w:tc>
      </w:tr>
      <w:tr>
        <w:trPr>
          <w:trHeight w:val="276"/>
        </w:trPr>
        <w:tc>
          <w:tcPr>
            <w:tcW w:w="4300" w:type="dxa"/>
            <w:vAlign w:val="bottom"/>
          </w:tcPr>
          <w:p>
            <w:pPr>
              <w:ind w:left="20"/>
              <w:spacing w:after="0"/>
              <w:rPr>
                <w:sz w:val="20"/>
                <w:szCs w:val="20"/>
                <w:color w:val="auto"/>
              </w:rPr>
            </w:pPr>
            <w:r>
              <w:rPr>
                <w:rFonts w:ascii="Arial" w:cs="Arial" w:eastAsia="Arial" w:hAnsi="Arial"/>
                <w:sz w:val="15"/>
                <w:szCs w:val="15"/>
                <w:color w:val="auto"/>
              </w:rPr>
              <w:t>Net interest income from portfolios</w:t>
            </w:r>
            <w:r>
              <w:rPr>
                <w:rFonts w:ascii="Arial" w:cs="Arial" w:eastAsia="Arial" w:hAnsi="Arial"/>
                <w:sz w:val="20"/>
                <w:szCs w:val="20"/>
                <w:color w:val="auto"/>
                <w:vertAlign w:val="superscript"/>
              </w:rPr>
              <w:t>(4)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ind w:right="3"/>
              <w:spacing w:after="0"/>
              <w:rPr>
                <w:sz w:val="20"/>
                <w:szCs w:val="20"/>
                <w:color w:val="auto"/>
              </w:rPr>
            </w:pPr>
            <w:r>
              <w:rPr>
                <w:rFonts w:ascii="Arial" w:cs="Arial" w:eastAsia="Arial" w:hAnsi="Arial"/>
                <w:sz w:val="15"/>
                <w:szCs w:val="15"/>
                <w:b w:val="1"/>
                <w:bCs w:val="1"/>
                <w:color w:val="auto"/>
              </w:rPr>
              <w:t>1,568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ind w:right="3"/>
              <w:spacing w:after="0"/>
              <w:rPr>
                <w:sz w:val="20"/>
                <w:szCs w:val="20"/>
                <w:color w:val="auto"/>
              </w:rPr>
            </w:pPr>
            <w:r>
              <w:rPr>
                <w:rFonts w:ascii="Arial" w:cs="Arial" w:eastAsia="Arial" w:hAnsi="Arial"/>
                <w:sz w:val="15"/>
                <w:szCs w:val="15"/>
                <w:color w:val="auto"/>
              </w:rPr>
              <w:t>711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857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2,958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953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2,005</w:t>
            </w:r>
          </w:p>
        </w:tc>
        <w:tc>
          <w:tcPr>
            <w:tcW w:w="0" w:type="dxa"/>
            <w:vAlign w:val="bottom"/>
          </w:tcPr>
          <w:p>
            <w:pPr>
              <w:spacing w:after="0"/>
              <w:rPr>
                <w:sz w:val="1"/>
                <w:szCs w:val="1"/>
                <w:color w:val="auto"/>
              </w:rPr>
            </w:pPr>
          </w:p>
        </w:tc>
      </w:tr>
      <w:tr>
        <w:trPr>
          <w:trHeight w:val="272"/>
        </w:trPr>
        <w:tc>
          <w:tcPr>
            <w:tcW w:w="43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Income (expense) from hedge accounting</w:t>
            </w:r>
          </w:p>
        </w:tc>
        <w:tc>
          <w:tcPr>
            <w:tcW w:w="100" w:type="dxa"/>
            <w:vAlign w:val="bottom"/>
          </w:tcPr>
          <w:p>
            <w:pPr>
              <w:spacing w:after="0"/>
              <w:rPr>
                <w:sz w:val="23"/>
                <w:szCs w:val="23"/>
                <w:color w:val="auto"/>
              </w:rPr>
            </w:pPr>
          </w:p>
        </w:tc>
        <w:tc>
          <w:tcPr>
            <w:tcW w:w="340" w:type="dxa"/>
            <w:vAlign w:val="bottom"/>
            <w:tcBorders>
              <w:bottom w:val="single" w:sz="8" w:color="2C6937"/>
            </w:tcBorders>
          </w:tcPr>
          <w:p>
            <w:pPr>
              <w:spacing w:after="0"/>
              <w:rPr>
                <w:sz w:val="23"/>
                <w:szCs w:val="23"/>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(302)</w:t>
            </w:r>
          </w:p>
        </w:tc>
        <w:tc>
          <w:tcPr>
            <w:tcW w:w="100" w:type="dxa"/>
            <w:vAlign w:val="bottom"/>
          </w:tcPr>
          <w:p>
            <w:pPr>
              <w:spacing w:after="0"/>
              <w:rPr>
                <w:sz w:val="23"/>
                <w:szCs w:val="23"/>
                <w:color w:val="auto"/>
              </w:rPr>
            </w:pPr>
          </w:p>
        </w:tc>
        <w:tc>
          <w:tcPr>
            <w:tcW w:w="360" w:type="dxa"/>
            <w:vAlign w:val="bottom"/>
            <w:tcBorders>
              <w:bottom w:val="single" w:sz="8" w:color="2C6937"/>
            </w:tcBorders>
          </w:tcPr>
          <w:p>
            <w:pPr>
              <w:spacing w:after="0"/>
              <w:rPr>
                <w:sz w:val="23"/>
                <w:szCs w:val="23"/>
                <w:color w:val="auto"/>
              </w:rPr>
            </w:pPr>
          </w:p>
        </w:tc>
        <w:tc>
          <w:tcPr>
            <w:tcW w:w="7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57</w:t>
            </w:r>
          </w:p>
        </w:tc>
        <w:tc>
          <w:tcPr>
            <w:tcW w:w="100" w:type="dxa"/>
            <w:vAlign w:val="bottom"/>
          </w:tcPr>
          <w:p>
            <w:pPr>
              <w:spacing w:after="0"/>
              <w:rPr>
                <w:sz w:val="23"/>
                <w:szCs w:val="23"/>
                <w:color w:val="auto"/>
              </w:rPr>
            </w:pPr>
          </w:p>
        </w:tc>
        <w:tc>
          <w:tcPr>
            <w:tcW w:w="320" w:type="dxa"/>
            <w:vAlign w:val="bottom"/>
            <w:tcBorders>
              <w:bottom w:val="single" w:sz="8" w:color="2C6937"/>
            </w:tcBorders>
          </w:tcPr>
          <w:p>
            <w:pPr>
              <w:spacing w:after="0"/>
              <w:rPr>
                <w:sz w:val="23"/>
                <w:szCs w:val="23"/>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(359)</w:t>
            </w:r>
          </w:p>
        </w:tc>
        <w:tc>
          <w:tcPr>
            <w:tcW w:w="120" w:type="dxa"/>
            <w:vAlign w:val="bottom"/>
          </w:tcPr>
          <w:p>
            <w:pPr>
              <w:spacing w:after="0"/>
              <w:rPr>
                <w:sz w:val="23"/>
                <w:szCs w:val="23"/>
                <w:color w:val="auto"/>
              </w:rPr>
            </w:pPr>
          </w:p>
        </w:tc>
        <w:tc>
          <w:tcPr>
            <w:tcW w:w="300" w:type="dxa"/>
            <w:vAlign w:val="bottom"/>
            <w:tcBorders>
              <w:bottom w:val="single" w:sz="8" w:color="2C6937"/>
            </w:tcBorders>
          </w:tcPr>
          <w:p>
            <w:pPr>
              <w:spacing w:after="0"/>
              <w:rPr>
                <w:sz w:val="23"/>
                <w:szCs w:val="23"/>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(534)</w:t>
            </w:r>
          </w:p>
        </w:tc>
        <w:tc>
          <w:tcPr>
            <w:tcW w:w="100" w:type="dxa"/>
            <w:vAlign w:val="bottom"/>
          </w:tcPr>
          <w:p>
            <w:pPr>
              <w:spacing w:after="0"/>
              <w:rPr>
                <w:sz w:val="23"/>
                <w:szCs w:val="23"/>
                <w:color w:val="auto"/>
              </w:rPr>
            </w:pPr>
          </w:p>
        </w:tc>
        <w:tc>
          <w:tcPr>
            <w:tcW w:w="320" w:type="dxa"/>
            <w:vAlign w:val="bottom"/>
            <w:tcBorders>
              <w:bottom w:val="single" w:sz="8" w:color="2C6937"/>
            </w:tcBorders>
          </w:tcPr>
          <w:p>
            <w:pPr>
              <w:spacing w:after="0"/>
              <w:rPr>
                <w:sz w:val="23"/>
                <w:szCs w:val="23"/>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119</w:t>
            </w:r>
          </w:p>
        </w:tc>
        <w:tc>
          <w:tcPr>
            <w:tcW w:w="100" w:type="dxa"/>
            <w:vAlign w:val="bottom"/>
          </w:tcPr>
          <w:p>
            <w:pPr>
              <w:spacing w:after="0"/>
              <w:rPr>
                <w:sz w:val="23"/>
                <w:szCs w:val="23"/>
                <w:color w:val="auto"/>
              </w:rPr>
            </w:pPr>
          </w:p>
        </w:tc>
        <w:tc>
          <w:tcPr>
            <w:tcW w:w="340" w:type="dxa"/>
            <w:vAlign w:val="bottom"/>
            <w:tcBorders>
              <w:bottom w:val="single" w:sz="8" w:color="2C6937"/>
            </w:tcBorders>
          </w:tcPr>
          <w:p>
            <w:pPr>
              <w:spacing w:after="0"/>
              <w:rPr>
                <w:sz w:val="23"/>
                <w:szCs w:val="23"/>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(653)</w:t>
            </w:r>
          </w:p>
        </w:tc>
        <w:tc>
          <w:tcPr>
            <w:tcW w:w="0" w:type="dxa"/>
            <w:vAlign w:val="bottom"/>
          </w:tcPr>
          <w:p>
            <w:pPr>
              <w:spacing w:after="0"/>
              <w:rPr>
                <w:sz w:val="1"/>
                <w:szCs w:val="1"/>
                <w:color w:val="auto"/>
              </w:rPr>
            </w:pPr>
          </w:p>
        </w:tc>
      </w:tr>
      <w:tr>
        <w:trPr>
          <w:trHeight w:val="277"/>
        </w:trPr>
        <w:tc>
          <w:tcPr>
            <w:tcW w:w="4300" w:type="dxa"/>
            <w:vAlign w:val="bottom"/>
          </w:tcPr>
          <w:p>
            <w:pPr>
              <w:ind w:left="20"/>
              <w:spacing w:after="0"/>
              <w:rPr>
                <w:sz w:val="20"/>
                <w:szCs w:val="20"/>
                <w:color w:val="auto"/>
              </w:rPr>
            </w:pPr>
            <w:r>
              <w:rPr>
                <w:rFonts w:ascii="Arial" w:cs="Arial" w:eastAsia="Arial" w:hAnsi="Arial"/>
                <w:sz w:val="15"/>
                <w:szCs w:val="15"/>
                <w:color w:val="auto"/>
              </w:rPr>
              <w:t>Total net interest income</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w:t>
            </w:r>
          </w:p>
        </w:tc>
        <w:tc>
          <w:tcPr>
            <w:tcW w:w="700" w:type="dxa"/>
            <w:vAlign w:val="bottom"/>
          </w:tcPr>
          <w:p>
            <w:pPr>
              <w:jc w:val="right"/>
              <w:ind w:right="3"/>
              <w:spacing w:after="0"/>
              <w:rPr>
                <w:sz w:val="20"/>
                <w:szCs w:val="20"/>
                <w:color w:val="auto"/>
              </w:rPr>
            </w:pPr>
            <w:r>
              <w:rPr>
                <w:rFonts w:ascii="Arial" w:cs="Arial" w:eastAsia="Arial" w:hAnsi="Arial"/>
                <w:sz w:val="15"/>
                <w:szCs w:val="15"/>
                <w:b w:val="1"/>
                <w:bCs w:val="1"/>
                <w:color w:val="auto"/>
              </w:rPr>
              <w:t>7,035</w:t>
            </w:r>
          </w:p>
        </w:tc>
        <w:tc>
          <w:tcPr>
            <w:tcW w:w="4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3"/>
              <w:spacing w:after="0"/>
              <w:rPr>
                <w:sz w:val="20"/>
                <w:szCs w:val="20"/>
                <w:color w:val="auto"/>
              </w:rPr>
            </w:pPr>
            <w:r>
              <w:rPr>
                <w:rFonts w:ascii="Arial" w:cs="Arial" w:eastAsia="Arial" w:hAnsi="Arial"/>
                <w:sz w:val="15"/>
                <w:szCs w:val="15"/>
                <w:color w:val="auto"/>
              </w:rPr>
              <w:t>7,808</w:t>
            </w:r>
          </w:p>
        </w:tc>
        <w:tc>
          <w:tcPr>
            <w:tcW w:w="4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(773)</w:t>
            </w:r>
          </w:p>
        </w:tc>
        <w:tc>
          <w:tcPr>
            <w:tcW w:w="42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13,821</w:t>
            </w:r>
          </w:p>
        </w:tc>
        <w:tc>
          <w:tcPr>
            <w:tcW w:w="4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15,207</w:t>
            </w:r>
          </w:p>
        </w:tc>
        <w:tc>
          <w:tcPr>
            <w:tcW w:w="4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(1,386)</w:t>
            </w:r>
          </w:p>
        </w:tc>
        <w:tc>
          <w:tcPr>
            <w:tcW w:w="0" w:type="dxa"/>
            <w:vAlign w:val="bottom"/>
          </w:tcPr>
          <w:p>
            <w:pPr>
              <w:spacing w:after="0"/>
              <w:rPr>
                <w:sz w:val="1"/>
                <w:szCs w:val="1"/>
                <w:color w:val="auto"/>
              </w:rPr>
            </w:pPr>
          </w:p>
        </w:tc>
      </w:tr>
      <w:tr>
        <w:trPr>
          <w:trHeight w:val="20"/>
        </w:trPr>
        <w:tc>
          <w:tcPr>
            <w:tcW w:w="43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4300" w:type="dxa"/>
            <w:vAlign w:val="bottom"/>
          </w:tcPr>
          <w:p>
            <w:pPr>
              <w:ind w:left="20"/>
              <w:spacing w:after="0"/>
              <w:rPr>
                <w:sz w:val="20"/>
                <w:szCs w:val="20"/>
                <w:color w:val="auto"/>
              </w:rPr>
            </w:pPr>
            <w:r>
              <w:rPr>
                <w:rFonts w:ascii="Arial" w:cs="Arial" w:eastAsia="Arial" w:hAnsi="Arial"/>
                <w:sz w:val="15"/>
                <w:szCs w:val="15"/>
                <w:color w:val="auto"/>
              </w:rPr>
              <w:t>Income (expense) from hedge accounting included in net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300" w:type="dxa"/>
            <w:vAlign w:val="bottom"/>
          </w:tcPr>
          <w:p>
            <w:pPr>
              <w:ind w:left="180"/>
              <w:spacing w:after="0"/>
              <w:rPr>
                <w:sz w:val="20"/>
                <w:szCs w:val="20"/>
                <w:color w:val="auto"/>
              </w:rPr>
            </w:pPr>
            <w:r>
              <w:rPr>
                <w:rFonts w:ascii="Arial" w:cs="Arial" w:eastAsia="Arial" w:hAnsi="Arial"/>
                <w:sz w:val="15"/>
                <w:szCs w:val="15"/>
                <w:color w:val="auto"/>
              </w:rPr>
              <w:t>interest income:</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180"/>
              <w:spacing w:after="0"/>
              <w:rPr>
                <w:sz w:val="20"/>
                <w:szCs w:val="20"/>
                <w:color w:val="auto"/>
              </w:rPr>
            </w:pPr>
            <w:r>
              <w:rPr>
                <w:rFonts w:ascii="Arial" w:cs="Arial" w:eastAsia="Arial" w:hAnsi="Arial"/>
                <w:sz w:val="15"/>
                <w:szCs w:val="15"/>
                <w:color w:val="auto"/>
              </w:rPr>
              <w:t>Fair value losses on designated risk management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300" w:type="dxa"/>
            <w:vAlign w:val="bottom"/>
          </w:tcPr>
          <w:p>
            <w:pPr>
              <w:ind w:left="320"/>
              <w:spacing w:after="0"/>
              <w:rPr>
                <w:sz w:val="20"/>
                <w:szCs w:val="20"/>
                <w:color w:val="auto"/>
              </w:rPr>
            </w:pPr>
            <w:r>
              <w:rPr>
                <w:rFonts w:ascii="Arial" w:cs="Arial" w:eastAsia="Arial" w:hAnsi="Arial"/>
                <w:sz w:val="15"/>
                <w:szCs w:val="15"/>
                <w:color w:val="auto"/>
              </w:rPr>
              <w:t>derivatives in fair value hedges</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w:t>
            </w: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(371)</w:t>
            </w:r>
          </w:p>
        </w:tc>
        <w:tc>
          <w:tcPr>
            <w:tcW w:w="4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(231)</w:t>
            </w:r>
          </w:p>
        </w:tc>
        <w:tc>
          <w:tcPr>
            <w:tcW w:w="4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(140)</w:t>
            </w:r>
          </w:p>
        </w:tc>
        <w:tc>
          <w:tcPr>
            <w:tcW w:w="42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(153)</w:t>
            </w:r>
          </w:p>
        </w:tc>
        <w:tc>
          <w:tcPr>
            <w:tcW w:w="4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(1,528)</w:t>
            </w:r>
          </w:p>
        </w:tc>
        <w:tc>
          <w:tcPr>
            <w:tcW w:w="4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1,375</w:t>
            </w:r>
          </w:p>
        </w:tc>
        <w:tc>
          <w:tcPr>
            <w:tcW w:w="0" w:type="dxa"/>
            <w:vAlign w:val="bottom"/>
          </w:tcPr>
          <w:p>
            <w:pPr>
              <w:spacing w:after="0"/>
              <w:rPr>
                <w:sz w:val="1"/>
                <w:szCs w:val="1"/>
                <w:color w:val="auto"/>
              </w:rPr>
            </w:pPr>
          </w:p>
        </w:tc>
      </w:tr>
      <w:tr>
        <w:trPr>
          <w:trHeight w:val="192"/>
        </w:trPr>
        <w:tc>
          <w:tcPr>
            <w:tcW w:w="4300" w:type="dxa"/>
            <w:vAlign w:val="bottom"/>
          </w:tcPr>
          <w:p>
            <w:pPr>
              <w:ind w:left="180"/>
              <w:spacing w:after="0"/>
              <w:rPr>
                <w:sz w:val="20"/>
                <w:szCs w:val="20"/>
                <w:color w:val="auto"/>
              </w:rPr>
            </w:pPr>
            <w:r>
              <w:rPr>
                <w:rFonts w:ascii="Arial" w:cs="Arial" w:eastAsia="Arial" w:hAnsi="Arial"/>
                <w:sz w:val="15"/>
                <w:szCs w:val="15"/>
                <w:color w:val="auto"/>
              </w:rPr>
              <w:t>Fair value gains on hedged mortgage loans held for</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4300" w:type="dxa"/>
            <w:vAlign w:val="bottom"/>
          </w:tcPr>
          <w:p>
            <w:pPr>
              <w:ind w:left="320"/>
              <w:spacing w:after="0"/>
              <w:rPr>
                <w:sz w:val="20"/>
                <w:szCs w:val="20"/>
                <w:color w:val="auto"/>
              </w:rPr>
            </w:pPr>
            <w:r>
              <w:rPr>
                <w:rFonts w:ascii="Arial" w:cs="Arial" w:eastAsia="Arial" w:hAnsi="Arial"/>
                <w:sz w:val="15"/>
                <w:szCs w:val="15"/>
                <w:color w:val="auto"/>
              </w:rPr>
              <w:t>investment and debt of Fannie Mae</w:t>
            </w:r>
            <w:r>
              <w:rPr>
                <w:rFonts w:ascii="Arial" w:cs="Arial" w:eastAsia="Arial" w:hAnsi="Arial"/>
                <w:sz w:val="20"/>
                <w:szCs w:val="20"/>
                <w:color w:val="auto"/>
                <w:vertAlign w:val="superscript"/>
              </w:rPr>
              <w:t>(5)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jc w:val="right"/>
              <w:ind w:right="3"/>
              <w:spacing w:after="0"/>
              <w:rPr>
                <w:sz w:val="20"/>
                <w:szCs w:val="20"/>
                <w:color w:val="auto"/>
              </w:rPr>
            </w:pPr>
            <w:r>
              <w:rPr>
                <w:rFonts w:ascii="Arial" w:cs="Arial" w:eastAsia="Arial" w:hAnsi="Arial"/>
                <w:sz w:val="15"/>
                <w:szCs w:val="15"/>
                <w:b w:val="1"/>
                <w:bCs w:val="1"/>
                <w:color w:val="auto"/>
              </w:rPr>
              <w:t>525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ind w:right="3"/>
              <w:spacing w:after="0"/>
              <w:rPr>
                <w:sz w:val="20"/>
                <w:szCs w:val="20"/>
                <w:color w:val="auto"/>
              </w:rPr>
            </w:pPr>
            <w:r>
              <w:rPr>
                <w:rFonts w:ascii="Arial" w:cs="Arial" w:eastAsia="Arial" w:hAnsi="Arial"/>
                <w:sz w:val="15"/>
                <w:szCs w:val="15"/>
                <w:color w:val="auto"/>
              </w:rPr>
              <w:t>404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463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1,789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(1,326)</w:t>
            </w:r>
          </w:p>
        </w:tc>
        <w:tc>
          <w:tcPr>
            <w:tcW w:w="0" w:type="dxa"/>
            <w:vAlign w:val="bottom"/>
          </w:tcPr>
          <w:p>
            <w:pPr>
              <w:spacing w:after="0"/>
              <w:rPr>
                <w:sz w:val="1"/>
                <w:szCs w:val="1"/>
                <w:color w:val="auto"/>
              </w:rPr>
            </w:pPr>
          </w:p>
        </w:tc>
      </w:tr>
      <w:tr>
        <w:trPr>
          <w:trHeight w:val="238"/>
        </w:trPr>
        <w:tc>
          <w:tcPr>
            <w:tcW w:w="4300" w:type="dxa"/>
            <w:vAlign w:val="bottom"/>
          </w:tcPr>
          <w:p>
            <w:pPr>
              <w:ind w:left="180"/>
              <w:spacing w:after="0"/>
              <w:rPr>
                <w:sz w:val="20"/>
                <w:szCs w:val="20"/>
                <w:color w:val="auto"/>
              </w:rPr>
            </w:pPr>
            <w:r>
              <w:rPr>
                <w:rFonts w:ascii="Arial" w:cs="Arial" w:eastAsia="Arial" w:hAnsi="Arial"/>
                <w:sz w:val="15"/>
                <w:szCs w:val="15"/>
                <w:color w:val="auto"/>
              </w:rPr>
              <w:t>Contractual interest income (expense) accruals related to</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300" w:type="dxa"/>
            <w:vAlign w:val="bottom"/>
          </w:tcPr>
          <w:p>
            <w:pPr>
              <w:ind w:left="320"/>
              <w:spacing w:after="0"/>
              <w:rPr>
                <w:sz w:val="20"/>
                <w:szCs w:val="20"/>
                <w:color w:val="auto"/>
              </w:rPr>
            </w:pPr>
            <w:r>
              <w:rPr>
                <w:rFonts w:ascii="Arial" w:cs="Arial" w:eastAsia="Arial" w:hAnsi="Arial"/>
                <w:sz w:val="15"/>
                <w:szCs w:val="15"/>
                <w:color w:val="auto"/>
              </w:rPr>
              <w:t>interest-rate swaps designated as hedging instruments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(266)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(469)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(506)</w:t>
            </w:r>
          </w:p>
        </w:tc>
        <w:tc>
          <w:tcPr>
            <w:tcW w:w="0" w:type="dxa"/>
            <w:vAlign w:val="bottom"/>
          </w:tcPr>
          <w:p>
            <w:pPr>
              <w:spacing w:after="0"/>
              <w:rPr>
                <w:sz w:val="1"/>
                <w:szCs w:val="1"/>
                <w:color w:val="auto"/>
              </w:rPr>
            </w:pPr>
          </w:p>
        </w:tc>
      </w:tr>
      <w:tr>
        <w:trPr>
          <w:trHeight w:val="239"/>
        </w:trPr>
        <w:tc>
          <w:tcPr>
            <w:tcW w:w="4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Discontinued hedge-related basis adjustment amortization</w:t>
            </w:r>
          </w:p>
        </w:tc>
        <w:tc>
          <w:tcPr>
            <w:tcW w:w="100" w:type="dxa"/>
            <w:vAlign w:val="bottom"/>
          </w:tcPr>
          <w:p>
            <w:pPr>
              <w:spacing w:after="0"/>
              <w:rPr>
                <w:sz w:val="20"/>
                <w:szCs w:val="20"/>
                <w:color w:val="auto"/>
              </w:rPr>
            </w:pPr>
          </w:p>
        </w:tc>
        <w:tc>
          <w:tcPr>
            <w:tcW w:w="340" w:type="dxa"/>
            <w:vAlign w:val="bottom"/>
            <w:tcBorders>
              <w:bottom w:val="single" w:sz="8" w:color="2C6937"/>
            </w:tcBorders>
          </w:tcPr>
          <w:p>
            <w:pPr>
              <w:spacing w:after="0"/>
              <w:rPr>
                <w:sz w:val="20"/>
                <w:szCs w:val="20"/>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(190)</w:t>
            </w:r>
          </w:p>
        </w:tc>
        <w:tc>
          <w:tcPr>
            <w:tcW w:w="100" w:type="dxa"/>
            <w:vAlign w:val="bottom"/>
          </w:tcPr>
          <w:p>
            <w:pPr>
              <w:spacing w:after="0"/>
              <w:rPr>
                <w:sz w:val="20"/>
                <w:szCs w:val="20"/>
                <w:color w:val="auto"/>
              </w:rPr>
            </w:pPr>
          </w:p>
        </w:tc>
        <w:tc>
          <w:tcPr>
            <w:tcW w:w="360" w:type="dxa"/>
            <w:vAlign w:val="bottom"/>
            <w:tcBorders>
              <w:bottom w:val="single" w:sz="8" w:color="2C6937"/>
            </w:tcBorders>
          </w:tcPr>
          <w:p>
            <w:pPr>
              <w:spacing w:after="0"/>
              <w:rPr>
                <w:sz w:val="20"/>
                <w:szCs w:val="20"/>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(114)</w:t>
            </w:r>
          </w:p>
        </w:tc>
        <w:tc>
          <w:tcPr>
            <w:tcW w:w="100" w:type="dxa"/>
            <w:vAlign w:val="bottom"/>
          </w:tcPr>
          <w:p>
            <w:pPr>
              <w:spacing w:after="0"/>
              <w:rPr>
                <w:sz w:val="20"/>
                <w:szCs w:val="20"/>
                <w:color w:val="auto"/>
              </w:rPr>
            </w:pPr>
          </w:p>
        </w:tc>
        <w:tc>
          <w:tcPr>
            <w:tcW w:w="320" w:type="dxa"/>
            <w:vAlign w:val="bottom"/>
            <w:tcBorders>
              <w:bottom w:val="single" w:sz="8" w:color="2C6937"/>
            </w:tcBorders>
          </w:tcPr>
          <w:p>
            <w:pPr>
              <w:spacing w:after="0"/>
              <w:rPr>
                <w:sz w:val="20"/>
                <w:szCs w:val="20"/>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(76)</w:t>
            </w:r>
          </w:p>
        </w:tc>
        <w:tc>
          <w:tcPr>
            <w:tcW w:w="12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(375)</w:t>
            </w:r>
          </w:p>
        </w:tc>
        <w:tc>
          <w:tcPr>
            <w:tcW w:w="100" w:type="dxa"/>
            <w:vAlign w:val="bottom"/>
          </w:tcPr>
          <w:p>
            <w:pPr>
              <w:spacing w:after="0"/>
              <w:rPr>
                <w:sz w:val="20"/>
                <w:szCs w:val="20"/>
                <w:color w:val="auto"/>
              </w:rPr>
            </w:pPr>
          </w:p>
        </w:tc>
        <w:tc>
          <w:tcPr>
            <w:tcW w:w="320" w:type="dxa"/>
            <w:vAlign w:val="bottom"/>
            <w:tcBorders>
              <w:bottom w:val="single" w:sz="8" w:color="2C6937"/>
            </w:tcBorders>
          </w:tcPr>
          <w:p>
            <w:pPr>
              <w:spacing w:after="0"/>
              <w:rPr>
                <w:sz w:val="20"/>
                <w:szCs w:val="20"/>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(179)</w:t>
            </w:r>
          </w:p>
        </w:tc>
        <w:tc>
          <w:tcPr>
            <w:tcW w:w="100" w:type="dxa"/>
            <w:vAlign w:val="bottom"/>
          </w:tcPr>
          <w:p>
            <w:pPr>
              <w:spacing w:after="0"/>
              <w:rPr>
                <w:sz w:val="20"/>
                <w:szCs w:val="20"/>
                <w:color w:val="auto"/>
              </w:rPr>
            </w:pPr>
          </w:p>
        </w:tc>
        <w:tc>
          <w:tcPr>
            <w:tcW w:w="340" w:type="dxa"/>
            <w:vAlign w:val="bottom"/>
            <w:tcBorders>
              <w:bottom w:val="single" w:sz="8" w:color="2C6937"/>
            </w:tcBorders>
          </w:tcPr>
          <w:p>
            <w:pPr>
              <w:spacing w:after="0"/>
              <w:rPr>
                <w:sz w:val="20"/>
                <w:szCs w:val="20"/>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(196)</w:t>
            </w:r>
          </w:p>
        </w:tc>
        <w:tc>
          <w:tcPr>
            <w:tcW w:w="0" w:type="dxa"/>
            <w:vAlign w:val="bottom"/>
          </w:tcPr>
          <w:p>
            <w:pPr>
              <w:spacing w:after="0"/>
              <w:rPr>
                <w:sz w:val="1"/>
                <w:szCs w:val="1"/>
                <w:color w:val="auto"/>
              </w:rPr>
            </w:pPr>
          </w:p>
        </w:tc>
      </w:tr>
      <w:tr>
        <w:trPr>
          <w:trHeight w:val="152"/>
        </w:trPr>
        <w:tc>
          <w:tcPr>
            <w:tcW w:w="4300" w:type="dxa"/>
            <w:vAlign w:val="bottom"/>
          </w:tcPr>
          <w:p>
            <w:pPr>
              <w:ind w:left="20"/>
              <w:spacing w:after="0" w:line="152" w:lineRule="exact"/>
              <w:rPr>
                <w:sz w:val="20"/>
                <w:szCs w:val="20"/>
                <w:color w:val="auto"/>
              </w:rPr>
            </w:pPr>
            <w:r>
              <w:rPr>
                <w:rFonts w:ascii="Arial" w:cs="Arial" w:eastAsia="Arial" w:hAnsi="Arial"/>
                <w:sz w:val="15"/>
                <w:szCs w:val="15"/>
                <w:color w:val="auto"/>
              </w:rPr>
              <w:t>Total income (expense) from hedge accounting in net interest</w:t>
            </w:r>
          </w:p>
        </w:tc>
        <w:tc>
          <w:tcPr>
            <w:tcW w:w="440" w:type="dxa"/>
            <w:vAlign w:val="bottom"/>
            <w:gridSpan w:val="2"/>
            <w:vMerge w:val="restart"/>
          </w:tcPr>
          <w:p>
            <w:pPr>
              <w:jc w:val="right"/>
              <w:ind w:right="240"/>
              <w:spacing w:after="0"/>
              <w:rPr>
                <w:sz w:val="20"/>
                <w:szCs w:val="20"/>
                <w:color w:val="auto"/>
              </w:rPr>
            </w:pPr>
            <w:r>
              <w:rPr>
                <w:rFonts w:ascii="Arial" w:cs="Arial" w:eastAsia="Arial" w:hAnsi="Arial"/>
                <w:sz w:val="15"/>
                <w:szCs w:val="15"/>
                <w:b w:val="1"/>
                <w:bCs w:val="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(302)</w:t>
            </w:r>
          </w:p>
        </w:tc>
        <w:tc>
          <w:tcPr>
            <w:tcW w:w="46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w:t>
            </w:r>
          </w:p>
        </w:tc>
        <w:tc>
          <w:tcPr>
            <w:tcW w:w="700" w:type="dxa"/>
            <w:vAlign w:val="bottom"/>
            <w:vMerge w:val="restart"/>
          </w:tcPr>
          <w:p>
            <w:pPr>
              <w:jc w:val="right"/>
              <w:ind w:right="3"/>
              <w:spacing w:after="0"/>
              <w:rPr>
                <w:sz w:val="20"/>
                <w:szCs w:val="20"/>
                <w:color w:val="auto"/>
              </w:rPr>
            </w:pPr>
            <w:r>
              <w:rPr>
                <w:rFonts w:ascii="Arial" w:cs="Arial" w:eastAsia="Arial" w:hAnsi="Arial"/>
                <w:sz w:val="15"/>
                <w:szCs w:val="15"/>
                <w:color w:val="auto"/>
              </w:rPr>
              <w:t>57</w:t>
            </w:r>
          </w:p>
        </w:tc>
        <w:tc>
          <w:tcPr>
            <w:tcW w:w="42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(359)</w:t>
            </w:r>
          </w:p>
        </w:tc>
        <w:tc>
          <w:tcPr>
            <w:tcW w:w="42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(534)</w:t>
            </w:r>
          </w:p>
        </w:tc>
        <w:tc>
          <w:tcPr>
            <w:tcW w:w="42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119</w:t>
            </w: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(653)</w:t>
            </w:r>
          </w:p>
        </w:tc>
        <w:tc>
          <w:tcPr>
            <w:tcW w:w="0" w:type="dxa"/>
            <w:vAlign w:val="bottom"/>
          </w:tcPr>
          <w:p>
            <w:pPr>
              <w:spacing w:after="0"/>
              <w:rPr>
                <w:sz w:val="1"/>
                <w:szCs w:val="1"/>
                <w:color w:val="auto"/>
              </w:rPr>
            </w:pPr>
          </w:p>
        </w:tc>
      </w:tr>
      <w:tr>
        <w:trPr>
          <w:trHeight w:val="202"/>
        </w:trPr>
        <w:tc>
          <w:tcPr>
            <w:tcW w:w="4300" w:type="dxa"/>
            <w:vAlign w:val="bottom"/>
          </w:tcPr>
          <w:p>
            <w:pPr>
              <w:ind w:left="180"/>
              <w:spacing w:after="0"/>
              <w:rPr>
                <w:sz w:val="20"/>
                <w:szCs w:val="20"/>
                <w:color w:val="auto"/>
              </w:rPr>
            </w:pPr>
            <w:r>
              <w:rPr>
                <w:rFonts w:ascii="Arial" w:cs="Arial" w:eastAsia="Arial" w:hAnsi="Arial"/>
                <w:sz w:val="15"/>
                <w:szCs w:val="15"/>
                <w:color w:val="auto"/>
              </w:rPr>
              <w:t>income</w:t>
            </w:r>
          </w:p>
        </w:tc>
        <w:tc>
          <w:tcPr>
            <w:tcW w:w="440" w:type="dxa"/>
            <w:vAlign w:val="bottom"/>
            <w:gridSpan w:val="2"/>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left="240" w:right="200" w:hanging="237"/>
        <w:spacing w:after="0" w:line="269" w:lineRule="auto"/>
        <w:tabs>
          <w:tab w:leader="none" w:pos="240" w:val="left"/>
        </w:tabs>
        <w:numPr>
          <w:ilvl w:val="0"/>
          <w:numId w:val="18"/>
        </w:numPr>
        <w:rPr>
          <w:rFonts w:ascii="Arial" w:cs="Arial" w:eastAsia="Arial" w:hAnsi="Arial"/>
          <w:sz w:val="9"/>
          <w:szCs w:val="9"/>
          <w:color w:val="auto"/>
        </w:rPr>
      </w:pPr>
      <w:r>
        <w:rPr>
          <w:rFonts w:ascii="Arial" w:cs="Arial" w:eastAsia="Arial" w:hAnsi="Arial"/>
          <w:sz w:val="14"/>
          <w:szCs w:val="14"/>
          <w:color w:val="auto"/>
        </w:rPr>
        <w:t>Excludes revenues generated by the 10 basis point guaranty fee increase we implemented pursuant to the TCCA, the incremental revenue from which is remitted to Treasury and not retained by us.</w:t>
      </w:r>
    </w:p>
    <w:p>
      <w:pPr>
        <w:spacing w:after="0" w:line="12" w:lineRule="exact"/>
        <w:rPr>
          <w:rFonts w:ascii="Arial" w:cs="Arial" w:eastAsia="Arial" w:hAnsi="Arial"/>
          <w:sz w:val="9"/>
          <w:szCs w:val="9"/>
          <w:color w:val="auto"/>
        </w:rPr>
      </w:pPr>
    </w:p>
    <w:p>
      <w:pPr>
        <w:ind w:left="240" w:right="60" w:hanging="237"/>
        <w:spacing w:after="0" w:line="223" w:lineRule="auto"/>
        <w:tabs>
          <w:tab w:leader="none" w:pos="24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Represents revenues generated by the 10 basis point guaranty fee increase we implemented pursuant to the TCCA, the incremental revenue from which is remitted to Treasury and not retained by us.</w:t>
      </w:r>
    </w:p>
    <w:p>
      <w:pPr>
        <w:spacing w:after="0" w:line="31" w:lineRule="exact"/>
        <w:rPr>
          <w:rFonts w:ascii="Arial" w:cs="Arial" w:eastAsia="Arial" w:hAnsi="Arial"/>
          <w:sz w:val="18"/>
          <w:szCs w:val="18"/>
          <w:color w:val="auto"/>
          <w:vertAlign w:val="superscript"/>
        </w:rPr>
      </w:pPr>
    </w:p>
    <w:p>
      <w:pPr>
        <w:ind w:left="240" w:right="140" w:hanging="237"/>
        <w:spacing w:after="0" w:line="225" w:lineRule="auto"/>
        <w:tabs>
          <w:tab w:leader="none" w:pos="24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Net amortization income refers primarily to the amortization of premiums and discounts on mortgage loans and debt of consolidated trusts. These cost basis adjustments represent the difference between the initial fair value and the carrying value of these instruments as well as upfront fees we receive at the time of loan acquisition. It does not include the amortization of cost basis adjustments resulting from hedge accounting, which is included in income (expense) from hedge accounting.</w:t>
      </w:r>
    </w:p>
    <w:p>
      <w:pPr>
        <w:spacing w:after="0" w:line="32" w:lineRule="exact"/>
        <w:rPr>
          <w:rFonts w:ascii="Arial" w:cs="Arial" w:eastAsia="Arial" w:hAnsi="Arial"/>
          <w:sz w:val="18"/>
          <w:szCs w:val="18"/>
          <w:color w:val="auto"/>
          <w:vertAlign w:val="superscript"/>
        </w:rPr>
      </w:pPr>
    </w:p>
    <w:p>
      <w:pPr>
        <w:ind w:left="240" w:right="20" w:hanging="237"/>
        <w:spacing w:after="0" w:line="223" w:lineRule="auto"/>
        <w:tabs>
          <w:tab w:leader="none" w:pos="24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Includes interest income from assets held in our retained mortgage portfolio and our other investments portfolio, as well as other assets used to support lender liquidity. Also includes interest expense associated with the debt that funds those assets and our outstanding Connecticut Avenue Securities debt.</w:t>
      </w:r>
    </w:p>
    <w:p>
      <w:pPr>
        <w:spacing w:after="0" w:line="31" w:lineRule="exact"/>
        <w:rPr>
          <w:rFonts w:ascii="Arial" w:cs="Arial" w:eastAsia="Arial" w:hAnsi="Arial"/>
          <w:sz w:val="18"/>
          <w:szCs w:val="18"/>
          <w:color w:val="auto"/>
          <w:vertAlign w:val="superscript"/>
        </w:rPr>
      </w:pPr>
    </w:p>
    <w:p>
      <w:pPr>
        <w:ind w:left="240" w:right="260" w:hanging="237"/>
        <w:spacing w:after="0" w:line="214" w:lineRule="auto"/>
        <w:tabs>
          <w:tab w:leader="none" w:pos="24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Amounts are recorded as cost basis adjustments on the hedged loans or debt and amortized over the hedged item’s remaining contractual life beginning at the termination of the hedging relationship. See “Note 8, Derivative Instruments” for additional information on the effect of our fair value hedge accounting program and related disclosures.</w:t>
      </w:r>
    </w:p>
    <w:p>
      <w:pPr>
        <w:spacing w:after="0" w:line="59"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auto"/>
        </w:rPr>
        <w:t>Net interest income decreased in the second quarter and first half of 2023 compared with the second quarter and first half of 2022, primarily as a result of lower net amortization income partially offset by higher income from portfolios.</w:t>
      </w:r>
    </w:p>
    <w:p>
      <w:pPr>
        <w:spacing w:after="0" w:line="39" w:lineRule="exact"/>
        <w:rPr>
          <w:sz w:val="20"/>
          <w:szCs w:val="20"/>
          <w:color w:val="auto"/>
        </w:rPr>
      </w:pPr>
    </w:p>
    <w:p>
      <w:pPr>
        <w:jc w:val="both"/>
        <w:ind w:left="620" w:right="100" w:hanging="307"/>
        <w:spacing w:after="0" w:line="270" w:lineRule="auto"/>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Lower net amortization income. </w:t>
      </w:r>
      <w:r>
        <w:rPr>
          <w:rFonts w:ascii="Arial" w:cs="Arial" w:eastAsia="Arial" w:hAnsi="Arial"/>
          <w:sz w:val="16"/>
          <w:szCs w:val="16"/>
          <w:color w:val="auto"/>
        </w:rPr>
        <w:t>Throughout the second quarter and first half of 2023, we were in a higher interest-rate environment and observed</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significantly lower volumes of refinancing activity compared with the second quarter and first half 2022, which drove fewer loan prepayments. As a result, we had lower amortization income in the second quarter and first half of 2023 compared with the second quarter and first half of 2022.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11</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4" w:name="page15"/>
    <w:bookmarkEnd w:id="14"/>
    <w:p>
      <w:pPr>
        <w:ind w:left="846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20" w:right="20" w:hanging="307"/>
        <w:spacing w:after="0" w:line="265" w:lineRule="auto"/>
        <w:tabs>
          <w:tab w:leader="none" w:pos="62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Higher income from portfolios. </w:t>
      </w:r>
      <w:r>
        <w:rPr>
          <w:rFonts w:ascii="Arial" w:cs="Arial" w:eastAsia="Arial" w:hAnsi="Arial"/>
          <w:sz w:val="16"/>
          <w:szCs w:val="16"/>
          <w:color w:val="auto"/>
        </w:rPr>
        <w:t>Higher income from portfolios in the second quarter and first half of 2023 compared with the second quarter and first</w:t>
      </w:r>
      <w:r>
        <w:rPr>
          <w:rFonts w:ascii="Arial" w:cs="Arial" w:eastAsia="Arial" w:hAnsi="Arial"/>
          <w:sz w:val="16"/>
          <w:szCs w:val="16"/>
          <w:i w:val="1"/>
          <w:iCs w:val="1"/>
          <w:color w:val="auto"/>
        </w:rPr>
        <w:t xml:space="preserve"> </w:t>
      </w:r>
      <w:r>
        <w:rPr>
          <w:rFonts w:ascii="Arial" w:cs="Arial" w:eastAsia="Arial" w:hAnsi="Arial"/>
          <w:sz w:val="16"/>
          <w:szCs w:val="16"/>
          <w:color w:val="auto"/>
        </w:rPr>
        <w:t>half of 2022 was primarily driven by higher interest rates in the first half of 2023 than in the first half of 2022 on securities in our other investments portfolio, primarily U.S. Treasuries and securities purchased under agreements to resell. This was partially offset by higher interest expense on funding debt, also as a result of higher interest rates. See “Liquidity and Capital Management—Liquidity Management—Other Investments Portfolio” for more information about our other investments portfolio.</w:t>
      </w:r>
    </w:p>
    <w:p>
      <w:pPr>
        <w:spacing w:after="0" w:line="45"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color w:val="auto"/>
        </w:rPr>
        <w:t>We expect significantly lower amortization income in 2023 compared with 2022, driven by our expectation that refinancing activity will remain low, as we expect most single-family loans in our guaranty book of business will continue to have interest rates significantly lower than current market rates. However, we expect the decline in our amortization income in 2023 to be partially offset by higher interest income on our other investments portfolio.</w:t>
      </w:r>
    </w:p>
    <w:p>
      <w:pPr>
        <w:spacing w:after="0" w:line="56" w:lineRule="exact"/>
        <w:rPr>
          <w:sz w:val="20"/>
          <w:szCs w:val="20"/>
          <w:color w:val="auto"/>
        </w:rPr>
      </w:pPr>
    </w:p>
    <w:p>
      <w:pPr>
        <w:ind w:right="140"/>
        <w:spacing w:after="0" w:line="224" w:lineRule="auto"/>
        <w:rPr>
          <w:sz w:val="20"/>
          <w:szCs w:val="20"/>
          <w:color w:val="auto"/>
        </w:rPr>
      </w:pPr>
      <w:r>
        <w:rPr>
          <w:rFonts w:ascii="Arial" w:cs="Arial" w:eastAsia="Arial" w:hAnsi="Arial"/>
          <w:sz w:val="16"/>
          <w:szCs w:val="16"/>
          <w:color w:val="auto"/>
        </w:rPr>
        <w:t>As of June 29, 2023, the U.S. weekly average interest rate for a single-family 30-year fixed-rate mortgage was 6.71%, according to Freddie Mac’s Primary Mortgage Market Survey</w:t>
      </w:r>
      <w:r>
        <w:rPr>
          <w:rFonts w:ascii="Arial" w:cs="Arial" w:eastAsia="Arial" w:hAnsi="Arial"/>
          <w:sz w:val="21"/>
          <w:szCs w:val="21"/>
          <w:color w:val="auto"/>
          <w:vertAlign w:val="superscript"/>
        </w:rPr>
        <w:t>®</w:t>
      </w:r>
      <w:r>
        <w:rPr>
          <w:rFonts w:ascii="Arial" w:cs="Arial" w:eastAsia="Arial" w:hAnsi="Arial"/>
          <w:sz w:val="16"/>
          <w:szCs w:val="16"/>
          <w:color w:val="auto"/>
        </w:rPr>
        <w:t>. Ninety percent of our single-family conventional guaranty book of business as of June 30, 2023 had an interest rate below</w:t>
      </w:r>
    </w:p>
    <w:p>
      <w:pPr>
        <w:spacing w:after="0" w:line="2"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color w:val="auto"/>
        </w:rPr>
        <w:t>5.50%, resulting in a low likelihood these loans would refinance at current rates. In addition, over 70% of our single-family conventional guaranty book of business as of June 30, 2023 had an interest rate below 4.00%. Accordingly, even if interest rates decline meaningfully from current levels, most of the borrowers whose loans are in our single-family conventional guaranty book of business still would not be incentivized to refinance.</w:t>
      </w:r>
    </w:p>
    <w:p>
      <w:pPr>
        <w:spacing w:after="0" w:line="8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Analysis of Net Interest Income</w:t>
      </w:r>
    </w:p>
    <w:p>
      <w:pPr>
        <w:spacing w:after="0" w:line="84" w:lineRule="exact"/>
        <w:rPr>
          <w:sz w:val="20"/>
          <w:szCs w:val="20"/>
          <w:color w:val="auto"/>
        </w:rPr>
      </w:pPr>
    </w:p>
    <w:p>
      <w:pPr>
        <w:jc w:val="both"/>
        <w:ind w:right="120"/>
        <w:spacing w:after="0" w:line="267" w:lineRule="auto"/>
        <w:rPr>
          <w:sz w:val="20"/>
          <w:szCs w:val="20"/>
          <w:color w:val="auto"/>
        </w:rPr>
      </w:pPr>
      <w:r>
        <w:rPr>
          <w:rFonts w:ascii="Arial" w:cs="Arial" w:eastAsia="Arial" w:hAnsi="Arial"/>
          <w:sz w:val="16"/>
          <w:szCs w:val="16"/>
          <w:color w:val="auto"/>
        </w:rPr>
        <w:t>The table below displays an analysis of our net interest income, average balances and related yields earned on assets and incurred on liabilities. For most components of the average balances, we use a daily weighted average of unpaid principal balance net of unamortized cost basis adjustments. When daily average balance information is not available, such as for mortgage loans, we use monthly averages.</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Analysis of Net Interest Income and Yield</w:t>
      </w:r>
      <w:r>
        <w:rPr>
          <w:rFonts w:ascii="Arial" w:cs="Arial" w:eastAsia="Arial" w:hAnsi="Arial"/>
          <w:sz w:val="24"/>
          <w:szCs w:val="24"/>
          <w:b w:val="1"/>
          <w:bCs w:val="1"/>
          <w:color w:val="05314D"/>
          <w:vertAlign w:val="superscript"/>
        </w:rPr>
        <w:t>(1)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00" w:type="dxa"/>
            <w:vAlign w:val="bottom"/>
            <w:tcBorders>
              <w:top w:val="single" w:sz="8" w:color="2C6937"/>
            </w:tcBorders>
          </w:tcPr>
          <w:p>
            <w:pPr>
              <w:spacing w:after="0"/>
              <w:rPr>
                <w:sz w:val="18"/>
                <w:szCs w:val="18"/>
                <w:color w:val="auto"/>
              </w:rPr>
            </w:pPr>
          </w:p>
        </w:tc>
        <w:tc>
          <w:tcPr>
            <w:tcW w:w="100" w:type="dxa"/>
            <w:vAlign w:val="bottom"/>
            <w:tcBorders>
              <w:top w:val="single" w:sz="8" w:color="2C6937"/>
            </w:tcBorders>
          </w:tcPr>
          <w:p>
            <w:pPr>
              <w:spacing w:after="0"/>
              <w:rPr>
                <w:sz w:val="18"/>
                <w:szCs w:val="18"/>
                <w:color w:val="auto"/>
              </w:rPr>
            </w:pPr>
          </w:p>
        </w:tc>
        <w:tc>
          <w:tcPr>
            <w:tcW w:w="200" w:type="dxa"/>
            <w:vAlign w:val="bottom"/>
            <w:tcBorders>
              <w:top w:val="single" w:sz="8" w:color="2C6937"/>
              <w:bottom w:val="single" w:sz="8" w:color="2C6937"/>
            </w:tcBorders>
          </w:tcPr>
          <w:p>
            <w:pPr>
              <w:spacing w:after="0"/>
              <w:rPr>
                <w:sz w:val="18"/>
                <w:szCs w:val="18"/>
                <w:color w:val="auto"/>
              </w:rPr>
            </w:pPr>
          </w:p>
        </w:tc>
        <w:tc>
          <w:tcPr>
            <w:tcW w:w="940" w:type="dxa"/>
            <w:vAlign w:val="bottom"/>
            <w:tcBorders>
              <w:top w:val="single" w:sz="8" w:color="2C6937"/>
              <w:bottom w:val="single" w:sz="8" w:color="2C6937"/>
            </w:tcBorders>
          </w:tcPr>
          <w:p>
            <w:pPr>
              <w:spacing w:after="0"/>
              <w:rPr>
                <w:sz w:val="18"/>
                <w:szCs w:val="18"/>
                <w:color w:val="auto"/>
              </w:rPr>
            </w:pPr>
          </w:p>
        </w:tc>
        <w:tc>
          <w:tcPr>
            <w:tcW w:w="120" w:type="dxa"/>
            <w:vAlign w:val="bottom"/>
            <w:tcBorders>
              <w:top w:val="single" w:sz="8" w:color="2C6937"/>
              <w:bottom w:val="single" w:sz="8" w:color="2C6937"/>
            </w:tcBorders>
          </w:tcPr>
          <w:p>
            <w:pPr>
              <w:spacing w:after="0"/>
              <w:rPr>
                <w:sz w:val="18"/>
                <w:szCs w:val="18"/>
                <w:color w:val="auto"/>
              </w:rPr>
            </w:pPr>
          </w:p>
        </w:tc>
        <w:tc>
          <w:tcPr>
            <w:tcW w:w="180" w:type="dxa"/>
            <w:vAlign w:val="bottom"/>
            <w:tcBorders>
              <w:top w:val="single" w:sz="8" w:color="2C6937"/>
              <w:bottom w:val="single" w:sz="8" w:color="2C6937"/>
            </w:tcBorders>
          </w:tcPr>
          <w:p>
            <w:pPr>
              <w:spacing w:after="0"/>
              <w:rPr>
                <w:sz w:val="18"/>
                <w:szCs w:val="18"/>
                <w:color w:val="auto"/>
              </w:rPr>
            </w:pPr>
          </w:p>
        </w:tc>
        <w:tc>
          <w:tcPr>
            <w:tcW w:w="1060" w:type="dxa"/>
            <w:vAlign w:val="bottom"/>
            <w:tcBorders>
              <w:top w:val="single" w:sz="8" w:color="2C6937"/>
              <w:bottom w:val="single" w:sz="8" w:color="2C6937"/>
            </w:tcBorders>
          </w:tcPr>
          <w:p>
            <w:pPr>
              <w:spacing w:after="0"/>
              <w:rPr>
                <w:sz w:val="18"/>
                <w:szCs w:val="18"/>
                <w:color w:val="auto"/>
              </w:rPr>
            </w:pPr>
          </w:p>
        </w:tc>
        <w:tc>
          <w:tcPr>
            <w:tcW w:w="2900" w:type="dxa"/>
            <w:vAlign w:val="bottom"/>
            <w:tcBorders>
              <w:top w:val="single" w:sz="8" w:color="2C6937"/>
              <w:bottom w:val="single" w:sz="8" w:color="2C6937"/>
            </w:tcBorders>
            <w:gridSpan w:val="6"/>
          </w:tcPr>
          <w:p>
            <w:pPr>
              <w:ind w:left="40"/>
              <w:spacing w:after="0"/>
              <w:rPr>
                <w:sz w:val="20"/>
                <w:szCs w:val="20"/>
                <w:color w:val="auto"/>
              </w:rPr>
            </w:pPr>
            <w:r>
              <w:rPr>
                <w:rFonts w:ascii="Arial" w:cs="Arial" w:eastAsia="Arial" w:hAnsi="Arial"/>
                <w:sz w:val="15"/>
                <w:szCs w:val="15"/>
                <w:b w:val="1"/>
                <w:bCs w:val="1"/>
                <w:color w:val="auto"/>
              </w:rPr>
              <w:t>For the Three Months Ended June 30,</w:t>
            </w:r>
          </w:p>
        </w:tc>
        <w:tc>
          <w:tcPr>
            <w:tcW w:w="1080" w:type="dxa"/>
            <w:vAlign w:val="bottom"/>
            <w:tcBorders>
              <w:top w:val="single" w:sz="8" w:color="2C6937"/>
              <w:bottom w:val="single" w:sz="8" w:color="2C6937"/>
            </w:tcBorders>
          </w:tcPr>
          <w:p>
            <w:pPr>
              <w:spacing w:after="0"/>
              <w:rPr>
                <w:sz w:val="18"/>
                <w:szCs w:val="18"/>
                <w:color w:val="auto"/>
              </w:rPr>
            </w:pPr>
          </w:p>
        </w:tc>
        <w:tc>
          <w:tcPr>
            <w:tcW w:w="1360" w:type="dxa"/>
            <w:vAlign w:val="bottom"/>
            <w:tcBorders>
              <w:top w:val="single" w:sz="8" w:color="2C6937"/>
              <w:bottom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ind w:right="303"/>
              <w:spacing w:after="0"/>
              <w:rPr>
                <w:sz w:val="20"/>
                <w:szCs w:val="20"/>
                <w:color w:val="auto"/>
              </w:rPr>
            </w:pPr>
            <w:r>
              <w:rPr>
                <w:rFonts w:ascii="Arial" w:cs="Arial" w:eastAsia="Arial" w:hAnsi="Arial"/>
                <w:sz w:val="15"/>
                <w:szCs w:val="15"/>
                <w:b w:val="1"/>
                <w:bCs w:val="1"/>
                <w:color w:val="auto"/>
              </w:rPr>
              <w:t>2023</w:t>
            </w:r>
          </w:p>
        </w:tc>
        <w:tc>
          <w:tcPr>
            <w:tcW w:w="138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ind w:right="323"/>
              <w:spacing w:after="0"/>
              <w:rPr>
                <w:sz w:val="20"/>
                <w:szCs w:val="20"/>
                <w:color w:val="auto"/>
              </w:rPr>
            </w:pPr>
            <w:r>
              <w:rPr>
                <w:rFonts w:ascii="Arial" w:cs="Arial" w:eastAsia="Arial" w:hAnsi="Arial"/>
                <w:sz w:val="15"/>
                <w:szCs w:val="15"/>
                <w:b w:val="1"/>
                <w:bCs w:val="1"/>
                <w:color w:val="auto"/>
              </w:rPr>
              <w:t>2022</w:t>
            </w:r>
          </w:p>
        </w:tc>
        <w:tc>
          <w:tcPr>
            <w:tcW w:w="136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3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83"/>
              <w:spacing w:after="0"/>
              <w:rPr>
                <w:sz w:val="20"/>
                <w:szCs w:val="20"/>
                <w:color w:val="auto"/>
              </w:rPr>
            </w:pPr>
            <w:r>
              <w:rPr>
                <w:rFonts w:ascii="Arial" w:cs="Arial" w:eastAsia="Arial" w:hAnsi="Arial"/>
                <w:sz w:val="15"/>
                <w:szCs w:val="15"/>
                <w:b w:val="1"/>
                <w:bCs w:val="1"/>
                <w:color w:val="auto"/>
              </w:rPr>
              <w:t>Average</w:t>
            </w:r>
          </w:p>
        </w:tc>
        <w:tc>
          <w:tcPr>
            <w:tcW w:w="120" w:type="dxa"/>
            <w:vAlign w:val="bottom"/>
          </w:tcPr>
          <w:p>
            <w:pPr>
              <w:spacing w:after="0"/>
              <w:rPr>
                <w:sz w:val="22"/>
                <w:szCs w:val="22"/>
                <w:color w:val="auto"/>
              </w:rPr>
            </w:pPr>
          </w:p>
        </w:tc>
        <w:tc>
          <w:tcPr>
            <w:tcW w:w="1240" w:type="dxa"/>
            <w:vAlign w:val="bottom"/>
            <w:gridSpan w:val="2"/>
          </w:tcPr>
          <w:p>
            <w:pPr>
              <w:ind w:left="20"/>
              <w:spacing w:after="0"/>
              <w:rPr>
                <w:sz w:val="20"/>
                <w:szCs w:val="20"/>
                <w:color w:val="auto"/>
              </w:rPr>
            </w:pPr>
            <w:r>
              <w:rPr>
                <w:rFonts w:ascii="Arial" w:cs="Arial" w:eastAsia="Arial" w:hAnsi="Arial"/>
                <w:sz w:val="15"/>
                <w:szCs w:val="15"/>
                <w:b w:val="1"/>
                <w:bCs w:val="1"/>
                <w:color w:val="auto"/>
              </w:rPr>
              <w:t>Interest Income/</w:t>
            </w:r>
          </w:p>
        </w:tc>
        <w:tc>
          <w:tcPr>
            <w:tcW w:w="1380" w:type="dxa"/>
            <w:vAlign w:val="bottom"/>
          </w:tcPr>
          <w:p>
            <w:pPr>
              <w:jc w:val="right"/>
              <w:ind w:right="23"/>
              <w:spacing w:after="0"/>
              <w:rPr>
                <w:sz w:val="20"/>
                <w:szCs w:val="20"/>
                <w:color w:val="auto"/>
              </w:rPr>
            </w:pPr>
            <w:r>
              <w:rPr>
                <w:rFonts w:ascii="Arial" w:cs="Arial" w:eastAsia="Arial" w:hAnsi="Arial"/>
                <w:sz w:val="15"/>
                <w:szCs w:val="15"/>
                <w:b w:val="1"/>
                <w:bCs w:val="1"/>
                <w:color w:val="auto"/>
              </w:rPr>
              <w:t>Average Rates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183"/>
              <w:spacing w:after="0"/>
              <w:rPr>
                <w:sz w:val="20"/>
                <w:szCs w:val="20"/>
                <w:color w:val="auto"/>
              </w:rPr>
            </w:pPr>
            <w:r>
              <w:rPr>
                <w:rFonts w:ascii="Arial" w:cs="Arial" w:eastAsia="Arial" w:hAnsi="Arial"/>
                <w:sz w:val="15"/>
                <w:szCs w:val="15"/>
                <w:b w:val="1"/>
                <w:bCs w:val="1"/>
                <w:color w:val="auto"/>
              </w:rPr>
              <w:t>Average</w:t>
            </w:r>
          </w:p>
        </w:tc>
        <w:tc>
          <w:tcPr>
            <w:tcW w:w="100" w:type="dxa"/>
            <w:vAlign w:val="bottom"/>
          </w:tcPr>
          <w:p>
            <w:pPr>
              <w:spacing w:after="0"/>
              <w:rPr>
                <w:sz w:val="22"/>
                <w:szCs w:val="22"/>
                <w:color w:val="auto"/>
              </w:rPr>
            </w:pPr>
          </w:p>
        </w:tc>
        <w:tc>
          <w:tcPr>
            <w:tcW w:w="1260" w:type="dxa"/>
            <w:vAlign w:val="bottom"/>
            <w:gridSpan w:val="2"/>
          </w:tcPr>
          <w:p>
            <w:pPr>
              <w:ind w:left="40"/>
              <w:spacing w:after="0"/>
              <w:rPr>
                <w:sz w:val="20"/>
                <w:szCs w:val="20"/>
                <w:color w:val="auto"/>
              </w:rPr>
            </w:pPr>
            <w:r>
              <w:rPr>
                <w:rFonts w:ascii="Arial" w:cs="Arial" w:eastAsia="Arial" w:hAnsi="Arial"/>
                <w:sz w:val="15"/>
                <w:szCs w:val="15"/>
                <w:b w:val="1"/>
                <w:bCs w:val="1"/>
                <w:color w:val="auto"/>
              </w:rPr>
              <w:t>Interest Income/</w:t>
            </w:r>
          </w:p>
        </w:tc>
        <w:tc>
          <w:tcPr>
            <w:tcW w:w="1360" w:type="dxa"/>
            <w:vAlign w:val="bottom"/>
          </w:tcPr>
          <w:p>
            <w:pPr>
              <w:ind w:left="200"/>
              <w:spacing w:after="0"/>
              <w:rPr>
                <w:sz w:val="20"/>
                <w:szCs w:val="20"/>
                <w:color w:val="auto"/>
              </w:rPr>
            </w:pPr>
            <w:r>
              <w:rPr>
                <w:rFonts w:ascii="Arial" w:cs="Arial" w:eastAsia="Arial" w:hAnsi="Arial"/>
                <w:sz w:val="15"/>
                <w:szCs w:val="15"/>
                <w:b w:val="1"/>
                <w:bCs w:val="1"/>
                <w:color w:val="auto"/>
              </w:rPr>
              <w:t>Average Rates</w:t>
            </w:r>
          </w:p>
        </w:tc>
        <w:tc>
          <w:tcPr>
            <w:tcW w:w="0" w:type="dxa"/>
            <w:vAlign w:val="bottom"/>
          </w:tcPr>
          <w:p>
            <w:pPr>
              <w:spacing w:after="0"/>
              <w:rPr>
                <w:sz w:val="1"/>
                <w:szCs w:val="1"/>
                <w:color w:val="auto"/>
              </w:rPr>
            </w:pPr>
          </w:p>
        </w:tc>
      </w:tr>
      <w:tr>
        <w:trPr>
          <w:trHeight w:val="228"/>
        </w:trPr>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Balance</w:t>
            </w:r>
          </w:p>
        </w:tc>
        <w:tc>
          <w:tcPr>
            <w:tcW w:w="120" w:type="dxa"/>
            <w:vAlign w:val="bottom"/>
            <w:tcBorders>
              <w:bottom w:val="single" w:sz="8" w:color="2C6937"/>
            </w:tcBorders>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06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(Expense)</w:t>
            </w:r>
          </w:p>
        </w:tc>
        <w:tc>
          <w:tcPr>
            <w:tcW w:w="1380" w:type="dxa"/>
            <w:vAlign w:val="bottom"/>
            <w:tcBorders>
              <w:bottom w:val="single" w:sz="8" w:color="2C6937"/>
            </w:tcBorders>
          </w:tcPr>
          <w:p>
            <w:pPr>
              <w:jc w:val="right"/>
              <w:ind w:right="123"/>
              <w:spacing w:after="0"/>
              <w:rPr>
                <w:sz w:val="20"/>
                <w:szCs w:val="20"/>
                <w:color w:val="auto"/>
              </w:rPr>
            </w:pPr>
            <w:r>
              <w:rPr>
                <w:rFonts w:ascii="Arial" w:cs="Arial" w:eastAsia="Arial" w:hAnsi="Arial"/>
                <w:sz w:val="15"/>
                <w:szCs w:val="15"/>
                <w:b w:val="1"/>
                <w:bCs w:val="1"/>
                <w:color w:val="auto"/>
              </w:rPr>
              <w:t>Earned/Paid</w:t>
            </w:r>
          </w:p>
        </w:tc>
        <w:tc>
          <w:tcPr>
            <w:tcW w:w="100" w:type="dxa"/>
            <w:vAlign w:val="bottom"/>
            <w:tcBorders>
              <w:bottom w:val="single" w:sz="8" w:color="2C6937"/>
            </w:tcBorders>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960" w:type="dxa"/>
            <w:vAlign w:val="bottom"/>
            <w:tcBorders>
              <w:bottom w:val="single" w:sz="8" w:color="2C6937"/>
            </w:tcBorders>
          </w:tcPr>
          <w:p>
            <w:pPr>
              <w:jc w:val="right"/>
              <w:ind w:right="203"/>
              <w:spacing w:after="0"/>
              <w:rPr>
                <w:sz w:val="20"/>
                <w:szCs w:val="20"/>
                <w:color w:val="auto"/>
              </w:rPr>
            </w:pPr>
            <w:r>
              <w:rPr>
                <w:rFonts w:ascii="Arial" w:cs="Arial" w:eastAsia="Arial" w:hAnsi="Arial"/>
                <w:sz w:val="15"/>
                <w:szCs w:val="15"/>
                <w:b w:val="1"/>
                <w:bCs w:val="1"/>
                <w:color w:val="auto"/>
              </w:rPr>
              <w:t>Balance</w:t>
            </w:r>
          </w:p>
        </w:tc>
        <w:tc>
          <w:tcPr>
            <w:tcW w:w="100" w:type="dxa"/>
            <w:vAlign w:val="bottom"/>
            <w:tcBorders>
              <w:bottom w:val="single" w:sz="8" w:color="2C6937"/>
            </w:tcBorders>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(Expense)</w:t>
            </w:r>
          </w:p>
        </w:tc>
        <w:tc>
          <w:tcPr>
            <w:tcW w:w="1360" w:type="dxa"/>
            <w:vAlign w:val="bottom"/>
            <w:tcBorders>
              <w:bottom w:val="single" w:sz="8" w:color="2C6937"/>
            </w:tcBorders>
          </w:tcPr>
          <w:p>
            <w:pPr>
              <w:ind w:left="280"/>
              <w:spacing w:after="0"/>
              <w:rPr>
                <w:sz w:val="20"/>
                <w:szCs w:val="20"/>
                <w:color w:val="auto"/>
              </w:rPr>
            </w:pPr>
            <w:r>
              <w:rPr>
                <w:rFonts w:ascii="Arial" w:cs="Arial" w:eastAsia="Arial" w:hAnsi="Arial"/>
                <w:sz w:val="15"/>
                <w:szCs w:val="15"/>
                <w:b w:val="1"/>
                <w:bCs w:val="1"/>
                <w:color w:val="auto"/>
              </w:rPr>
              <w:t>Earned/Paid</w:t>
            </w:r>
          </w:p>
        </w:tc>
        <w:tc>
          <w:tcPr>
            <w:tcW w:w="0" w:type="dxa"/>
            <w:vAlign w:val="bottom"/>
          </w:tcPr>
          <w:p>
            <w:pPr>
              <w:spacing w:after="0"/>
              <w:rPr>
                <w:sz w:val="1"/>
                <w:szCs w:val="1"/>
                <w:color w:val="auto"/>
              </w:rPr>
            </w:pPr>
          </w:p>
        </w:tc>
      </w:tr>
      <w:tr>
        <w:trPr>
          <w:trHeight w:val="303"/>
        </w:trPr>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gridSpan w:val="4"/>
          </w:tcPr>
          <w:p>
            <w:pPr>
              <w:jc w:val="right"/>
              <w:ind w:right="403"/>
              <w:spacing w:after="0"/>
              <w:rPr>
                <w:sz w:val="20"/>
                <w:szCs w:val="20"/>
                <w:color w:val="auto"/>
              </w:rPr>
            </w:pPr>
            <w:r>
              <w:rPr>
                <w:rFonts w:ascii="Arial" w:cs="Arial" w:eastAsia="Arial" w:hAnsi="Arial"/>
                <w:sz w:val="15"/>
                <w:szCs w:val="15"/>
                <w:b w:val="1"/>
                <w:bCs w:val="1"/>
                <w:color w:val="auto"/>
              </w:rPr>
              <w:t>(Dollars in millions)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3400" w:type="dxa"/>
            <w:vAlign w:val="bottom"/>
            <w:gridSpan w:val="2"/>
          </w:tcPr>
          <w:p>
            <w:pPr>
              <w:ind w:left="20"/>
              <w:spacing w:after="0"/>
              <w:rPr>
                <w:sz w:val="20"/>
                <w:szCs w:val="20"/>
                <w:color w:val="auto"/>
              </w:rPr>
            </w:pPr>
            <w:r>
              <w:rPr>
                <w:rFonts w:ascii="Arial" w:cs="Arial" w:eastAsia="Arial" w:hAnsi="Arial"/>
                <w:sz w:val="15"/>
                <w:szCs w:val="15"/>
                <w:b w:val="1"/>
                <w:bCs w:val="1"/>
                <w:color w:val="auto"/>
              </w:rPr>
              <w:t>Interest-earning assets: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Mortgage loans of Fannie Mae</w:t>
            </w:r>
          </w:p>
        </w:tc>
        <w:tc>
          <w:tcPr>
            <w:tcW w:w="200" w:type="dxa"/>
            <w:vAlign w:val="bottom"/>
          </w:tcPr>
          <w:p>
            <w:pPr>
              <w:jc w:val="right"/>
              <w:ind w:right="3"/>
              <w:spacing w:after="0"/>
              <w:rPr>
                <w:sz w:val="20"/>
                <w:szCs w:val="20"/>
                <w:color w:val="auto"/>
              </w:rPr>
            </w:pPr>
            <w:r>
              <w:rPr>
                <w:rFonts w:ascii="Arial" w:cs="Arial" w:eastAsia="Arial" w:hAnsi="Arial"/>
                <w:sz w:val="15"/>
                <w:szCs w:val="15"/>
                <w:b w:val="1"/>
                <w:bCs w:val="1"/>
                <w:color w:val="auto"/>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51,961</w:t>
            </w:r>
          </w:p>
        </w:tc>
        <w:tc>
          <w:tcPr>
            <w:tcW w:w="300" w:type="dxa"/>
            <w:vAlign w:val="bottom"/>
            <w:gridSpan w:val="2"/>
          </w:tcPr>
          <w:p>
            <w:pPr>
              <w:ind w:left="140"/>
              <w:spacing w:after="0"/>
              <w:rPr>
                <w:sz w:val="20"/>
                <w:szCs w:val="20"/>
                <w:color w:val="auto"/>
              </w:rPr>
            </w:pPr>
            <w:r>
              <w:rPr>
                <w:rFonts w:ascii="Arial" w:cs="Arial" w:eastAsia="Arial" w:hAnsi="Arial"/>
                <w:sz w:val="15"/>
                <w:szCs w:val="15"/>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611</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4.70 %</w:t>
            </w:r>
          </w:p>
        </w:tc>
        <w:tc>
          <w:tcPr>
            <w:tcW w:w="280" w:type="dxa"/>
            <w:vAlign w:val="bottom"/>
            <w:gridSpan w:val="2"/>
          </w:tcPr>
          <w:p>
            <w:pPr>
              <w:jc w:val="right"/>
              <w:ind w:right="3"/>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63,702</w:t>
            </w:r>
          </w:p>
        </w:tc>
        <w:tc>
          <w:tcPr>
            <w:tcW w:w="28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945</w:t>
            </w:r>
          </w:p>
        </w:tc>
        <w:tc>
          <w:tcPr>
            <w:tcW w:w="1360" w:type="dxa"/>
            <w:vAlign w:val="bottom"/>
          </w:tcPr>
          <w:p>
            <w:pPr>
              <w:ind w:left="860"/>
              <w:spacing w:after="0"/>
              <w:rPr>
                <w:sz w:val="20"/>
                <w:szCs w:val="20"/>
                <w:color w:val="auto"/>
              </w:rPr>
            </w:pPr>
            <w:r>
              <w:rPr>
                <w:rFonts w:ascii="Arial" w:cs="Arial" w:eastAsia="Arial" w:hAnsi="Arial"/>
                <w:sz w:val="15"/>
                <w:szCs w:val="15"/>
                <w:color w:val="auto"/>
              </w:rPr>
              <w:t>5.93 %</w:t>
            </w:r>
          </w:p>
        </w:tc>
        <w:tc>
          <w:tcPr>
            <w:tcW w:w="0" w:type="dxa"/>
            <w:vAlign w:val="bottom"/>
          </w:tcPr>
          <w:p>
            <w:pPr>
              <w:spacing w:after="0"/>
              <w:rPr>
                <w:sz w:val="1"/>
                <w:szCs w:val="1"/>
                <w:color w:val="auto"/>
              </w:rPr>
            </w:pPr>
          </w:p>
        </w:tc>
      </w:tr>
      <w:tr>
        <w:trPr>
          <w:trHeight w:val="303"/>
        </w:trPr>
        <w:tc>
          <w:tcPr>
            <w:tcW w:w="3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Mortgage loans of consolidated trusts</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4,075,543</w:t>
            </w:r>
          </w:p>
        </w:tc>
        <w:tc>
          <w:tcPr>
            <w:tcW w:w="12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32,044</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3.15</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4,021,070</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28,137</w:t>
            </w:r>
          </w:p>
        </w:tc>
        <w:tc>
          <w:tcPr>
            <w:tcW w:w="1360" w:type="dxa"/>
            <w:vAlign w:val="bottom"/>
          </w:tcPr>
          <w:p>
            <w:pPr>
              <w:ind w:left="860"/>
              <w:spacing w:after="0"/>
              <w:rPr>
                <w:sz w:val="20"/>
                <w:szCs w:val="20"/>
                <w:color w:val="auto"/>
              </w:rPr>
            </w:pPr>
            <w:r>
              <w:rPr>
                <w:rFonts w:ascii="Arial" w:cs="Arial" w:eastAsia="Arial" w:hAnsi="Arial"/>
                <w:sz w:val="15"/>
                <w:szCs w:val="15"/>
                <w:color w:val="auto"/>
              </w:rPr>
              <w:t>2.80</w:t>
            </w:r>
          </w:p>
        </w:tc>
        <w:tc>
          <w:tcPr>
            <w:tcW w:w="0" w:type="dxa"/>
            <w:vAlign w:val="bottom"/>
          </w:tcPr>
          <w:p>
            <w:pPr>
              <w:spacing w:after="0"/>
              <w:rPr>
                <w:sz w:val="1"/>
                <w:szCs w:val="1"/>
                <w:color w:val="auto"/>
              </w:rPr>
            </w:pPr>
          </w:p>
        </w:tc>
      </w:tr>
      <w:tr>
        <w:trPr>
          <w:trHeight w:val="353"/>
        </w:trPr>
        <w:tc>
          <w:tcPr>
            <w:tcW w:w="3400" w:type="dxa"/>
            <w:vAlign w:val="bottom"/>
            <w:gridSpan w:val="2"/>
          </w:tcPr>
          <w:p>
            <w:pPr>
              <w:ind w:left="320"/>
              <w:spacing w:after="0"/>
              <w:rPr>
                <w:sz w:val="20"/>
                <w:szCs w:val="20"/>
                <w:color w:val="auto"/>
              </w:rPr>
            </w:pPr>
            <w:r>
              <w:rPr>
                <w:rFonts w:ascii="Arial" w:cs="Arial" w:eastAsia="Arial" w:hAnsi="Arial"/>
                <w:sz w:val="15"/>
                <w:szCs w:val="15"/>
                <w:color w:val="auto"/>
              </w:rPr>
              <w:t>Total mortgage loans</w:t>
            </w:r>
            <w:r>
              <w:rPr>
                <w:rFonts w:ascii="Arial" w:cs="Arial" w:eastAsia="Arial" w:hAnsi="Arial"/>
                <w:sz w:val="20"/>
                <w:szCs w:val="20"/>
                <w:color w:val="auto"/>
                <w:vertAlign w:val="superscript"/>
              </w:rPr>
              <w:t>(2)</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4,127,504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32,655</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3.16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4,084,772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29,082</w:t>
            </w:r>
          </w:p>
        </w:tc>
        <w:tc>
          <w:tcPr>
            <w:tcW w:w="1360" w:type="dxa"/>
            <w:vAlign w:val="bottom"/>
          </w:tcPr>
          <w:p>
            <w:pPr>
              <w:ind w:left="860"/>
              <w:spacing w:after="0"/>
              <w:rPr>
                <w:sz w:val="20"/>
                <w:szCs w:val="20"/>
                <w:color w:val="auto"/>
              </w:rPr>
            </w:pPr>
            <w:r>
              <w:rPr>
                <w:rFonts w:ascii="Arial" w:cs="Arial" w:eastAsia="Arial" w:hAnsi="Arial"/>
                <w:sz w:val="15"/>
                <w:szCs w:val="15"/>
                <w:color w:val="auto"/>
              </w:rPr>
              <w:t>2.85</w:t>
            </w:r>
          </w:p>
        </w:tc>
        <w:tc>
          <w:tcPr>
            <w:tcW w:w="0" w:type="dxa"/>
            <w:vAlign w:val="bottom"/>
          </w:tcPr>
          <w:p>
            <w:pPr>
              <w:spacing w:after="0"/>
              <w:rPr>
                <w:sz w:val="1"/>
                <w:szCs w:val="1"/>
                <w:color w:val="auto"/>
              </w:rPr>
            </w:pPr>
          </w:p>
        </w:tc>
      </w:tr>
      <w:tr>
        <w:trPr>
          <w:trHeight w:val="309"/>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Investments in securities</w:t>
            </w:r>
            <w:r>
              <w:rPr>
                <w:rFonts w:ascii="Arial" w:cs="Arial" w:eastAsia="Arial" w:hAnsi="Arial"/>
                <w:sz w:val="20"/>
                <w:szCs w:val="20"/>
                <w:color w:val="auto"/>
                <w:vertAlign w:val="superscript"/>
              </w:rPr>
              <w:t>(3)</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117,921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1,101</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3.73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136,680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318</w:t>
            </w:r>
          </w:p>
        </w:tc>
        <w:tc>
          <w:tcPr>
            <w:tcW w:w="1360" w:type="dxa"/>
            <w:vAlign w:val="bottom"/>
          </w:tcPr>
          <w:p>
            <w:pPr>
              <w:ind w:left="860"/>
              <w:spacing w:after="0"/>
              <w:rPr>
                <w:sz w:val="20"/>
                <w:szCs w:val="20"/>
                <w:color w:val="auto"/>
              </w:rPr>
            </w:pPr>
            <w:r>
              <w:rPr>
                <w:rFonts w:ascii="Arial" w:cs="Arial" w:eastAsia="Arial" w:hAnsi="Arial"/>
                <w:sz w:val="15"/>
                <w:szCs w:val="15"/>
                <w:color w:val="auto"/>
              </w:rPr>
              <w:t>0.93</w:t>
            </w:r>
          </w:p>
        </w:tc>
        <w:tc>
          <w:tcPr>
            <w:tcW w:w="0" w:type="dxa"/>
            <w:vAlign w:val="bottom"/>
          </w:tcPr>
          <w:p>
            <w:pPr>
              <w:spacing w:after="0"/>
              <w:rPr>
                <w:sz w:val="1"/>
                <w:szCs w:val="1"/>
                <w:color w:val="auto"/>
              </w:rPr>
            </w:pPr>
          </w:p>
        </w:tc>
      </w:tr>
      <w:tr>
        <w:trPr>
          <w:trHeight w:val="238"/>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Securities purchased under agreements to</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400" w:type="dxa"/>
            <w:vAlign w:val="bottom"/>
            <w:gridSpan w:val="2"/>
          </w:tcPr>
          <w:p>
            <w:pPr>
              <w:ind w:left="320"/>
              <w:spacing w:after="0"/>
              <w:rPr>
                <w:sz w:val="20"/>
                <w:szCs w:val="20"/>
                <w:color w:val="auto"/>
              </w:rPr>
            </w:pPr>
            <w:r>
              <w:rPr>
                <w:rFonts w:ascii="Arial" w:cs="Arial" w:eastAsia="Arial" w:hAnsi="Arial"/>
                <w:sz w:val="15"/>
                <w:szCs w:val="15"/>
                <w:color w:val="auto"/>
              </w:rPr>
              <w:t>resell</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41,131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524</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5.10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16,171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28</w:t>
            </w:r>
          </w:p>
        </w:tc>
        <w:tc>
          <w:tcPr>
            <w:tcW w:w="1360" w:type="dxa"/>
            <w:vAlign w:val="bottom"/>
          </w:tcPr>
          <w:p>
            <w:pPr>
              <w:ind w:left="860"/>
              <w:spacing w:after="0"/>
              <w:rPr>
                <w:sz w:val="20"/>
                <w:szCs w:val="20"/>
                <w:color w:val="auto"/>
              </w:rPr>
            </w:pPr>
            <w:r>
              <w:rPr>
                <w:rFonts w:ascii="Arial" w:cs="Arial" w:eastAsia="Arial" w:hAnsi="Arial"/>
                <w:sz w:val="15"/>
                <w:szCs w:val="15"/>
                <w:color w:val="auto"/>
              </w:rPr>
              <w:t>0.69</w:t>
            </w:r>
          </w:p>
        </w:tc>
        <w:tc>
          <w:tcPr>
            <w:tcW w:w="0" w:type="dxa"/>
            <w:vAlign w:val="bottom"/>
          </w:tcPr>
          <w:p>
            <w:pPr>
              <w:spacing w:after="0"/>
              <w:rPr>
                <w:sz w:val="1"/>
                <w:szCs w:val="1"/>
                <w:color w:val="auto"/>
              </w:rPr>
            </w:pPr>
          </w:p>
        </w:tc>
      </w:tr>
      <w:tr>
        <w:trPr>
          <w:trHeight w:val="303"/>
        </w:trPr>
        <w:tc>
          <w:tcPr>
            <w:tcW w:w="3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Advances to lenders</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3,798</w:t>
            </w:r>
          </w:p>
        </w:tc>
        <w:tc>
          <w:tcPr>
            <w:tcW w:w="12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60</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6.32</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5,508</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27</w:t>
            </w:r>
          </w:p>
        </w:tc>
        <w:tc>
          <w:tcPr>
            <w:tcW w:w="1360" w:type="dxa"/>
            <w:vAlign w:val="bottom"/>
          </w:tcPr>
          <w:p>
            <w:pPr>
              <w:ind w:left="860"/>
              <w:spacing w:after="0"/>
              <w:rPr>
                <w:sz w:val="20"/>
                <w:szCs w:val="20"/>
                <w:color w:val="auto"/>
              </w:rPr>
            </w:pPr>
            <w:r>
              <w:rPr>
                <w:rFonts w:ascii="Arial" w:cs="Arial" w:eastAsia="Arial" w:hAnsi="Arial"/>
                <w:sz w:val="15"/>
                <w:szCs w:val="15"/>
                <w:color w:val="auto"/>
              </w:rPr>
              <w:t>1.96</w:t>
            </w:r>
          </w:p>
        </w:tc>
        <w:tc>
          <w:tcPr>
            <w:tcW w:w="0" w:type="dxa"/>
            <w:vAlign w:val="bottom"/>
          </w:tcPr>
          <w:p>
            <w:pPr>
              <w:spacing w:after="0"/>
              <w:rPr>
                <w:sz w:val="1"/>
                <w:szCs w:val="1"/>
                <w:color w:val="auto"/>
              </w:rPr>
            </w:pPr>
          </w:p>
        </w:tc>
      </w:tr>
      <w:tr>
        <w:trPr>
          <w:trHeight w:val="302"/>
        </w:trPr>
        <w:tc>
          <w:tcPr>
            <w:tcW w:w="33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Total interest-earning assets</w:t>
            </w:r>
          </w:p>
        </w:tc>
        <w:tc>
          <w:tcPr>
            <w:tcW w:w="100" w:type="dxa"/>
            <w:vAlign w:val="bottom"/>
          </w:tcPr>
          <w:p>
            <w:pPr>
              <w:spacing w:after="0"/>
              <w:rPr>
                <w:sz w:val="24"/>
                <w:szCs w:val="24"/>
                <w:color w:val="auto"/>
              </w:rPr>
            </w:pPr>
          </w:p>
        </w:tc>
        <w:tc>
          <w:tcPr>
            <w:tcW w:w="2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4,290,354</w:t>
            </w:r>
          </w:p>
        </w:tc>
        <w:tc>
          <w:tcPr>
            <w:tcW w:w="300" w:type="dxa"/>
            <w:vAlign w:val="bottom"/>
            <w:gridSpan w:val="2"/>
          </w:tcPr>
          <w:p>
            <w:pPr>
              <w:ind w:left="140"/>
              <w:spacing w:after="0"/>
              <w:rPr>
                <w:sz w:val="20"/>
                <w:szCs w:val="20"/>
                <w:color w:val="auto"/>
              </w:rPr>
            </w:pPr>
            <w:r>
              <w:rPr>
                <w:rFonts w:ascii="Arial" w:cs="Arial" w:eastAsia="Arial" w:hAnsi="Arial"/>
                <w:sz w:val="15"/>
                <w:szCs w:val="15"/>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34,340</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3.20 %</w:t>
            </w:r>
          </w:p>
        </w:tc>
        <w:tc>
          <w:tcPr>
            <w:tcW w:w="100" w:type="dxa"/>
            <w:vAlign w:val="bottom"/>
          </w:tcPr>
          <w:p>
            <w:pPr>
              <w:spacing w:after="0"/>
              <w:rPr>
                <w:sz w:val="24"/>
                <w:szCs w:val="24"/>
                <w:color w:val="auto"/>
              </w:rPr>
            </w:pPr>
          </w:p>
        </w:tc>
        <w:tc>
          <w:tcPr>
            <w:tcW w:w="1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4,243,131</w:t>
            </w:r>
          </w:p>
        </w:tc>
        <w:tc>
          <w:tcPr>
            <w:tcW w:w="28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29,455</w:t>
            </w:r>
          </w:p>
        </w:tc>
        <w:tc>
          <w:tcPr>
            <w:tcW w:w="1360" w:type="dxa"/>
            <w:vAlign w:val="bottom"/>
          </w:tcPr>
          <w:p>
            <w:pPr>
              <w:ind w:left="860"/>
              <w:spacing w:after="0"/>
              <w:rPr>
                <w:sz w:val="20"/>
                <w:szCs w:val="20"/>
                <w:color w:val="auto"/>
              </w:rPr>
            </w:pPr>
            <w:r>
              <w:rPr>
                <w:rFonts w:ascii="Arial" w:cs="Arial" w:eastAsia="Arial" w:hAnsi="Arial"/>
                <w:sz w:val="15"/>
                <w:szCs w:val="15"/>
                <w:color w:val="auto"/>
              </w:rPr>
              <w:t>2.78 %</w:t>
            </w:r>
          </w:p>
        </w:tc>
        <w:tc>
          <w:tcPr>
            <w:tcW w:w="0" w:type="dxa"/>
            <w:vAlign w:val="bottom"/>
          </w:tcPr>
          <w:p>
            <w:pPr>
              <w:spacing w:after="0"/>
              <w:rPr>
                <w:sz w:val="1"/>
                <w:szCs w:val="1"/>
                <w:color w:val="auto"/>
              </w:rPr>
            </w:pPr>
          </w:p>
        </w:tc>
      </w:tr>
      <w:tr>
        <w:trPr>
          <w:trHeight w:val="20"/>
        </w:trPr>
        <w:tc>
          <w:tcPr>
            <w:tcW w:w="33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60" w:type="dxa"/>
            <w:vAlign w:val="bottom"/>
            <w:tcBorders>
              <w:bottom w:val="single" w:sz="8" w:color="2C6937"/>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9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3400" w:type="dxa"/>
            <w:vAlign w:val="bottom"/>
            <w:gridSpan w:val="2"/>
          </w:tcPr>
          <w:p>
            <w:pPr>
              <w:ind w:left="20"/>
              <w:spacing w:after="0"/>
              <w:rPr>
                <w:sz w:val="20"/>
                <w:szCs w:val="20"/>
                <w:color w:val="auto"/>
              </w:rPr>
            </w:pPr>
            <w:r>
              <w:rPr>
                <w:rFonts w:ascii="Arial" w:cs="Arial" w:eastAsia="Arial" w:hAnsi="Arial"/>
                <w:sz w:val="15"/>
                <w:szCs w:val="15"/>
                <w:b w:val="1"/>
                <w:bCs w:val="1"/>
                <w:color w:val="auto"/>
              </w:rPr>
              <w:t>Interest-bearing liabilities: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Short-term funding debt</w:t>
            </w:r>
          </w:p>
        </w:tc>
        <w:tc>
          <w:tcPr>
            <w:tcW w:w="200" w:type="dxa"/>
            <w:vAlign w:val="bottom"/>
          </w:tcPr>
          <w:p>
            <w:pPr>
              <w:jc w:val="right"/>
              <w:ind w:right="3"/>
              <w:spacing w:after="0"/>
              <w:rPr>
                <w:sz w:val="20"/>
                <w:szCs w:val="20"/>
                <w:color w:val="auto"/>
              </w:rPr>
            </w:pPr>
            <w:r>
              <w:rPr>
                <w:rFonts w:ascii="Arial" w:cs="Arial" w:eastAsia="Arial" w:hAnsi="Arial"/>
                <w:sz w:val="15"/>
                <w:szCs w:val="15"/>
                <w:b w:val="1"/>
                <w:bCs w:val="1"/>
                <w:color w:val="auto"/>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14,841</w:t>
            </w:r>
          </w:p>
        </w:tc>
        <w:tc>
          <w:tcPr>
            <w:tcW w:w="300" w:type="dxa"/>
            <w:vAlign w:val="bottom"/>
            <w:gridSpan w:val="2"/>
          </w:tcPr>
          <w:p>
            <w:pPr>
              <w:ind w:left="140"/>
              <w:spacing w:after="0"/>
              <w:rPr>
                <w:sz w:val="20"/>
                <w:szCs w:val="20"/>
                <w:color w:val="auto"/>
              </w:rPr>
            </w:pPr>
            <w:r>
              <w:rPr>
                <w:rFonts w:ascii="Arial" w:cs="Arial" w:eastAsia="Arial" w:hAnsi="Arial"/>
                <w:sz w:val="15"/>
                <w:szCs w:val="15"/>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(183)</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4.93 %</w:t>
            </w:r>
          </w:p>
        </w:tc>
        <w:tc>
          <w:tcPr>
            <w:tcW w:w="280" w:type="dxa"/>
            <w:vAlign w:val="bottom"/>
            <w:gridSpan w:val="2"/>
          </w:tcPr>
          <w:p>
            <w:pPr>
              <w:jc w:val="right"/>
              <w:ind w:right="3"/>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3,125</w:t>
            </w:r>
          </w:p>
        </w:tc>
        <w:tc>
          <w:tcPr>
            <w:tcW w:w="28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(5)</w:t>
            </w:r>
          </w:p>
        </w:tc>
        <w:tc>
          <w:tcPr>
            <w:tcW w:w="1360" w:type="dxa"/>
            <w:vAlign w:val="bottom"/>
          </w:tcPr>
          <w:p>
            <w:pPr>
              <w:ind w:left="860"/>
              <w:spacing w:after="0"/>
              <w:rPr>
                <w:sz w:val="20"/>
                <w:szCs w:val="20"/>
                <w:color w:val="auto"/>
              </w:rPr>
            </w:pPr>
            <w:r>
              <w:rPr>
                <w:rFonts w:ascii="Arial" w:cs="Arial" w:eastAsia="Arial" w:hAnsi="Arial"/>
                <w:sz w:val="15"/>
                <w:szCs w:val="15"/>
                <w:color w:val="auto"/>
              </w:rPr>
              <w:t>0.64 %</w:t>
            </w:r>
          </w:p>
        </w:tc>
        <w:tc>
          <w:tcPr>
            <w:tcW w:w="0" w:type="dxa"/>
            <w:vAlign w:val="bottom"/>
          </w:tcPr>
          <w:p>
            <w:pPr>
              <w:spacing w:after="0"/>
              <w:rPr>
                <w:sz w:val="1"/>
                <w:szCs w:val="1"/>
                <w:color w:val="auto"/>
              </w:rPr>
            </w:pPr>
          </w:p>
        </w:tc>
      </w:tr>
      <w:tr>
        <w:trPr>
          <w:trHeight w:val="322"/>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Long-term funding debt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119,572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(936)</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3.13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143,064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(539)</w:t>
            </w:r>
          </w:p>
        </w:tc>
        <w:tc>
          <w:tcPr>
            <w:tcW w:w="1360" w:type="dxa"/>
            <w:vAlign w:val="bottom"/>
          </w:tcPr>
          <w:p>
            <w:pPr>
              <w:ind w:left="860"/>
              <w:spacing w:after="0"/>
              <w:rPr>
                <w:sz w:val="20"/>
                <w:szCs w:val="20"/>
                <w:color w:val="auto"/>
              </w:rPr>
            </w:pPr>
            <w:r>
              <w:rPr>
                <w:rFonts w:ascii="Arial" w:cs="Arial" w:eastAsia="Arial" w:hAnsi="Arial"/>
                <w:sz w:val="15"/>
                <w:szCs w:val="15"/>
                <w:color w:val="auto"/>
              </w:rPr>
              <w:t>1.51</w:t>
            </w:r>
          </w:p>
        </w:tc>
        <w:tc>
          <w:tcPr>
            <w:tcW w:w="0" w:type="dxa"/>
            <w:vAlign w:val="bottom"/>
          </w:tcPr>
          <w:p>
            <w:pPr>
              <w:spacing w:after="0"/>
              <w:rPr>
                <w:sz w:val="1"/>
                <w:szCs w:val="1"/>
                <w:color w:val="auto"/>
              </w:rPr>
            </w:pPr>
          </w:p>
        </w:tc>
      </w:tr>
      <w:tr>
        <w:trPr>
          <w:trHeight w:val="303"/>
        </w:trPr>
        <w:tc>
          <w:tcPr>
            <w:tcW w:w="3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CAS debt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4,319</w:t>
            </w:r>
          </w:p>
        </w:tc>
        <w:tc>
          <w:tcPr>
            <w:tcW w:w="12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(109)</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10.09</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10,046</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(128)</w:t>
            </w:r>
          </w:p>
        </w:tc>
        <w:tc>
          <w:tcPr>
            <w:tcW w:w="1360" w:type="dxa"/>
            <w:vAlign w:val="bottom"/>
          </w:tcPr>
          <w:p>
            <w:pPr>
              <w:ind w:left="860"/>
              <w:spacing w:after="0"/>
              <w:rPr>
                <w:sz w:val="20"/>
                <w:szCs w:val="20"/>
                <w:color w:val="auto"/>
              </w:rPr>
            </w:pPr>
            <w:r>
              <w:rPr>
                <w:rFonts w:ascii="Arial" w:cs="Arial" w:eastAsia="Arial" w:hAnsi="Arial"/>
                <w:sz w:val="15"/>
                <w:szCs w:val="15"/>
                <w:color w:val="auto"/>
              </w:rPr>
              <w:t>5.10</w:t>
            </w:r>
          </w:p>
        </w:tc>
        <w:tc>
          <w:tcPr>
            <w:tcW w:w="0" w:type="dxa"/>
            <w:vAlign w:val="bottom"/>
          </w:tcPr>
          <w:p>
            <w:pPr>
              <w:spacing w:after="0"/>
              <w:rPr>
                <w:sz w:val="1"/>
                <w:szCs w:val="1"/>
                <w:color w:val="auto"/>
              </w:rPr>
            </w:pPr>
          </w:p>
        </w:tc>
      </w:tr>
      <w:tr>
        <w:trPr>
          <w:trHeight w:val="309"/>
        </w:trPr>
        <w:tc>
          <w:tcPr>
            <w:tcW w:w="3400" w:type="dxa"/>
            <w:vAlign w:val="bottom"/>
            <w:gridSpan w:val="2"/>
          </w:tcPr>
          <w:p>
            <w:pPr>
              <w:ind w:left="320"/>
              <w:spacing w:after="0"/>
              <w:rPr>
                <w:sz w:val="20"/>
                <w:szCs w:val="20"/>
                <w:color w:val="auto"/>
              </w:rPr>
            </w:pPr>
            <w:r>
              <w:rPr>
                <w:rFonts w:ascii="Arial" w:cs="Arial" w:eastAsia="Arial" w:hAnsi="Arial"/>
                <w:sz w:val="15"/>
                <w:szCs w:val="15"/>
                <w:color w:val="auto"/>
              </w:rPr>
              <w:t>Total debt of Fannie Mae</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138,732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(1,228)</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3.54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156,235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(672)</w:t>
            </w:r>
          </w:p>
        </w:tc>
        <w:tc>
          <w:tcPr>
            <w:tcW w:w="1360" w:type="dxa"/>
            <w:vAlign w:val="bottom"/>
          </w:tcPr>
          <w:p>
            <w:pPr>
              <w:ind w:left="860"/>
              <w:spacing w:after="0"/>
              <w:rPr>
                <w:sz w:val="20"/>
                <w:szCs w:val="20"/>
                <w:color w:val="auto"/>
              </w:rPr>
            </w:pPr>
            <w:r>
              <w:rPr>
                <w:rFonts w:ascii="Arial" w:cs="Arial" w:eastAsia="Arial" w:hAnsi="Arial"/>
                <w:sz w:val="15"/>
                <w:szCs w:val="15"/>
                <w:color w:val="auto"/>
              </w:rPr>
              <w:t>1.72</w:t>
            </w:r>
          </w:p>
        </w:tc>
        <w:tc>
          <w:tcPr>
            <w:tcW w:w="0" w:type="dxa"/>
            <w:vAlign w:val="bottom"/>
          </w:tcPr>
          <w:p>
            <w:pPr>
              <w:spacing w:after="0"/>
              <w:rPr>
                <w:sz w:val="1"/>
                <w:szCs w:val="1"/>
                <w:color w:val="auto"/>
              </w:rPr>
            </w:pPr>
          </w:p>
        </w:tc>
      </w:tr>
      <w:tr>
        <w:trPr>
          <w:trHeight w:val="282"/>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Debt securities of consolidated trusts held by</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30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third parties</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4,078,979</w:t>
            </w:r>
          </w:p>
        </w:tc>
        <w:tc>
          <w:tcPr>
            <w:tcW w:w="12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(26,077)</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2.56</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4,024,468</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(20,975)</w:t>
            </w:r>
          </w:p>
        </w:tc>
        <w:tc>
          <w:tcPr>
            <w:tcW w:w="1360" w:type="dxa"/>
            <w:vAlign w:val="bottom"/>
          </w:tcPr>
          <w:p>
            <w:pPr>
              <w:ind w:left="860"/>
              <w:spacing w:after="0"/>
              <w:rPr>
                <w:sz w:val="20"/>
                <w:szCs w:val="20"/>
                <w:color w:val="auto"/>
              </w:rPr>
            </w:pPr>
            <w:r>
              <w:rPr>
                <w:rFonts w:ascii="Arial" w:cs="Arial" w:eastAsia="Arial" w:hAnsi="Arial"/>
                <w:sz w:val="15"/>
                <w:szCs w:val="15"/>
                <w:color w:val="auto"/>
              </w:rPr>
              <w:t>2.08</w:t>
            </w:r>
          </w:p>
        </w:tc>
        <w:tc>
          <w:tcPr>
            <w:tcW w:w="0" w:type="dxa"/>
            <w:vAlign w:val="bottom"/>
          </w:tcPr>
          <w:p>
            <w:pPr>
              <w:spacing w:after="0"/>
              <w:rPr>
                <w:sz w:val="1"/>
                <w:szCs w:val="1"/>
                <w:color w:val="auto"/>
              </w:rPr>
            </w:pPr>
          </w:p>
        </w:tc>
      </w:tr>
      <w:tr>
        <w:trPr>
          <w:trHeight w:val="335"/>
        </w:trPr>
        <w:tc>
          <w:tcPr>
            <w:tcW w:w="33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Total interest-bearing liabilities</w:t>
            </w:r>
          </w:p>
        </w:tc>
        <w:tc>
          <w:tcPr>
            <w:tcW w:w="100" w:type="dxa"/>
            <w:vAlign w:val="bottom"/>
          </w:tcPr>
          <w:p>
            <w:pPr>
              <w:spacing w:after="0"/>
              <w:rPr>
                <w:sz w:val="24"/>
                <w:szCs w:val="24"/>
                <w:color w:val="auto"/>
              </w:rPr>
            </w:pPr>
          </w:p>
        </w:tc>
        <w:tc>
          <w:tcPr>
            <w:tcW w:w="2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4,217,711</w:t>
            </w:r>
          </w:p>
        </w:tc>
        <w:tc>
          <w:tcPr>
            <w:tcW w:w="120" w:type="dxa"/>
            <w:vAlign w:val="bottom"/>
          </w:tcPr>
          <w:p>
            <w:pPr>
              <w:spacing w:after="0"/>
              <w:rPr>
                <w:sz w:val="24"/>
                <w:szCs w:val="24"/>
                <w:color w:val="auto"/>
              </w:rPr>
            </w:pPr>
          </w:p>
        </w:tc>
        <w:tc>
          <w:tcPr>
            <w:tcW w:w="18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w:t>
            </w: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(27,305)</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2.59 %</w:t>
            </w:r>
          </w:p>
        </w:tc>
        <w:tc>
          <w:tcPr>
            <w:tcW w:w="100" w:type="dxa"/>
            <w:vAlign w:val="bottom"/>
          </w:tcPr>
          <w:p>
            <w:pPr>
              <w:spacing w:after="0"/>
              <w:rPr>
                <w:sz w:val="24"/>
                <w:szCs w:val="24"/>
                <w:color w:val="auto"/>
              </w:rPr>
            </w:pPr>
          </w:p>
        </w:tc>
        <w:tc>
          <w:tcPr>
            <w:tcW w:w="1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4,180,703</w:t>
            </w:r>
          </w:p>
        </w:tc>
        <w:tc>
          <w:tcPr>
            <w:tcW w:w="100" w:type="dxa"/>
            <w:vAlign w:val="bottom"/>
          </w:tcPr>
          <w:p>
            <w:pPr>
              <w:spacing w:after="0"/>
              <w:rPr>
                <w:sz w:val="24"/>
                <w:szCs w:val="24"/>
                <w:color w:val="auto"/>
              </w:rPr>
            </w:pPr>
          </w:p>
        </w:tc>
        <w:tc>
          <w:tcPr>
            <w:tcW w:w="1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(21,647)</w:t>
            </w:r>
          </w:p>
        </w:tc>
        <w:tc>
          <w:tcPr>
            <w:tcW w:w="1360" w:type="dxa"/>
            <w:vAlign w:val="bottom"/>
          </w:tcPr>
          <w:p>
            <w:pPr>
              <w:ind w:left="860"/>
              <w:spacing w:after="0"/>
              <w:rPr>
                <w:sz w:val="20"/>
                <w:szCs w:val="20"/>
                <w:color w:val="auto"/>
              </w:rPr>
            </w:pPr>
            <w:r>
              <w:rPr>
                <w:rFonts w:ascii="Arial" w:cs="Arial" w:eastAsia="Arial" w:hAnsi="Arial"/>
                <w:sz w:val="15"/>
                <w:szCs w:val="15"/>
                <w:color w:val="auto"/>
              </w:rPr>
              <w:t>2.07 %</w:t>
            </w:r>
          </w:p>
        </w:tc>
        <w:tc>
          <w:tcPr>
            <w:tcW w:w="0" w:type="dxa"/>
            <w:vAlign w:val="bottom"/>
          </w:tcPr>
          <w:p>
            <w:pPr>
              <w:spacing w:after="0"/>
              <w:rPr>
                <w:sz w:val="1"/>
                <w:szCs w:val="1"/>
                <w:color w:val="auto"/>
              </w:rPr>
            </w:pPr>
          </w:p>
        </w:tc>
      </w:tr>
      <w:tr>
        <w:trPr>
          <w:trHeight w:val="20"/>
        </w:trPr>
        <w:tc>
          <w:tcPr>
            <w:tcW w:w="33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30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7,035</w:t>
            </w: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960" w:type="dxa"/>
            <w:vAlign w:val="bottom"/>
            <w:tcBorders>
              <w:bottom w:val="single" w:sz="8" w:color="2C6937"/>
            </w:tcBorders>
          </w:tcPr>
          <w:p>
            <w:pPr>
              <w:spacing w:after="0" w:line="20" w:lineRule="exact"/>
              <w:rPr>
                <w:sz w:val="1"/>
                <w:szCs w:val="1"/>
                <w:color w:val="auto"/>
              </w:rPr>
            </w:pPr>
          </w:p>
        </w:tc>
        <w:tc>
          <w:tcPr>
            <w:tcW w:w="280" w:type="dxa"/>
            <w:vAlign w:val="bottom"/>
            <w:gridSpan w:val="2"/>
            <w:vMerge w:val="restart"/>
          </w:tcPr>
          <w:p>
            <w:pPr>
              <w:ind w:left="120"/>
              <w:spacing w:after="0"/>
              <w:rPr>
                <w:sz w:val="20"/>
                <w:szCs w:val="20"/>
                <w:color w:val="auto"/>
              </w:rPr>
            </w:pPr>
            <w:r>
              <w:rPr>
                <w:rFonts w:ascii="Arial" w:cs="Arial" w:eastAsia="Arial" w:hAnsi="Arial"/>
                <w:sz w:val="15"/>
                <w:szCs w:val="15"/>
                <w:color w:val="auto"/>
              </w:rPr>
              <w:t>$</w:t>
            </w:r>
          </w:p>
        </w:tc>
        <w:tc>
          <w:tcPr>
            <w:tcW w:w="1080" w:type="dxa"/>
            <w:vAlign w:val="bottom"/>
            <w:vMerge w:val="restart"/>
          </w:tcPr>
          <w:p>
            <w:pPr>
              <w:jc w:val="right"/>
              <w:ind w:right="3"/>
              <w:spacing w:after="0"/>
              <w:rPr>
                <w:sz w:val="20"/>
                <w:szCs w:val="20"/>
                <w:color w:val="auto"/>
              </w:rPr>
            </w:pPr>
            <w:r>
              <w:rPr>
                <w:rFonts w:ascii="Arial" w:cs="Arial" w:eastAsia="Arial" w:hAnsi="Arial"/>
                <w:sz w:val="15"/>
                <w:szCs w:val="15"/>
                <w:color w:val="auto"/>
              </w:rPr>
              <w:t>7,808</w:t>
            </w: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Net interest income/net interest yield</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0.66 %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1360" w:type="dxa"/>
            <w:vAlign w:val="bottom"/>
          </w:tcPr>
          <w:p>
            <w:pPr>
              <w:ind w:left="860"/>
              <w:spacing w:after="0"/>
              <w:rPr>
                <w:sz w:val="20"/>
                <w:szCs w:val="20"/>
                <w:color w:val="auto"/>
              </w:rPr>
            </w:pPr>
            <w:r>
              <w:rPr>
                <w:rFonts w:ascii="Arial" w:cs="Arial" w:eastAsia="Arial" w:hAnsi="Arial"/>
                <w:sz w:val="15"/>
                <w:szCs w:val="15"/>
                <w:color w:val="auto"/>
              </w:rPr>
              <w:t>0.74 %</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060" w:type="dxa"/>
            <w:vAlign w:val="bottom"/>
            <w:tcBorders>
              <w:top w:val="single" w:sz="8" w:color="2C6937"/>
              <w:bottom w:val="single" w:sz="8" w:color="2C6937"/>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080" w:type="dxa"/>
            <w:vAlign w:val="bottom"/>
            <w:tcBorders>
              <w:top w:val="single" w:sz="8" w:color="2C6937"/>
              <w:bottom w:val="single" w:sz="8" w:color="2C6937"/>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12</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840" w:type="dxa"/>
            <w:vAlign w:val="bottom"/>
            <w:tcBorders>
              <w:bottom w:val="single" w:sz="8" w:color="9A9A9A"/>
            </w:tcBorders>
          </w:tcPr>
          <w:p>
            <w:pPr>
              <w:spacing w:after="0"/>
              <w:rPr>
                <w:sz w:val="18"/>
                <w:szCs w:val="18"/>
                <w:color w:val="auto"/>
              </w:rPr>
            </w:pPr>
          </w:p>
        </w:tc>
        <w:tc>
          <w:tcPr>
            <w:tcW w:w="42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5" w:name="page16"/>
    <w:bookmarkEnd w:id="15"/>
    <w:p>
      <w:pPr>
        <w:ind w:left="846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60" w:type="dxa"/>
            <w:vAlign w:val="bottom"/>
            <w:tcBorders>
              <w:bottom w:val="single" w:sz="8" w:color="2C6937"/>
            </w:tcBorders>
          </w:tcPr>
          <w:p>
            <w:pPr>
              <w:spacing w:after="0"/>
              <w:rPr>
                <w:sz w:val="18"/>
                <w:szCs w:val="18"/>
                <w:color w:val="auto"/>
              </w:rPr>
            </w:pPr>
          </w:p>
        </w:tc>
        <w:tc>
          <w:tcPr>
            <w:tcW w:w="2720" w:type="dxa"/>
            <w:vAlign w:val="bottom"/>
            <w:tcBorders>
              <w:bottom w:val="single" w:sz="8" w:color="2C6937"/>
            </w:tcBorders>
            <w:gridSpan w:val="5"/>
          </w:tcPr>
          <w:p>
            <w:pPr>
              <w:ind w:left="140"/>
              <w:spacing w:after="0"/>
              <w:rPr>
                <w:sz w:val="20"/>
                <w:szCs w:val="20"/>
                <w:color w:val="auto"/>
              </w:rPr>
            </w:pPr>
            <w:r>
              <w:rPr>
                <w:rFonts w:ascii="Arial" w:cs="Arial" w:eastAsia="Arial" w:hAnsi="Arial"/>
                <w:sz w:val="15"/>
                <w:szCs w:val="15"/>
                <w:b w:val="1"/>
                <w:bCs w:val="1"/>
                <w:color w:val="auto"/>
              </w:rPr>
              <w:t>For the Six Months Ended June 30,</w:t>
            </w: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spacing w:after="0"/>
              <w:rPr>
                <w:sz w:val="18"/>
                <w:szCs w:val="18"/>
                <w:color w:val="auto"/>
              </w:rPr>
            </w:pPr>
          </w:p>
        </w:tc>
        <w:tc>
          <w:tcPr>
            <w:tcW w:w="1360" w:type="dxa"/>
            <w:vAlign w:val="bottom"/>
            <w:tcBorders>
              <w:bottom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ind w:right="303"/>
              <w:spacing w:after="0"/>
              <w:rPr>
                <w:sz w:val="20"/>
                <w:szCs w:val="20"/>
                <w:color w:val="auto"/>
              </w:rPr>
            </w:pPr>
            <w:r>
              <w:rPr>
                <w:rFonts w:ascii="Arial" w:cs="Arial" w:eastAsia="Arial" w:hAnsi="Arial"/>
                <w:sz w:val="15"/>
                <w:szCs w:val="15"/>
                <w:b w:val="1"/>
                <w:bCs w:val="1"/>
                <w:color w:val="auto"/>
              </w:rPr>
              <w:t>2023</w:t>
            </w:r>
          </w:p>
        </w:tc>
        <w:tc>
          <w:tcPr>
            <w:tcW w:w="138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ind w:right="323"/>
              <w:spacing w:after="0"/>
              <w:rPr>
                <w:sz w:val="20"/>
                <w:szCs w:val="20"/>
                <w:color w:val="auto"/>
              </w:rPr>
            </w:pPr>
            <w:r>
              <w:rPr>
                <w:rFonts w:ascii="Arial" w:cs="Arial" w:eastAsia="Arial" w:hAnsi="Arial"/>
                <w:sz w:val="15"/>
                <w:szCs w:val="15"/>
                <w:b w:val="1"/>
                <w:bCs w:val="1"/>
                <w:color w:val="auto"/>
              </w:rPr>
              <w:t>2022</w:t>
            </w:r>
          </w:p>
        </w:tc>
        <w:tc>
          <w:tcPr>
            <w:tcW w:w="136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3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83"/>
              <w:spacing w:after="0"/>
              <w:rPr>
                <w:sz w:val="20"/>
                <w:szCs w:val="20"/>
                <w:color w:val="auto"/>
              </w:rPr>
            </w:pPr>
            <w:r>
              <w:rPr>
                <w:rFonts w:ascii="Arial" w:cs="Arial" w:eastAsia="Arial" w:hAnsi="Arial"/>
                <w:sz w:val="15"/>
                <w:szCs w:val="15"/>
                <w:b w:val="1"/>
                <w:bCs w:val="1"/>
                <w:color w:val="auto"/>
              </w:rPr>
              <w:t>Average</w:t>
            </w:r>
          </w:p>
        </w:tc>
        <w:tc>
          <w:tcPr>
            <w:tcW w:w="120" w:type="dxa"/>
            <w:vAlign w:val="bottom"/>
          </w:tcPr>
          <w:p>
            <w:pPr>
              <w:spacing w:after="0"/>
              <w:rPr>
                <w:sz w:val="22"/>
                <w:szCs w:val="22"/>
                <w:color w:val="auto"/>
              </w:rPr>
            </w:pPr>
          </w:p>
        </w:tc>
        <w:tc>
          <w:tcPr>
            <w:tcW w:w="1240" w:type="dxa"/>
            <w:vAlign w:val="bottom"/>
            <w:gridSpan w:val="2"/>
          </w:tcPr>
          <w:p>
            <w:pPr>
              <w:ind w:left="20"/>
              <w:spacing w:after="0"/>
              <w:rPr>
                <w:sz w:val="20"/>
                <w:szCs w:val="20"/>
                <w:color w:val="auto"/>
              </w:rPr>
            </w:pPr>
            <w:r>
              <w:rPr>
                <w:rFonts w:ascii="Arial" w:cs="Arial" w:eastAsia="Arial" w:hAnsi="Arial"/>
                <w:sz w:val="15"/>
                <w:szCs w:val="15"/>
                <w:b w:val="1"/>
                <w:bCs w:val="1"/>
                <w:color w:val="auto"/>
              </w:rPr>
              <w:t>Interest Income/</w:t>
            </w:r>
          </w:p>
        </w:tc>
        <w:tc>
          <w:tcPr>
            <w:tcW w:w="1380" w:type="dxa"/>
            <w:vAlign w:val="bottom"/>
          </w:tcPr>
          <w:p>
            <w:pPr>
              <w:ind w:left="200"/>
              <w:spacing w:after="0"/>
              <w:rPr>
                <w:sz w:val="20"/>
                <w:szCs w:val="20"/>
                <w:color w:val="auto"/>
              </w:rPr>
            </w:pPr>
            <w:r>
              <w:rPr>
                <w:rFonts w:ascii="Arial" w:cs="Arial" w:eastAsia="Arial" w:hAnsi="Arial"/>
                <w:sz w:val="15"/>
                <w:szCs w:val="15"/>
                <w:b w:val="1"/>
                <w:bCs w:val="1"/>
                <w:color w:val="auto"/>
              </w:rPr>
              <w:t>Average Rates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ind w:left="80"/>
              <w:spacing w:after="0"/>
              <w:rPr>
                <w:sz w:val="20"/>
                <w:szCs w:val="20"/>
                <w:color w:val="auto"/>
              </w:rPr>
            </w:pPr>
            <w:r>
              <w:rPr>
                <w:rFonts w:ascii="Arial" w:cs="Arial" w:eastAsia="Arial" w:hAnsi="Arial"/>
                <w:sz w:val="15"/>
                <w:szCs w:val="15"/>
                <w:b w:val="1"/>
                <w:bCs w:val="1"/>
                <w:color w:val="auto"/>
              </w:rPr>
              <w:t>Average</w:t>
            </w:r>
          </w:p>
        </w:tc>
        <w:tc>
          <w:tcPr>
            <w:tcW w:w="1260" w:type="dxa"/>
            <w:vAlign w:val="bottom"/>
            <w:gridSpan w:val="2"/>
          </w:tcPr>
          <w:p>
            <w:pPr>
              <w:ind w:left="40"/>
              <w:spacing w:after="0"/>
              <w:rPr>
                <w:sz w:val="20"/>
                <w:szCs w:val="20"/>
                <w:color w:val="auto"/>
              </w:rPr>
            </w:pPr>
            <w:r>
              <w:rPr>
                <w:rFonts w:ascii="Arial" w:cs="Arial" w:eastAsia="Arial" w:hAnsi="Arial"/>
                <w:sz w:val="15"/>
                <w:szCs w:val="15"/>
                <w:b w:val="1"/>
                <w:bCs w:val="1"/>
                <w:color w:val="auto"/>
              </w:rPr>
              <w:t>Interest Income/</w:t>
            </w:r>
          </w:p>
        </w:tc>
        <w:tc>
          <w:tcPr>
            <w:tcW w:w="1360" w:type="dxa"/>
            <w:vAlign w:val="bottom"/>
          </w:tcPr>
          <w:p>
            <w:pPr>
              <w:ind w:left="200"/>
              <w:spacing w:after="0"/>
              <w:rPr>
                <w:sz w:val="20"/>
                <w:szCs w:val="20"/>
                <w:color w:val="auto"/>
              </w:rPr>
            </w:pPr>
            <w:r>
              <w:rPr>
                <w:rFonts w:ascii="Arial" w:cs="Arial" w:eastAsia="Arial" w:hAnsi="Arial"/>
                <w:sz w:val="15"/>
                <w:szCs w:val="15"/>
                <w:b w:val="1"/>
                <w:bCs w:val="1"/>
                <w:color w:val="auto"/>
              </w:rPr>
              <w:t>Average Rates</w:t>
            </w:r>
          </w:p>
        </w:tc>
        <w:tc>
          <w:tcPr>
            <w:tcW w:w="0" w:type="dxa"/>
            <w:vAlign w:val="bottom"/>
          </w:tcPr>
          <w:p>
            <w:pPr>
              <w:spacing w:after="0"/>
              <w:rPr>
                <w:sz w:val="1"/>
                <w:szCs w:val="1"/>
                <w:color w:val="auto"/>
              </w:rPr>
            </w:pPr>
          </w:p>
        </w:tc>
      </w:tr>
      <w:tr>
        <w:trPr>
          <w:trHeight w:val="228"/>
        </w:trPr>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Balance</w:t>
            </w:r>
          </w:p>
        </w:tc>
        <w:tc>
          <w:tcPr>
            <w:tcW w:w="120" w:type="dxa"/>
            <w:vAlign w:val="bottom"/>
            <w:tcBorders>
              <w:bottom w:val="single" w:sz="8" w:color="2C6937"/>
            </w:tcBorders>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06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(Expense)</w:t>
            </w:r>
          </w:p>
        </w:tc>
        <w:tc>
          <w:tcPr>
            <w:tcW w:w="1380" w:type="dxa"/>
            <w:vAlign w:val="bottom"/>
            <w:tcBorders>
              <w:bottom w:val="single" w:sz="8" w:color="2C6937"/>
            </w:tcBorders>
          </w:tcPr>
          <w:p>
            <w:pPr>
              <w:ind w:left="300"/>
              <w:spacing w:after="0"/>
              <w:rPr>
                <w:sz w:val="20"/>
                <w:szCs w:val="20"/>
                <w:color w:val="auto"/>
              </w:rPr>
            </w:pPr>
            <w:r>
              <w:rPr>
                <w:rFonts w:ascii="Arial" w:cs="Arial" w:eastAsia="Arial" w:hAnsi="Arial"/>
                <w:sz w:val="15"/>
                <w:szCs w:val="15"/>
                <w:b w:val="1"/>
                <w:bCs w:val="1"/>
                <w:color w:val="auto"/>
              </w:rPr>
              <w:t>Earned/Paid</w:t>
            </w:r>
          </w:p>
        </w:tc>
        <w:tc>
          <w:tcPr>
            <w:tcW w:w="100" w:type="dxa"/>
            <w:vAlign w:val="bottom"/>
            <w:tcBorders>
              <w:bottom w:val="single" w:sz="8" w:color="2C6937"/>
            </w:tcBorders>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060" w:type="dxa"/>
            <w:vAlign w:val="bottom"/>
            <w:tcBorders>
              <w:bottom w:val="single" w:sz="8" w:color="2C6937"/>
            </w:tcBorders>
            <w:gridSpan w:val="2"/>
          </w:tcPr>
          <w:p>
            <w:pPr>
              <w:ind w:left="100"/>
              <w:spacing w:after="0"/>
              <w:rPr>
                <w:sz w:val="20"/>
                <w:szCs w:val="20"/>
                <w:color w:val="auto"/>
              </w:rPr>
            </w:pPr>
            <w:r>
              <w:rPr>
                <w:rFonts w:ascii="Arial" w:cs="Arial" w:eastAsia="Arial" w:hAnsi="Arial"/>
                <w:sz w:val="15"/>
                <w:szCs w:val="15"/>
                <w:b w:val="1"/>
                <w:bCs w:val="1"/>
                <w:color w:val="auto"/>
              </w:rPr>
              <w:t>Balance</w:t>
            </w: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(Expense)</w:t>
            </w:r>
          </w:p>
        </w:tc>
        <w:tc>
          <w:tcPr>
            <w:tcW w:w="1360" w:type="dxa"/>
            <w:vAlign w:val="bottom"/>
            <w:tcBorders>
              <w:bottom w:val="single" w:sz="8" w:color="2C6937"/>
            </w:tcBorders>
          </w:tcPr>
          <w:p>
            <w:pPr>
              <w:ind w:left="280"/>
              <w:spacing w:after="0"/>
              <w:rPr>
                <w:sz w:val="20"/>
                <w:szCs w:val="20"/>
                <w:color w:val="auto"/>
              </w:rPr>
            </w:pPr>
            <w:r>
              <w:rPr>
                <w:rFonts w:ascii="Arial" w:cs="Arial" w:eastAsia="Arial" w:hAnsi="Arial"/>
                <w:sz w:val="15"/>
                <w:szCs w:val="15"/>
                <w:b w:val="1"/>
                <w:bCs w:val="1"/>
                <w:color w:val="auto"/>
              </w:rPr>
              <w:t>Earned/Paid</w:t>
            </w:r>
          </w:p>
        </w:tc>
        <w:tc>
          <w:tcPr>
            <w:tcW w:w="0" w:type="dxa"/>
            <w:vAlign w:val="bottom"/>
          </w:tcPr>
          <w:p>
            <w:pPr>
              <w:spacing w:after="0"/>
              <w:rPr>
                <w:sz w:val="1"/>
                <w:szCs w:val="1"/>
                <w:color w:val="auto"/>
              </w:rPr>
            </w:pPr>
          </w:p>
        </w:tc>
      </w:tr>
      <w:tr>
        <w:trPr>
          <w:trHeight w:val="303"/>
        </w:trPr>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720" w:type="dxa"/>
            <w:vAlign w:val="bottom"/>
            <w:gridSpan w:val="5"/>
          </w:tcPr>
          <w:p>
            <w:pPr>
              <w:ind w:left="700"/>
              <w:spacing w:after="0"/>
              <w:rPr>
                <w:sz w:val="20"/>
                <w:szCs w:val="20"/>
                <w:color w:val="auto"/>
              </w:rPr>
            </w:pPr>
            <w:r>
              <w:rPr>
                <w:rFonts w:ascii="Arial" w:cs="Arial" w:eastAsia="Arial" w:hAnsi="Arial"/>
                <w:sz w:val="15"/>
                <w:szCs w:val="15"/>
                <w:b w:val="1"/>
                <w:bCs w:val="1"/>
                <w:color w:val="auto"/>
              </w:rPr>
              <w:t>(Dollars in millions)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3400" w:type="dxa"/>
            <w:vAlign w:val="bottom"/>
            <w:gridSpan w:val="2"/>
          </w:tcPr>
          <w:p>
            <w:pPr>
              <w:ind w:left="20"/>
              <w:spacing w:after="0"/>
              <w:rPr>
                <w:sz w:val="20"/>
                <w:szCs w:val="20"/>
                <w:color w:val="auto"/>
              </w:rPr>
            </w:pPr>
            <w:r>
              <w:rPr>
                <w:rFonts w:ascii="Arial" w:cs="Arial" w:eastAsia="Arial" w:hAnsi="Arial"/>
                <w:sz w:val="15"/>
                <w:szCs w:val="15"/>
                <w:b w:val="1"/>
                <w:bCs w:val="1"/>
                <w:color w:val="auto"/>
              </w:rPr>
              <w:t>Interest-earning assets: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Mortgage loans of Fannie Mae</w:t>
            </w:r>
          </w:p>
        </w:tc>
        <w:tc>
          <w:tcPr>
            <w:tcW w:w="200" w:type="dxa"/>
            <w:vAlign w:val="bottom"/>
          </w:tcPr>
          <w:p>
            <w:pPr>
              <w:jc w:val="right"/>
              <w:ind w:right="3"/>
              <w:spacing w:after="0"/>
              <w:rPr>
                <w:sz w:val="20"/>
                <w:szCs w:val="20"/>
                <w:color w:val="auto"/>
              </w:rPr>
            </w:pPr>
            <w:r>
              <w:rPr>
                <w:rFonts w:ascii="Arial" w:cs="Arial" w:eastAsia="Arial" w:hAnsi="Arial"/>
                <w:sz w:val="15"/>
                <w:szCs w:val="15"/>
                <w:b w:val="1"/>
                <w:bCs w:val="1"/>
                <w:color w:val="auto"/>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52,251</w:t>
            </w:r>
          </w:p>
        </w:tc>
        <w:tc>
          <w:tcPr>
            <w:tcW w:w="300" w:type="dxa"/>
            <w:vAlign w:val="bottom"/>
            <w:gridSpan w:val="2"/>
          </w:tcPr>
          <w:p>
            <w:pPr>
              <w:ind w:left="140"/>
              <w:spacing w:after="0"/>
              <w:rPr>
                <w:sz w:val="20"/>
                <w:szCs w:val="20"/>
                <w:color w:val="auto"/>
              </w:rPr>
            </w:pPr>
            <w:r>
              <w:rPr>
                <w:rFonts w:ascii="Arial" w:cs="Arial" w:eastAsia="Arial" w:hAnsi="Arial"/>
                <w:sz w:val="15"/>
                <w:szCs w:val="15"/>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1,218</w:t>
            </w:r>
          </w:p>
        </w:tc>
        <w:tc>
          <w:tcPr>
            <w:tcW w:w="1380" w:type="dxa"/>
            <w:vAlign w:val="bottom"/>
          </w:tcPr>
          <w:p>
            <w:pPr>
              <w:ind w:left="860"/>
              <w:spacing w:after="0"/>
              <w:rPr>
                <w:sz w:val="20"/>
                <w:szCs w:val="20"/>
                <w:color w:val="auto"/>
              </w:rPr>
            </w:pPr>
            <w:r>
              <w:rPr>
                <w:rFonts w:ascii="Arial" w:cs="Arial" w:eastAsia="Arial" w:hAnsi="Arial"/>
                <w:sz w:val="15"/>
                <w:szCs w:val="15"/>
                <w:b w:val="1"/>
                <w:bCs w:val="1"/>
                <w:color w:val="auto"/>
              </w:rPr>
              <w:t>4.66 %</w:t>
            </w:r>
          </w:p>
        </w:tc>
        <w:tc>
          <w:tcPr>
            <w:tcW w:w="280" w:type="dxa"/>
            <w:vAlign w:val="bottom"/>
            <w:gridSpan w:val="2"/>
          </w:tcPr>
          <w:p>
            <w:pPr>
              <w:jc w:val="right"/>
              <w:ind w:right="3"/>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65,006</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1,574</w:t>
            </w:r>
          </w:p>
        </w:tc>
        <w:tc>
          <w:tcPr>
            <w:tcW w:w="1360" w:type="dxa"/>
            <w:vAlign w:val="bottom"/>
          </w:tcPr>
          <w:p>
            <w:pPr>
              <w:ind w:left="860"/>
              <w:spacing w:after="0"/>
              <w:rPr>
                <w:sz w:val="20"/>
                <w:szCs w:val="20"/>
                <w:color w:val="auto"/>
              </w:rPr>
            </w:pPr>
            <w:r>
              <w:rPr>
                <w:rFonts w:ascii="Arial" w:cs="Arial" w:eastAsia="Arial" w:hAnsi="Arial"/>
                <w:sz w:val="15"/>
                <w:szCs w:val="15"/>
                <w:color w:val="auto"/>
              </w:rPr>
              <w:t>4.84 %</w:t>
            </w:r>
          </w:p>
        </w:tc>
        <w:tc>
          <w:tcPr>
            <w:tcW w:w="0" w:type="dxa"/>
            <w:vAlign w:val="bottom"/>
          </w:tcPr>
          <w:p>
            <w:pPr>
              <w:spacing w:after="0"/>
              <w:rPr>
                <w:sz w:val="1"/>
                <w:szCs w:val="1"/>
                <w:color w:val="auto"/>
              </w:rPr>
            </w:pPr>
          </w:p>
        </w:tc>
      </w:tr>
      <w:tr>
        <w:trPr>
          <w:trHeight w:val="303"/>
        </w:trPr>
        <w:tc>
          <w:tcPr>
            <w:tcW w:w="3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Mortgage loans of consolidated trusts</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4,074,813</w:t>
            </w:r>
          </w:p>
        </w:tc>
        <w:tc>
          <w:tcPr>
            <w:tcW w:w="12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63,574</w:t>
            </w:r>
          </w:p>
        </w:tc>
        <w:tc>
          <w:tcPr>
            <w:tcW w:w="1380" w:type="dxa"/>
            <w:vAlign w:val="bottom"/>
          </w:tcPr>
          <w:p>
            <w:pPr>
              <w:ind w:left="860"/>
              <w:spacing w:after="0"/>
              <w:rPr>
                <w:sz w:val="20"/>
                <w:szCs w:val="20"/>
                <w:color w:val="auto"/>
              </w:rPr>
            </w:pPr>
            <w:r>
              <w:rPr>
                <w:rFonts w:ascii="Arial" w:cs="Arial" w:eastAsia="Arial" w:hAnsi="Arial"/>
                <w:sz w:val="15"/>
                <w:szCs w:val="15"/>
                <w:b w:val="1"/>
                <w:bCs w:val="1"/>
                <w:color w:val="auto"/>
              </w:rPr>
              <w:t>3.12</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3,983,347</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54,650</w:t>
            </w:r>
          </w:p>
        </w:tc>
        <w:tc>
          <w:tcPr>
            <w:tcW w:w="1360" w:type="dxa"/>
            <w:vAlign w:val="bottom"/>
          </w:tcPr>
          <w:p>
            <w:pPr>
              <w:ind w:left="860"/>
              <w:spacing w:after="0"/>
              <w:rPr>
                <w:sz w:val="20"/>
                <w:szCs w:val="20"/>
                <w:color w:val="auto"/>
              </w:rPr>
            </w:pPr>
            <w:r>
              <w:rPr>
                <w:rFonts w:ascii="Arial" w:cs="Arial" w:eastAsia="Arial" w:hAnsi="Arial"/>
                <w:sz w:val="15"/>
                <w:szCs w:val="15"/>
                <w:color w:val="auto"/>
              </w:rPr>
              <w:t>2.74</w:t>
            </w:r>
          </w:p>
        </w:tc>
        <w:tc>
          <w:tcPr>
            <w:tcW w:w="0" w:type="dxa"/>
            <w:vAlign w:val="bottom"/>
          </w:tcPr>
          <w:p>
            <w:pPr>
              <w:spacing w:after="0"/>
              <w:rPr>
                <w:sz w:val="1"/>
                <w:szCs w:val="1"/>
                <w:color w:val="auto"/>
              </w:rPr>
            </w:pPr>
          </w:p>
        </w:tc>
      </w:tr>
      <w:tr>
        <w:trPr>
          <w:trHeight w:val="353"/>
        </w:trPr>
        <w:tc>
          <w:tcPr>
            <w:tcW w:w="3400" w:type="dxa"/>
            <w:vAlign w:val="bottom"/>
            <w:gridSpan w:val="2"/>
          </w:tcPr>
          <w:p>
            <w:pPr>
              <w:ind w:left="320"/>
              <w:spacing w:after="0"/>
              <w:rPr>
                <w:sz w:val="20"/>
                <w:szCs w:val="20"/>
                <w:color w:val="auto"/>
              </w:rPr>
            </w:pPr>
            <w:r>
              <w:rPr>
                <w:rFonts w:ascii="Arial" w:cs="Arial" w:eastAsia="Arial" w:hAnsi="Arial"/>
                <w:sz w:val="15"/>
                <w:szCs w:val="15"/>
                <w:color w:val="auto"/>
              </w:rPr>
              <w:t>Total mortgage loans</w:t>
            </w:r>
            <w:r>
              <w:rPr>
                <w:rFonts w:ascii="Arial" w:cs="Arial" w:eastAsia="Arial" w:hAnsi="Arial"/>
                <w:sz w:val="20"/>
                <w:szCs w:val="20"/>
                <w:color w:val="auto"/>
                <w:vertAlign w:val="superscript"/>
              </w:rPr>
              <w:t>(2)</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4,127,064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64,792</w:t>
            </w:r>
          </w:p>
        </w:tc>
        <w:tc>
          <w:tcPr>
            <w:tcW w:w="1380" w:type="dxa"/>
            <w:vAlign w:val="bottom"/>
          </w:tcPr>
          <w:p>
            <w:pPr>
              <w:ind w:left="860"/>
              <w:spacing w:after="0"/>
              <w:rPr>
                <w:sz w:val="20"/>
                <w:szCs w:val="20"/>
                <w:color w:val="auto"/>
              </w:rPr>
            </w:pPr>
            <w:r>
              <w:rPr>
                <w:rFonts w:ascii="Arial" w:cs="Arial" w:eastAsia="Arial" w:hAnsi="Arial"/>
                <w:sz w:val="15"/>
                <w:szCs w:val="15"/>
                <w:b w:val="1"/>
                <w:bCs w:val="1"/>
                <w:color w:val="auto"/>
              </w:rPr>
              <w:t>3.14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4,048,353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56,224</w:t>
            </w:r>
          </w:p>
        </w:tc>
        <w:tc>
          <w:tcPr>
            <w:tcW w:w="1360" w:type="dxa"/>
            <w:vAlign w:val="bottom"/>
          </w:tcPr>
          <w:p>
            <w:pPr>
              <w:ind w:left="860"/>
              <w:spacing w:after="0"/>
              <w:rPr>
                <w:sz w:val="20"/>
                <w:szCs w:val="20"/>
                <w:color w:val="auto"/>
              </w:rPr>
            </w:pPr>
            <w:r>
              <w:rPr>
                <w:rFonts w:ascii="Arial" w:cs="Arial" w:eastAsia="Arial" w:hAnsi="Arial"/>
                <w:sz w:val="15"/>
                <w:szCs w:val="15"/>
                <w:color w:val="auto"/>
              </w:rPr>
              <w:t>2.78</w:t>
            </w:r>
          </w:p>
        </w:tc>
        <w:tc>
          <w:tcPr>
            <w:tcW w:w="0" w:type="dxa"/>
            <w:vAlign w:val="bottom"/>
          </w:tcPr>
          <w:p>
            <w:pPr>
              <w:spacing w:after="0"/>
              <w:rPr>
                <w:sz w:val="1"/>
                <w:szCs w:val="1"/>
                <w:color w:val="auto"/>
              </w:rPr>
            </w:pPr>
          </w:p>
        </w:tc>
      </w:tr>
      <w:tr>
        <w:trPr>
          <w:trHeight w:val="322"/>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Investments in securities</w:t>
            </w:r>
            <w:r>
              <w:rPr>
                <w:rFonts w:ascii="Arial" w:cs="Arial" w:eastAsia="Arial" w:hAnsi="Arial"/>
                <w:sz w:val="20"/>
                <w:szCs w:val="20"/>
                <w:color w:val="auto"/>
                <w:vertAlign w:val="superscript"/>
              </w:rPr>
              <w:t>(3)</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116,882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2,082</w:t>
            </w:r>
          </w:p>
        </w:tc>
        <w:tc>
          <w:tcPr>
            <w:tcW w:w="1380" w:type="dxa"/>
            <w:vAlign w:val="bottom"/>
          </w:tcPr>
          <w:p>
            <w:pPr>
              <w:ind w:left="860"/>
              <w:spacing w:after="0"/>
              <w:rPr>
                <w:sz w:val="20"/>
                <w:szCs w:val="20"/>
                <w:color w:val="auto"/>
              </w:rPr>
            </w:pPr>
            <w:r>
              <w:rPr>
                <w:rFonts w:ascii="Arial" w:cs="Arial" w:eastAsia="Arial" w:hAnsi="Arial"/>
                <w:sz w:val="15"/>
                <w:szCs w:val="15"/>
                <w:b w:val="1"/>
                <w:bCs w:val="1"/>
                <w:color w:val="auto"/>
              </w:rPr>
              <w:t>3.54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146,941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484</w:t>
            </w:r>
          </w:p>
        </w:tc>
        <w:tc>
          <w:tcPr>
            <w:tcW w:w="1360" w:type="dxa"/>
            <w:vAlign w:val="bottom"/>
          </w:tcPr>
          <w:p>
            <w:pPr>
              <w:ind w:left="860"/>
              <w:spacing w:after="0"/>
              <w:rPr>
                <w:sz w:val="20"/>
                <w:szCs w:val="20"/>
                <w:color w:val="auto"/>
              </w:rPr>
            </w:pPr>
            <w:r>
              <w:rPr>
                <w:rFonts w:ascii="Arial" w:cs="Arial" w:eastAsia="Arial" w:hAnsi="Arial"/>
                <w:sz w:val="15"/>
                <w:szCs w:val="15"/>
                <w:color w:val="auto"/>
              </w:rPr>
              <w:t>0.66</w:t>
            </w:r>
          </w:p>
        </w:tc>
        <w:tc>
          <w:tcPr>
            <w:tcW w:w="0" w:type="dxa"/>
            <w:vAlign w:val="bottom"/>
          </w:tcPr>
          <w:p>
            <w:pPr>
              <w:spacing w:after="0"/>
              <w:rPr>
                <w:sz w:val="1"/>
                <w:szCs w:val="1"/>
                <w:color w:val="auto"/>
              </w:rPr>
            </w:pPr>
          </w:p>
        </w:tc>
      </w:tr>
      <w:tr>
        <w:trPr>
          <w:trHeight w:val="238"/>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Securities purchased under agreements to</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400" w:type="dxa"/>
            <w:vAlign w:val="bottom"/>
            <w:gridSpan w:val="2"/>
          </w:tcPr>
          <w:p>
            <w:pPr>
              <w:ind w:left="320"/>
              <w:spacing w:after="0"/>
              <w:rPr>
                <w:sz w:val="20"/>
                <w:szCs w:val="20"/>
                <w:color w:val="auto"/>
              </w:rPr>
            </w:pPr>
            <w:r>
              <w:rPr>
                <w:rFonts w:ascii="Arial" w:cs="Arial" w:eastAsia="Arial" w:hAnsi="Arial"/>
                <w:sz w:val="15"/>
                <w:szCs w:val="15"/>
                <w:color w:val="auto"/>
              </w:rPr>
              <w:t>resell</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38,951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942</w:t>
            </w:r>
          </w:p>
        </w:tc>
        <w:tc>
          <w:tcPr>
            <w:tcW w:w="1380" w:type="dxa"/>
            <w:vAlign w:val="bottom"/>
          </w:tcPr>
          <w:p>
            <w:pPr>
              <w:ind w:left="860"/>
              <w:spacing w:after="0"/>
              <w:rPr>
                <w:sz w:val="20"/>
                <w:szCs w:val="20"/>
                <w:color w:val="auto"/>
              </w:rPr>
            </w:pPr>
            <w:r>
              <w:rPr>
                <w:rFonts w:ascii="Arial" w:cs="Arial" w:eastAsia="Arial" w:hAnsi="Arial"/>
                <w:sz w:val="15"/>
                <w:szCs w:val="15"/>
                <w:b w:val="1"/>
                <w:bCs w:val="1"/>
                <w:color w:val="auto"/>
              </w:rPr>
              <w:t>4.81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18,260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34</w:t>
            </w:r>
          </w:p>
        </w:tc>
        <w:tc>
          <w:tcPr>
            <w:tcW w:w="1360" w:type="dxa"/>
            <w:vAlign w:val="bottom"/>
          </w:tcPr>
          <w:p>
            <w:pPr>
              <w:ind w:left="860"/>
              <w:spacing w:after="0"/>
              <w:rPr>
                <w:sz w:val="20"/>
                <w:szCs w:val="20"/>
                <w:color w:val="auto"/>
              </w:rPr>
            </w:pPr>
            <w:r>
              <w:rPr>
                <w:rFonts w:ascii="Arial" w:cs="Arial" w:eastAsia="Arial" w:hAnsi="Arial"/>
                <w:sz w:val="15"/>
                <w:szCs w:val="15"/>
                <w:color w:val="auto"/>
              </w:rPr>
              <w:t>0.37</w:t>
            </w:r>
          </w:p>
        </w:tc>
        <w:tc>
          <w:tcPr>
            <w:tcW w:w="0" w:type="dxa"/>
            <w:vAlign w:val="bottom"/>
          </w:tcPr>
          <w:p>
            <w:pPr>
              <w:spacing w:after="0"/>
              <w:rPr>
                <w:sz w:val="1"/>
                <w:szCs w:val="1"/>
                <w:color w:val="auto"/>
              </w:rPr>
            </w:pPr>
          </w:p>
        </w:tc>
      </w:tr>
      <w:tr>
        <w:trPr>
          <w:trHeight w:val="303"/>
        </w:trPr>
        <w:tc>
          <w:tcPr>
            <w:tcW w:w="3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Advances to lenders</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3,082</w:t>
            </w:r>
          </w:p>
        </w:tc>
        <w:tc>
          <w:tcPr>
            <w:tcW w:w="12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94</w:t>
            </w:r>
          </w:p>
        </w:tc>
        <w:tc>
          <w:tcPr>
            <w:tcW w:w="1380" w:type="dxa"/>
            <w:vAlign w:val="bottom"/>
          </w:tcPr>
          <w:p>
            <w:pPr>
              <w:ind w:left="860"/>
              <w:spacing w:after="0"/>
              <w:rPr>
                <w:sz w:val="20"/>
                <w:szCs w:val="20"/>
                <w:color w:val="auto"/>
              </w:rPr>
            </w:pPr>
            <w:r>
              <w:rPr>
                <w:rFonts w:ascii="Arial" w:cs="Arial" w:eastAsia="Arial" w:hAnsi="Arial"/>
                <w:sz w:val="15"/>
                <w:szCs w:val="15"/>
                <w:b w:val="1"/>
                <w:bCs w:val="1"/>
                <w:color w:val="auto"/>
              </w:rPr>
              <w:t>6.07</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6,233</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53</w:t>
            </w:r>
          </w:p>
        </w:tc>
        <w:tc>
          <w:tcPr>
            <w:tcW w:w="1360" w:type="dxa"/>
            <w:vAlign w:val="bottom"/>
          </w:tcPr>
          <w:p>
            <w:pPr>
              <w:ind w:left="860"/>
              <w:spacing w:after="0"/>
              <w:rPr>
                <w:sz w:val="20"/>
                <w:szCs w:val="20"/>
                <w:color w:val="auto"/>
              </w:rPr>
            </w:pPr>
            <w:r>
              <w:rPr>
                <w:rFonts w:ascii="Arial" w:cs="Arial" w:eastAsia="Arial" w:hAnsi="Arial"/>
                <w:sz w:val="15"/>
                <w:szCs w:val="15"/>
                <w:color w:val="auto"/>
              </w:rPr>
              <w:t>1.69</w:t>
            </w:r>
          </w:p>
        </w:tc>
        <w:tc>
          <w:tcPr>
            <w:tcW w:w="0" w:type="dxa"/>
            <w:vAlign w:val="bottom"/>
          </w:tcPr>
          <w:p>
            <w:pPr>
              <w:spacing w:after="0"/>
              <w:rPr>
                <w:sz w:val="1"/>
                <w:szCs w:val="1"/>
                <w:color w:val="auto"/>
              </w:rPr>
            </w:pPr>
          </w:p>
        </w:tc>
      </w:tr>
      <w:tr>
        <w:trPr>
          <w:trHeight w:val="335"/>
        </w:trPr>
        <w:tc>
          <w:tcPr>
            <w:tcW w:w="33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Total interest-earning assets</w:t>
            </w:r>
          </w:p>
        </w:tc>
        <w:tc>
          <w:tcPr>
            <w:tcW w:w="100" w:type="dxa"/>
            <w:vAlign w:val="bottom"/>
          </w:tcPr>
          <w:p>
            <w:pPr>
              <w:spacing w:after="0"/>
              <w:rPr>
                <w:sz w:val="24"/>
                <w:szCs w:val="24"/>
                <w:color w:val="auto"/>
              </w:rPr>
            </w:pPr>
          </w:p>
        </w:tc>
        <w:tc>
          <w:tcPr>
            <w:tcW w:w="2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4,285,979</w:t>
            </w:r>
          </w:p>
        </w:tc>
        <w:tc>
          <w:tcPr>
            <w:tcW w:w="300" w:type="dxa"/>
            <w:vAlign w:val="bottom"/>
            <w:gridSpan w:val="2"/>
          </w:tcPr>
          <w:p>
            <w:pPr>
              <w:ind w:left="140"/>
              <w:spacing w:after="0"/>
              <w:rPr>
                <w:sz w:val="20"/>
                <w:szCs w:val="20"/>
                <w:color w:val="auto"/>
              </w:rPr>
            </w:pPr>
            <w:r>
              <w:rPr>
                <w:rFonts w:ascii="Arial" w:cs="Arial" w:eastAsia="Arial" w:hAnsi="Arial"/>
                <w:sz w:val="15"/>
                <w:szCs w:val="15"/>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67,910</w:t>
            </w:r>
          </w:p>
        </w:tc>
        <w:tc>
          <w:tcPr>
            <w:tcW w:w="1380" w:type="dxa"/>
            <w:vAlign w:val="bottom"/>
          </w:tcPr>
          <w:p>
            <w:pPr>
              <w:ind w:left="860"/>
              <w:spacing w:after="0"/>
              <w:rPr>
                <w:sz w:val="20"/>
                <w:szCs w:val="20"/>
                <w:color w:val="auto"/>
              </w:rPr>
            </w:pPr>
            <w:r>
              <w:rPr>
                <w:rFonts w:ascii="Arial" w:cs="Arial" w:eastAsia="Arial" w:hAnsi="Arial"/>
                <w:sz w:val="15"/>
                <w:szCs w:val="15"/>
                <w:b w:val="1"/>
                <w:bCs w:val="1"/>
                <w:color w:val="auto"/>
              </w:rPr>
              <w:t>3.17 %</w:t>
            </w:r>
          </w:p>
        </w:tc>
        <w:tc>
          <w:tcPr>
            <w:tcW w:w="100" w:type="dxa"/>
            <w:vAlign w:val="bottom"/>
          </w:tcPr>
          <w:p>
            <w:pPr>
              <w:spacing w:after="0"/>
              <w:rPr>
                <w:sz w:val="24"/>
                <w:szCs w:val="24"/>
                <w:color w:val="auto"/>
              </w:rPr>
            </w:pPr>
          </w:p>
        </w:tc>
        <w:tc>
          <w:tcPr>
            <w:tcW w:w="1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4,219,787</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56,795</w:t>
            </w:r>
          </w:p>
        </w:tc>
        <w:tc>
          <w:tcPr>
            <w:tcW w:w="1360" w:type="dxa"/>
            <w:vAlign w:val="bottom"/>
          </w:tcPr>
          <w:p>
            <w:pPr>
              <w:ind w:left="860"/>
              <w:spacing w:after="0"/>
              <w:rPr>
                <w:sz w:val="20"/>
                <w:szCs w:val="20"/>
                <w:color w:val="auto"/>
              </w:rPr>
            </w:pPr>
            <w:r>
              <w:rPr>
                <w:rFonts w:ascii="Arial" w:cs="Arial" w:eastAsia="Arial" w:hAnsi="Arial"/>
                <w:sz w:val="15"/>
                <w:szCs w:val="15"/>
                <w:color w:val="auto"/>
              </w:rPr>
              <w:t>2.69 %</w:t>
            </w:r>
          </w:p>
        </w:tc>
        <w:tc>
          <w:tcPr>
            <w:tcW w:w="0" w:type="dxa"/>
            <w:vAlign w:val="bottom"/>
          </w:tcPr>
          <w:p>
            <w:pPr>
              <w:spacing w:after="0"/>
              <w:rPr>
                <w:sz w:val="1"/>
                <w:szCs w:val="1"/>
                <w:color w:val="auto"/>
              </w:rPr>
            </w:pPr>
          </w:p>
        </w:tc>
      </w:tr>
      <w:tr>
        <w:trPr>
          <w:trHeight w:val="20"/>
        </w:trPr>
        <w:tc>
          <w:tcPr>
            <w:tcW w:w="33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2C6937"/>
            </w:tcBorders>
          </w:tcPr>
          <w:p>
            <w:pPr>
              <w:spacing w:after="0" w:line="20" w:lineRule="exact"/>
              <w:rPr>
                <w:sz w:val="1"/>
                <w:szCs w:val="1"/>
                <w:color w:val="auto"/>
              </w:rPr>
            </w:pPr>
          </w:p>
        </w:tc>
        <w:tc>
          <w:tcPr>
            <w:tcW w:w="1060" w:type="dxa"/>
            <w:vAlign w:val="bottom"/>
            <w:tcBorders>
              <w:top w:val="single" w:sz="8" w:color="2C6937"/>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9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tcBorders>
          </w:tcPr>
          <w:p>
            <w:pPr>
              <w:spacing w:after="0" w:line="20" w:lineRule="exact"/>
              <w:rPr>
                <w:sz w:val="1"/>
                <w:szCs w:val="1"/>
                <w:color w:val="auto"/>
              </w:rPr>
            </w:pPr>
          </w:p>
        </w:tc>
        <w:tc>
          <w:tcPr>
            <w:tcW w:w="1080" w:type="dxa"/>
            <w:vAlign w:val="bottom"/>
            <w:tcBorders>
              <w:top w:val="single" w:sz="8" w:color="2C6937"/>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3400" w:type="dxa"/>
            <w:vAlign w:val="bottom"/>
            <w:gridSpan w:val="2"/>
          </w:tcPr>
          <w:p>
            <w:pPr>
              <w:ind w:left="20"/>
              <w:spacing w:after="0"/>
              <w:rPr>
                <w:sz w:val="20"/>
                <w:szCs w:val="20"/>
                <w:color w:val="auto"/>
              </w:rPr>
            </w:pPr>
            <w:r>
              <w:rPr>
                <w:rFonts w:ascii="Arial" w:cs="Arial" w:eastAsia="Arial" w:hAnsi="Arial"/>
                <w:sz w:val="15"/>
                <w:szCs w:val="15"/>
                <w:b w:val="1"/>
                <w:bCs w:val="1"/>
                <w:color w:val="auto"/>
              </w:rPr>
              <w:t>Interest-bearing liabilities:</w:t>
            </w: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2"/>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Short-term funding debt</w:t>
            </w:r>
          </w:p>
        </w:tc>
        <w:tc>
          <w:tcPr>
            <w:tcW w:w="200" w:type="dxa"/>
            <w:vAlign w:val="bottom"/>
          </w:tcPr>
          <w:p>
            <w:pPr>
              <w:jc w:val="right"/>
              <w:ind w:right="3"/>
              <w:spacing w:after="0"/>
              <w:rPr>
                <w:sz w:val="20"/>
                <w:szCs w:val="20"/>
                <w:color w:val="auto"/>
              </w:rPr>
            </w:pPr>
            <w:r>
              <w:rPr>
                <w:rFonts w:ascii="Arial" w:cs="Arial" w:eastAsia="Arial" w:hAnsi="Arial"/>
                <w:sz w:val="15"/>
                <w:szCs w:val="15"/>
                <w:b w:val="1"/>
                <w:bCs w:val="1"/>
                <w:color w:val="auto"/>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12,733</w:t>
            </w:r>
          </w:p>
        </w:tc>
        <w:tc>
          <w:tcPr>
            <w:tcW w:w="300" w:type="dxa"/>
            <w:vAlign w:val="bottom"/>
            <w:gridSpan w:val="2"/>
          </w:tcPr>
          <w:p>
            <w:pPr>
              <w:ind w:left="140"/>
              <w:spacing w:after="0"/>
              <w:rPr>
                <w:sz w:val="20"/>
                <w:szCs w:val="20"/>
                <w:color w:val="auto"/>
              </w:rPr>
            </w:pPr>
            <w:r>
              <w:rPr>
                <w:rFonts w:ascii="Arial" w:cs="Arial" w:eastAsia="Arial" w:hAnsi="Arial"/>
                <w:sz w:val="15"/>
                <w:szCs w:val="15"/>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(302)</w:t>
            </w:r>
          </w:p>
        </w:tc>
        <w:tc>
          <w:tcPr>
            <w:tcW w:w="1380" w:type="dxa"/>
            <w:vAlign w:val="bottom"/>
          </w:tcPr>
          <w:p>
            <w:pPr>
              <w:ind w:left="860"/>
              <w:spacing w:after="0"/>
              <w:rPr>
                <w:sz w:val="20"/>
                <w:szCs w:val="20"/>
                <w:color w:val="auto"/>
              </w:rPr>
            </w:pPr>
            <w:r>
              <w:rPr>
                <w:rFonts w:ascii="Arial" w:cs="Arial" w:eastAsia="Arial" w:hAnsi="Arial"/>
                <w:sz w:val="15"/>
                <w:szCs w:val="15"/>
                <w:b w:val="1"/>
                <w:bCs w:val="1"/>
                <w:color w:val="auto"/>
              </w:rPr>
              <w:t>4.72 %</w:t>
            </w:r>
          </w:p>
        </w:tc>
        <w:tc>
          <w:tcPr>
            <w:tcW w:w="280" w:type="dxa"/>
            <w:vAlign w:val="bottom"/>
            <w:gridSpan w:val="2"/>
          </w:tcPr>
          <w:p>
            <w:pPr>
              <w:jc w:val="right"/>
              <w:ind w:right="3"/>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4,019</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(6)</w:t>
            </w:r>
          </w:p>
        </w:tc>
        <w:tc>
          <w:tcPr>
            <w:tcW w:w="1360" w:type="dxa"/>
            <w:vAlign w:val="bottom"/>
          </w:tcPr>
          <w:p>
            <w:pPr>
              <w:ind w:left="860"/>
              <w:spacing w:after="0"/>
              <w:rPr>
                <w:sz w:val="20"/>
                <w:szCs w:val="20"/>
                <w:color w:val="auto"/>
              </w:rPr>
            </w:pPr>
            <w:r>
              <w:rPr>
                <w:rFonts w:ascii="Arial" w:cs="Arial" w:eastAsia="Arial" w:hAnsi="Arial"/>
                <w:sz w:val="15"/>
                <w:szCs w:val="15"/>
                <w:color w:val="auto"/>
              </w:rPr>
              <w:t>0.30 %</w:t>
            </w:r>
          </w:p>
        </w:tc>
        <w:tc>
          <w:tcPr>
            <w:tcW w:w="0" w:type="dxa"/>
            <w:vAlign w:val="bottom"/>
          </w:tcPr>
          <w:p>
            <w:pPr>
              <w:spacing w:after="0"/>
              <w:rPr>
                <w:sz w:val="1"/>
                <w:szCs w:val="1"/>
                <w:color w:val="auto"/>
              </w:rPr>
            </w:pPr>
          </w:p>
        </w:tc>
      </w:tr>
      <w:tr>
        <w:trPr>
          <w:trHeight w:val="322"/>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Long-term funding debt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119,016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(1,744)</w:t>
            </w:r>
          </w:p>
        </w:tc>
        <w:tc>
          <w:tcPr>
            <w:tcW w:w="1380" w:type="dxa"/>
            <w:vAlign w:val="bottom"/>
          </w:tcPr>
          <w:p>
            <w:pPr>
              <w:ind w:left="860"/>
              <w:spacing w:after="0"/>
              <w:rPr>
                <w:sz w:val="20"/>
                <w:szCs w:val="20"/>
                <w:color w:val="auto"/>
              </w:rPr>
            </w:pPr>
            <w:r>
              <w:rPr>
                <w:rFonts w:ascii="Arial" w:cs="Arial" w:eastAsia="Arial" w:hAnsi="Arial"/>
                <w:sz w:val="15"/>
                <w:szCs w:val="15"/>
                <w:b w:val="1"/>
                <w:bCs w:val="1"/>
                <w:color w:val="auto"/>
              </w:rPr>
              <w:t>2.93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158,158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(1,089)</w:t>
            </w:r>
          </w:p>
        </w:tc>
        <w:tc>
          <w:tcPr>
            <w:tcW w:w="1360" w:type="dxa"/>
            <w:vAlign w:val="bottom"/>
          </w:tcPr>
          <w:p>
            <w:pPr>
              <w:ind w:left="860"/>
              <w:spacing w:after="0"/>
              <w:rPr>
                <w:sz w:val="20"/>
                <w:szCs w:val="20"/>
                <w:color w:val="auto"/>
              </w:rPr>
            </w:pPr>
            <w:r>
              <w:rPr>
                <w:rFonts w:ascii="Arial" w:cs="Arial" w:eastAsia="Arial" w:hAnsi="Arial"/>
                <w:sz w:val="15"/>
                <w:szCs w:val="15"/>
                <w:color w:val="auto"/>
              </w:rPr>
              <w:t>1.38</w:t>
            </w:r>
          </w:p>
        </w:tc>
        <w:tc>
          <w:tcPr>
            <w:tcW w:w="0" w:type="dxa"/>
            <w:vAlign w:val="bottom"/>
          </w:tcPr>
          <w:p>
            <w:pPr>
              <w:spacing w:after="0"/>
              <w:rPr>
                <w:sz w:val="1"/>
                <w:szCs w:val="1"/>
                <w:color w:val="auto"/>
              </w:rPr>
            </w:pPr>
          </w:p>
        </w:tc>
      </w:tr>
      <w:tr>
        <w:trPr>
          <w:trHeight w:val="303"/>
        </w:trPr>
        <w:tc>
          <w:tcPr>
            <w:tcW w:w="3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CAS debt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4,727</w:t>
            </w:r>
          </w:p>
        </w:tc>
        <w:tc>
          <w:tcPr>
            <w:tcW w:w="12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(232)</w:t>
            </w:r>
          </w:p>
        </w:tc>
        <w:tc>
          <w:tcPr>
            <w:tcW w:w="1380" w:type="dxa"/>
            <w:vAlign w:val="bottom"/>
          </w:tcPr>
          <w:p>
            <w:pPr>
              <w:ind w:left="860"/>
              <w:spacing w:after="0"/>
              <w:rPr>
                <w:sz w:val="20"/>
                <w:szCs w:val="20"/>
                <w:color w:val="auto"/>
              </w:rPr>
            </w:pPr>
            <w:r>
              <w:rPr>
                <w:rFonts w:ascii="Arial" w:cs="Arial" w:eastAsia="Arial" w:hAnsi="Arial"/>
                <w:sz w:val="15"/>
                <w:szCs w:val="15"/>
                <w:b w:val="1"/>
                <w:bCs w:val="1"/>
                <w:color w:val="auto"/>
              </w:rPr>
              <w:t>9.82</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10,444</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(247)</w:t>
            </w:r>
          </w:p>
        </w:tc>
        <w:tc>
          <w:tcPr>
            <w:tcW w:w="1360" w:type="dxa"/>
            <w:vAlign w:val="bottom"/>
          </w:tcPr>
          <w:p>
            <w:pPr>
              <w:ind w:left="860"/>
              <w:spacing w:after="0"/>
              <w:rPr>
                <w:sz w:val="20"/>
                <w:szCs w:val="20"/>
                <w:color w:val="auto"/>
              </w:rPr>
            </w:pPr>
            <w:r>
              <w:rPr>
                <w:rFonts w:ascii="Arial" w:cs="Arial" w:eastAsia="Arial" w:hAnsi="Arial"/>
                <w:sz w:val="15"/>
                <w:szCs w:val="15"/>
                <w:color w:val="auto"/>
              </w:rPr>
              <w:t>4.73</w:t>
            </w:r>
          </w:p>
        </w:tc>
        <w:tc>
          <w:tcPr>
            <w:tcW w:w="0" w:type="dxa"/>
            <w:vAlign w:val="bottom"/>
          </w:tcPr>
          <w:p>
            <w:pPr>
              <w:spacing w:after="0"/>
              <w:rPr>
                <w:sz w:val="1"/>
                <w:szCs w:val="1"/>
                <w:color w:val="auto"/>
              </w:rPr>
            </w:pPr>
          </w:p>
        </w:tc>
      </w:tr>
      <w:tr>
        <w:trPr>
          <w:trHeight w:val="322"/>
        </w:trPr>
        <w:tc>
          <w:tcPr>
            <w:tcW w:w="3400" w:type="dxa"/>
            <w:vAlign w:val="bottom"/>
            <w:gridSpan w:val="2"/>
          </w:tcPr>
          <w:p>
            <w:pPr>
              <w:ind w:left="320"/>
              <w:spacing w:after="0"/>
              <w:rPr>
                <w:sz w:val="20"/>
                <w:szCs w:val="20"/>
                <w:color w:val="auto"/>
              </w:rPr>
            </w:pPr>
            <w:r>
              <w:rPr>
                <w:rFonts w:ascii="Arial" w:cs="Arial" w:eastAsia="Arial" w:hAnsi="Arial"/>
                <w:sz w:val="15"/>
                <w:szCs w:val="15"/>
                <w:color w:val="auto"/>
              </w:rPr>
              <w:t>Total debt of Fannie Mae</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136,476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(2,278)</w:t>
            </w:r>
          </w:p>
        </w:tc>
        <w:tc>
          <w:tcPr>
            <w:tcW w:w="1380" w:type="dxa"/>
            <w:vAlign w:val="bottom"/>
          </w:tcPr>
          <w:p>
            <w:pPr>
              <w:ind w:left="860"/>
              <w:spacing w:after="0"/>
              <w:rPr>
                <w:sz w:val="20"/>
                <w:szCs w:val="20"/>
                <w:color w:val="auto"/>
              </w:rPr>
            </w:pPr>
            <w:r>
              <w:rPr>
                <w:rFonts w:ascii="Arial" w:cs="Arial" w:eastAsia="Arial" w:hAnsi="Arial"/>
                <w:sz w:val="15"/>
                <w:szCs w:val="15"/>
                <w:b w:val="1"/>
                <w:bCs w:val="1"/>
                <w:color w:val="auto"/>
              </w:rPr>
              <w:t>3.34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172,621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(1,342)</w:t>
            </w:r>
          </w:p>
        </w:tc>
        <w:tc>
          <w:tcPr>
            <w:tcW w:w="1360" w:type="dxa"/>
            <w:vAlign w:val="bottom"/>
          </w:tcPr>
          <w:p>
            <w:pPr>
              <w:ind w:left="860"/>
              <w:spacing w:after="0"/>
              <w:rPr>
                <w:sz w:val="20"/>
                <w:szCs w:val="20"/>
                <w:color w:val="auto"/>
              </w:rPr>
            </w:pPr>
            <w:r>
              <w:rPr>
                <w:rFonts w:ascii="Arial" w:cs="Arial" w:eastAsia="Arial" w:hAnsi="Arial"/>
                <w:sz w:val="15"/>
                <w:szCs w:val="15"/>
                <w:color w:val="auto"/>
              </w:rPr>
              <w:t>1.55</w:t>
            </w:r>
          </w:p>
        </w:tc>
        <w:tc>
          <w:tcPr>
            <w:tcW w:w="0" w:type="dxa"/>
            <w:vAlign w:val="bottom"/>
          </w:tcPr>
          <w:p>
            <w:pPr>
              <w:spacing w:after="0"/>
              <w:rPr>
                <w:sz w:val="1"/>
                <w:szCs w:val="1"/>
                <w:color w:val="auto"/>
              </w:rPr>
            </w:pPr>
          </w:p>
        </w:tc>
      </w:tr>
      <w:tr>
        <w:trPr>
          <w:trHeight w:val="269"/>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Debt securities of consolidated trusts held by</w:t>
            </w: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330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third parties</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4,078,066</w:t>
            </w:r>
          </w:p>
        </w:tc>
        <w:tc>
          <w:tcPr>
            <w:tcW w:w="12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(51,811)</w:t>
            </w:r>
          </w:p>
        </w:tc>
        <w:tc>
          <w:tcPr>
            <w:tcW w:w="1380" w:type="dxa"/>
            <w:vAlign w:val="bottom"/>
          </w:tcPr>
          <w:p>
            <w:pPr>
              <w:ind w:left="860"/>
              <w:spacing w:after="0"/>
              <w:rPr>
                <w:sz w:val="20"/>
                <w:szCs w:val="20"/>
                <w:color w:val="auto"/>
              </w:rPr>
            </w:pPr>
            <w:r>
              <w:rPr>
                <w:rFonts w:ascii="Arial" w:cs="Arial" w:eastAsia="Arial" w:hAnsi="Arial"/>
                <w:sz w:val="15"/>
                <w:szCs w:val="15"/>
                <w:b w:val="1"/>
                <w:bCs w:val="1"/>
                <w:color w:val="auto"/>
              </w:rPr>
              <w:t>2.54</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3,995,645</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(40,246)</w:t>
            </w:r>
          </w:p>
        </w:tc>
        <w:tc>
          <w:tcPr>
            <w:tcW w:w="1360" w:type="dxa"/>
            <w:vAlign w:val="bottom"/>
          </w:tcPr>
          <w:p>
            <w:pPr>
              <w:ind w:left="860"/>
              <w:spacing w:after="0"/>
              <w:rPr>
                <w:sz w:val="20"/>
                <w:szCs w:val="20"/>
                <w:color w:val="auto"/>
              </w:rPr>
            </w:pPr>
            <w:r>
              <w:rPr>
                <w:rFonts w:ascii="Arial" w:cs="Arial" w:eastAsia="Arial" w:hAnsi="Arial"/>
                <w:sz w:val="15"/>
                <w:szCs w:val="15"/>
                <w:color w:val="auto"/>
              </w:rPr>
              <w:t>2.01</w:t>
            </w:r>
          </w:p>
        </w:tc>
        <w:tc>
          <w:tcPr>
            <w:tcW w:w="0" w:type="dxa"/>
            <w:vAlign w:val="bottom"/>
          </w:tcPr>
          <w:p>
            <w:pPr>
              <w:spacing w:after="0"/>
              <w:rPr>
                <w:sz w:val="1"/>
                <w:szCs w:val="1"/>
                <w:color w:val="auto"/>
              </w:rPr>
            </w:pPr>
          </w:p>
        </w:tc>
      </w:tr>
      <w:tr>
        <w:trPr>
          <w:trHeight w:val="335"/>
        </w:trPr>
        <w:tc>
          <w:tcPr>
            <w:tcW w:w="33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Total interest-bearing liabilities</w:t>
            </w:r>
          </w:p>
        </w:tc>
        <w:tc>
          <w:tcPr>
            <w:tcW w:w="100" w:type="dxa"/>
            <w:vAlign w:val="bottom"/>
          </w:tcPr>
          <w:p>
            <w:pPr>
              <w:spacing w:after="0"/>
              <w:rPr>
                <w:sz w:val="24"/>
                <w:szCs w:val="24"/>
                <w:color w:val="auto"/>
              </w:rPr>
            </w:pPr>
          </w:p>
        </w:tc>
        <w:tc>
          <w:tcPr>
            <w:tcW w:w="2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4,214,542</w:t>
            </w:r>
          </w:p>
        </w:tc>
        <w:tc>
          <w:tcPr>
            <w:tcW w:w="120" w:type="dxa"/>
            <w:vAlign w:val="bottom"/>
          </w:tcPr>
          <w:p>
            <w:pPr>
              <w:spacing w:after="0"/>
              <w:rPr>
                <w:sz w:val="24"/>
                <w:szCs w:val="24"/>
                <w:color w:val="auto"/>
              </w:rPr>
            </w:pPr>
          </w:p>
        </w:tc>
        <w:tc>
          <w:tcPr>
            <w:tcW w:w="18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w:t>
            </w: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(54,089)</w:t>
            </w:r>
          </w:p>
        </w:tc>
        <w:tc>
          <w:tcPr>
            <w:tcW w:w="1380" w:type="dxa"/>
            <w:vAlign w:val="bottom"/>
          </w:tcPr>
          <w:p>
            <w:pPr>
              <w:ind w:left="860"/>
              <w:spacing w:after="0"/>
              <w:rPr>
                <w:sz w:val="20"/>
                <w:szCs w:val="20"/>
                <w:color w:val="auto"/>
              </w:rPr>
            </w:pPr>
            <w:r>
              <w:rPr>
                <w:rFonts w:ascii="Arial" w:cs="Arial" w:eastAsia="Arial" w:hAnsi="Arial"/>
                <w:sz w:val="15"/>
                <w:szCs w:val="15"/>
                <w:b w:val="1"/>
                <w:bCs w:val="1"/>
                <w:color w:val="auto"/>
              </w:rPr>
              <w:t>2.57 %</w:t>
            </w:r>
          </w:p>
        </w:tc>
        <w:tc>
          <w:tcPr>
            <w:tcW w:w="100" w:type="dxa"/>
            <w:vAlign w:val="bottom"/>
          </w:tcPr>
          <w:p>
            <w:pPr>
              <w:spacing w:after="0"/>
              <w:rPr>
                <w:sz w:val="24"/>
                <w:szCs w:val="24"/>
                <w:color w:val="auto"/>
              </w:rPr>
            </w:pPr>
          </w:p>
        </w:tc>
        <w:tc>
          <w:tcPr>
            <w:tcW w:w="1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4,168,266</w:t>
            </w:r>
          </w:p>
        </w:tc>
        <w:tc>
          <w:tcPr>
            <w:tcW w:w="100" w:type="dxa"/>
            <w:vAlign w:val="bottom"/>
          </w:tcPr>
          <w:p>
            <w:pPr>
              <w:spacing w:after="0"/>
              <w:rPr>
                <w:sz w:val="24"/>
                <w:szCs w:val="24"/>
                <w:color w:val="auto"/>
              </w:rPr>
            </w:pPr>
          </w:p>
        </w:tc>
        <w:tc>
          <w:tcPr>
            <w:tcW w:w="1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(41,588)</w:t>
            </w:r>
          </w:p>
        </w:tc>
        <w:tc>
          <w:tcPr>
            <w:tcW w:w="1360" w:type="dxa"/>
            <w:vAlign w:val="bottom"/>
          </w:tcPr>
          <w:p>
            <w:pPr>
              <w:ind w:left="860"/>
              <w:spacing w:after="0"/>
              <w:rPr>
                <w:sz w:val="20"/>
                <w:szCs w:val="20"/>
                <w:color w:val="auto"/>
              </w:rPr>
            </w:pPr>
            <w:r>
              <w:rPr>
                <w:rFonts w:ascii="Arial" w:cs="Arial" w:eastAsia="Arial" w:hAnsi="Arial"/>
                <w:sz w:val="15"/>
                <w:szCs w:val="15"/>
                <w:color w:val="auto"/>
              </w:rPr>
              <w:t>2.00 %</w:t>
            </w:r>
          </w:p>
        </w:tc>
        <w:tc>
          <w:tcPr>
            <w:tcW w:w="0" w:type="dxa"/>
            <w:vAlign w:val="bottom"/>
          </w:tcPr>
          <w:p>
            <w:pPr>
              <w:spacing w:after="0"/>
              <w:rPr>
                <w:sz w:val="1"/>
                <w:szCs w:val="1"/>
                <w:color w:val="auto"/>
              </w:rPr>
            </w:pPr>
          </w:p>
        </w:tc>
      </w:tr>
      <w:tr>
        <w:trPr>
          <w:trHeight w:val="20"/>
        </w:trPr>
        <w:tc>
          <w:tcPr>
            <w:tcW w:w="33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30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13,821</w:t>
            </w: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9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1080" w:type="dxa"/>
            <w:vAlign w:val="bottom"/>
            <w:vMerge w:val="restart"/>
          </w:tcPr>
          <w:p>
            <w:pPr>
              <w:jc w:val="right"/>
              <w:ind w:right="3"/>
              <w:spacing w:after="0"/>
              <w:rPr>
                <w:sz w:val="20"/>
                <w:szCs w:val="20"/>
                <w:color w:val="auto"/>
              </w:rPr>
            </w:pPr>
            <w:r>
              <w:rPr>
                <w:rFonts w:ascii="Arial" w:cs="Arial" w:eastAsia="Arial" w:hAnsi="Arial"/>
                <w:sz w:val="15"/>
                <w:szCs w:val="15"/>
                <w:color w:val="auto"/>
              </w:rPr>
              <w:t>15,207</w:t>
            </w: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Net interest income/net interest yield</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1380" w:type="dxa"/>
            <w:vAlign w:val="bottom"/>
          </w:tcPr>
          <w:p>
            <w:pPr>
              <w:ind w:left="860"/>
              <w:spacing w:after="0"/>
              <w:rPr>
                <w:sz w:val="20"/>
                <w:szCs w:val="20"/>
                <w:color w:val="auto"/>
              </w:rPr>
            </w:pPr>
            <w:r>
              <w:rPr>
                <w:rFonts w:ascii="Arial" w:cs="Arial" w:eastAsia="Arial" w:hAnsi="Arial"/>
                <w:sz w:val="15"/>
                <w:szCs w:val="15"/>
                <w:b w:val="1"/>
                <w:bCs w:val="1"/>
                <w:color w:val="auto"/>
              </w:rPr>
              <w:t>0.64 %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1360" w:type="dxa"/>
            <w:vAlign w:val="bottom"/>
          </w:tcPr>
          <w:p>
            <w:pPr>
              <w:ind w:left="860"/>
              <w:spacing w:after="0"/>
              <w:rPr>
                <w:sz w:val="20"/>
                <w:szCs w:val="20"/>
                <w:color w:val="auto"/>
              </w:rPr>
            </w:pPr>
            <w:r>
              <w:rPr>
                <w:rFonts w:ascii="Arial" w:cs="Arial" w:eastAsia="Arial" w:hAnsi="Arial"/>
                <w:sz w:val="15"/>
                <w:szCs w:val="15"/>
                <w:color w:val="auto"/>
              </w:rPr>
              <w:t>0.72 %</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060" w:type="dxa"/>
            <w:vAlign w:val="bottom"/>
            <w:tcBorders>
              <w:top w:val="single" w:sz="8" w:color="2C6937"/>
              <w:bottom w:val="single" w:sz="8" w:color="2C6937"/>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080" w:type="dxa"/>
            <w:vAlign w:val="bottom"/>
            <w:tcBorders>
              <w:top w:val="single" w:sz="8" w:color="2C6937"/>
              <w:bottom w:val="single" w:sz="8" w:color="2C6937"/>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220" w:hanging="217"/>
        <w:spacing w:after="0"/>
        <w:tabs>
          <w:tab w:leader="none" w:pos="22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Includes the effects of discounts, premiums and other cost basis adjustments.</w:t>
      </w:r>
    </w:p>
    <w:p>
      <w:pPr>
        <w:spacing w:after="0" w:line="41" w:lineRule="exact"/>
        <w:rPr>
          <w:rFonts w:ascii="Arial" w:cs="Arial" w:eastAsia="Arial" w:hAnsi="Arial"/>
          <w:sz w:val="18"/>
          <w:szCs w:val="18"/>
          <w:color w:val="auto"/>
          <w:vertAlign w:val="superscript"/>
        </w:rPr>
      </w:pPr>
    </w:p>
    <w:p>
      <w:pPr>
        <w:ind w:left="240" w:hanging="237"/>
        <w:spacing w:after="0" w:line="220" w:lineRule="auto"/>
        <w:tabs>
          <w:tab w:leader="none" w:pos="216"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Average balance includes mortgage loans on nonaccrual status. Interest income from yield maintenance revenue and the amortization of loan fees, primarily consisting of upfront cash fees, was $746 million and $1.4 billion, respectively, for the second quarter of 2023 and first half of 2023, compared with $1.4 billion and $3.2 billion, respectively, for the second quarter of 2022 and first half of 2022.</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Consists of cash, cash equivalents, U.S. Treasury securities and mortgage-related securities.</w:t>
      </w:r>
    </w:p>
    <w:p>
      <w:pPr>
        <w:spacing w:after="0" w:line="9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Deferred Amortization Income</w:t>
      </w:r>
    </w:p>
    <w:p>
      <w:pPr>
        <w:spacing w:after="0" w:line="71"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We initially recognize mortgage loans and debt of consolidated trusts in our condensed consolidated balance sheets at fair value. The difference between the initial fair value and the carrying value of these instruments is recorded as a cost basis adjustment, either as a premium or a discount, in our condensed consolidated balance sheets. We amortize these cost basis adjustments over the contractual lives of the loans or debt. On a net basis, for mortgage loans and debt of consolidated trusts, we are in a premium position with respect to debt of consolidated trusts, which represents deferred income we will recognize in our condensed consolidated statements of operations and comprehensive income as amortization income in future periods.</w:t>
      </w:r>
    </w:p>
    <w:p>
      <w:pPr>
        <w:spacing w:after="0" w:line="66" w:lineRule="exact"/>
        <w:rPr>
          <w:sz w:val="20"/>
          <w:szCs w:val="20"/>
          <w:color w:val="auto"/>
        </w:rPr>
      </w:pPr>
    </w:p>
    <w:p>
      <w:pPr>
        <w:ind w:left="2820"/>
        <w:spacing w:after="0"/>
        <w:rPr>
          <w:sz w:val="20"/>
          <w:szCs w:val="20"/>
          <w:color w:val="auto"/>
        </w:rPr>
      </w:pPr>
      <w:r>
        <w:rPr>
          <w:rFonts w:ascii="Arial" w:cs="Arial" w:eastAsia="Arial" w:hAnsi="Arial"/>
          <w:sz w:val="19"/>
          <w:szCs w:val="19"/>
          <w:b w:val="1"/>
          <w:bCs w:val="1"/>
          <w:color w:val="05314D"/>
        </w:rPr>
        <w:t>Deferred Amortization Income Represented by Net Premium Position</w:t>
      </w:r>
    </w:p>
    <w:p>
      <w:pPr>
        <w:spacing w:after="0" w:line="28" w:lineRule="exact"/>
        <w:rPr>
          <w:sz w:val="20"/>
          <w:szCs w:val="20"/>
          <w:color w:val="auto"/>
        </w:rPr>
      </w:pPr>
    </w:p>
    <w:p>
      <w:pPr>
        <w:ind w:left="4380"/>
        <w:spacing w:after="0"/>
        <w:rPr>
          <w:sz w:val="20"/>
          <w:szCs w:val="20"/>
          <w:color w:val="auto"/>
        </w:rPr>
      </w:pPr>
      <w:r>
        <w:rPr>
          <w:rFonts w:ascii="Arial" w:cs="Arial" w:eastAsia="Arial" w:hAnsi="Arial"/>
          <w:sz w:val="19"/>
          <w:szCs w:val="19"/>
          <w:b w:val="1"/>
          <w:bCs w:val="1"/>
          <w:color w:val="05314D"/>
        </w:rPr>
        <w:t>on Debt of Consolidated Trusts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5314D"/>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58420</wp:posOffset>
            </wp:positionV>
            <wp:extent cx="5452110" cy="11461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52110" cy="1146175"/>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1663065</wp:posOffset>
            </wp:positionV>
            <wp:extent cx="70072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0"/>
        <w:spacing w:after="0"/>
        <w:tabs>
          <w:tab w:leader="none" w:pos="10960" w:val="left"/>
        </w:tabs>
        <w:rPr>
          <w:sz w:val="20"/>
          <w:szCs w:val="20"/>
          <w:color w:val="auto"/>
        </w:rPr>
      </w:pPr>
      <w:r>
        <w:rPr>
          <w:rFonts w:ascii="Arial" w:cs="Arial" w:eastAsia="Arial" w:hAnsi="Arial"/>
          <w:sz w:val="14"/>
          <w:szCs w:val="14"/>
          <w:color w:val="05314D"/>
        </w:rPr>
        <w:t>Fannie Mae Second Quarter 2023 Form 10-Q</w:t>
      </w:r>
      <w:r>
        <w:rPr>
          <w:sz w:val="20"/>
          <w:szCs w:val="20"/>
          <w:color w:val="auto"/>
        </w:rPr>
        <w:tab/>
      </w:r>
      <w:r>
        <w:rPr>
          <w:rFonts w:ascii="Arial" w:cs="Arial" w:eastAsia="Arial" w:hAnsi="Arial"/>
          <w:sz w:val="11"/>
          <w:szCs w:val="11"/>
          <w:color w:val="05314D"/>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type w:val="continuous"/>
        </w:sectPr>
      </w:pPr>
    </w:p>
    <w:bookmarkStart w:id="16" w:name="page17"/>
    <w:bookmarkEnd w:id="16"/>
    <w:p>
      <w:pPr>
        <w:ind w:left="846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Fair Value Gains, Net</w:t>
      </w:r>
    </w:p>
    <w:p>
      <w:pPr>
        <w:spacing w:after="0" w:line="77"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The estimated fair value of our derivatives, trading securities and other financial instruments carried at fair value may fluctuate substantially from period to period because of changes in interest rates, the yield curve, spreads and implied volatility, as well as activity related to these financial instruments.</w:t>
      </w:r>
    </w:p>
    <w:p>
      <w:pPr>
        <w:spacing w:after="0" w:line="4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We apply fair value hedge accounting to reduce earnings volatility in our financial statements driven by changes in benchmark interest rates. Accordingly, we recognize the fair value gains and losses and the contractual interest income and expense associated with risk management derivatives designated in qualifying hedging relationships in net interest income. For more information about our hedge accounting program, see “Impact of Hedge Accounting on Fair Value Gains (Losses), Net” below and “Note 8, Derivative Instruments” in this report, as well as “Market Risk Management, including Interest-Rate Risk Management” and “Note 1, Summary of Significant Accounting Policies” in our 2022 Form 10-K.</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displays the components of our fair value gains and losses.</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Fair Value Gains, Net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960" w:type="dxa"/>
            <w:vAlign w:val="bottom"/>
            <w:tcBorders>
              <w:top w:val="single" w:sz="8" w:color="2C6937"/>
            </w:tcBorders>
          </w:tcPr>
          <w:p>
            <w:pPr>
              <w:spacing w:after="0"/>
              <w:rPr>
                <w:sz w:val="13"/>
                <w:szCs w:val="13"/>
                <w:color w:val="auto"/>
              </w:rPr>
            </w:pPr>
          </w:p>
        </w:tc>
        <w:tc>
          <w:tcPr>
            <w:tcW w:w="140" w:type="dxa"/>
            <w:vAlign w:val="bottom"/>
            <w:tcBorders>
              <w:top w:val="single" w:sz="8" w:color="2C6937"/>
            </w:tcBorders>
          </w:tcPr>
          <w:p>
            <w:pPr>
              <w:spacing w:after="0"/>
              <w:rPr>
                <w:sz w:val="13"/>
                <w:szCs w:val="13"/>
                <w:color w:val="auto"/>
              </w:rPr>
            </w:pPr>
          </w:p>
        </w:tc>
        <w:tc>
          <w:tcPr>
            <w:tcW w:w="2000" w:type="dxa"/>
            <w:vAlign w:val="bottom"/>
            <w:tcBorders>
              <w:top w:val="single" w:sz="8" w:color="2C6937"/>
            </w:tcBorders>
            <w:gridSpan w:val="5"/>
          </w:tcPr>
          <w:p>
            <w:pPr>
              <w:jc w:val="right"/>
              <w:spacing w:after="0" w:line="157" w:lineRule="exact"/>
              <w:rPr>
                <w:sz w:val="20"/>
                <w:szCs w:val="20"/>
                <w:color w:val="auto"/>
              </w:rPr>
            </w:pPr>
            <w:r>
              <w:rPr>
                <w:rFonts w:ascii="Arial" w:cs="Arial" w:eastAsia="Arial" w:hAnsi="Arial"/>
                <w:sz w:val="14"/>
                <w:szCs w:val="14"/>
                <w:b w:val="1"/>
                <w:bCs w:val="1"/>
                <w:color w:val="auto"/>
              </w:rPr>
              <w:t>For the Three Months Ended</w:t>
            </w:r>
          </w:p>
        </w:tc>
        <w:tc>
          <w:tcPr>
            <w:tcW w:w="140" w:type="dxa"/>
            <w:vAlign w:val="bottom"/>
            <w:tcBorders>
              <w:top w:val="single" w:sz="8" w:color="2C6937"/>
            </w:tcBorders>
          </w:tcPr>
          <w:p>
            <w:pPr>
              <w:spacing w:after="0"/>
              <w:rPr>
                <w:sz w:val="13"/>
                <w:szCs w:val="13"/>
                <w:color w:val="auto"/>
              </w:rPr>
            </w:pPr>
          </w:p>
        </w:tc>
        <w:tc>
          <w:tcPr>
            <w:tcW w:w="140" w:type="dxa"/>
            <w:vAlign w:val="bottom"/>
            <w:tcBorders>
              <w:top w:val="single" w:sz="8" w:color="2C6937"/>
            </w:tcBorders>
          </w:tcPr>
          <w:p>
            <w:pPr>
              <w:spacing w:after="0"/>
              <w:rPr>
                <w:sz w:val="13"/>
                <w:szCs w:val="13"/>
                <w:color w:val="auto"/>
              </w:rPr>
            </w:pPr>
          </w:p>
        </w:tc>
        <w:tc>
          <w:tcPr>
            <w:tcW w:w="1860" w:type="dxa"/>
            <w:vAlign w:val="bottom"/>
            <w:tcBorders>
              <w:top w:val="single" w:sz="8" w:color="2C6937"/>
            </w:tcBorders>
            <w:gridSpan w:val="4"/>
          </w:tcPr>
          <w:p>
            <w:pPr>
              <w:jc w:val="right"/>
              <w:ind w:right="63"/>
              <w:spacing w:after="0" w:line="157" w:lineRule="exact"/>
              <w:rPr>
                <w:sz w:val="20"/>
                <w:szCs w:val="20"/>
                <w:color w:val="auto"/>
              </w:rPr>
            </w:pPr>
            <w:r>
              <w:rPr>
                <w:rFonts w:ascii="Arial" w:cs="Arial" w:eastAsia="Arial" w:hAnsi="Arial"/>
                <w:sz w:val="14"/>
                <w:szCs w:val="14"/>
                <w:b w:val="1"/>
                <w:bCs w:val="1"/>
                <w:color w:val="auto"/>
                <w:w w:val="98"/>
              </w:rPr>
              <w:t>For the Six Months Ended</w:t>
            </w:r>
          </w:p>
        </w:tc>
      </w:tr>
      <w:tr>
        <w:trPr>
          <w:trHeight w:val="191"/>
        </w:trPr>
        <w:tc>
          <w:tcPr>
            <w:tcW w:w="6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1140" w:type="dxa"/>
            <w:vAlign w:val="bottom"/>
            <w:tcBorders>
              <w:bottom w:val="single" w:sz="8" w:color="2C6937"/>
            </w:tcBorders>
            <w:gridSpan w:val="3"/>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2C6937"/>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200" w:type="dxa"/>
            <w:vAlign w:val="bottom"/>
            <w:tcBorders>
              <w:bottom w:val="single" w:sz="8" w:color="2C6937"/>
            </w:tcBorders>
            <w:gridSpan w:val="3"/>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2C6937"/>
            </w:tcBorders>
          </w:tcPr>
          <w:p>
            <w:pPr>
              <w:spacing w:after="0"/>
              <w:rPr>
                <w:sz w:val="16"/>
                <w:szCs w:val="16"/>
                <w:color w:val="auto"/>
              </w:rPr>
            </w:pPr>
          </w:p>
        </w:tc>
      </w:tr>
      <w:tr>
        <w:trPr>
          <w:trHeight w:val="174"/>
        </w:trPr>
        <w:tc>
          <w:tcPr>
            <w:tcW w:w="6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720" w:type="dxa"/>
            <w:vAlign w:val="bottom"/>
            <w:tcBorders>
              <w:bottom w:val="single" w:sz="8" w:color="2C6937"/>
            </w:tcBorders>
          </w:tcPr>
          <w:p>
            <w:pPr>
              <w:jc w:val="right"/>
              <w:ind w:right="224"/>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2C6937"/>
            </w:tcBorders>
          </w:tcPr>
          <w:p>
            <w:pPr>
              <w:spacing w:after="0"/>
              <w:rPr>
                <w:sz w:val="15"/>
                <w:szCs w:val="15"/>
                <w:color w:val="auto"/>
              </w:rPr>
            </w:pPr>
          </w:p>
        </w:tc>
        <w:tc>
          <w:tcPr>
            <w:tcW w:w="260" w:type="dxa"/>
            <w:vAlign w:val="bottom"/>
            <w:tcBorders>
              <w:bottom w:val="single" w:sz="8" w:color="2C6937"/>
            </w:tcBorders>
          </w:tcPr>
          <w:p>
            <w:pPr>
              <w:spacing w:after="0"/>
              <w:rPr>
                <w:sz w:val="15"/>
                <w:szCs w:val="15"/>
                <w:color w:val="auto"/>
              </w:rPr>
            </w:pPr>
          </w:p>
        </w:tc>
        <w:tc>
          <w:tcPr>
            <w:tcW w:w="660" w:type="dxa"/>
            <w:vAlign w:val="bottom"/>
            <w:tcBorders>
              <w:bottom w:val="single" w:sz="8" w:color="2C6937"/>
            </w:tcBorders>
          </w:tcPr>
          <w:p>
            <w:pPr>
              <w:jc w:val="right"/>
              <w:ind w:right="224"/>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2C6937"/>
            </w:tcBorders>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800" w:type="dxa"/>
            <w:vAlign w:val="bottom"/>
            <w:tcBorders>
              <w:bottom w:val="single" w:sz="8" w:color="2C6937"/>
            </w:tcBorders>
          </w:tcPr>
          <w:p>
            <w:pPr>
              <w:jc w:val="right"/>
              <w:ind w:right="244"/>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2C6937"/>
            </w:tcBorders>
          </w:tcPr>
          <w:p>
            <w:pPr>
              <w:spacing w:after="0"/>
              <w:rPr>
                <w:sz w:val="15"/>
                <w:szCs w:val="15"/>
                <w:color w:val="auto"/>
              </w:rPr>
            </w:pPr>
          </w:p>
        </w:tc>
        <w:tc>
          <w:tcPr>
            <w:tcW w:w="260" w:type="dxa"/>
            <w:vAlign w:val="bottom"/>
            <w:tcBorders>
              <w:bottom w:val="single" w:sz="8" w:color="2C6937"/>
            </w:tcBorders>
          </w:tcPr>
          <w:p>
            <w:pPr>
              <w:spacing w:after="0"/>
              <w:rPr>
                <w:sz w:val="15"/>
                <w:szCs w:val="15"/>
                <w:color w:val="auto"/>
              </w:rPr>
            </w:pPr>
          </w:p>
        </w:tc>
        <w:tc>
          <w:tcPr>
            <w:tcW w:w="660" w:type="dxa"/>
            <w:vAlign w:val="bottom"/>
            <w:tcBorders>
              <w:bottom w:val="single" w:sz="8" w:color="2C6937"/>
            </w:tcBorders>
          </w:tcPr>
          <w:p>
            <w:pPr>
              <w:jc w:val="right"/>
              <w:ind w:right="223"/>
              <w:spacing w:after="0"/>
              <w:rPr>
                <w:sz w:val="20"/>
                <w:szCs w:val="20"/>
                <w:color w:val="auto"/>
              </w:rPr>
            </w:pPr>
            <w:r>
              <w:rPr>
                <w:rFonts w:ascii="Arial" w:cs="Arial" w:eastAsia="Arial" w:hAnsi="Arial"/>
                <w:sz w:val="14"/>
                <w:szCs w:val="14"/>
                <w:b w:val="1"/>
                <w:bCs w:val="1"/>
                <w:color w:val="auto"/>
              </w:rPr>
              <w:t>2022</w:t>
            </w:r>
          </w:p>
        </w:tc>
      </w:tr>
      <w:tr>
        <w:trPr>
          <w:trHeight w:val="185"/>
        </w:trPr>
        <w:tc>
          <w:tcPr>
            <w:tcW w:w="6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4"/>
          </w:tcPr>
          <w:p>
            <w:pPr>
              <w:jc w:val="right"/>
              <w:ind w:right="304"/>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2"/>
        </w:trPr>
        <w:tc>
          <w:tcPr>
            <w:tcW w:w="7100" w:type="dxa"/>
            <w:vAlign w:val="bottom"/>
            <w:gridSpan w:val="2"/>
          </w:tcPr>
          <w:p>
            <w:pPr>
              <w:ind w:left="20"/>
              <w:spacing w:after="0"/>
              <w:rPr>
                <w:sz w:val="20"/>
                <w:szCs w:val="20"/>
                <w:color w:val="auto"/>
              </w:rPr>
            </w:pPr>
            <w:r>
              <w:rPr>
                <w:rFonts w:ascii="Arial" w:cs="Arial" w:eastAsia="Arial" w:hAnsi="Arial"/>
                <w:sz w:val="15"/>
                <w:szCs w:val="15"/>
                <w:color w:val="auto"/>
              </w:rPr>
              <w:t>Risk management derivatives fair value gains (losses) attributable to:</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34"/>
        </w:trPr>
        <w:tc>
          <w:tcPr>
            <w:tcW w:w="7100" w:type="dxa"/>
            <w:vAlign w:val="bottom"/>
            <w:gridSpan w:val="2"/>
          </w:tcPr>
          <w:p>
            <w:pPr>
              <w:ind w:left="180"/>
              <w:spacing w:after="0"/>
              <w:rPr>
                <w:sz w:val="20"/>
                <w:szCs w:val="20"/>
                <w:color w:val="auto"/>
              </w:rPr>
            </w:pPr>
            <w:r>
              <w:rPr>
                <w:rFonts w:ascii="Arial" w:cs="Arial" w:eastAsia="Arial" w:hAnsi="Arial"/>
                <w:sz w:val="15"/>
                <w:szCs w:val="15"/>
                <w:color w:val="auto"/>
              </w:rPr>
              <w:t>Net contractual interest expense on interest-rate swaps</w:t>
            </w:r>
          </w:p>
        </w:tc>
        <w:tc>
          <w:tcPr>
            <w:tcW w:w="200" w:type="dxa"/>
            <w:vAlign w:val="bottom"/>
          </w:tcPr>
          <w:p>
            <w:pPr>
              <w:jc w:val="right"/>
              <w:ind w:right="26"/>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(394)</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(30)</w:t>
            </w:r>
          </w:p>
        </w:tc>
        <w:tc>
          <w:tcPr>
            <w:tcW w:w="28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(775)</w:t>
            </w:r>
          </w:p>
        </w:tc>
        <w:tc>
          <w:tcPr>
            <w:tcW w:w="4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206"/>
        </w:trPr>
        <w:tc>
          <w:tcPr>
            <w:tcW w:w="7100" w:type="dxa"/>
            <w:vAlign w:val="bottom"/>
            <w:gridSpan w:val="2"/>
          </w:tcPr>
          <w:p>
            <w:pPr>
              <w:ind w:left="180"/>
              <w:spacing w:after="0"/>
              <w:rPr>
                <w:sz w:val="20"/>
                <w:szCs w:val="20"/>
                <w:color w:val="auto"/>
              </w:rPr>
            </w:pPr>
            <w:r>
              <w:rPr>
                <w:rFonts w:ascii="Arial" w:cs="Arial" w:eastAsia="Arial" w:hAnsi="Arial"/>
                <w:sz w:val="15"/>
                <w:szCs w:val="15"/>
                <w:color w:val="auto"/>
              </w:rPr>
              <w:t>Net change in fair value during the period</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505</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(219)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b w:val="1"/>
                <w:bCs w:val="1"/>
                <w:color w:val="auto"/>
              </w:rPr>
              <w:t>692</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(1,702)</w:t>
            </w:r>
          </w:p>
        </w:tc>
      </w:tr>
      <w:tr>
        <w:trPr>
          <w:trHeight w:val="210"/>
        </w:trPr>
        <w:tc>
          <w:tcPr>
            <w:tcW w:w="6960" w:type="dxa"/>
            <w:vAlign w:val="bottom"/>
            <w:tcBorders>
              <w:bottom w:val="single" w:sz="8" w:color="2C6937"/>
            </w:tcBorders>
          </w:tcPr>
          <w:p>
            <w:pPr>
              <w:ind w:left="180"/>
              <w:spacing w:after="0" w:line="209" w:lineRule="exact"/>
              <w:rPr>
                <w:sz w:val="20"/>
                <w:szCs w:val="20"/>
                <w:color w:val="auto"/>
              </w:rPr>
            </w:pPr>
            <w:r>
              <w:rPr>
                <w:rFonts w:ascii="Arial" w:cs="Arial" w:eastAsia="Arial" w:hAnsi="Arial"/>
                <w:sz w:val="15"/>
                <w:szCs w:val="15"/>
                <w:color w:val="auto"/>
              </w:rPr>
              <w:t>Impact of hedge accounting</w:t>
            </w:r>
            <w:r>
              <w:rPr>
                <w:rFonts w:ascii="Arial" w:cs="Arial" w:eastAsia="Arial" w:hAnsi="Arial"/>
                <w:sz w:val="20"/>
                <w:szCs w:val="20"/>
                <w:color w:val="auto"/>
                <w:vertAlign w:val="superscript"/>
              </w:rPr>
              <w:t>(1)</w:t>
            </w:r>
          </w:p>
        </w:tc>
        <w:tc>
          <w:tcPr>
            <w:tcW w:w="1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637</w:t>
            </w:r>
          </w:p>
        </w:tc>
        <w:tc>
          <w:tcPr>
            <w:tcW w:w="16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233</w:t>
            </w:r>
          </w:p>
        </w:tc>
        <w:tc>
          <w:tcPr>
            <w:tcW w:w="14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0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622</w:t>
            </w:r>
          </w:p>
        </w:tc>
        <w:tc>
          <w:tcPr>
            <w:tcW w:w="14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1,491</w:t>
            </w:r>
          </w:p>
        </w:tc>
      </w:tr>
      <w:tr>
        <w:trPr>
          <w:trHeight w:val="235"/>
        </w:trPr>
        <w:tc>
          <w:tcPr>
            <w:tcW w:w="7100" w:type="dxa"/>
            <w:vAlign w:val="bottom"/>
            <w:gridSpan w:val="2"/>
          </w:tcPr>
          <w:p>
            <w:pPr>
              <w:ind w:left="320"/>
              <w:spacing w:after="0"/>
              <w:rPr>
                <w:sz w:val="20"/>
                <w:szCs w:val="20"/>
                <w:color w:val="auto"/>
              </w:rPr>
            </w:pPr>
            <w:r>
              <w:rPr>
                <w:rFonts w:ascii="Arial" w:cs="Arial" w:eastAsia="Arial" w:hAnsi="Arial"/>
                <w:sz w:val="15"/>
                <w:szCs w:val="15"/>
                <w:color w:val="auto"/>
              </w:rPr>
              <w:t>Risk management derivatives fair value gains (losses), net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748</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b w:val="1"/>
                <w:bCs w:val="1"/>
                <w:color w:val="auto"/>
              </w:rPr>
              <w:t>539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(213)</w:t>
            </w:r>
          </w:p>
        </w:tc>
      </w:tr>
      <w:tr>
        <w:trPr>
          <w:trHeight w:val="206"/>
        </w:trPr>
        <w:tc>
          <w:tcPr>
            <w:tcW w:w="7100" w:type="dxa"/>
            <w:vAlign w:val="bottom"/>
            <w:gridSpan w:val="2"/>
          </w:tcPr>
          <w:p>
            <w:pPr>
              <w:ind w:left="20"/>
              <w:spacing w:after="0"/>
              <w:rPr>
                <w:sz w:val="20"/>
                <w:szCs w:val="20"/>
                <w:color w:val="auto"/>
              </w:rPr>
            </w:pPr>
            <w:r>
              <w:rPr>
                <w:rFonts w:ascii="Arial" w:cs="Arial" w:eastAsia="Arial" w:hAnsi="Arial"/>
                <w:sz w:val="15"/>
                <w:szCs w:val="15"/>
                <w:color w:val="auto"/>
              </w:rPr>
              <w:t>Mortgage commitment derivatives fair value gains, net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198</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844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b w:val="1"/>
                <w:bCs w:val="1"/>
                <w:color w:val="auto"/>
              </w:rPr>
              <w:t>84</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2,416</w:t>
            </w:r>
          </w:p>
        </w:tc>
      </w:tr>
      <w:tr>
        <w:trPr>
          <w:trHeight w:val="210"/>
        </w:trPr>
        <w:tc>
          <w:tcPr>
            <w:tcW w:w="69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Credit enhancement derivatives fair value gains (losses), net</w:t>
            </w:r>
          </w:p>
        </w:tc>
        <w:tc>
          <w:tcPr>
            <w:tcW w:w="1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29</w:t>
            </w:r>
          </w:p>
        </w:tc>
        <w:tc>
          <w:tcPr>
            <w:tcW w:w="16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(29)</w:t>
            </w:r>
          </w:p>
        </w:tc>
        <w:tc>
          <w:tcPr>
            <w:tcW w:w="14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0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14</w:t>
            </w:r>
          </w:p>
        </w:tc>
        <w:tc>
          <w:tcPr>
            <w:tcW w:w="14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(51)</w:t>
            </w:r>
          </w:p>
        </w:tc>
      </w:tr>
      <w:tr>
        <w:trPr>
          <w:trHeight w:val="196"/>
        </w:trPr>
        <w:tc>
          <w:tcPr>
            <w:tcW w:w="7100" w:type="dxa"/>
            <w:vAlign w:val="bottom"/>
            <w:gridSpan w:val="2"/>
          </w:tcPr>
          <w:p>
            <w:pPr>
              <w:ind w:left="180"/>
              <w:spacing w:after="0"/>
              <w:rPr>
                <w:sz w:val="20"/>
                <w:szCs w:val="20"/>
                <w:color w:val="auto"/>
              </w:rPr>
            </w:pPr>
            <w:r>
              <w:rPr>
                <w:rFonts w:ascii="Arial" w:cs="Arial" w:eastAsia="Arial" w:hAnsi="Arial"/>
                <w:sz w:val="15"/>
                <w:szCs w:val="15"/>
                <w:color w:val="auto"/>
              </w:rPr>
              <w:t>Total derivatives fair value gains, net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975</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799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b w:val="1"/>
                <w:bCs w:val="1"/>
                <w:color w:val="auto"/>
              </w:rPr>
              <w:t>637</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2,152</w:t>
            </w:r>
          </w:p>
        </w:tc>
      </w:tr>
      <w:tr>
        <w:trPr>
          <w:trHeight w:val="206"/>
        </w:trPr>
        <w:tc>
          <w:tcPr>
            <w:tcW w:w="7100" w:type="dxa"/>
            <w:vAlign w:val="bottom"/>
            <w:gridSpan w:val="2"/>
          </w:tcPr>
          <w:p>
            <w:pPr>
              <w:ind w:left="20"/>
              <w:spacing w:after="0"/>
              <w:rPr>
                <w:sz w:val="20"/>
                <w:szCs w:val="20"/>
                <w:color w:val="auto"/>
              </w:rPr>
            </w:pPr>
            <w:r>
              <w:rPr>
                <w:rFonts w:ascii="Arial" w:cs="Arial" w:eastAsia="Arial" w:hAnsi="Arial"/>
                <w:sz w:val="15"/>
                <w:szCs w:val="15"/>
                <w:color w:val="auto"/>
              </w:rPr>
              <w:t>Trading securities gains (losses), net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(723)</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(665)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b w:val="1"/>
                <w:bCs w:val="1"/>
                <w:color w:val="auto"/>
              </w:rPr>
              <w:t>23</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(2,435)</w:t>
            </w:r>
          </w:p>
        </w:tc>
      </w:tr>
      <w:tr>
        <w:trPr>
          <w:trHeight w:val="206"/>
        </w:trPr>
        <w:tc>
          <w:tcPr>
            <w:tcW w:w="7100" w:type="dxa"/>
            <w:vAlign w:val="bottom"/>
            <w:gridSpan w:val="2"/>
          </w:tcPr>
          <w:p>
            <w:pPr>
              <w:ind w:left="20"/>
              <w:spacing w:after="0"/>
              <w:rPr>
                <w:sz w:val="20"/>
                <w:szCs w:val="20"/>
                <w:color w:val="auto"/>
              </w:rPr>
            </w:pPr>
            <w:r>
              <w:rPr>
                <w:rFonts w:ascii="Arial" w:cs="Arial" w:eastAsia="Arial" w:hAnsi="Arial"/>
                <w:sz w:val="15"/>
                <w:szCs w:val="15"/>
                <w:color w:val="auto"/>
              </w:rPr>
              <w:t>Long-term debt fair value gains (losses), net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219</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558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(50)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1,637</w:t>
            </w:r>
          </w:p>
        </w:tc>
      </w:tr>
      <w:tr>
        <w:trPr>
          <w:trHeight w:val="210"/>
        </w:trPr>
        <w:tc>
          <w:tcPr>
            <w:tcW w:w="6960" w:type="dxa"/>
            <w:vAlign w:val="bottom"/>
            <w:tcBorders>
              <w:bottom w:val="single" w:sz="8" w:color="2C6937"/>
            </w:tcBorders>
          </w:tcPr>
          <w:p>
            <w:pPr>
              <w:ind w:left="20"/>
              <w:spacing w:after="0" w:line="209" w:lineRule="exact"/>
              <w:rPr>
                <w:sz w:val="20"/>
                <w:szCs w:val="20"/>
                <w:color w:val="auto"/>
              </w:rPr>
            </w:pPr>
            <w:r>
              <w:rPr>
                <w:rFonts w:ascii="Arial" w:cs="Arial" w:eastAsia="Arial" w:hAnsi="Arial"/>
                <w:sz w:val="15"/>
                <w:szCs w:val="15"/>
                <w:color w:val="auto"/>
              </w:rPr>
              <w:t>Other, net</w:t>
            </w:r>
            <w:r>
              <w:rPr>
                <w:rFonts w:ascii="Arial" w:cs="Arial" w:eastAsia="Arial" w:hAnsi="Arial"/>
                <w:sz w:val="20"/>
                <w:szCs w:val="20"/>
                <w:color w:val="auto"/>
                <w:vertAlign w:val="superscript"/>
              </w:rPr>
              <w:t>(2)</w:t>
            </w:r>
          </w:p>
        </w:tc>
        <w:tc>
          <w:tcPr>
            <w:tcW w:w="1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(67)</w:t>
            </w:r>
          </w:p>
        </w:tc>
        <w:tc>
          <w:tcPr>
            <w:tcW w:w="16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(163)</w:t>
            </w:r>
          </w:p>
        </w:tc>
        <w:tc>
          <w:tcPr>
            <w:tcW w:w="14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w:t>
            </w:r>
          </w:p>
        </w:tc>
        <w:tc>
          <w:tcPr>
            <w:tcW w:w="14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(345)</w:t>
            </w:r>
          </w:p>
        </w:tc>
      </w:tr>
      <w:tr>
        <w:trPr>
          <w:trHeight w:val="199"/>
        </w:trPr>
        <w:tc>
          <w:tcPr>
            <w:tcW w:w="7100" w:type="dxa"/>
            <w:vAlign w:val="bottom"/>
            <w:gridSpan w:val="2"/>
          </w:tcPr>
          <w:p>
            <w:pPr>
              <w:ind w:left="180"/>
              <w:spacing w:after="0"/>
              <w:rPr>
                <w:sz w:val="20"/>
                <w:szCs w:val="20"/>
                <w:color w:val="auto"/>
              </w:rPr>
            </w:pPr>
            <w:r>
              <w:rPr>
                <w:rFonts w:ascii="Arial" w:cs="Arial" w:eastAsia="Arial" w:hAnsi="Arial"/>
                <w:sz w:val="15"/>
                <w:szCs w:val="15"/>
                <w:color w:val="auto"/>
              </w:rPr>
              <w:t>Fair value gains, net</w:t>
            </w:r>
          </w:p>
        </w:tc>
        <w:tc>
          <w:tcPr>
            <w:tcW w:w="200" w:type="dxa"/>
            <w:vAlign w:val="bottom"/>
          </w:tcPr>
          <w:p>
            <w:pPr>
              <w:jc w:val="right"/>
              <w:ind w:right="26"/>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404</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529</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00" w:type="dxa"/>
            <w:vAlign w:val="bottom"/>
          </w:tcPr>
          <w:p>
            <w:pPr>
              <w:jc w:val="right"/>
              <w:ind w:right="4"/>
              <w:spacing w:after="0"/>
              <w:rPr>
                <w:sz w:val="20"/>
                <w:szCs w:val="20"/>
                <w:color w:val="auto"/>
              </w:rPr>
            </w:pPr>
            <w:r>
              <w:rPr>
                <w:rFonts w:ascii="Arial" w:cs="Arial" w:eastAsia="Arial" w:hAnsi="Arial"/>
                <w:sz w:val="15"/>
                <w:szCs w:val="15"/>
                <w:b w:val="1"/>
                <w:bCs w:val="1"/>
                <w:color w:val="auto"/>
              </w:rPr>
              <w:t>608</w:t>
            </w:r>
          </w:p>
        </w:tc>
        <w:tc>
          <w:tcPr>
            <w:tcW w:w="4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1,009</w:t>
            </w:r>
          </w:p>
        </w:tc>
      </w:tr>
      <w:tr>
        <w:trPr>
          <w:trHeight w:val="20"/>
        </w:trPr>
        <w:tc>
          <w:tcPr>
            <w:tcW w:w="696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r>
    </w:tbl>
    <w:p>
      <w:pPr>
        <w:spacing w:after="0" w:line="111" w:lineRule="exact"/>
        <w:rPr>
          <w:sz w:val="20"/>
          <w:szCs w:val="20"/>
          <w:color w:val="auto"/>
        </w:rPr>
      </w:pPr>
    </w:p>
    <w:p>
      <w:pPr>
        <w:ind w:left="240" w:hanging="237"/>
        <w:spacing w:after="0"/>
        <w:tabs>
          <w:tab w:leader="none" w:pos="240" w:val="left"/>
        </w:tabs>
        <w:numPr>
          <w:ilvl w:val="0"/>
          <w:numId w:val="22"/>
        </w:numPr>
        <w:rPr>
          <w:rFonts w:ascii="Arial" w:cs="Arial" w:eastAsia="Arial" w:hAnsi="Arial"/>
          <w:sz w:val="9"/>
          <w:szCs w:val="9"/>
          <w:color w:val="auto"/>
        </w:rPr>
      </w:pPr>
      <w:r>
        <w:rPr>
          <w:rFonts w:ascii="Arial" w:cs="Arial" w:eastAsia="Arial" w:hAnsi="Arial"/>
          <w:sz w:val="14"/>
          <w:szCs w:val="14"/>
          <w:color w:val="auto"/>
        </w:rPr>
        <w:t>The “Impact of hedge accounting” reflected in this table shows the net gain or loss from swaps in hedging relationships plus any accrued interest during the applicable periods.</w:t>
      </w:r>
    </w:p>
    <w:p>
      <w:pPr>
        <w:spacing w:after="0" w:line="32" w:lineRule="exact"/>
        <w:rPr>
          <w:rFonts w:ascii="Arial" w:cs="Arial" w:eastAsia="Arial" w:hAnsi="Arial"/>
          <w:sz w:val="9"/>
          <w:szCs w:val="9"/>
          <w:color w:val="auto"/>
        </w:rPr>
      </w:pPr>
    </w:p>
    <w:p>
      <w:pPr>
        <w:ind w:left="240" w:hanging="237"/>
        <w:spacing w:after="0"/>
        <w:tabs>
          <w:tab w:leader="none" w:pos="240" w:val="left"/>
        </w:tabs>
        <w:numPr>
          <w:ilvl w:val="0"/>
          <w:numId w:val="22"/>
        </w:numPr>
        <w:rPr>
          <w:rFonts w:ascii="Arial" w:cs="Arial" w:eastAsia="Arial" w:hAnsi="Arial"/>
          <w:sz w:val="9"/>
          <w:szCs w:val="9"/>
          <w:color w:val="auto"/>
        </w:rPr>
      </w:pPr>
      <w:r>
        <w:rPr>
          <w:rFonts w:ascii="Arial" w:cs="Arial" w:eastAsia="Arial" w:hAnsi="Arial"/>
          <w:sz w:val="14"/>
          <w:szCs w:val="14"/>
          <w:color w:val="auto"/>
        </w:rPr>
        <w:t>Consists primarily of fair value gains and losses on mortgage loans held at fair value</w:t>
      </w:r>
      <w:r>
        <w:rPr>
          <w:rFonts w:ascii="Arial" w:cs="Arial" w:eastAsia="Arial" w:hAnsi="Arial"/>
          <w:sz w:val="16"/>
          <w:szCs w:val="16"/>
          <w:color w:val="auto"/>
        </w:rPr>
        <w:t>.</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Fair value gains, net in the second quarter of 2023 were primarily driven by gains on:</w:t>
      </w:r>
    </w:p>
    <w:p>
      <w:pPr>
        <w:spacing w:after="0" w:line="100" w:lineRule="exact"/>
        <w:rPr>
          <w:sz w:val="20"/>
          <w:szCs w:val="20"/>
          <w:color w:val="auto"/>
        </w:rPr>
      </w:pPr>
    </w:p>
    <w:p>
      <w:pPr>
        <w:ind w:left="620" w:hanging="307"/>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risk management derivatives due to rising interest rates; and</w:t>
      </w:r>
    </w:p>
    <w:p>
      <w:pPr>
        <w:spacing w:after="0" w:line="86" w:lineRule="exact"/>
        <w:rPr>
          <w:rFonts w:ascii="Arial" w:cs="Arial" w:eastAsia="Arial" w:hAnsi="Arial"/>
          <w:sz w:val="16"/>
          <w:szCs w:val="16"/>
          <w:color w:val="auto"/>
        </w:rPr>
      </w:pPr>
    </w:p>
    <w:p>
      <w:pPr>
        <w:ind w:left="620" w:right="520" w:hanging="307"/>
        <w:spacing w:after="0" w:line="283" w:lineRule="auto"/>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long-term debt of consolidated trusts held at fair value due to rising interest rates and widening of the secondary spread, which is the spread between the 30-year MBS current coupon yield and 10-year U.S. Treasury rate.</w:t>
      </w:r>
    </w:p>
    <w:p>
      <w:pPr>
        <w:spacing w:after="0" w:line="30"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These gains were partially offset by losses on trading securities, primarily driven by rising interest rates, which resulted in losses on fixed-rate securities as prices fell.</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Fair value gains, net in the first half of 2023 were primarily driven by rising interest rates, which drove gains on risk management derivatives.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Fair value gains, net in the second quarter and first half of 2022 were primarily driven by:</w:t>
      </w:r>
    </w:p>
    <w:p>
      <w:pPr>
        <w:spacing w:after="0" w:line="87" w:lineRule="exact"/>
        <w:rPr>
          <w:sz w:val="20"/>
          <w:szCs w:val="20"/>
          <w:color w:val="auto"/>
        </w:rPr>
      </w:pPr>
    </w:p>
    <w:p>
      <w:pPr>
        <w:ind w:left="620" w:right="720" w:hanging="307"/>
        <w:spacing w:after="0" w:line="283" w:lineRule="auto"/>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increases in the fair value of mortgage commitment derivatives due to gains on commitments to sell mortgage-related securities as prices decreased during the commitment period due to rising interest rates and widening of the secondary spread; and</w:t>
      </w:r>
    </w:p>
    <w:p>
      <w:pPr>
        <w:spacing w:after="0" w:line="30" w:lineRule="exact"/>
        <w:rPr>
          <w:rFonts w:ascii="Arial" w:cs="Arial" w:eastAsia="Arial" w:hAnsi="Arial"/>
          <w:sz w:val="16"/>
          <w:szCs w:val="16"/>
          <w:color w:val="auto"/>
        </w:rPr>
      </w:pPr>
    </w:p>
    <w:p>
      <w:pPr>
        <w:ind w:left="620" w:right="340" w:hanging="307"/>
        <w:spacing w:after="0" w:line="283" w:lineRule="auto"/>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gains on the fair value of long-term debt of consolidated trusts held at fair value, also due to rising interest rates and widening of the secondary spread.</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14</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840" w:type="dxa"/>
            <w:vAlign w:val="bottom"/>
            <w:tcBorders>
              <w:bottom w:val="single" w:sz="8" w:color="9A9A9A"/>
            </w:tcBorders>
          </w:tcPr>
          <w:p>
            <w:pPr>
              <w:spacing w:after="0"/>
              <w:rPr>
                <w:sz w:val="18"/>
                <w:szCs w:val="18"/>
                <w:color w:val="auto"/>
              </w:rPr>
            </w:pPr>
          </w:p>
        </w:tc>
        <w:tc>
          <w:tcPr>
            <w:tcW w:w="42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7" w:name="page18"/>
    <w:bookmarkEnd w:id="17"/>
    <w:p>
      <w:pPr>
        <w:ind w:left="846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These gains were partially offset by fair value losses in the second quarter and first half of 2022 on trading securities, primarily driven by increases in 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Treasury yields, which resulted in losses on fixed-rate securities held in our other investments portfolio.</w:t>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i w:val="1"/>
          <w:iCs w:val="1"/>
          <w:color w:val="05314D"/>
        </w:rPr>
        <w:t>Impact of Hedge Accounting on Fair Value Gains (Losses), Net</w:t>
      </w:r>
    </w:p>
    <w:p>
      <w:pPr>
        <w:spacing w:after="0" w:line="90"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Our earnings can experience volatility due to interest-rate changes and differing accounting treatments that apply to certain financial instruments on our balance sheet. To help address this volatility, we apply hedge accounting to reduce the current-period impact on our earnings related to changes in specified benchmark interest rates. Hedge accounting aligns the timing of when we recognize fair value changes in hedged items attributable to these benchmark interest-rate movements with fair value changes in the hedging instrument. For additional information on our hedge accounting program, see “Risk Management—Market Risk Management, including Interest-Rate Risk Management—Earnings Exposure to Interest-Rate Risk” in our 2022 Form 10-K and in this report and “Note 8, Derivative Instruments” in this report. For additional discussion of our fair value hedge accounting policy, see “Note 1, Summary of Significant Accounting Policies” in our 2022 Form 10-K.</w:t>
      </w:r>
    </w:p>
    <w:p>
      <w:pPr>
        <w:spacing w:after="0" w:line="49"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auto"/>
        </w:rPr>
        <w:t>The table below displays the amount of contractual interest accruals and fair value gains and losses related to designated interest-rate swaps in qualifying hedging relationships that are recognized in “Net interest income” rather than “Fair value gains, net” in our condensed consolidated statements of operations and comprehensive income as a result of hedge accounting. Derivatives not in hedging relationships are not affected.</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Impact of Hedge Accounting on Fair Value Gains (Losses), Net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000" w:type="dxa"/>
            <w:vAlign w:val="bottom"/>
            <w:tcBorders>
              <w:top w:val="single" w:sz="8" w:color="2C6937"/>
            </w:tcBorders>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2000" w:type="dxa"/>
            <w:vAlign w:val="bottom"/>
            <w:tcBorders>
              <w:top w:val="single" w:sz="8" w:color="2C6937"/>
            </w:tcBorders>
            <w:gridSpan w:val="5"/>
          </w:tcPr>
          <w:p>
            <w:pPr>
              <w:jc w:val="right"/>
              <w:spacing w:after="0" w:line="157" w:lineRule="exact"/>
              <w:rPr>
                <w:sz w:val="20"/>
                <w:szCs w:val="20"/>
                <w:color w:val="auto"/>
              </w:rPr>
            </w:pPr>
            <w:r>
              <w:rPr>
                <w:rFonts w:ascii="Arial" w:cs="Arial" w:eastAsia="Arial" w:hAnsi="Arial"/>
                <w:sz w:val="14"/>
                <w:szCs w:val="14"/>
                <w:b w:val="1"/>
                <w:bCs w:val="1"/>
                <w:color w:val="auto"/>
              </w:rPr>
              <w:t>For the Three Months Ended</w:t>
            </w:r>
          </w:p>
        </w:tc>
        <w:tc>
          <w:tcPr>
            <w:tcW w:w="140" w:type="dxa"/>
            <w:vAlign w:val="bottom"/>
            <w:tcBorders>
              <w:top w:val="single" w:sz="8" w:color="2C6937"/>
            </w:tcBorders>
          </w:tcPr>
          <w:p>
            <w:pPr>
              <w:spacing w:after="0"/>
              <w:rPr>
                <w:sz w:val="13"/>
                <w:szCs w:val="13"/>
                <w:color w:val="auto"/>
              </w:rPr>
            </w:pPr>
          </w:p>
        </w:tc>
        <w:tc>
          <w:tcPr>
            <w:tcW w:w="140" w:type="dxa"/>
            <w:vAlign w:val="bottom"/>
            <w:tcBorders>
              <w:top w:val="single" w:sz="8" w:color="2C6937"/>
            </w:tcBorders>
          </w:tcPr>
          <w:p>
            <w:pPr>
              <w:spacing w:after="0"/>
              <w:rPr>
                <w:sz w:val="13"/>
                <w:szCs w:val="13"/>
                <w:color w:val="auto"/>
              </w:rPr>
            </w:pPr>
          </w:p>
        </w:tc>
        <w:tc>
          <w:tcPr>
            <w:tcW w:w="1860" w:type="dxa"/>
            <w:vAlign w:val="bottom"/>
            <w:tcBorders>
              <w:top w:val="single" w:sz="8" w:color="2C6937"/>
            </w:tcBorders>
            <w:gridSpan w:val="4"/>
          </w:tcPr>
          <w:p>
            <w:pPr>
              <w:jc w:val="right"/>
              <w:ind w:right="65"/>
              <w:spacing w:after="0" w:line="157" w:lineRule="exact"/>
              <w:rPr>
                <w:sz w:val="20"/>
                <w:szCs w:val="20"/>
                <w:color w:val="auto"/>
              </w:rPr>
            </w:pPr>
            <w:r>
              <w:rPr>
                <w:rFonts w:ascii="Arial" w:cs="Arial" w:eastAsia="Arial" w:hAnsi="Arial"/>
                <w:sz w:val="14"/>
                <w:szCs w:val="14"/>
                <w:b w:val="1"/>
                <w:bCs w:val="1"/>
                <w:color w:val="auto"/>
                <w:w w:val="98"/>
              </w:rPr>
              <w:t>For the Six Months Ended</w:t>
            </w:r>
          </w:p>
        </w:tc>
      </w:tr>
      <w:tr>
        <w:trPr>
          <w:trHeight w:val="191"/>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gridSpan w:val="3"/>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2C6937"/>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200" w:type="dxa"/>
            <w:vAlign w:val="bottom"/>
            <w:tcBorders>
              <w:bottom w:val="single" w:sz="8" w:color="2C6937"/>
            </w:tcBorders>
            <w:gridSpan w:val="3"/>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2C6937"/>
            </w:tcBorders>
          </w:tcPr>
          <w:p>
            <w:pPr>
              <w:spacing w:after="0"/>
              <w:rPr>
                <w:sz w:val="16"/>
                <w:szCs w:val="16"/>
                <w:color w:val="auto"/>
              </w:rPr>
            </w:pPr>
          </w:p>
        </w:tc>
      </w:tr>
      <w:tr>
        <w:trPr>
          <w:trHeight w:val="174"/>
        </w:trPr>
        <w:tc>
          <w:tcPr>
            <w:tcW w:w="7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2C6937"/>
            </w:tcBorders>
          </w:tcPr>
          <w:p>
            <w:pPr>
              <w:spacing w:after="0"/>
              <w:rPr>
                <w:sz w:val="15"/>
                <w:szCs w:val="15"/>
                <w:color w:val="auto"/>
              </w:rPr>
            </w:pPr>
          </w:p>
        </w:tc>
        <w:tc>
          <w:tcPr>
            <w:tcW w:w="720" w:type="dxa"/>
            <w:vAlign w:val="bottom"/>
            <w:tcBorders>
              <w:bottom w:val="single" w:sz="8" w:color="2C6937"/>
            </w:tcBorders>
          </w:tcPr>
          <w:p>
            <w:pPr>
              <w:jc w:val="right"/>
              <w:ind w:right="246"/>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2C6937"/>
            </w:tcBorders>
          </w:tcPr>
          <w:p>
            <w:pPr>
              <w:spacing w:after="0"/>
              <w:rPr>
                <w:sz w:val="15"/>
                <w:szCs w:val="15"/>
                <w:color w:val="auto"/>
              </w:rPr>
            </w:pPr>
          </w:p>
        </w:tc>
        <w:tc>
          <w:tcPr>
            <w:tcW w:w="260" w:type="dxa"/>
            <w:vAlign w:val="bottom"/>
            <w:tcBorders>
              <w:bottom w:val="single" w:sz="8" w:color="2C6937"/>
            </w:tcBorders>
          </w:tcPr>
          <w:p>
            <w:pPr>
              <w:spacing w:after="0"/>
              <w:rPr>
                <w:sz w:val="15"/>
                <w:szCs w:val="15"/>
                <w:color w:val="auto"/>
              </w:rPr>
            </w:pPr>
          </w:p>
        </w:tc>
        <w:tc>
          <w:tcPr>
            <w:tcW w:w="660" w:type="dxa"/>
            <w:vAlign w:val="bottom"/>
            <w:tcBorders>
              <w:bottom w:val="single" w:sz="8" w:color="2C6937"/>
            </w:tcBorders>
          </w:tcPr>
          <w:p>
            <w:pPr>
              <w:jc w:val="right"/>
              <w:ind w:right="226"/>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2C6937"/>
            </w:tcBorders>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800" w:type="dxa"/>
            <w:vAlign w:val="bottom"/>
            <w:tcBorders>
              <w:bottom w:val="single" w:sz="8" w:color="2C6937"/>
            </w:tcBorders>
          </w:tcPr>
          <w:p>
            <w:pPr>
              <w:jc w:val="right"/>
              <w:ind w:right="247"/>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2C6937"/>
            </w:tcBorders>
          </w:tcPr>
          <w:p>
            <w:pPr>
              <w:spacing w:after="0"/>
              <w:rPr>
                <w:sz w:val="15"/>
                <w:szCs w:val="15"/>
                <w:color w:val="auto"/>
              </w:rPr>
            </w:pPr>
          </w:p>
        </w:tc>
        <w:tc>
          <w:tcPr>
            <w:tcW w:w="260" w:type="dxa"/>
            <w:vAlign w:val="bottom"/>
            <w:tcBorders>
              <w:bottom w:val="single" w:sz="8" w:color="2C6937"/>
            </w:tcBorders>
          </w:tcPr>
          <w:p>
            <w:pPr>
              <w:spacing w:after="0"/>
              <w:rPr>
                <w:sz w:val="15"/>
                <w:szCs w:val="15"/>
                <w:color w:val="auto"/>
              </w:rPr>
            </w:pPr>
          </w:p>
        </w:tc>
        <w:tc>
          <w:tcPr>
            <w:tcW w:w="660" w:type="dxa"/>
            <w:vAlign w:val="bottom"/>
            <w:tcBorders>
              <w:bottom w:val="single" w:sz="8" w:color="2C6937"/>
            </w:tcBorders>
          </w:tcPr>
          <w:p>
            <w:pPr>
              <w:jc w:val="right"/>
              <w:ind w:right="225"/>
              <w:spacing w:after="0"/>
              <w:rPr>
                <w:sz w:val="20"/>
                <w:szCs w:val="20"/>
                <w:color w:val="auto"/>
              </w:rPr>
            </w:pPr>
            <w:r>
              <w:rPr>
                <w:rFonts w:ascii="Arial" w:cs="Arial" w:eastAsia="Arial" w:hAnsi="Arial"/>
                <w:sz w:val="14"/>
                <w:szCs w:val="14"/>
                <w:b w:val="1"/>
                <w:bCs w:val="1"/>
                <w:color w:val="auto"/>
              </w:rPr>
              <w:t>2022</w:t>
            </w:r>
          </w:p>
        </w:tc>
      </w:tr>
      <w:tr>
        <w:trPr>
          <w:trHeight w:val="185"/>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4"/>
          </w:tcPr>
          <w:p>
            <w:pPr>
              <w:jc w:val="right"/>
              <w:ind w:right="287"/>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0"/>
        </w:trPr>
        <w:tc>
          <w:tcPr>
            <w:tcW w:w="7100" w:type="dxa"/>
            <w:vAlign w:val="bottom"/>
            <w:gridSpan w:val="2"/>
          </w:tcPr>
          <w:p>
            <w:pPr>
              <w:ind w:left="20"/>
              <w:spacing w:after="0"/>
              <w:rPr>
                <w:sz w:val="20"/>
                <w:szCs w:val="20"/>
                <w:color w:val="auto"/>
              </w:rPr>
            </w:pPr>
            <w:r>
              <w:rPr>
                <w:rFonts w:ascii="Arial" w:cs="Arial" w:eastAsia="Arial" w:hAnsi="Arial"/>
                <w:sz w:val="15"/>
                <w:szCs w:val="15"/>
                <w:color w:val="auto"/>
              </w:rPr>
              <w:t>Net contractual interest income (expense) accruals related to interest-rate swaps designated as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34"/>
        </w:trPr>
        <w:tc>
          <w:tcPr>
            <w:tcW w:w="7100" w:type="dxa"/>
            <w:vAlign w:val="bottom"/>
            <w:gridSpan w:val="2"/>
          </w:tcPr>
          <w:p>
            <w:pPr>
              <w:ind w:left="180"/>
              <w:spacing w:after="0"/>
              <w:rPr>
                <w:sz w:val="20"/>
                <w:szCs w:val="20"/>
                <w:color w:val="auto"/>
              </w:rPr>
            </w:pPr>
            <w:r>
              <w:rPr>
                <w:rFonts w:ascii="Arial" w:cs="Arial" w:eastAsia="Arial" w:hAnsi="Arial"/>
                <w:sz w:val="15"/>
                <w:szCs w:val="15"/>
                <w:color w:val="auto"/>
              </w:rPr>
              <w:t>hedging instruments recognized in net interest income</w:t>
            </w:r>
          </w:p>
        </w:tc>
        <w:tc>
          <w:tcPr>
            <w:tcW w:w="22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(266)</w:t>
            </w:r>
          </w:p>
        </w:tc>
        <w:tc>
          <w:tcPr>
            <w:tcW w:w="4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(469)</w:t>
            </w:r>
          </w:p>
        </w:tc>
        <w:tc>
          <w:tcPr>
            <w:tcW w:w="4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37</w:t>
            </w:r>
          </w:p>
        </w:tc>
      </w:tr>
      <w:tr>
        <w:trPr>
          <w:trHeight w:val="226"/>
        </w:trPr>
        <w:tc>
          <w:tcPr>
            <w:tcW w:w="70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Fair value losses on derivatives designated as hedging instruments recognized in net interest income</w:t>
            </w:r>
          </w:p>
        </w:tc>
        <w:tc>
          <w:tcPr>
            <w:tcW w:w="100" w:type="dxa"/>
            <w:vAlign w:val="bottom"/>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(371)</w:t>
            </w:r>
          </w:p>
        </w:tc>
        <w:tc>
          <w:tcPr>
            <w:tcW w:w="140" w:type="dxa"/>
            <w:vAlign w:val="bottom"/>
          </w:tcPr>
          <w:p>
            <w:pPr>
              <w:spacing w:after="0"/>
              <w:rPr>
                <w:sz w:val="19"/>
                <w:szCs w:val="19"/>
                <w:color w:val="auto"/>
              </w:rPr>
            </w:pPr>
          </w:p>
        </w:tc>
        <w:tc>
          <w:tcPr>
            <w:tcW w:w="260" w:type="dxa"/>
            <w:vAlign w:val="bottom"/>
            <w:tcBorders>
              <w:bottom w:val="single" w:sz="8" w:color="2C6937"/>
            </w:tcBorders>
          </w:tcPr>
          <w:p>
            <w:pPr>
              <w:spacing w:after="0"/>
              <w:rPr>
                <w:sz w:val="19"/>
                <w:szCs w:val="19"/>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(231)</w:t>
            </w:r>
          </w:p>
        </w:tc>
        <w:tc>
          <w:tcPr>
            <w:tcW w:w="14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(153)</w:t>
            </w:r>
          </w:p>
        </w:tc>
        <w:tc>
          <w:tcPr>
            <w:tcW w:w="140" w:type="dxa"/>
            <w:vAlign w:val="bottom"/>
          </w:tcPr>
          <w:p>
            <w:pPr>
              <w:spacing w:after="0"/>
              <w:rPr>
                <w:sz w:val="19"/>
                <w:szCs w:val="19"/>
                <w:color w:val="auto"/>
              </w:rPr>
            </w:pPr>
          </w:p>
        </w:tc>
        <w:tc>
          <w:tcPr>
            <w:tcW w:w="260" w:type="dxa"/>
            <w:vAlign w:val="bottom"/>
            <w:tcBorders>
              <w:bottom w:val="single" w:sz="8" w:color="2C6937"/>
            </w:tcBorders>
          </w:tcPr>
          <w:p>
            <w:pPr>
              <w:spacing w:after="0"/>
              <w:rPr>
                <w:sz w:val="19"/>
                <w:szCs w:val="19"/>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(1,528)</w:t>
            </w:r>
          </w:p>
        </w:tc>
      </w:tr>
      <w:tr>
        <w:trPr>
          <w:trHeight w:val="238"/>
        </w:trPr>
        <w:tc>
          <w:tcPr>
            <w:tcW w:w="7100" w:type="dxa"/>
            <w:vAlign w:val="bottom"/>
            <w:gridSpan w:val="2"/>
          </w:tcPr>
          <w:p>
            <w:pPr>
              <w:ind w:left="180"/>
              <w:spacing w:after="0"/>
              <w:rPr>
                <w:sz w:val="20"/>
                <w:szCs w:val="20"/>
                <w:color w:val="auto"/>
              </w:rPr>
            </w:pPr>
            <w:r>
              <w:rPr>
                <w:rFonts w:ascii="Arial" w:cs="Arial" w:eastAsia="Arial" w:hAnsi="Arial"/>
                <w:sz w:val="15"/>
                <w:szCs w:val="15"/>
                <w:color w:val="auto"/>
              </w:rPr>
              <w:t>Fair value losses, net recognized in net interest income (expense) from hedge accounting</w:t>
            </w:r>
          </w:p>
        </w:tc>
        <w:tc>
          <w:tcPr>
            <w:tcW w:w="22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(637)</w:t>
            </w:r>
          </w:p>
        </w:tc>
        <w:tc>
          <w:tcPr>
            <w:tcW w:w="4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(233)</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(622)</w:t>
            </w:r>
          </w:p>
        </w:tc>
        <w:tc>
          <w:tcPr>
            <w:tcW w:w="4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(1,491)</w:t>
            </w:r>
          </w:p>
        </w:tc>
      </w:tr>
      <w:tr>
        <w:trPr>
          <w:trHeight w:val="20"/>
        </w:trPr>
        <w:tc>
          <w:tcPr>
            <w:tcW w:w="7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Benefit (Provision) for Credit Losses</w:t>
      </w:r>
    </w:p>
    <w:p>
      <w:pPr>
        <w:spacing w:after="0" w:line="77"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Our benefit or provision for credit losses can vary substantially from period to period based on a number of factors, such as changes in actual and forecasted home prices or property valuations, fluctuations in actual and forecasted interest rates, borrower payment behavior, events such as natural disasters or pandemics, the types, volume and effectiveness of our loss mitigation activities, including forbearances and loan modifications, the volume of foreclosures completed and the volume and pricing of loans redesignated from held for investment (“HFI”) to held for sale (“HFS”). The benefit or provision for credit losses includes our benefit or provision for loan losses, accrued interest receivable losses, our guaranty loss reserves and credit losses on our available-for-sale (“AFS”) debt securities.</w:t>
      </w:r>
    </w:p>
    <w:p>
      <w:pPr>
        <w:spacing w:after="0" w:line="63"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Our benefit or provision for credit losses and our related loss reserves can also be impacted by updates to the models, assumptions and data used in determining our allowance for loan losses. Although we believe the estimates underlying our allowance as of June 30, 2023 are reasonable, they are subject to uncertainty. Changes in future economic conditions and loan performance from our current expectations may result in volatility in our allowance for loan losses and, as a result, our benefit or provision for credit losses. See “Critical Accounting Estimates” for additional information about how our estimate of credit losses is subject to uncertainty.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15</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840" w:type="dxa"/>
            <w:vAlign w:val="bottom"/>
            <w:tcBorders>
              <w:bottom w:val="single" w:sz="8" w:color="9A9A9A"/>
            </w:tcBorders>
          </w:tcPr>
          <w:p>
            <w:pPr>
              <w:spacing w:after="0"/>
              <w:rPr>
                <w:sz w:val="18"/>
                <w:szCs w:val="18"/>
                <w:color w:val="auto"/>
              </w:rPr>
            </w:pPr>
          </w:p>
        </w:tc>
        <w:tc>
          <w:tcPr>
            <w:tcW w:w="42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8" w:name="page19"/>
    <w:bookmarkEnd w:id="18"/>
    <w:p>
      <w:pPr>
        <w:ind w:left="846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20"/>
        <w:spacing w:after="0" w:line="267" w:lineRule="auto"/>
        <w:rPr>
          <w:sz w:val="20"/>
          <w:szCs w:val="20"/>
          <w:color w:val="auto"/>
        </w:rPr>
      </w:pPr>
      <w:r>
        <w:rPr>
          <w:rFonts w:ascii="Arial" w:cs="Arial" w:eastAsia="Arial" w:hAnsi="Arial"/>
          <w:sz w:val="16"/>
          <w:szCs w:val="16"/>
          <w:color w:val="auto"/>
        </w:rPr>
        <w:t>The table below provides a quantitative analysis of the drivers of our single-family and multifamily benefit or provision for credit losses and the change in expected credit enhancement recoveries. Many of the drivers that contribute to our benefit or provision for credit losses overlap or are interdependent. The attribution shown below is based on internal allocation estimates.</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Components of Benefit (Provision) for Credit Losses and Change in Expected Credit Enhancement Recoveries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20" w:type="dxa"/>
            <w:vAlign w:val="bottom"/>
            <w:tcBorders>
              <w:top w:val="single" w:sz="8" w:color="2C6937"/>
            </w:tcBorders>
          </w:tcPr>
          <w:p>
            <w:pPr>
              <w:spacing w:after="0"/>
              <w:rPr>
                <w:sz w:val="16"/>
                <w:szCs w:val="16"/>
                <w:color w:val="auto"/>
              </w:rPr>
            </w:pPr>
          </w:p>
        </w:tc>
        <w:tc>
          <w:tcPr>
            <w:tcW w:w="100" w:type="dxa"/>
            <w:vAlign w:val="bottom"/>
            <w:tcBorders>
              <w:top w:val="single" w:sz="8" w:color="2C6937"/>
            </w:tcBorders>
          </w:tcPr>
          <w:p>
            <w:pPr>
              <w:spacing w:after="0"/>
              <w:rPr>
                <w:sz w:val="16"/>
                <w:szCs w:val="16"/>
                <w:color w:val="auto"/>
              </w:rPr>
            </w:pPr>
          </w:p>
        </w:tc>
        <w:tc>
          <w:tcPr>
            <w:tcW w:w="120" w:type="dxa"/>
            <w:vAlign w:val="bottom"/>
            <w:tcBorders>
              <w:top w:val="single" w:sz="8" w:color="2C6937"/>
            </w:tcBorders>
          </w:tcPr>
          <w:p>
            <w:pPr>
              <w:spacing w:after="0"/>
              <w:rPr>
                <w:sz w:val="16"/>
                <w:szCs w:val="16"/>
                <w:color w:val="auto"/>
              </w:rPr>
            </w:pPr>
          </w:p>
        </w:tc>
        <w:tc>
          <w:tcPr>
            <w:tcW w:w="2240" w:type="dxa"/>
            <w:vAlign w:val="bottom"/>
            <w:tcBorders>
              <w:top w:val="single" w:sz="8" w:color="2C6937"/>
            </w:tcBorders>
            <w:gridSpan w:val="4"/>
          </w:tcPr>
          <w:p>
            <w:pPr>
              <w:jc w:val="right"/>
              <w:ind w:right="43"/>
              <w:spacing w:after="0"/>
              <w:rPr>
                <w:sz w:val="20"/>
                <w:szCs w:val="20"/>
                <w:color w:val="auto"/>
              </w:rPr>
            </w:pPr>
            <w:r>
              <w:rPr>
                <w:rFonts w:ascii="Arial" w:cs="Arial" w:eastAsia="Arial" w:hAnsi="Arial"/>
                <w:sz w:val="15"/>
                <w:szCs w:val="15"/>
                <w:b w:val="1"/>
                <w:bCs w:val="1"/>
                <w:color w:val="auto"/>
              </w:rPr>
              <w:t>For the Three Months Ended</w:t>
            </w:r>
          </w:p>
        </w:tc>
        <w:tc>
          <w:tcPr>
            <w:tcW w:w="100" w:type="dxa"/>
            <w:vAlign w:val="bottom"/>
            <w:tcBorders>
              <w:top w:val="single" w:sz="8" w:color="2C6937"/>
            </w:tcBorders>
          </w:tcPr>
          <w:p>
            <w:pPr>
              <w:spacing w:after="0"/>
              <w:rPr>
                <w:sz w:val="16"/>
                <w:szCs w:val="16"/>
                <w:color w:val="auto"/>
              </w:rPr>
            </w:pPr>
          </w:p>
        </w:tc>
        <w:tc>
          <w:tcPr>
            <w:tcW w:w="2360" w:type="dxa"/>
            <w:vAlign w:val="bottom"/>
            <w:tcBorders>
              <w:top w:val="single" w:sz="8" w:color="2C6937"/>
            </w:tcBorders>
            <w:gridSpan w:val="5"/>
          </w:tcPr>
          <w:p>
            <w:pPr>
              <w:ind w:left="40"/>
              <w:spacing w:after="0"/>
              <w:rPr>
                <w:sz w:val="20"/>
                <w:szCs w:val="20"/>
                <w:color w:val="auto"/>
              </w:rPr>
            </w:pPr>
            <w:r>
              <w:rPr>
                <w:rFonts w:ascii="Arial" w:cs="Arial" w:eastAsia="Arial" w:hAnsi="Arial"/>
                <w:sz w:val="15"/>
                <w:szCs w:val="15"/>
                <w:b w:val="1"/>
                <w:bCs w:val="1"/>
                <w:color w:val="auto"/>
              </w:rPr>
              <w:t>For the Six Months Ended June</w:t>
            </w:r>
          </w:p>
        </w:tc>
      </w:tr>
      <w:tr>
        <w:trPr>
          <w:trHeight w:val="228"/>
        </w:trPr>
        <w:tc>
          <w:tcPr>
            <w:tcW w:w="6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1440" w:type="dxa"/>
            <w:vAlign w:val="bottom"/>
            <w:tcBorders>
              <w:bottom w:val="single" w:sz="8" w:color="2C6937"/>
            </w:tcBorders>
            <w:gridSpan w:val="3"/>
          </w:tcPr>
          <w:p>
            <w:pPr>
              <w:jc w:val="right"/>
              <w:spacing w:after="0"/>
              <w:rPr>
                <w:sz w:val="20"/>
                <w:szCs w:val="20"/>
                <w:color w:val="auto"/>
              </w:rPr>
            </w:pPr>
            <w:r>
              <w:rPr>
                <w:rFonts w:ascii="Arial" w:cs="Arial" w:eastAsia="Arial" w:hAnsi="Arial"/>
                <w:sz w:val="15"/>
                <w:szCs w:val="15"/>
                <w:b w:val="1"/>
                <w:bCs w:val="1"/>
                <w:color w:val="auto"/>
              </w:rPr>
              <w:t>June 30,</w:t>
            </w:r>
          </w:p>
        </w:tc>
        <w:tc>
          <w:tcPr>
            <w:tcW w:w="800" w:type="dxa"/>
            <w:vAlign w:val="bottom"/>
            <w:tcBorders>
              <w:bottom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2C6937"/>
            </w:tcBorders>
          </w:tcPr>
          <w:p>
            <w:pPr>
              <w:spacing w:after="0"/>
              <w:rPr>
                <w:sz w:val="19"/>
                <w:szCs w:val="19"/>
                <w:color w:val="auto"/>
              </w:rPr>
            </w:pPr>
          </w:p>
        </w:tc>
        <w:tc>
          <w:tcPr>
            <w:tcW w:w="1220" w:type="dxa"/>
            <w:vAlign w:val="bottom"/>
            <w:tcBorders>
              <w:bottom w:val="single" w:sz="8" w:color="2C6937"/>
            </w:tcBorders>
            <w:gridSpan w:val="3"/>
          </w:tcPr>
          <w:p>
            <w:pPr>
              <w:jc w:val="right"/>
              <w:ind w:right="103"/>
              <w:spacing w:after="0"/>
              <w:rPr>
                <w:sz w:val="20"/>
                <w:szCs w:val="20"/>
                <w:color w:val="auto"/>
              </w:rPr>
            </w:pPr>
            <w:r>
              <w:rPr>
                <w:rFonts w:ascii="Arial" w:cs="Arial" w:eastAsia="Arial" w:hAnsi="Arial"/>
                <w:sz w:val="15"/>
                <w:szCs w:val="15"/>
                <w:b w:val="1"/>
                <w:bCs w:val="1"/>
                <w:color w:val="auto"/>
              </w:rPr>
              <w:t>30,</w:t>
            </w:r>
          </w:p>
        </w:tc>
        <w:tc>
          <w:tcPr>
            <w:tcW w:w="880" w:type="dxa"/>
            <w:vAlign w:val="bottom"/>
            <w:tcBorders>
              <w:bottom w:val="single" w:sz="8" w:color="2C6937"/>
            </w:tcBorders>
          </w:tcPr>
          <w:p>
            <w:pPr>
              <w:spacing w:after="0"/>
              <w:rPr>
                <w:sz w:val="19"/>
                <w:szCs w:val="19"/>
                <w:color w:val="auto"/>
              </w:rPr>
            </w:pPr>
          </w:p>
        </w:tc>
      </w:tr>
      <w:tr>
        <w:trPr>
          <w:trHeight w:val="229"/>
        </w:trPr>
        <w:tc>
          <w:tcPr>
            <w:tcW w:w="6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1000" w:type="dxa"/>
            <w:vAlign w:val="bottom"/>
            <w:tcBorders>
              <w:bottom w:val="single" w:sz="8" w:color="2C6937"/>
            </w:tcBorders>
          </w:tcPr>
          <w:p>
            <w:pPr>
              <w:jc w:val="right"/>
              <w:ind w:right="303"/>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2C6937"/>
            </w:tcBorders>
          </w:tcPr>
          <w:p>
            <w:pPr>
              <w:spacing w:after="0"/>
              <w:rPr>
                <w:sz w:val="19"/>
                <w:szCs w:val="19"/>
                <w:color w:val="auto"/>
              </w:rPr>
            </w:pPr>
          </w:p>
        </w:tc>
        <w:tc>
          <w:tcPr>
            <w:tcW w:w="320" w:type="dxa"/>
            <w:vAlign w:val="bottom"/>
            <w:tcBorders>
              <w:bottom w:val="single" w:sz="8" w:color="2C6937"/>
            </w:tcBorders>
          </w:tcPr>
          <w:p>
            <w:pPr>
              <w:spacing w:after="0"/>
              <w:rPr>
                <w:sz w:val="19"/>
                <w:szCs w:val="19"/>
                <w:color w:val="auto"/>
              </w:rPr>
            </w:pPr>
          </w:p>
        </w:tc>
        <w:tc>
          <w:tcPr>
            <w:tcW w:w="800" w:type="dxa"/>
            <w:vAlign w:val="bottom"/>
            <w:tcBorders>
              <w:bottom w:val="single" w:sz="8" w:color="2C6937"/>
            </w:tcBorders>
          </w:tcPr>
          <w:p>
            <w:pPr>
              <w:jc w:val="right"/>
              <w:ind w:right="303"/>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2C6937"/>
            </w:tcBorders>
          </w:tcPr>
          <w:p>
            <w:pPr>
              <w:spacing w:after="0"/>
              <w:rPr>
                <w:sz w:val="19"/>
                <w:szCs w:val="19"/>
                <w:color w:val="auto"/>
              </w:rPr>
            </w:pPr>
          </w:p>
        </w:tc>
        <w:tc>
          <w:tcPr>
            <w:tcW w:w="260" w:type="dxa"/>
            <w:vAlign w:val="bottom"/>
            <w:tcBorders>
              <w:bottom w:val="single" w:sz="8" w:color="2C6937"/>
            </w:tcBorders>
          </w:tcPr>
          <w:p>
            <w:pPr>
              <w:spacing w:after="0"/>
              <w:rPr>
                <w:sz w:val="19"/>
                <w:szCs w:val="19"/>
                <w:color w:val="auto"/>
              </w:rPr>
            </w:pPr>
          </w:p>
        </w:tc>
        <w:tc>
          <w:tcPr>
            <w:tcW w:w="860" w:type="dxa"/>
            <w:vAlign w:val="bottom"/>
            <w:tcBorders>
              <w:bottom w:val="single" w:sz="8" w:color="2C6937"/>
            </w:tcBorders>
          </w:tcPr>
          <w:p>
            <w:pPr>
              <w:jc w:val="right"/>
              <w:ind w:right="303"/>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2C6937"/>
            </w:tcBorders>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ind w:right="303"/>
              <w:spacing w:after="0"/>
              <w:rPr>
                <w:sz w:val="20"/>
                <w:szCs w:val="20"/>
                <w:color w:val="auto"/>
              </w:rPr>
            </w:pPr>
            <w:r>
              <w:rPr>
                <w:rFonts w:ascii="Arial" w:cs="Arial" w:eastAsia="Arial" w:hAnsi="Arial"/>
                <w:sz w:val="15"/>
                <w:szCs w:val="15"/>
                <w:b w:val="1"/>
                <w:bCs w:val="1"/>
                <w:color w:val="auto"/>
              </w:rPr>
              <w:t>2022</w:t>
            </w:r>
          </w:p>
        </w:tc>
      </w:tr>
      <w:tr>
        <w:trPr>
          <w:trHeight w:val="299"/>
        </w:trPr>
        <w:tc>
          <w:tcPr>
            <w:tcW w:w="6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gridSpan w:val="4"/>
          </w:tcPr>
          <w:p>
            <w:pPr>
              <w:jc w:val="right"/>
              <w:ind w:right="363"/>
              <w:spacing w:after="0"/>
              <w:rPr>
                <w:sz w:val="20"/>
                <w:szCs w:val="20"/>
                <w:color w:val="auto"/>
              </w:rPr>
            </w:pPr>
            <w:r>
              <w:rPr>
                <w:rFonts w:ascii="Arial" w:cs="Arial" w:eastAsia="Arial" w:hAnsi="Arial"/>
                <w:sz w:val="15"/>
                <w:szCs w:val="15"/>
                <w:b w:val="1"/>
                <w:bCs w:val="1"/>
                <w:color w:val="auto"/>
              </w:rPr>
              <w:t>(Dollars in millions)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22"/>
        </w:trPr>
        <w:tc>
          <w:tcPr>
            <w:tcW w:w="6420" w:type="dxa"/>
            <w:vAlign w:val="bottom"/>
            <w:gridSpan w:val="2"/>
          </w:tcPr>
          <w:p>
            <w:pPr>
              <w:ind w:left="20"/>
              <w:spacing w:after="0"/>
              <w:rPr>
                <w:sz w:val="20"/>
                <w:szCs w:val="20"/>
                <w:color w:val="auto"/>
              </w:rPr>
            </w:pPr>
            <w:r>
              <w:rPr>
                <w:rFonts w:ascii="Arial" w:cs="Arial" w:eastAsia="Arial" w:hAnsi="Arial"/>
                <w:sz w:val="15"/>
                <w:szCs w:val="15"/>
                <w:b w:val="1"/>
                <w:bCs w:val="1"/>
                <w:color w:val="auto"/>
              </w:rPr>
              <w:t>Single-family benefit (provision) for credit losses: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66"/>
        </w:trPr>
        <w:tc>
          <w:tcPr>
            <w:tcW w:w="6420" w:type="dxa"/>
            <w:vAlign w:val="bottom"/>
            <w:gridSpan w:val="2"/>
          </w:tcPr>
          <w:p>
            <w:pPr>
              <w:ind w:left="180"/>
              <w:spacing w:after="0"/>
              <w:rPr>
                <w:sz w:val="20"/>
                <w:szCs w:val="20"/>
                <w:color w:val="auto"/>
              </w:rPr>
            </w:pPr>
            <w:r>
              <w:rPr>
                <w:rFonts w:ascii="Arial" w:cs="Arial" w:eastAsia="Arial" w:hAnsi="Arial"/>
                <w:sz w:val="15"/>
                <w:szCs w:val="15"/>
                <w:color w:val="auto"/>
              </w:rPr>
              <w:t>Changes in loan activity</w:t>
            </w:r>
            <w:r>
              <w:rPr>
                <w:rFonts w:ascii="Arial" w:cs="Arial" w:eastAsia="Arial" w:hAnsi="Arial"/>
                <w:sz w:val="20"/>
                <w:szCs w:val="20"/>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(390)</w:t>
            </w:r>
          </w:p>
        </w:tc>
        <w:tc>
          <w:tcPr>
            <w:tcW w:w="440" w:type="dxa"/>
            <w:vAlign w:val="bottom"/>
            <w:gridSpan w:val="2"/>
          </w:tcPr>
          <w:p>
            <w:pPr>
              <w:jc w:val="right"/>
              <w:ind w:right="143"/>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(252)</w:t>
            </w:r>
          </w:p>
        </w:tc>
        <w:tc>
          <w:tcPr>
            <w:tcW w:w="360" w:type="dxa"/>
            <w:vAlign w:val="bottom"/>
            <w:gridSpan w:val="2"/>
          </w:tcPr>
          <w:p>
            <w:pPr>
              <w:ind w:left="120"/>
              <w:spacing w:after="0"/>
              <w:rPr>
                <w:sz w:val="20"/>
                <w:szCs w:val="20"/>
                <w:color w:val="auto"/>
              </w:rPr>
            </w:pPr>
            <w:r>
              <w:rPr>
                <w:rFonts w:ascii="Arial" w:cs="Arial" w:eastAsia="Arial" w:hAnsi="Arial"/>
                <w:sz w:val="15"/>
                <w:szCs w:val="15"/>
                <w:b w:val="1"/>
                <w:bCs w:val="1"/>
                <w:color w:val="auto"/>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(740)</w:t>
            </w:r>
          </w:p>
        </w:tc>
        <w:tc>
          <w:tcPr>
            <w:tcW w:w="360" w:type="dxa"/>
            <w:vAlign w:val="bottom"/>
            <w:gridSpan w:val="2"/>
          </w:tcPr>
          <w:p>
            <w:pPr>
              <w:jc w:val="right"/>
              <w:ind w:right="63"/>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(591)</w:t>
            </w:r>
          </w:p>
        </w:tc>
      </w:tr>
      <w:tr>
        <w:trPr>
          <w:trHeight w:val="278"/>
        </w:trPr>
        <w:tc>
          <w:tcPr>
            <w:tcW w:w="6420" w:type="dxa"/>
            <w:vAlign w:val="bottom"/>
            <w:gridSpan w:val="2"/>
          </w:tcPr>
          <w:p>
            <w:pPr>
              <w:ind w:left="180"/>
              <w:spacing w:after="0"/>
              <w:rPr>
                <w:sz w:val="20"/>
                <w:szCs w:val="20"/>
                <w:color w:val="auto"/>
              </w:rPr>
            </w:pPr>
            <w:r>
              <w:rPr>
                <w:rFonts w:ascii="Arial" w:cs="Arial" w:eastAsia="Arial" w:hAnsi="Arial"/>
                <w:sz w:val="15"/>
                <w:szCs w:val="15"/>
                <w:color w:val="auto"/>
              </w:rPr>
              <w:t>Redesignation of loans from HFI to HFS</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309"/>
        </w:trPr>
        <w:tc>
          <w:tcPr>
            <w:tcW w:w="6420" w:type="dxa"/>
            <w:vAlign w:val="bottom"/>
            <w:gridSpan w:val="2"/>
          </w:tcPr>
          <w:p>
            <w:pPr>
              <w:ind w:left="180"/>
              <w:spacing w:after="0"/>
              <w:rPr>
                <w:sz w:val="20"/>
                <w:szCs w:val="20"/>
                <w:color w:val="auto"/>
              </w:rPr>
            </w:pPr>
            <w:r>
              <w:rPr>
                <w:rFonts w:ascii="Arial" w:cs="Arial" w:eastAsia="Arial" w:hAnsi="Arial"/>
                <w:sz w:val="15"/>
                <w:szCs w:val="15"/>
                <w:color w:val="auto"/>
              </w:rPr>
              <w:t>Actual and forecasted home prices</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1,724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272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2,104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538</w:t>
            </w:r>
          </w:p>
        </w:tc>
      </w:tr>
      <w:tr>
        <w:trPr>
          <w:trHeight w:val="309"/>
        </w:trPr>
        <w:tc>
          <w:tcPr>
            <w:tcW w:w="6420" w:type="dxa"/>
            <w:vAlign w:val="bottom"/>
            <w:gridSpan w:val="2"/>
          </w:tcPr>
          <w:p>
            <w:pPr>
              <w:ind w:left="180"/>
              <w:spacing w:after="0"/>
              <w:rPr>
                <w:sz w:val="20"/>
                <w:szCs w:val="20"/>
                <w:color w:val="auto"/>
              </w:rPr>
            </w:pPr>
            <w:r>
              <w:rPr>
                <w:rFonts w:ascii="Arial" w:cs="Arial" w:eastAsia="Arial" w:hAnsi="Arial"/>
                <w:sz w:val="15"/>
                <w:szCs w:val="15"/>
                <w:color w:val="auto"/>
              </w:rPr>
              <w:t>Actual and projected interest rates</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(146)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(288)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(24)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(891)</w:t>
            </w:r>
          </w:p>
        </w:tc>
      </w:tr>
      <w:tr>
        <w:trPr>
          <w:trHeight w:val="276"/>
        </w:trPr>
        <w:tc>
          <w:tcPr>
            <w:tcW w:w="6420" w:type="dxa"/>
            <w:vAlign w:val="bottom"/>
            <w:gridSpan w:val="2"/>
          </w:tcPr>
          <w:p>
            <w:pPr>
              <w:ind w:left="180"/>
              <w:spacing w:after="0"/>
              <w:rPr>
                <w:sz w:val="20"/>
                <w:szCs w:val="20"/>
                <w:color w:val="auto"/>
              </w:rPr>
            </w:pPr>
            <w:r>
              <w:rPr>
                <w:rFonts w:ascii="Arial" w:cs="Arial" w:eastAsia="Arial" w:hAnsi="Arial"/>
                <w:sz w:val="15"/>
                <w:szCs w:val="15"/>
                <w:color w:val="auto"/>
              </w:rPr>
              <w:t>Release of economic concessions</w:t>
            </w:r>
            <w:r>
              <w:rPr>
                <w:rFonts w:ascii="Arial" w:cs="Arial" w:eastAsia="Arial" w:hAnsi="Arial"/>
                <w:sz w:val="20"/>
                <w:szCs w:val="20"/>
                <w:color w:val="auto"/>
                <w:vertAlign w:val="superscript"/>
              </w:rPr>
              <w:t>(2)</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17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203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44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603</w:t>
            </w:r>
          </w:p>
        </w:tc>
      </w:tr>
      <w:tr>
        <w:trPr>
          <w:trHeight w:val="272"/>
        </w:trPr>
        <w:tc>
          <w:tcPr>
            <w:tcW w:w="63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(3)</w:t>
            </w:r>
          </w:p>
        </w:tc>
        <w:tc>
          <w:tcPr>
            <w:tcW w:w="100" w:type="dxa"/>
            <w:vAlign w:val="bottom"/>
          </w:tcPr>
          <w:p>
            <w:pPr>
              <w:spacing w:after="0"/>
              <w:rPr>
                <w:sz w:val="23"/>
                <w:szCs w:val="23"/>
                <w:color w:val="auto"/>
              </w:rPr>
            </w:pPr>
          </w:p>
        </w:tc>
        <w:tc>
          <w:tcPr>
            <w:tcW w:w="120" w:type="dxa"/>
            <w:vAlign w:val="bottom"/>
            <w:tcBorders>
              <w:bottom w:val="single" w:sz="8" w:color="2C6937"/>
            </w:tcBorders>
          </w:tcPr>
          <w:p>
            <w:pPr>
              <w:spacing w:after="0"/>
              <w:rPr>
                <w:sz w:val="23"/>
                <w:szCs w:val="23"/>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213</w:t>
            </w:r>
          </w:p>
        </w:tc>
        <w:tc>
          <w:tcPr>
            <w:tcW w:w="120" w:type="dxa"/>
            <w:vAlign w:val="bottom"/>
          </w:tcPr>
          <w:p>
            <w:pPr>
              <w:spacing w:after="0"/>
              <w:rPr>
                <w:sz w:val="23"/>
                <w:szCs w:val="23"/>
                <w:color w:val="auto"/>
              </w:rPr>
            </w:pPr>
          </w:p>
        </w:tc>
        <w:tc>
          <w:tcPr>
            <w:tcW w:w="320" w:type="dxa"/>
            <w:vAlign w:val="bottom"/>
            <w:tcBorders>
              <w:bottom w:val="single" w:sz="8" w:color="2C6937"/>
            </w:tcBorders>
          </w:tcPr>
          <w:p>
            <w:pPr>
              <w:spacing w:after="0"/>
              <w:rPr>
                <w:sz w:val="23"/>
                <w:szCs w:val="23"/>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(87)</w:t>
            </w:r>
          </w:p>
        </w:tc>
        <w:tc>
          <w:tcPr>
            <w:tcW w:w="100" w:type="dxa"/>
            <w:vAlign w:val="bottom"/>
          </w:tcPr>
          <w:p>
            <w:pPr>
              <w:spacing w:after="0"/>
              <w:rPr>
                <w:sz w:val="23"/>
                <w:szCs w:val="23"/>
                <w:color w:val="auto"/>
              </w:rPr>
            </w:pPr>
          </w:p>
        </w:tc>
        <w:tc>
          <w:tcPr>
            <w:tcW w:w="260" w:type="dxa"/>
            <w:vAlign w:val="bottom"/>
            <w:tcBorders>
              <w:bottom w:val="single" w:sz="8" w:color="2C6937"/>
            </w:tcBorders>
          </w:tcPr>
          <w:p>
            <w:pPr>
              <w:spacing w:after="0"/>
              <w:rPr>
                <w:sz w:val="23"/>
                <w:szCs w:val="23"/>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81</w:t>
            </w:r>
          </w:p>
        </w:tc>
        <w:tc>
          <w:tcPr>
            <w:tcW w:w="120" w:type="dxa"/>
            <w:vAlign w:val="bottom"/>
          </w:tcPr>
          <w:p>
            <w:pPr>
              <w:spacing w:after="0"/>
              <w:rPr>
                <w:sz w:val="23"/>
                <w:szCs w:val="23"/>
                <w:color w:val="auto"/>
              </w:rPr>
            </w:pPr>
          </w:p>
        </w:tc>
        <w:tc>
          <w:tcPr>
            <w:tcW w:w="240" w:type="dxa"/>
            <w:vAlign w:val="bottom"/>
            <w:tcBorders>
              <w:bottom w:val="single" w:sz="8" w:color="2C6937"/>
            </w:tcBorders>
          </w:tcPr>
          <w:p>
            <w:pPr>
              <w:spacing w:after="0"/>
              <w:rPr>
                <w:sz w:val="23"/>
                <w:szCs w:val="23"/>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(131)</w:t>
            </w:r>
          </w:p>
        </w:tc>
      </w:tr>
      <w:tr>
        <w:trPr>
          <w:trHeight w:val="315"/>
        </w:trPr>
        <w:tc>
          <w:tcPr>
            <w:tcW w:w="63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Single-family benefit (provision) for credit losses</w:t>
            </w:r>
          </w:p>
        </w:tc>
        <w:tc>
          <w:tcPr>
            <w:tcW w:w="100" w:type="dxa"/>
            <w:vAlign w:val="bottom"/>
          </w:tcPr>
          <w:p>
            <w:pPr>
              <w:spacing w:after="0"/>
              <w:rPr>
                <w:sz w:val="24"/>
                <w:szCs w:val="24"/>
                <w:color w:val="auto"/>
              </w:rPr>
            </w:pPr>
          </w:p>
        </w:tc>
        <w:tc>
          <w:tcPr>
            <w:tcW w:w="120" w:type="dxa"/>
            <w:vAlign w:val="bottom"/>
            <w:tcBorders>
              <w:bottom w:val="single" w:sz="8" w:color="216C2B"/>
            </w:tcBorders>
          </w:tcPr>
          <w:p>
            <w:pPr>
              <w:spacing w:after="0"/>
              <w:rPr>
                <w:sz w:val="24"/>
                <w:szCs w:val="24"/>
                <w:color w:val="auto"/>
              </w:rPr>
            </w:pPr>
          </w:p>
        </w:tc>
        <w:tc>
          <w:tcPr>
            <w:tcW w:w="1000" w:type="dxa"/>
            <w:vAlign w:val="bottom"/>
            <w:tcBorders>
              <w:bottom w:val="single" w:sz="8" w:color="216C2B"/>
            </w:tcBorders>
          </w:tcPr>
          <w:p>
            <w:pPr>
              <w:jc w:val="right"/>
              <w:spacing w:after="0"/>
              <w:rPr>
                <w:sz w:val="20"/>
                <w:szCs w:val="20"/>
                <w:color w:val="auto"/>
              </w:rPr>
            </w:pPr>
            <w:r>
              <w:rPr>
                <w:rFonts w:ascii="Arial" w:cs="Arial" w:eastAsia="Arial" w:hAnsi="Arial"/>
                <w:sz w:val="15"/>
                <w:szCs w:val="15"/>
                <w:b w:val="1"/>
                <w:bCs w:val="1"/>
                <w:color w:val="auto"/>
              </w:rPr>
              <w:t>1,418</w:t>
            </w:r>
          </w:p>
        </w:tc>
        <w:tc>
          <w:tcPr>
            <w:tcW w:w="120" w:type="dxa"/>
            <w:vAlign w:val="bottom"/>
          </w:tcPr>
          <w:p>
            <w:pPr>
              <w:spacing w:after="0"/>
              <w:rPr>
                <w:sz w:val="24"/>
                <w:szCs w:val="24"/>
                <w:color w:val="auto"/>
              </w:rPr>
            </w:pPr>
          </w:p>
        </w:tc>
        <w:tc>
          <w:tcPr>
            <w:tcW w:w="320" w:type="dxa"/>
            <w:vAlign w:val="bottom"/>
            <w:tcBorders>
              <w:bottom w:val="single" w:sz="8" w:color="216C2B"/>
            </w:tcBorders>
          </w:tcPr>
          <w:p>
            <w:pPr>
              <w:spacing w:after="0"/>
              <w:rPr>
                <w:sz w:val="24"/>
                <w:szCs w:val="24"/>
                <w:color w:val="auto"/>
              </w:rPr>
            </w:pPr>
          </w:p>
        </w:tc>
        <w:tc>
          <w:tcPr>
            <w:tcW w:w="800" w:type="dxa"/>
            <w:vAlign w:val="bottom"/>
            <w:tcBorders>
              <w:bottom w:val="single" w:sz="8" w:color="216C2B"/>
            </w:tcBorders>
          </w:tcPr>
          <w:p>
            <w:pPr>
              <w:jc w:val="right"/>
              <w:spacing w:after="0"/>
              <w:rPr>
                <w:sz w:val="20"/>
                <w:szCs w:val="20"/>
                <w:color w:val="auto"/>
              </w:rPr>
            </w:pPr>
            <w:r>
              <w:rPr>
                <w:rFonts w:ascii="Arial" w:cs="Arial" w:eastAsia="Arial" w:hAnsi="Arial"/>
                <w:sz w:val="15"/>
                <w:szCs w:val="15"/>
                <w:color w:val="auto"/>
              </w:rPr>
              <w:t>(206)</w:t>
            </w:r>
          </w:p>
        </w:tc>
        <w:tc>
          <w:tcPr>
            <w:tcW w:w="100" w:type="dxa"/>
            <w:vAlign w:val="bottom"/>
          </w:tcPr>
          <w:p>
            <w:pPr>
              <w:spacing w:after="0"/>
              <w:rPr>
                <w:sz w:val="24"/>
                <w:szCs w:val="24"/>
                <w:color w:val="auto"/>
              </w:rPr>
            </w:pPr>
          </w:p>
        </w:tc>
        <w:tc>
          <w:tcPr>
            <w:tcW w:w="260" w:type="dxa"/>
            <w:vAlign w:val="bottom"/>
            <w:tcBorders>
              <w:bottom w:val="single" w:sz="8" w:color="216C2B"/>
            </w:tcBorders>
          </w:tcPr>
          <w:p>
            <w:pPr>
              <w:spacing w:after="0"/>
              <w:rPr>
                <w:sz w:val="24"/>
                <w:szCs w:val="24"/>
                <w:color w:val="auto"/>
              </w:rPr>
            </w:pPr>
          </w:p>
        </w:tc>
        <w:tc>
          <w:tcPr>
            <w:tcW w:w="860" w:type="dxa"/>
            <w:vAlign w:val="bottom"/>
            <w:tcBorders>
              <w:bottom w:val="single" w:sz="8" w:color="216C2B"/>
            </w:tcBorders>
          </w:tcPr>
          <w:p>
            <w:pPr>
              <w:jc w:val="right"/>
              <w:spacing w:after="0"/>
              <w:rPr>
                <w:sz w:val="20"/>
                <w:szCs w:val="20"/>
                <w:color w:val="auto"/>
              </w:rPr>
            </w:pPr>
            <w:r>
              <w:rPr>
                <w:rFonts w:ascii="Arial" w:cs="Arial" w:eastAsia="Arial" w:hAnsi="Arial"/>
                <w:sz w:val="15"/>
                <w:szCs w:val="15"/>
                <w:b w:val="1"/>
                <w:bCs w:val="1"/>
                <w:color w:val="auto"/>
              </w:rPr>
              <w:t>1,465</w:t>
            </w:r>
          </w:p>
        </w:tc>
        <w:tc>
          <w:tcPr>
            <w:tcW w:w="120" w:type="dxa"/>
            <w:vAlign w:val="bottom"/>
          </w:tcPr>
          <w:p>
            <w:pPr>
              <w:spacing w:after="0"/>
              <w:rPr>
                <w:sz w:val="24"/>
                <w:szCs w:val="24"/>
                <w:color w:val="auto"/>
              </w:rPr>
            </w:pPr>
          </w:p>
        </w:tc>
        <w:tc>
          <w:tcPr>
            <w:tcW w:w="240" w:type="dxa"/>
            <w:vAlign w:val="bottom"/>
            <w:tcBorders>
              <w:bottom w:val="single" w:sz="8" w:color="216C2B"/>
            </w:tcBorders>
          </w:tcPr>
          <w:p>
            <w:pPr>
              <w:spacing w:after="0"/>
              <w:rPr>
                <w:sz w:val="24"/>
                <w:szCs w:val="24"/>
                <w:color w:val="auto"/>
              </w:rPr>
            </w:pPr>
          </w:p>
        </w:tc>
        <w:tc>
          <w:tcPr>
            <w:tcW w:w="880" w:type="dxa"/>
            <w:vAlign w:val="bottom"/>
            <w:tcBorders>
              <w:bottom w:val="single" w:sz="8" w:color="216C2B"/>
            </w:tcBorders>
          </w:tcPr>
          <w:p>
            <w:pPr>
              <w:jc w:val="right"/>
              <w:spacing w:after="0"/>
              <w:rPr>
                <w:sz w:val="20"/>
                <w:szCs w:val="20"/>
                <w:color w:val="auto"/>
              </w:rPr>
            </w:pPr>
            <w:r>
              <w:rPr>
                <w:rFonts w:ascii="Arial" w:cs="Arial" w:eastAsia="Arial" w:hAnsi="Arial"/>
                <w:sz w:val="15"/>
                <w:szCs w:val="15"/>
                <w:color w:val="auto"/>
              </w:rPr>
              <w:t>(476)</w:t>
            </w:r>
          </w:p>
        </w:tc>
      </w:tr>
      <w:tr>
        <w:trPr>
          <w:trHeight w:val="296"/>
        </w:trPr>
        <w:tc>
          <w:tcPr>
            <w:tcW w:w="6420" w:type="dxa"/>
            <w:vAlign w:val="bottom"/>
            <w:gridSpan w:val="2"/>
          </w:tcPr>
          <w:p>
            <w:pPr>
              <w:ind w:left="20"/>
              <w:spacing w:after="0"/>
              <w:rPr>
                <w:sz w:val="20"/>
                <w:szCs w:val="20"/>
                <w:color w:val="auto"/>
              </w:rPr>
            </w:pPr>
            <w:r>
              <w:rPr>
                <w:rFonts w:ascii="Arial" w:cs="Arial" w:eastAsia="Arial" w:hAnsi="Arial"/>
                <w:sz w:val="15"/>
                <w:szCs w:val="15"/>
                <w:b w:val="1"/>
                <w:bCs w:val="1"/>
                <w:color w:val="auto"/>
              </w:rPr>
              <w:t>Multifamily benefit (provision) for credit losses: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66"/>
        </w:trPr>
        <w:tc>
          <w:tcPr>
            <w:tcW w:w="6420" w:type="dxa"/>
            <w:vAlign w:val="bottom"/>
            <w:gridSpan w:val="2"/>
          </w:tcPr>
          <w:p>
            <w:pPr>
              <w:ind w:left="180"/>
              <w:spacing w:after="0"/>
              <w:rPr>
                <w:sz w:val="20"/>
                <w:szCs w:val="20"/>
                <w:color w:val="auto"/>
              </w:rPr>
            </w:pPr>
            <w:r>
              <w:rPr>
                <w:rFonts w:ascii="Arial" w:cs="Arial" w:eastAsia="Arial" w:hAnsi="Arial"/>
                <w:sz w:val="15"/>
                <w:szCs w:val="15"/>
                <w:color w:val="auto"/>
              </w:rPr>
              <w:t>Changes in loan activity</w:t>
            </w:r>
            <w:r>
              <w:rPr>
                <w:rFonts w:ascii="Arial" w:cs="Arial" w:eastAsia="Arial" w:hAnsi="Arial"/>
                <w:sz w:val="20"/>
                <w:szCs w:val="20"/>
                <w:color w:val="auto"/>
                <w:vertAlign w:val="superscript"/>
              </w:rPr>
              <w:t>(1)</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(74)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(84)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278"/>
        </w:trPr>
        <w:tc>
          <w:tcPr>
            <w:tcW w:w="6420" w:type="dxa"/>
            <w:vAlign w:val="bottom"/>
            <w:gridSpan w:val="2"/>
          </w:tcPr>
          <w:p>
            <w:pPr>
              <w:ind w:left="180"/>
              <w:spacing w:after="0"/>
              <w:rPr>
                <w:sz w:val="20"/>
                <w:szCs w:val="20"/>
                <w:color w:val="auto"/>
              </w:rPr>
            </w:pPr>
            <w:r>
              <w:rPr>
                <w:rFonts w:ascii="Arial" w:cs="Arial" w:eastAsia="Arial" w:hAnsi="Arial"/>
                <w:sz w:val="15"/>
                <w:szCs w:val="15"/>
                <w:color w:val="auto"/>
              </w:rPr>
              <w:t>Actual and projected interest rates</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(65)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(161)</w:t>
            </w:r>
          </w:p>
        </w:tc>
      </w:tr>
      <w:tr>
        <w:trPr>
          <w:trHeight w:val="276"/>
        </w:trPr>
        <w:tc>
          <w:tcPr>
            <w:tcW w:w="6420" w:type="dxa"/>
            <w:vAlign w:val="bottom"/>
            <w:gridSpan w:val="2"/>
          </w:tcPr>
          <w:p>
            <w:pPr>
              <w:ind w:left="180"/>
              <w:spacing w:after="0"/>
              <w:rPr>
                <w:sz w:val="20"/>
                <w:szCs w:val="20"/>
                <w:color w:val="auto"/>
              </w:rPr>
            </w:pPr>
            <w:r>
              <w:rPr>
                <w:rFonts w:ascii="Arial" w:cs="Arial" w:eastAsia="Arial" w:hAnsi="Arial"/>
                <w:sz w:val="15"/>
                <w:szCs w:val="15"/>
                <w:color w:val="auto"/>
              </w:rPr>
              <w:t>Actual and projected economic data</w:t>
            </w:r>
            <w:r>
              <w:rPr>
                <w:rFonts w:ascii="Arial" w:cs="Arial" w:eastAsia="Arial" w:hAnsi="Arial"/>
                <w:sz w:val="20"/>
                <w:szCs w:val="20"/>
                <w:color w:val="auto"/>
                <w:vertAlign w:val="superscript"/>
              </w:rPr>
              <w:t>(4)</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(121)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(303)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88</w:t>
            </w:r>
          </w:p>
        </w:tc>
      </w:tr>
      <w:tr>
        <w:trPr>
          <w:trHeight w:val="272"/>
        </w:trPr>
        <w:tc>
          <w:tcPr>
            <w:tcW w:w="63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(3)</w:t>
            </w:r>
          </w:p>
        </w:tc>
        <w:tc>
          <w:tcPr>
            <w:tcW w:w="100" w:type="dxa"/>
            <w:vAlign w:val="bottom"/>
          </w:tcPr>
          <w:p>
            <w:pPr>
              <w:spacing w:after="0"/>
              <w:rPr>
                <w:sz w:val="23"/>
                <w:szCs w:val="23"/>
                <w:color w:val="auto"/>
              </w:rPr>
            </w:pPr>
          </w:p>
        </w:tc>
        <w:tc>
          <w:tcPr>
            <w:tcW w:w="120" w:type="dxa"/>
            <w:vAlign w:val="bottom"/>
            <w:tcBorders>
              <w:bottom w:val="single" w:sz="8" w:color="2C6937"/>
            </w:tcBorders>
          </w:tcPr>
          <w:p>
            <w:pPr>
              <w:spacing w:after="0"/>
              <w:rPr>
                <w:sz w:val="23"/>
                <w:szCs w:val="23"/>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108</w:t>
            </w:r>
          </w:p>
        </w:tc>
        <w:tc>
          <w:tcPr>
            <w:tcW w:w="120" w:type="dxa"/>
            <w:vAlign w:val="bottom"/>
          </w:tcPr>
          <w:p>
            <w:pPr>
              <w:spacing w:after="0"/>
              <w:rPr>
                <w:sz w:val="23"/>
                <w:szCs w:val="23"/>
                <w:color w:val="auto"/>
              </w:rPr>
            </w:pPr>
          </w:p>
        </w:tc>
        <w:tc>
          <w:tcPr>
            <w:tcW w:w="320" w:type="dxa"/>
            <w:vAlign w:val="bottom"/>
            <w:tcBorders>
              <w:bottom w:val="single" w:sz="8" w:color="2C6937"/>
            </w:tcBorders>
          </w:tcPr>
          <w:p>
            <w:pPr>
              <w:spacing w:after="0"/>
              <w:rPr>
                <w:sz w:val="23"/>
                <w:szCs w:val="23"/>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3"/>
                <w:szCs w:val="23"/>
                <w:color w:val="auto"/>
              </w:rPr>
            </w:pPr>
          </w:p>
        </w:tc>
        <w:tc>
          <w:tcPr>
            <w:tcW w:w="260" w:type="dxa"/>
            <w:vAlign w:val="bottom"/>
            <w:tcBorders>
              <w:bottom w:val="single" w:sz="8" w:color="2C6937"/>
            </w:tcBorders>
          </w:tcPr>
          <w:p>
            <w:pPr>
              <w:spacing w:after="0"/>
              <w:rPr>
                <w:sz w:val="23"/>
                <w:szCs w:val="23"/>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48</w:t>
            </w:r>
          </w:p>
        </w:tc>
        <w:tc>
          <w:tcPr>
            <w:tcW w:w="120" w:type="dxa"/>
            <w:vAlign w:val="bottom"/>
          </w:tcPr>
          <w:p>
            <w:pPr>
              <w:spacing w:after="0"/>
              <w:rPr>
                <w:sz w:val="23"/>
                <w:szCs w:val="23"/>
                <w:color w:val="auto"/>
              </w:rPr>
            </w:pPr>
          </w:p>
        </w:tc>
        <w:tc>
          <w:tcPr>
            <w:tcW w:w="240" w:type="dxa"/>
            <w:vAlign w:val="bottom"/>
            <w:tcBorders>
              <w:bottom w:val="single" w:sz="8" w:color="2C6937"/>
            </w:tcBorders>
          </w:tcPr>
          <w:p>
            <w:pPr>
              <w:spacing w:after="0"/>
              <w:rPr>
                <w:sz w:val="23"/>
                <w:szCs w:val="23"/>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80</w:t>
            </w:r>
          </w:p>
        </w:tc>
      </w:tr>
      <w:tr>
        <w:trPr>
          <w:trHeight w:val="302"/>
        </w:trPr>
        <w:tc>
          <w:tcPr>
            <w:tcW w:w="6320" w:type="dxa"/>
            <w:vAlign w:val="bottom"/>
            <w:tcBorders>
              <w:bottom w:val="single" w:sz="8" w:color="216C2B"/>
            </w:tcBorders>
          </w:tcPr>
          <w:p>
            <w:pPr>
              <w:ind w:left="20"/>
              <w:spacing w:after="0"/>
              <w:rPr>
                <w:sz w:val="20"/>
                <w:szCs w:val="20"/>
                <w:color w:val="auto"/>
              </w:rPr>
            </w:pPr>
            <w:r>
              <w:rPr>
                <w:rFonts w:ascii="Arial" w:cs="Arial" w:eastAsia="Arial" w:hAnsi="Arial"/>
                <w:sz w:val="15"/>
                <w:szCs w:val="15"/>
                <w:color w:val="auto"/>
              </w:rPr>
              <w:t>Multifamily benefit (provision) for credit losses</w:t>
            </w:r>
          </w:p>
        </w:tc>
        <w:tc>
          <w:tcPr>
            <w:tcW w:w="100" w:type="dxa"/>
            <w:vAlign w:val="bottom"/>
          </w:tcPr>
          <w:p>
            <w:pPr>
              <w:spacing w:after="0"/>
              <w:rPr>
                <w:sz w:val="24"/>
                <w:szCs w:val="24"/>
                <w:color w:val="auto"/>
              </w:rPr>
            </w:pPr>
          </w:p>
        </w:tc>
        <w:tc>
          <w:tcPr>
            <w:tcW w:w="120" w:type="dxa"/>
            <w:vAlign w:val="bottom"/>
            <w:tcBorders>
              <w:bottom w:val="single" w:sz="8" w:color="216C2B"/>
            </w:tcBorders>
          </w:tcPr>
          <w:p>
            <w:pPr>
              <w:spacing w:after="0"/>
              <w:rPr>
                <w:sz w:val="24"/>
                <w:szCs w:val="24"/>
                <w:color w:val="auto"/>
              </w:rPr>
            </w:pPr>
          </w:p>
        </w:tc>
        <w:tc>
          <w:tcPr>
            <w:tcW w:w="1000" w:type="dxa"/>
            <w:vAlign w:val="bottom"/>
            <w:tcBorders>
              <w:bottom w:val="single" w:sz="8" w:color="216C2B"/>
            </w:tcBorders>
          </w:tcPr>
          <w:p>
            <w:pPr>
              <w:jc w:val="right"/>
              <w:spacing w:after="0"/>
              <w:rPr>
                <w:sz w:val="20"/>
                <w:szCs w:val="20"/>
                <w:color w:val="auto"/>
              </w:rPr>
            </w:pPr>
            <w:r>
              <w:rPr>
                <w:rFonts w:ascii="Arial" w:cs="Arial" w:eastAsia="Arial" w:hAnsi="Arial"/>
                <w:sz w:val="15"/>
                <w:szCs w:val="15"/>
                <w:b w:val="1"/>
                <w:bCs w:val="1"/>
                <w:color w:val="auto"/>
              </w:rPr>
              <w:t>(152)</w:t>
            </w:r>
          </w:p>
        </w:tc>
        <w:tc>
          <w:tcPr>
            <w:tcW w:w="120" w:type="dxa"/>
            <w:vAlign w:val="bottom"/>
          </w:tcPr>
          <w:p>
            <w:pPr>
              <w:spacing w:after="0"/>
              <w:rPr>
                <w:sz w:val="24"/>
                <w:szCs w:val="24"/>
                <w:color w:val="auto"/>
              </w:rPr>
            </w:pPr>
          </w:p>
        </w:tc>
        <w:tc>
          <w:tcPr>
            <w:tcW w:w="320" w:type="dxa"/>
            <w:vAlign w:val="bottom"/>
            <w:tcBorders>
              <w:bottom w:val="single" w:sz="8" w:color="216C2B"/>
            </w:tcBorders>
          </w:tcPr>
          <w:p>
            <w:pPr>
              <w:spacing w:after="0"/>
              <w:rPr>
                <w:sz w:val="24"/>
                <w:szCs w:val="24"/>
                <w:color w:val="auto"/>
              </w:rPr>
            </w:pPr>
          </w:p>
        </w:tc>
        <w:tc>
          <w:tcPr>
            <w:tcW w:w="800" w:type="dxa"/>
            <w:vAlign w:val="bottom"/>
            <w:tcBorders>
              <w:bottom w:val="single" w:sz="8" w:color="216C2B"/>
            </w:tcBorders>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24"/>
                <w:szCs w:val="24"/>
                <w:color w:val="auto"/>
              </w:rPr>
            </w:pPr>
          </w:p>
        </w:tc>
        <w:tc>
          <w:tcPr>
            <w:tcW w:w="260" w:type="dxa"/>
            <w:vAlign w:val="bottom"/>
            <w:tcBorders>
              <w:bottom w:val="single" w:sz="8" w:color="216C2B"/>
            </w:tcBorders>
          </w:tcPr>
          <w:p>
            <w:pPr>
              <w:spacing w:after="0"/>
              <w:rPr>
                <w:sz w:val="24"/>
                <w:szCs w:val="24"/>
                <w:color w:val="auto"/>
              </w:rPr>
            </w:pPr>
          </w:p>
        </w:tc>
        <w:tc>
          <w:tcPr>
            <w:tcW w:w="860" w:type="dxa"/>
            <w:vAlign w:val="bottom"/>
            <w:tcBorders>
              <w:bottom w:val="single" w:sz="8" w:color="216C2B"/>
            </w:tcBorders>
          </w:tcPr>
          <w:p>
            <w:pPr>
              <w:jc w:val="right"/>
              <w:spacing w:after="0"/>
              <w:rPr>
                <w:sz w:val="20"/>
                <w:szCs w:val="20"/>
                <w:color w:val="auto"/>
              </w:rPr>
            </w:pPr>
            <w:r>
              <w:rPr>
                <w:rFonts w:ascii="Arial" w:cs="Arial" w:eastAsia="Arial" w:hAnsi="Arial"/>
                <w:sz w:val="15"/>
                <w:szCs w:val="15"/>
                <w:b w:val="1"/>
                <w:bCs w:val="1"/>
                <w:color w:val="auto"/>
              </w:rPr>
              <w:t>(331)</w:t>
            </w:r>
          </w:p>
        </w:tc>
        <w:tc>
          <w:tcPr>
            <w:tcW w:w="120" w:type="dxa"/>
            <w:vAlign w:val="bottom"/>
          </w:tcPr>
          <w:p>
            <w:pPr>
              <w:spacing w:after="0"/>
              <w:rPr>
                <w:sz w:val="24"/>
                <w:szCs w:val="24"/>
                <w:color w:val="auto"/>
              </w:rPr>
            </w:pPr>
          </w:p>
        </w:tc>
        <w:tc>
          <w:tcPr>
            <w:tcW w:w="240" w:type="dxa"/>
            <w:vAlign w:val="bottom"/>
            <w:tcBorders>
              <w:bottom w:val="single" w:sz="8" w:color="216C2B"/>
            </w:tcBorders>
          </w:tcPr>
          <w:p>
            <w:pPr>
              <w:spacing w:after="0"/>
              <w:rPr>
                <w:sz w:val="24"/>
                <w:szCs w:val="24"/>
                <w:color w:val="auto"/>
              </w:rPr>
            </w:pPr>
          </w:p>
        </w:tc>
        <w:tc>
          <w:tcPr>
            <w:tcW w:w="880" w:type="dxa"/>
            <w:vAlign w:val="bottom"/>
            <w:tcBorders>
              <w:bottom w:val="single" w:sz="8" w:color="216C2B"/>
            </w:tcBorders>
          </w:tcPr>
          <w:p>
            <w:pPr>
              <w:jc w:val="right"/>
              <w:spacing w:after="0"/>
              <w:rPr>
                <w:sz w:val="20"/>
                <w:szCs w:val="20"/>
                <w:color w:val="auto"/>
              </w:rPr>
            </w:pPr>
            <w:r>
              <w:rPr>
                <w:rFonts w:ascii="Arial" w:cs="Arial" w:eastAsia="Arial" w:hAnsi="Arial"/>
                <w:sz w:val="15"/>
                <w:szCs w:val="15"/>
                <w:color w:val="auto"/>
              </w:rPr>
              <w:t>18</w:t>
            </w:r>
          </w:p>
        </w:tc>
      </w:tr>
      <w:tr>
        <w:trPr>
          <w:trHeight w:val="302"/>
        </w:trPr>
        <w:tc>
          <w:tcPr>
            <w:tcW w:w="63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Total benefit (provision) for credit losses</w:t>
            </w:r>
            <w:r>
              <w:rPr>
                <w:rFonts w:ascii="Arial" w:cs="Arial" w:eastAsia="Arial" w:hAnsi="Arial"/>
                <w:sz w:val="20"/>
                <w:szCs w:val="20"/>
                <w:color w:val="auto"/>
                <w:vertAlign w:val="superscript"/>
              </w:rPr>
              <w:t>(5)</w:t>
            </w:r>
          </w:p>
        </w:tc>
        <w:tc>
          <w:tcPr>
            <w:tcW w:w="100" w:type="dxa"/>
            <w:vAlign w:val="bottom"/>
          </w:tcPr>
          <w:p>
            <w:pPr>
              <w:spacing w:after="0"/>
              <w:rPr>
                <w:sz w:val="24"/>
                <w:szCs w:val="24"/>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1,266</w:t>
            </w:r>
          </w:p>
        </w:tc>
        <w:tc>
          <w:tcPr>
            <w:tcW w:w="120" w:type="dxa"/>
            <w:vAlign w:val="bottom"/>
          </w:tcPr>
          <w:p>
            <w:pPr>
              <w:spacing w:after="0"/>
              <w:rPr>
                <w:sz w:val="24"/>
                <w:szCs w:val="24"/>
                <w:color w:val="auto"/>
              </w:rPr>
            </w:pPr>
          </w:p>
        </w:tc>
        <w:tc>
          <w:tcPr>
            <w:tcW w:w="320" w:type="dxa"/>
            <w:vAlign w:val="bottom"/>
            <w:tcBorders>
              <w:bottom w:val="single" w:sz="8" w:color="2C6937"/>
            </w:tcBorders>
          </w:tcPr>
          <w:p>
            <w:pPr>
              <w:jc w:val="right"/>
              <w:ind w:right="14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(218)</w:t>
            </w:r>
          </w:p>
        </w:tc>
        <w:tc>
          <w:tcPr>
            <w:tcW w:w="100" w:type="dxa"/>
            <w:vAlign w:val="bottom"/>
          </w:tcPr>
          <w:p>
            <w:pPr>
              <w:spacing w:after="0"/>
              <w:rPr>
                <w:sz w:val="24"/>
                <w:szCs w:val="24"/>
                <w:color w:val="auto"/>
              </w:rPr>
            </w:pPr>
          </w:p>
        </w:tc>
        <w:tc>
          <w:tcPr>
            <w:tcW w:w="26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1,134</w:t>
            </w:r>
          </w:p>
        </w:tc>
        <w:tc>
          <w:tcPr>
            <w:tcW w:w="120" w:type="dxa"/>
            <w:vAlign w:val="bottom"/>
          </w:tcPr>
          <w:p>
            <w:pPr>
              <w:spacing w:after="0"/>
              <w:rPr>
                <w:sz w:val="24"/>
                <w:szCs w:val="24"/>
                <w:color w:val="auto"/>
              </w:rPr>
            </w:pPr>
          </w:p>
        </w:tc>
        <w:tc>
          <w:tcPr>
            <w:tcW w:w="240" w:type="dxa"/>
            <w:vAlign w:val="bottom"/>
            <w:tcBorders>
              <w:bottom w:val="single" w:sz="8" w:color="2C6937"/>
            </w:tcBorders>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(458)</w:t>
            </w:r>
          </w:p>
        </w:tc>
      </w:tr>
      <w:tr>
        <w:trPr>
          <w:trHeight w:val="20"/>
        </w:trPr>
        <w:tc>
          <w:tcPr>
            <w:tcW w:w="63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00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8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880" w:type="dxa"/>
            <w:vAlign w:val="bottom"/>
            <w:tcBorders>
              <w:bottom w:val="single" w:sz="8" w:color="2C6937"/>
            </w:tcBorders>
          </w:tcPr>
          <w:p>
            <w:pPr>
              <w:spacing w:after="0" w:line="20" w:lineRule="exact"/>
              <w:rPr>
                <w:sz w:val="1"/>
                <w:szCs w:val="1"/>
                <w:color w:val="auto"/>
              </w:rPr>
            </w:pPr>
          </w:p>
        </w:tc>
      </w:tr>
      <w:tr>
        <w:trPr>
          <w:trHeight w:val="527"/>
        </w:trPr>
        <w:tc>
          <w:tcPr>
            <w:tcW w:w="6420" w:type="dxa"/>
            <w:vAlign w:val="bottom"/>
            <w:gridSpan w:val="2"/>
          </w:tcPr>
          <w:p>
            <w:pPr>
              <w:ind w:left="20"/>
              <w:spacing w:after="0"/>
              <w:rPr>
                <w:sz w:val="20"/>
                <w:szCs w:val="20"/>
                <w:color w:val="auto"/>
              </w:rPr>
            </w:pPr>
            <w:r>
              <w:rPr>
                <w:rFonts w:ascii="Arial" w:cs="Arial" w:eastAsia="Arial" w:hAnsi="Arial"/>
                <w:sz w:val="15"/>
                <w:szCs w:val="15"/>
                <w:b w:val="1"/>
                <w:bCs w:val="1"/>
                <w:color w:val="auto"/>
              </w:rPr>
              <w:t>Change in expected credit enhancement recoveries for active loans: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5"/>
        </w:trPr>
        <w:tc>
          <w:tcPr>
            <w:tcW w:w="6420" w:type="dxa"/>
            <w:vAlign w:val="bottom"/>
            <w:gridSpan w:val="2"/>
          </w:tcPr>
          <w:p>
            <w:pPr>
              <w:ind w:left="180"/>
              <w:spacing w:after="0"/>
              <w:rPr>
                <w:sz w:val="20"/>
                <w:szCs w:val="20"/>
                <w:color w:val="auto"/>
              </w:rPr>
            </w:pPr>
            <w:r>
              <w:rPr>
                <w:rFonts w:ascii="Arial" w:cs="Arial" w:eastAsia="Arial" w:hAnsi="Arial"/>
                <w:sz w:val="15"/>
                <w:szCs w:val="15"/>
                <w:color w:val="auto"/>
              </w:rPr>
              <w:t>Single-family</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(223)</w:t>
            </w:r>
          </w:p>
        </w:tc>
        <w:tc>
          <w:tcPr>
            <w:tcW w:w="440" w:type="dxa"/>
            <w:vAlign w:val="bottom"/>
            <w:gridSpan w:val="2"/>
          </w:tcPr>
          <w:p>
            <w:pPr>
              <w:jc w:val="right"/>
              <w:ind w:right="143"/>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(43)</w:t>
            </w:r>
          </w:p>
        </w:tc>
        <w:tc>
          <w:tcPr>
            <w:tcW w:w="360" w:type="dxa"/>
            <w:vAlign w:val="bottom"/>
            <w:gridSpan w:val="2"/>
          </w:tcPr>
          <w:p>
            <w:pPr>
              <w:ind w:left="120"/>
              <w:spacing w:after="0"/>
              <w:rPr>
                <w:sz w:val="20"/>
                <w:szCs w:val="20"/>
                <w:color w:val="auto"/>
              </w:rPr>
            </w:pPr>
            <w:r>
              <w:rPr>
                <w:rFonts w:ascii="Arial" w:cs="Arial" w:eastAsia="Arial" w:hAnsi="Arial"/>
                <w:sz w:val="15"/>
                <w:szCs w:val="15"/>
                <w:b w:val="1"/>
                <w:bCs w:val="1"/>
                <w:color w:val="auto"/>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(128)</w:t>
            </w:r>
          </w:p>
        </w:tc>
        <w:tc>
          <w:tcPr>
            <w:tcW w:w="360" w:type="dxa"/>
            <w:vAlign w:val="bottom"/>
            <w:gridSpan w:val="2"/>
          </w:tcPr>
          <w:p>
            <w:pPr>
              <w:jc w:val="right"/>
              <w:ind w:right="63"/>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26</w:t>
            </w:r>
          </w:p>
        </w:tc>
      </w:tr>
      <w:tr>
        <w:trPr>
          <w:trHeight w:val="316"/>
        </w:trPr>
        <w:tc>
          <w:tcPr>
            <w:tcW w:w="63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63</w:t>
            </w:r>
          </w:p>
        </w:tc>
        <w:tc>
          <w:tcPr>
            <w:tcW w:w="120" w:type="dxa"/>
            <w:vAlign w:val="bottom"/>
          </w:tcPr>
          <w:p>
            <w:pPr>
              <w:spacing w:after="0"/>
              <w:rPr>
                <w:sz w:val="24"/>
                <w:szCs w:val="24"/>
                <w:color w:val="auto"/>
              </w:rPr>
            </w:pPr>
          </w:p>
        </w:tc>
        <w:tc>
          <w:tcPr>
            <w:tcW w:w="320" w:type="dxa"/>
            <w:vAlign w:val="bottom"/>
            <w:tcBorders>
              <w:bottom w:val="single" w:sz="8" w:color="2C6937"/>
            </w:tcBorders>
          </w:tcPr>
          <w:p>
            <w:pPr>
              <w:spacing w:after="0"/>
              <w:rPr>
                <w:sz w:val="24"/>
                <w:szCs w:val="24"/>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81</w:t>
            </w:r>
          </w:p>
        </w:tc>
        <w:tc>
          <w:tcPr>
            <w:tcW w:w="120" w:type="dxa"/>
            <w:vAlign w:val="bottom"/>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w:t>
            </w:r>
          </w:p>
        </w:tc>
      </w:tr>
      <w:tr>
        <w:trPr>
          <w:trHeight w:val="302"/>
        </w:trPr>
        <w:tc>
          <w:tcPr>
            <w:tcW w:w="6420" w:type="dxa"/>
            <w:vAlign w:val="bottom"/>
            <w:gridSpan w:val="2"/>
          </w:tcPr>
          <w:p>
            <w:pPr>
              <w:ind w:left="20"/>
              <w:spacing w:after="0"/>
              <w:rPr>
                <w:sz w:val="20"/>
                <w:szCs w:val="20"/>
                <w:color w:val="auto"/>
              </w:rPr>
            </w:pPr>
            <w:r>
              <w:rPr>
                <w:rFonts w:ascii="Arial" w:cs="Arial" w:eastAsia="Arial" w:hAnsi="Arial"/>
                <w:sz w:val="15"/>
                <w:szCs w:val="15"/>
                <w:color w:val="auto"/>
              </w:rPr>
              <w:t>Change in expected credit enhancement recoveries for active loans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(160)</w:t>
            </w:r>
          </w:p>
        </w:tc>
        <w:tc>
          <w:tcPr>
            <w:tcW w:w="440" w:type="dxa"/>
            <w:vAlign w:val="bottom"/>
            <w:gridSpan w:val="2"/>
          </w:tcPr>
          <w:p>
            <w:pPr>
              <w:jc w:val="right"/>
              <w:ind w:right="143"/>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(47)</w:t>
            </w:r>
          </w:p>
        </w:tc>
        <w:tc>
          <w:tcPr>
            <w:tcW w:w="360" w:type="dxa"/>
            <w:vAlign w:val="bottom"/>
            <w:gridSpan w:val="2"/>
          </w:tcPr>
          <w:p>
            <w:pPr>
              <w:ind w:left="120"/>
              <w:spacing w:after="0"/>
              <w:rPr>
                <w:sz w:val="20"/>
                <w:szCs w:val="20"/>
                <w:color w:val="auto"/>
              </w:rPr>
            </w:pPr>
            <w:r>
              <w:rPr>
                <w:rFonts w:ascii="Arial" w:cs="Arial" w:eastAsia="Arial" w:hAnsi="Arial"/>
                <w:sz w:val="15"/>
                <w:szCs w:val="15"/>
                <w:b w:val="1"/>
                <w:bCs w:val="1"/>
                <w:color w:val="auto"/>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(47)</w:t>
            </w:r>
          </w:p>
        </w:tc>
        <w:tc>
          <w:tcPr>
            <w:tcW w:w="360" w:type="dxa"/>
            <w:vAlign w:val="bottom"/>
            <w:gridSpan w:val="2"/>
          </w:tcPr>
          <w:p>
            <w:pPr>
              <w:jc w:val="right"/>
              <w:ind w:right="63"/>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20"/>
        </w:trPr>
        <w:tc>
          <w:tcPr>
            <w:tcW w:w="6320" w:type="dxa"/>
            <w:vAlign w:val="bottom"/>
            <w:tcBorders>
              <w:top w:val="single" w:sz="8" w:color="226600"/>
              <w:bottom w:val="single" w:sz="8" w:color="22660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26600"/>
              <w:bottom w:val="single" w:sz="8" w:color="226600"/>
            </w:tcBorders>
          </w:tcPr>
          <w:p>
            <w:pPr>
              <w:spacing w:after="0" w:line="20" w:lineRule="exact"/>
              <w:rPr>
                <w:sz w:val="1"/>
                <w:szCs w:val="1"/>
                <w:color w:val="auto"/>
              </w:rPr>
            </w:pPr>
          </w:p>
        </w:tc>
        <w:tc>
          <w:tcPr>
            <w:tcW w:w="1000" w:type="dxa"/>
            <w:vAlign w:val="bottom"/>
            <w:tcBorders>
              <w:top w:val="single" w:sz="8" w:color="226600"/>
              <w:bottom w:val="single" w:sz="8" w:color="22660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226600"/>
              <w:bottom w:val="single" w:sz="8" w:color="226600"/>
            </w:tcBorders>
          </w:tcPr>
          <w:p>
            <w:pPr>
              <w:spacing w:after="0" w:line="20" w:lineRule="exact"/>
              <w:rPr>
                <w:sz w:val="1"/>
                <w:szCs w:val="1"/>
                <w:color w:val="auto"/>
              </w:rPr>
            </w:pPr>
          </w:p>
        </w:tc>
        <w:tc>
          <w:tcPr>
            <w:tcW w:w="800" w:type="dxa"/>
            <w:vAlign w:val="bottom"/>
            <w:tcBorders>
              <w:top w:val="single" w:sz="8" w:color="226600"/>
              <w:bottom w:val="single" w:sz="8" w:color="22660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26600"/>
              <w:bottom w:val="single" w:sz="8" w:color="226600"/>
            </w:tcBorders>
          </w:tcPr>
          <w:p>
            <w:pPr>
              <w:spacing w:after="0" w:line="20" w:lineRule="exact"/>
              <w:rPr>
                <w:sz w:val="1"/>
                <w:szCs w:val="1"/>
                <w:color w:val="auto"/>
              </w:rPr>
            </w:pPr>
          </w:p>
        </w:tc>
        <w:tc>
          <w:tcPr>
            <w:tcW w:w="860" w:type="dxa"/>
            <w:vAlign w:val="bottom"/>
            <w:tcBorders>
              <w:top w:val="single" w:sz="8" w:color="226600"/>
              <w:bottom w:val="single" w:sz="8" w:color="22660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226600"/>
              <w:bottom w:val="single" w:sz="8" w:color="226600"/>
            </w:tcBorders>
          </w:tcPr>
          <w:p>
            <w:pPr>
              <w:spacing w:after="0" w:line="20" w:lineRule="exact"/>
              <w:rPr>
                <w:sz w:val="1"/>
                <w:szCs w:val="1"/>
                <w:color w:val="auto"/>
              </w:rPr>
            </w:pPr>
          </w:p>
        </w:tc>
        <w:tc>
          <w:tcPr>
            <w:tcW w:w="880" w:type="dxa"/>
            <w:vAlign w:val="bottom"/>
            <w:tcBorders>
              <w:top w:val="single" w:sz="8" w:color="226600"/>
              <w:bottom w:val="single" w:sz="8" w:color="226600"/>
            </w:tcBorders>
          </w:tcPr>
          <w:p>
            <w:pPr>
              <w:spacing w:after="0" w:line="20" w:lineRule="exact"/>
              <w:rPr>
                <w:sz w:val="1"/>
                <w:szCs w:val="1"/>
                <w:color w:val="auto"/>
              </w:rPr>
            </w:pPr>
          </w:p>
        </w:tc>
      </w:tr>
    </w:tbl>
    <w:p>
      <w:pPr>
        <w:spacing w:after="0" w:line="98" w:lineRule="exact"/>
        <w:rPr>
          <w:sz w:val="20"/>
          <w:szCs w:val="20"/>
          <w:color w:val="auto"/>
        </w:rPr>
      </w:pPr>
    </w:p>
    <w:p>
      <w:pPr>
        <w:ind w:left="240" w:right="100" w:hanging="237"/>
        <w:spacing w:after="0" w:line="225" w:lineRule="auto"/>
        <w:tabs>
          <w:tab w:leader="none" w:pos="24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Primarily consists of loan acquisitions, liquidations and amortization of modification concessions granted to borrowers and write-offs of amounts determined to be uncollectible. For multifamily, “Changes in loan activity” also includes changes in the allowance due to loan delinquencies and the impact of changes in debt service coverage ratios (“DSCRs”) based on updated property financial information, which is used to assess loan credit quality.</w:t>
      </w:r>
    </w:p>
    <w:p>
      <w:pPr>
        <w:spacing w:after="0" w:line="32" w:lineRule="exact"/>
        <w:rPr>
          <w:rFonts w:ascii="Arial" w:cs="Arial" w:eastAsia="Arial" w:hAnsi="Arial"/>
          <w:sz w:val="18"/>
          <w:szCs w:val="18"/>
          <w:color w:val="auto"/>
          <w:vertAlign w:val="superscript"/>
        </w:rPr>
      </w:pPr>
    </w:p>
    <w:p>
      <w:pPr>
        <w:ind w:left="240" w:right="160" w:hanging="237"/>
        <w:spacing w:after="0" w:line="223" w:lineRule="auto"/>
        <w:tabs>
          <w:tab w:leader="none" w:pos="24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Represents the benefit from the release of economic concessions related to loans previously designated as troubled debt restructurings that received loss mitigation arrangements during the period.</w:t>
      </w:r>
    </w:p>
    <w:p>
      <w:pPr>
        <w:spacing w:after="0" w:line="31" w:lineRule="exact"/>
        <w:rPr>
          <w:rFonts w:ascii="Arial" w:cs="Arial" w:eastAsia="Arial" w:hAnsi="Arial"/>
          <w:sz w:val="18"/>
          <w:szCs w:val="18"/>
          <w:color w:val="auto"/>
          <w:vertAlign w:val="superscript"/>
        </w:rPr>
      </w:pPr>
    </w:p>
    <w:p>
      <w:pPr>
        <w:ind w:left="240" w:right="520" w:hanging="237"/>
        <w:spacing w:after="0" w:line="223" w:lineRule="auto"/>
        <w:tabs>
          <w:tab w:leader="none" w:pos="24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Includes provision for allowance on accrued interest receivable. For single-family, also includes any benefit or provision for our guaranty loss reserves that are not separately included in the other components.</w:t>
      </w:r>
    </w:p>
    <w:p>
      <w:pPr>
        <w:spacing w:after="0" w:line="19" w:lineRule="exact"/>
        <w:rPr>
          <w:rFonts w:ascii="Arial" w:cs="Arial" w:eastAsia="Arial" w:hAnsi="Arial"/>
          <w:sz w:val="18"/>
          <w:szCs w:val="18"/>
          <w:color w:val="auto"/>
          <w:vertAlign w:val="superscript"/>
        </w:rPr>
      </w:pPr>
    </w:p>
    <w:p>
      <w:pPr>
        <w:ind w:left="240" w:hanging="237"/>
        <w:spacing w:after="0"/>
        <w:tabs>
          <w:tab w:leader="none" w:pos="240" w:val="left"/>
        </w:tabs>
        <w:numPr>
          <w:ilvl w:val="0"/>
          <w:numId w:val="25"/>
        </w:numPr>
        <w:rPr>
          <w:rFonts w:ascii="Arial" w:cs="Arial" w:eastAsia="Arial" w:hAnsi="Arial"/>
          <w:sz w:val="9"/>
          <w:szCs w:val="9"/>
          <w:color w:val="auto"/>
        </w:rPr>
      </w:pPr>
      <w:r>
        <w:rPr>
          <w:rFonts w:ascii="Arial" w:cs="Arial" w:eastAsia="Arial" w:hAnsi="Arial"/>
          <w:sz w:val="14"/>
          <w:szCs w:val="14"/>
          <w:color w:val="auto"/>
        </w:rPr>
        <w:t>Primarily consists of changes attributed to projected property net operating income, actual and projected property values, and labor market forecasts.</w:t>
      </w:r>
    </w:p>
    <w:p>
      <w:pPr>
        <w:spacing w:after="0" w:line="45" w:lineRule="exact"/>
        <w:rPr>
          <w:rFonts w:ascii="Arial" w:cs="Arial" w:eastAsia="Arial" w:hAnsi="Arial"/>
          <w:sz w:val="9"/>
          <w:szCs w:val="9"/>
          <w:color w:val="auto"/>
        </w:rPr>
      </w:pPr>
    </w:p>
    <w:p>
      <w:pPr>
        <w:ind w:left="240" w:hanging="237"/>
        <w:spacing w:after="0"/>
        <w:tabs>
          <w:tab w:leader="none" w:pos="240" w:val="left"/>
        </w:tabs>
        <w:numPr>
          <w:ilvl w:val="0"/>
          <w:numId w:val="25"/>
        </w:numPr>
        <w:rPr>
          <w:rFonts w:ascii="Arial" w:cs="Arial" w:eastAsia="Arial" w:hAnsi="Arial"/>
          <w:sz w:val="9"/>
          <w:szCs w:val="9"/>
          <w:color w:val="auto"/>
        </w:rPr>
      </w:pPr>
      <w:r>
        <w:rPr>
          <w:rFonts w:ascii="Arial" w:cs="Arial" w:eastAsia="Arial" w:hAnsi="Arial"/>
          <w:sz w:val="14"/>
          <w:szCs w:val="14"/>
          <w:color w:val="auto"/>
        </w:rPr>
        <w:t>For purposes of this attribution table, credit losses on AFS securities are excluded.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16</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9" w:name="page20"/>
    <w:bookmarkEnd w:id="19"/>
    <w:p>
      <w:pPr>
        <w:ind w:left="846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9"/>
          <w:szCs w:val="19"/>
          <w:i w:val="1"/>
          <w:iCs w:val="1"/>
          <w:color w:val="05314D"/>
        </w:rPr>
        <w:t>Single-Family Benefit (Provision) for Credit Losses</w:t>
      </w:r>
    </w:p>
    <w:p>
      <w:pPr>
        <w:spacing w:after="0" w:line="90" w:lineRule="exact"/>
        <w:rPr>
          <w:sz w:val="20"/>
          <w:szCs w:val="20"/>
          <w:color w:val="auto"/>
        </w:rPr>
      </w:pPr>
    </w:p>
    <w:p>
      <w:pPr>
        <w:ind w:right="380"/>
        <w:spacing w:after="0" w:line="283" w:lineRule="auto"/>
        <w:rPr>
          <w:sz w:val="20"/>
          <w:szCs w:val="20"/>
          <w:color w:val="auto"/>
        </w:rPr>
      </w:pPr>
      <w:r>
        <w:rPr>
          <w:rFonts w:ascii="Arial" w:cs="Arial" w:eastAsia="Arial" w:hAnsi="Arial"/>
          <w:sz w:val="16"/>
          <w:szCs w:val="16"/>
          <w:color w:val="auto"/>
        </w:rPr>
        <w:t>Our single-family benefit for credit losses in the second quarter and first half of 2023 was primarily driven by a benefit from actual and forecasted home price growth, partially offset by a provision from changes in loan activity, as described in more detail below:</w:t>
      </w:r>
    </w:p>
    <w:p>
      <w:pPr>
        <w:spacing w:after="0" w:line="26" w:lineRule="exact"/>
        <w:rPr>
          <w:sz w:val="20"/>
          <w:szCs w:val="20"/>
          <w:color w:val="auto"/>
        </w:rPr>
      </w:pPr>
    </w:p>
    <w:p>
      <w:pPr>
        <w:ind w:left="620" w:right="140" w:hanging="307"/>
        <w:spacing w:after="0" w:line="262" w:lineRule="auto"/>
        <w:tabs>
          <w:tab w:leader="none" w:pos="62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Benefit from actual and forecasted home price growth. </w:t>
      </w:r>
      <w:r>
        <w:rPr>
          <w:rFonts w:ascii="Arial" w:cs="Arial" w:eastAsia="Arial" w:hAnsi="Arial"/>
          <w:sz w:val="16"/>
          <w:szCs w:val="16"/>
          <w:color w:val="auto"/>
        </w:rPr>
        <w:t>During the second quarter and first half of 2023, we observed strong actual home price</w:t>
      </w:r>
      <w:r>
        <w:rPr>
          <w:rFonts w:ascii="Arial" w:cs="Arial" w:eastAsia="Arial" w:hAnsi="Arial"/>
          <w:sz w:val="16"/>
          <w:szCs w:val="16"/>
          <w:i w:val="1"/>
          <w:iCs w:val="1"/>
          <w:color w:val="auto"/>
        </w:rPr>
        <w:t xml:space="preserve"> </w:t>
      </w:r>
      <w:r>
        <w:rPr>
          <w:rFonts w:ascii="Arial" w:cs="Arial" w:eastAsia="Arial" w:hAnsi="Arial"/>
          <w:sz w:val="16"/>
          <w:szCs w:val="16"/>
          <w:color w:val="auto"/>
        </w:rPr>
        <w:t>appreciation. In addition, our updated 2023 home price forecast changed from our prior estimate, resulting in a shift to positive home price appreciation for the year. Higher home prices decrease the likelihood that loans will default and reduce the amount of losses on loans that do default, which impacts our estimate of losses and ultimately reduces our loss reserves and provision for credit losses. See “Key Market Economic Indicators” for additional information about how home prices affect our credit loss estimates, including a discussion of home price growth and declines, and our home price forecast. Also see “Critical Accounting Estimates” for more information about our home price forecast.</w:t>
      </w:r>
    </w:p>
    <w:p>
      <w:pPr>
        <w:spacing w:after="0" w:line="45" w:lineRule="exact"/>
        <w:rPr>
          <w:rFonts w:ascii="Arial" w:cs="Arial" w:eastAsia="Arial" w:hAnsi="Arial"/>
          <w:sz w:val="16"/>
          <w:szCs w:val="16"/>
          <w:color w:val="auto"/>
        </w:rPr>
      </w:pPr>
    </w:p>
    <w:p>
      <w:pPr>
        <w:ind w:left="620" w:right="20" w:hanging="307"/>
        <w:spacing w:after="0" w:line="262" w:lineRule="auto"/>
        <w:tabs>
          <w:tab w:leader="none" w:pos="62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Provision from changes in loan activity</w:t>
      </w:r>
      <w:r>
        <w:rPr>
          <w:rFonts w:ascii="Arial" w:cs="Arial" w:eastAsia="Arial" w:hAnsi="Arial"/>
          <w:sz w:val="16"/>
          <w:szCs w:val="16"/>
          <w:color w:val="auto"/>
        </w:rPr>
        <w:t>, which includes provision on newly acquired loans. The portion of our single-family acquisitions consisting of</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loans increased in the second quarter and first half of 2023 compared with the second quarter and first half of 2022. As our acquisitions consisted of a greater percentage of purchase loans, which generally have higher origination loan to value (“LTV”) ratios than refinance loans, the credit profile of our acquisitions weakened. This factor drove a higher estimated risk of default and loss severity in the allowance and therefore a higher credit loss provision for those loans at the time of acquisition. See “Single-Family Business—Single-Family Mortgage Credit Risk Management” for more information on our single-family loan acquisitions in the second quarter and first half of 2023.</w:t>
      </w:r>
    </w:p>
    <w:p>
      <w:pPr>
        <w:spacing w:after="0" w:line="49"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The largest driver of our single-family provision for credit losses in the second quarter and first half of 2022 was an increase in actual and projected interest rates as of June 30, 2022 compared with March 31, 2022 and December 31, 2021. As mortgage rates increased, we expected a decrease in future prepayments on single-family loans, including modified loans accounted for as troubled debt restructurings (“TDRs”). Lower expected prepayments extended the expected lives of these TDR loans, which increased the expected impairment relating to economic concessions provided on them, resulting in a provision for credit losses.</w:t>
      </w:r>
    </w:p>
    <w:p>
      <w:pPr>
        <w:spacing w:after="0" w:line="45" w:lineRule="exact"/>
        <w:rPr>
          <w:sz w:val="20"/>
          <w:szCs w:val="20"/>
          <w:color w:val="auto"/>
        </w:rPr>
      </w:pPr>
    </w:p>
    <w:p>
      <w:pPr>
        <w:ind w:right="280"/>
        <w:spacing w:after="0" w:line="268" w:lineRule="auto"/>
        <w:rPr>
          <w:sz w:val="20"/>
          <w:szCs w:val="20"/>
          <w:color w:val="auto"/>
        </w:rPr>
      </w:pPr>
      <w:r>
        <w:rPr>
          <w:rFonts w:ascii="Arial" w:cs="Arial" w:eastAsia="Arial" w:hAnsi="Arial"/>
          <w:sz w:val="16"/>
          <w:szCs w:val="16"/>
          <w:color w:val="auto"/>
        </w:rPr>
        <w:t>Some of the provision from increased actual and projected interest rates in the first half of 2022 was offset by a benefit from actual and forecasted home price growth. While home price growth was strong in the second quarter and first half of 2022, some market indicators at that time suggested that home price growth may have been moderating at a faster pace than indicated by our home price forecast, which reduced the benefit from home price growth recognized in the second quarter and first half of 2022.</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i w:val="1"/>
          <w:iCs w:val="1"/>
          <w:color w:val="05314D"/>
        </w:rPr>
        <w:t>Multifamily Benefit (Provision) for Credit Losses</w:t>
      </w:r>
    </w:p>
    <w:p>
      <w:pPr>
        <w:spacing w:after="0" w:line="90" w:lineRule="exact"/>
        <w:rPr>
          <w:sz w:val="20"/>
          <w:szCs w:val="20"/>
          <w:color w:val="auto"/>
        </w:rPr>
      </w:pPr>
    </w:p>
    <w:p>
      <w:pPr>
        <w:jc w:val="both"/>
        <w:ind w:right="200"/>
        <w:spacing w:after="0" w:line="267" w:lineRule="auto"/>
        <w:rPr>
          <w:sz w:val="20"/>
          <w:szCs w:val="20"/>
          <w:color w:val="auto"/>
        </w:rPr>
      </w:pPr>
      <w:r>
        <w:rPr>
          <w:rFonts w:ascii="Arial" w:cs="Arial" w:eastAsia="Arial" w:hAnsi="Arial"/>
          <w:sz w:val="16"/>
          <w:szCs w:val="16"/>
          <w:color w:val="auto"/>
        </w:rPr>
        <w:t>Our multifamily provision for credit losses for the second quarter and first half of 2023 was primarily driven by decreases in estimated multifamily property values. This resulted in higher estimated LTV ratios on the loans in our multifamily guaranty book of business, which increased our estimate of expected credit losses on these loans. This provision is included in the “actual and projected economic data” line item in the table above.</w:t>
      </w:r>
    </w:p>
    <w:p>
      <w:pPr>
        <w:spacing w:after="0" w:line="43" w:lineRule="exact"/>
        <w:rPr>
          <w:sz w:val="20"/>
          <w:szCs w:val="20"/>
          <w:color w:val="auto"/>
        </w:rPr>
      </w:pPr>
    </w:p>
    <w:p>
      <w:pPr>
        <w:ind w:right="620"/>
        <w:spacing w:after="0" w:line="283" w:lineRule="auto"/>
        <w:rPr>
          <w:sz w:val="20"/>
          <w:szCs w:val="20"/>
          <w:color w:val="auto"/>
        </w:rPr>
      </w:pPr>
      <w:r>
        <w:rPr>
          <w:rFonts w:ascii="Arial" w:cs="Arial" w:eastAsia="Arial" w:hAnsi="Arial"/>
          <w:sz w:val="16"/>
          <w:szCs w:val="16"/>
          <w:color w:val="auto"/>
        </w:rPr>
        <w:t>See “Multifamily Business—Multifamily Mortgage Credit Risk Management—Multifamily Portfolio Monitoring” for a discussion of risks within specific property types that we are monitoring, including a discussion of seniors housing loans and loans with adjustable-rates.</w:t>
      </w:r>
    </w:p>
    <w:p>
      <w:pPr>
        <w:spacing w:after="0" w:line="30" w:lineRule="exact"/>
        <w:rPr>
          <w:sz w:val="20"/>
          <w:szCs w:val="20"/>
          <w:color w:val="auto"/>
        </w:rPr>
      </w:pPr>
    </w:p>
    <w:p>
      <w:pPr>
        <w:ind w:right="320"/>
        <w:spacing w:after="0" w:line="276" w:lineRule="auto"/>
        <w:rPr>
          <w:sz w:val="20"/>
          <w:szCs w:val="20"/>
          <w:color w:val="auto"/>
        </w:rPr>
      </w:pPr>
      <w:r>
        <w:rPr>
          <w:rFonts w:ascii="Arial" w:cs="Arial" w:eastAsia="Arial" w:hAnsi="Arial"/>
          <w:sz w:val="16"/>
          <w:szCs w:val="16"/>
          <w:color w:val="auto"/>
        </w:rPr>
        <w:t>The primary factor that contributed to our multifamily provision for credit losses in the second quarter of 2022 was a provision for higher actual and projected interest rates. This provision was partially offset by a benefit from actual and projected economic data, including strong property value growth, driven by continued demand for multifamily housing.</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The primary factor that contributed to our multifamily benefit for credit losses in the first half of 2022 was a benefit from actual and projected economic data.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This benefit was partially offset by a provision from higher actual and projected interest rates.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17</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20" w:name="page21"/>
    <w:bookmarkEnd w:id="20"/>
    <w:p>
      <w:pPr>
        <w:ind w:left="8340"/>
        <w:spacing w:after="0"/>
        <w:rPr>
          <w:sz w:val="20"/>
          <w:szCs w:val="20"/>
          <w:color w:val="auto"/>
        </w:rPr>
      </w:pPr>
      <w:r>
        <w:rPr>
          <w:rFonts w:ascii="Arial" w:cs="Arial" w:eastAsia="Arial" w:hAnsi="Arial"/>
          <w:sz w:val="14"/>
          <w:szCs w:val="14"/>
          <w:color w:val="05314D"/>
        </w:rPr>
        <w:t>MD&amp;A | Consolidated Balance Sheet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Consolidated Balance Sheet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52705</wp:posOffset>
            </wp:positionV>
            <wp:extent cx="7138670"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64"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This section discusses our condensed consolidated balance sheets and should be read together with our condensed consolidated financial statements and the accompanying notes.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Summary of Condensed Consolidated Balance Sheets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020" w:type="dxa"/>
            <w:vAlign w:val="bottom"/>
            <w:tcBorders>
              <w:top w:val="single" w:sz="8" w:color="2C6937"/>
            </w:tcBorders>
          </w:tcPr>
          <w:p>
            <w:pPr>
              <w:spacing w:after="0"/>
              <w:rPr>
                <w:sz w:val="17"/>
                <w:szCs w:val="17"/>
                <w:color w:val="auto"/>
              </w:rPr>
            </w:pPr>
          </w:p>
        </w:tc>
        <w:tc>
          <w:tcPr>
            <w:tcW w:w="120" w:type="dxa"/>
            <w:vAlign w:val="bottom"/>
            <w:tcBorders>
              <w:top w:val="single" w:sz="8" w:color="2C6937"/>
            </w:tcBorders>
          </w:tcPr>
          <w:p>
            <w:pPr>
              <w:spacing w:after="0"/>
              <w:rPr>
                <w:sz w:val="17"/>
                <w:szCs w:val="17"/>
                <w:color w:val="auto"/>
              </w:rPr>
            </w:pPr>
          </w:p>
        </w:tc>
        <w:tc>
          <w:tcPr>
            <w:tcW w:w="160" w:type="dxa"/>
            <w:vAlign w:val="bottom"/>
            <w:tcBorders>
              <w:top w:val="single" w:sz="8" w:color="2C6937"/>
              <w:bottom w:val="single" w:sz="8" w:color="2C6937"/>
            </w:tcBorders>
          </w:tcPr>
          <w:p>
            <w:pPr>
              <w:spacing w:after="0"/>
              <w:rPr>
                <w:sz w:val="17"/>
                <w:szCs w:val="17"/>
                <w:color w:val="auto"/>
              </w:rPr>
            </w:pPr>
          </w:p>
        </w:tc>
        <w:tc>
          <w:tcPr>
            <w:tcW w:w="1580" w:type="dxa"/>
            <w:vAlign w:val="bottom"/>
            <w:tcBorders>
              <w:top w:val="single" w:sz="8" w:color="2C6937"/>
              <w:bottom w:val="single" w:sz="8" w:color="2C6937"/>
            </w:tcBorders>
            <w:gridSpan w:val="3"/>
          </w:tcPr>
          <w:p>
            <w:pPr>
              <w:ind w:left="1020"/>
              <w:spacing w:after="0"/>
              <w:rPr>
                <w:sz w:val="20"/>
                <w:szCs w:val="20"/>
                <w:color w:val="auto"/>
              </w:rPr>
            </w:pPr>
            <w:r>
              <w:rPr>
                <w:rFonts w:ascii="Arial" w:cs="Arial" w:eastAsia="Arial" w:hAnsi="Arial"/>
                <w:sz w:val="14"/>
                <w:szCs w:val="14"/>
                <w:b w:val="1"/>
                <w:bCs w:val="1"/>
                <w:color w:val="auto"/>
              </w:rPr>
              <w:t>As of</w:t>
            </w:r>
          </w:p>
        </w:tc>
        <w:tc>
          <w:tcPr>
            <w:tcW w:w="960" w:type="dxa"/>
            <w:vAlign w:val="bottom"/>
            <w:tcBorders>
              <w:top w:val="single" w:sz="8" w:color="2C6937"/>
              <w:bottom w:val="single" w:sz="8" w:color="2C6937"/>
            </w:tcBorders>
          </w:tcPr>
          <w:p>
            <w:pPr>
              <w:spacing w:after="0"/>
              <w:rPr>
                <w:sz w:val="17"/>
                <w:szCs w:val="17"/>
                <w:color w:val="auto"/>
              </w:rPr>
            </w:pPr>
          </w:p>
        </w:tc>
        <w:tc>
          <w:tcPr>
            <w:tcW w:w="120" w:type="dxa"/>
            <w:vAlign w:val="bottom"/>
            <w:tcBorders>
              <w:top w:val="single" w:sz="8" w:color="2C6937"/>
            </w:tcBorders>
          </w:tcPr>
          <w:p>
            <w:pPr>
              <w:spacing w:after="0"/>
              <w:rPr>
                <w:sz w:val="17"/>
                <w:szCs w:val="17"/>
                <w:color w:val="auto"/>
              </w:rPr>
            </w:pPr>
          </w:p>
        </w:tc>
        <w:tc>
          <w:tcPr>
            <w:tcW w:w="220" w:type="dxa"/>
            <w:vAlign w:val="bottom"/>
            <w:tcBorders>
              <w:top w:val="single" w:sz="8" w:color="2C6937"/>
            </w:tcBorders>
          </w:tcPr>
          <w:p>
            <w:pPr>
              <w:spacing w:after="0"/>
              <w:rPr>
                <w:sz w:val="17"/>
                <w:szCs w:val="17"/>
                <w:color w:val="auto"/>
              </w:rPr>
            </w:pPr>
          </w:p>
        </w:tc>
        <w:tc>
          <w:tcPr>
            <w:tcW w:w="106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7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140" w:type="dxa"/>
            <w:vAlign w:val="bottom"/>
            <w:tcBorders>
              <w:bottom w:val="single" w:sz="8" w:color="2C6937"/>
            </w:tcBorders>
          </w:tcPr>
          <w:p>
            <w:pPr>
              <w:jc w:val="right"/>
              <w:ind w:right="124"/>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Borders>
              <w:bottom w:val="single" w:sz="8" w:color="2C6937"/>
            </w:tcBorders>
          </w:tcPr>
          <w:p>
            <w:pPr>
              <w:spacing w:after="0"/>
              <w:rPr>
                <w:sz w:val="16"/>
                <w:szCs w:val="16"/>
                <w:color w:val="auto"/>
              </w:rPr>
            </w:pPr>
          </w:p>
        </w:tc>
        <w:tc>
          <w:tcPr>
            <w:tcW w:w="1280" w:type="dxa"/>
            <w:vAlign w:val="bottom"/>
            <w:tcBorders>
              <w:bottom w:val="single" w:sz="8" w:color="2C6937"/>
            </w:tcBorders>
            <w:gridSpan w:val="2"/>
          </w:tcPr>
          <w:p>
            <w:pPr>
              <w:ind w:left="20"/>
              <w:spacing w:after="0"/>
              <w:rPr>
                <w:sz w:val="20"/>
                <w:szCs w:val="20"/>
                <w:color w:val="auto"/>
              </w:rPr>
            </w:pPr>
            <w:r>
              <w:rPr>
                <w:rFonts w:ascii="Arial" w:cs="Arial" w:eastAsia="Arial" w:hAnsi="Arial"/>
                <w:sz w:val="14"/>
                <w:szCs w:val="14"/>
                <w:b w:val="1"/>
                <w:bCs w:val="1"/>
                <w:color w:val="auto"/>
                <w:w w:val="98"/>
              </w:rPr>
              <w:t>December 31, 2022</w:t>
            </w:r>
          </w:p>
        </w:tc>
        <w:tc>
          <w:tcPr>
            <w:tcW w:w="120" w:type="dxa"/>
            <w:vAlign w:val="bottom"/>
            <w:tcBorders>
              <w:bottom w:val="single" w:sz="8" w:color="2C6937"/>
            </w:tcBorders>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right"/>
              <w:ind w:right="283"/>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85"/>
        </w:trPr>
        <w:tc>
          <w:tcPr>
            <w:tcW w:w="714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Assets</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w w:val="96"/>
              </w:rPr>
              <w:t>(Dollars in millions)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140" w:type="dxa"/>
            <w:vAlign w:val="bottom"/>
            <w:gridSpan w:val="2"/>
            <w:vMerge w:val="continue"/>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95"/>
              </w:rPr>
              <w:t>$</w:t>
            </w:r>
          </w:p>
        </w:tc>
        <w:tc>
          <w:tcPr>
            <w:tcW w:w="114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85,279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140" w:type="dxa"/>
            <w:vAlign w:val="bottom"/>
            <w:gridSpan w:val="2"/>
          </w:tcPr>
          <w:p>
            <w:pPr>
              <w:ind w:left="20"/>
              <w:spacing w:after="0"/>
              <w:rPr>
                <w:sz w:val="20"/>
                <w:szCs w:val="20"/>
                <w:color w:val="auto"/>
              </w:rPr>
            </w:pPr>
            <w:r>
              <w:rPr>
                <w:rFonts w:ascii="Arial" w:cs="Arial" w:eastAsia="Arial" w:hAnsi="Arial"/>
                <w:sz w:val="15"/>
                <w:szCs w:val="15"/>
                <w:color w:val="auto"/>
              </w:rPr>
              <w:t>Cash and cash equivalents and securities purchased under agreements to resell</w:t>
            </w:r>
          </w:p>
        </w:tc>
        <w:tc>
          <w:tcPr>
            <w:tcW w:w="16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44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72,552</w:t>
            </w:r>
          </w:p>
        </w:tc>
        <w:tc>
          <w:tcPr>
            <w:tcW w:w="340" w:type="dxa"/>
            <w:vAlign w:val="bottom"/>
            <w:gridSpan w:val="2"/>
          </w:tcPr>
          <w:p>
            <w:pPr>
              <w:jc w:val="right"/>
              <w:ind w:right="43"/>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12,727</w:t>
            </w:r>
          </w:p>
        </w:tc>
        <w:tc>
          <w:tcPr>
            <w:tcW w:w="0" w:type="dxa"/>
            <w:vAlign w:val="bottom"/>
          </w:tcPr>
          <w:p>
            <w:pPr>
              <w:spacing w:after="0"/>
              <w:rPr>
                <w:sz w:val="1"/>
                <w:szCs w:val="1"/>
                <w:color w:val="auto"/>
              </w:rPr>
            </w:pPr>
          </w:p>
        </w:tc>
      </w:tr>
      <w:tr>
        <w:trPr>
          <w:trHeight w:val="206"/>
        </w:trPr>
        <w:tc>
          <w:tcPr>
            <w:tcW w:w="7140" w:type="dxa"/>
            <w:vAlign w:val="bottom"/>
            <w:gridSpan w:val="2"/>
          </w:tcPr>
          <w:p>
            <w:pPr>
              <w:ind w:left="20"/>
              <w:spacing w:after="0"/>
              <w:rPr>
                <w:sz w:val="20"/>
                <w:szCs w:val="20"/>
                <w:color w:val="auto"/>
              </w:rPr>
            </w:pPr>
            <w:r>
              <w:rPr>
                <w:rFonts w:ascii="Arial" w:cs="Arial" w:eastAsia="Arial" w:hAnsi="Arial"/>
                <w:sz w:val="15"/>
                <w:szCs w:val="15"/>
                <w:color w:val="auto"/>
              </w:rPr>
              <w:t>Restricted cash and cash equivalents</w:t>
            </w:r>
          </w:p>
        </w:tc>
        <w:tc>
          <w:tcPr>
            <w:tcW w:w="16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b w:val="1"/>
                <w:bCs w:val="1"/>
                <w:color w:val="auto"/>
              </w:rPr>
              <w:t>27,206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29,854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(2,648)</w:t>
            </w:r>
          </w:p>
        </w:tc>
        <w:tc>
          <w:tcPr>
            <w:tcW w:w="0" w:type="dxa"/>
            <w:vAlign w:val="bottom"/>
          </w:tcPr>
          <w:p>
            <w:pPr>
              <w:spacing w:after="0"/>
              <w:rPr>
                <w:sz w:val="1"/>
                <w:szCs w:val="1"/>
                <w:color w:val="auto"/>
              </w:rPr>
            </w:pPr>
          </w:p>
        </w:tc>
      </w:tr>
      <w:tr>
        <w:trPr>
          <w:trHeight w:val="214"/>
        </w:trPr>
        <w:tc>
          <w:tcPr>
            <w:tcW w:w="7140" w:type="dxa"/>
            <w:vAlign w:val="bottom"/>
            <w:gridSpan w:val="2"/>
          </w:tcPr>
          <w:p>
            <w:pPr>
              <w:ind w:left="20"/>
              <w:spacing w:after="0"/>
              <w:rPr>
                <w:sz w:val="20"/>
                <w:szCs w:val="20"/>
                <w:color w:val="auto"/>
              </w:rPr>
            </w:pPr>
            <w:r>
              <w:rPr>
                <w:rFonts w:ascii="Arial" w:cs="Arial" w:eastAsia="Arial" w:hAnsi="Arial"/>
                <w:sz w:val="15"/>
                <w:szCs w:val="15"/>
                <w:color w:val="auto"/>
              </w:rPr>
              <w:t>Investments in securities, at fair value</w:t>
            </w:r>
          </w:p>
        </w:tc>
        <w:tc>
          <w:tcPr>
            <w:tcW w:w="16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b w:val="1"/>
                <w:bCs w:val="1"/>
                <w:color w:val="auto"/>
              </w:rPr>
              <w:t>51,231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50,825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406</w:t>
            </w:r>
          </w:p>
        </w:tc>
        <w:tc>
          <w:tcPr>
            <w:tcW w:w="0" w:type="dxa"/>
            <w:vAlign w:val="bottom"/>
          </w:tcPr>
          <w:p>
            <w:pPr>
              <w:spacing w:after="0"/>
              <w:rPr>
                <w:sz w:val="1"/>
                <w:szCs w:val="1"/>
                <w:color w:val="auto"/>
              </w:rPr>
            </w:pPr>
          </w:p>
        </w:tc>
      </w:tr>
      <w:tr>
        <w:trPr>
          <w:trHeight w:val="196"/>
        </w:trPr>
        <w:tc>
          <w:tcPr>
            <w:tcW w:w="7140" w:type="dxa"/>
            <w:vAlign w:val="bottom"/>
            <w:gridSpan w:val="2"/>
          </w:tcPr>
          <w:p>
            <w:pPr>
              <w:ind w:left="20"/>
              <w:spacing w:after="0"/>
              <w:rPr>
                <w:sz w:val="20"/>
                <w:szCs w:val="20"/>
                <w:color w:val="auto"/>
              </w:rPr>
            </w:pPr>
            <w:r>
              <w:rPr>
                <w:rFonts w:ascii="Arial" w:cs="Arial" w:eastAsia="Arial" w:hAnsi="Arial"/>
                <w:sz w:val="15"/>
                <w:szCs w:val="15"/>
                <w:color w:val="auto"/>
              </w:rPr>
              <w:t>Mortgage loans:</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140" w:type="dxa"/>
            <w:vAlign w:val="bottom"/>
            <w:gridSpan w:val="2"/>
          </w:tcPr>
          <w:p>
            <w:pPr>
              <w:ind w:left="180"/>
              <w:spacing w:after="0"/>
              <w:rPr>
                <w:sz w:val="20"/>
                <w:szCs w:val="20"/>
                <w:color w:val="auto"/>
              </w:rPr>
            </w:pPr>
            <w:r>
              <w:rPr>
                <w:rFonts w:ascii="Arial" w:cs="Arial" w:eastAsia="Arial" w:hAnsi="Arial"/>
                <w:sz w:val="15"/>
                <w:szCs w:val="15"/>
                <w:color w:val="auto"/>
              </w:rPr>
              <w:t>Of Fannie Mae</w:t>
            </w:r>
          </w:p>
        </w:tc>
        <w:tc>
          <w:tcPr>
            <w:tcW w:w="16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b w:val="1"/>
                <w:bCs w:val="1"/>
                <w:color w:val="auto"/>
              </w:rPr>
              <w:t>50,293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54,085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(3,792)</w:t>
            </w:r>
          </w:p>
        </w:tc>
        <w:tc>
          <w:tcPr>
            <w:tcW w:w="0" w:type="dxa"/>
            <w:vAlign w:val="bottom"/>
          </w:tcPr>
          <w:p>
            <w:pPr>
              <w:spacing w:after="0"/>
              <w:rPr>
                <w:sz w:val="1"/>
                <w:szCs w:val="1"/>
                <w:color w:val="auto"/>
              </w:rPr>
            </w:pPr>
          </w:p>
        </w:tc>
      </w:tr>
      <w:tr>
        <w:trPr>
          <w:trHeight w:val="206"/>
        </w:trPr>
        <w:tc>
          <w:tcPr>
            <w:tcW w:w="7140" w:type="dxa"/>
            <w:vAlign w:val="bottom"/>
            <w:gridSpan w:val="2"/>
          </w:tcPr>
          <w:p>
            <w:pPr>
              <w:ind w:left="180"/>
              <w:spacing w:after="0"/>
              <w:rPr>
                <w:sz w:val="20"/>
                <w:szCs w:val="20"/>
                <w:color w:val="auto"/>
              </w:rPr>
            </w:pPr>
            <w:r>
              <w:rPr>
                <w:rFonts w:ascii="Arial" w:cs="Arial" w:eastAsia="Arial" w:hAnsi="Arial"/>
                <w:sz w:val="15"/>
                <w:szCs w:val="15"/>
                <w:color w:val="auto"/>
              </w:rPr>
              <w:t>Of consolidated trusts</w:t>
            </w:r>
          </w:p>
        </w:tc>
        <w:tc>
          <w:tcPr>
            <w:tcW w:w="16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b w:val="1"/>
                <w:bCs w:val="1"/>
                <w:color w:val="auto"/>
              </w:rPr>
              <w:t>4,080,814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4,071,698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9,116</w:t>
            </w:r>
          </w:p>
        </w:tc>
        <w:tc>
          <w:tcPr>
            <w:tcW w:w="0" w:type="dxa"/>
            <w:vAlign w:val="bottom"/>
          </w:tcPr>
          <w:p>
            <w:pPr>
              <w:spacing w:after="0"/>
              <w:rPr>
                <w:sz w:val="1"/>
                <w:szCs w:val="1"/>
                <w:color w:val="auto"/>
              </w:rPr>
            </w:pPr>
          </w:p>
        </w:tc>
      </w:tr>
      <w:tr>
        <w:trPr>
          <w:trHeight w:val="210"/>
        </w:trPr>
        <w:tc>
          <w:tcPr>
            <w:tcW w:w="70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Allowance for loan losses</w:t>
            </w:r>
          </w:p>
        </w:tc>
        <w:tc>
          <w:tcPr>
            <w:tcW w:w="12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(9,982)</w:t>
            </w:r>
          </w:p>
        </w:tc>
        <w:tc>
          <w:tcPr>
            <w:tcW w:w="12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(11,347)</w:t>
            </w:r>
          </w:p>
        </w:tc>
        <w:tc>
          <w:tcPr>
            <w:tcW w:w="12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1,365</w:t>
            </w:r>
          </w:p>
        </w:tc>
        <w:tc>
          <w:tcPr>
            <w:tcW w:w="0" w:type="dxa"/>
            <w:vAlign w:val="bottom"/>
          </w:tcPr>
          <w:p>
            <w:pPr>
              <w:spacing w:after="0"/>
              <w:rPr>
                <w:sz w:val="1"/>
                <w:szCs w:val="1"/>
                <w:color w:val="auto"/>
              </w:rPr>
            </w:pPr>
          </w:p>
        </w:tc>
      </w:tr>
      <w:tr>
        <w:trPr>
          <w:trHeight w:val="196"/>
        </w:trPr>
        <w:tc>
          <w:tcPr>
            <w:tcW w:w="7140" w:type="dxa"/>
            <w:vAlign w:val="bottom"/>
            <w:gridSpan w:val="2"/>
          </w:tcPr>
          <w:p>
            <w:pPr>
              <w:ind w:left="180"/>
              <w:spacing w:after="0"/>
              <w:rPr>
                <w:sz w:val="20"/>
                <w:szCs w:val="20"/>
                <w:color w:val="auto"/>
              </w:rPr>
            </w:pPr>
            <w:r>
              <w:rPr>
                <w:rFonts w:ascii="Arial" w:cs="Arial" w:eastAsia="Arial" w:hAnsi="Arial"/>
                <w:sz w:val="15"/>
                <w:szCs w:val="15"/>
                <w:color w:val="auto"/>
              </w:rPr>
              <w:t>Mortgage loans, net of allowance for loan losses</w:t>
            </w:r>
          </w:p>
        </w:tc>
        <w:tc>
          <w:tcPr>
            <w:tcW w:w="16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b w:val="1"/>
                <w:bCs w:val="1"/>
                <w:color w:val="auto"/>
              </w:rPr>
              <w:t>4,121,125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4,114,436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6,689</w:t>
            </w:r>
          </w:p>
        </w:tc>
        <w:tc>
          <w:tcPr>
            <w:tcW w:w="0" w:type="dxa"/>
            <w:vAlign w:val="bottom"/>
          </w:tcPr>
          <w:p>
            <w:pPr>
              <w:spacing w:after="0"/>
              <w:rPr>
                <w:sz w:val="1"/>
                <w:szCs w:val="1"/>
                <w:color w:val="auto"/>
              </w:rPr>
            </w:pPr>
          </w:p>
        </w:tc>
      </w:tr>
      <w:tr>
        <w:trPr>
          <w:trHeight w:val="206"/>
        </w:trPr>
        <w:tc>
          <w:tcPr>
            <w:tcW w:w="7140" w:type="dxa"/>
            <w:vAlign w:val="bottom"/>
            <w:gridSpan w:val="2"/>
          </w:tcPr>
          <w:p>
            <w:pPr>
              <w:ind w:left="20"/>
              <w:spacing w:after="0"/>
              <w:rPr>
                <w:sz w:val="20"/>
                <w:szCs w:val="20"/>
                <w:color w:val="auto"/>
              </w:rPr>
            </w:pPr>
            <w:r>
              <w:rPr>
                <w:rFonts w:ascii="Arial" w:cs="Arial" w:eastAsia="Arial" w:hAnsi="Arial"/>
                <w:sz w:val="15"/>
                <w:szCs w:val="15"/>
                <w:color w:val="auto"/>
              </w:rPr>
              <w:t>Deferred tax assets, net</w:t>
            </w:r>
          </w:p>
        </w:tc>
        <w:tc>
          <w:tcPr>
            <w:tcW w:w="16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b w:val="1"/>
                <w:bCs w:val="1"/>
                <w:color w:val="auto"/>
              </w:rPr>
              <w:t>11,990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12,911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(921)</w:t>
            </w:r>
          </w:p>
        </w:tc>
        <w:tc>
          <w:tcPr>
            <w:tcW w:w="0" w:type="dxa"/>
            <w:vAlign w:val="bottom"/>
          </w:tcPr>
          <w:p>
            <w:pPr>
              <w:spacing w:after="0"/>
              <w:rPr>
                <w:sz w:val="1"/>
                <w:szCs w:val="1"/>
                <w:color w:val="auto"/>
              </w:rPr>
            </w:pPr>
          </w:p>
        </w:tc>
      </w:tr>
      <w:tr>
        <w:trPr>
          <w:trHeight w:val="210"/>
        </w:trPr>
        <w:tc>
          <w:tcPr>
            <w:tcW w:w="70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Other assets</w:t>
            </w:r>
          </w:p>
        </w:tc>
        <w:tc>
          <w:tcPr>
            <w:tcW w:w="12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14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26,879</w:t>
            </w:r>
          </w:p>
        </w:tc>
        <w:tc>
          <w:tcPr>
            <w:tcW w:w="12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24,710</w:t>
            </w:r>
          </w:p>
        </w:tc>
        <w:tc>
          <w:tcPr>
            <w:tcW w:w="12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2,169</w:t>
            </w:r>
          </w:p>
        </w:tc>
        <w:tc>
          <w:tcPr>
            <w:tcW w:w="0" w:type="dxa"/>
            <w:vAlign w:val="bottom"/>
          </w:tcPr>
          <w:p>
            <w:pPr>
              <w:spacing w:after="0"/>
              <w:rPr>
                <w:sz w:val="1"/>
                <w:szCs w:val="1"/>
                <w:color w:val="auto"/>
              </w:rPr>
            </w:pPr>
          </w:p>
        </w:tc>
      </w:tr>
      <w:tr>
        <w:trPr>
          <w:trHeight w:val="199"/>
        </w:trPr>
        <w:tc>
          <w:tcPr>
            <w:tcW w:w="70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Total assets</w:t>
            </w:r>
          </w:p>
        </w:tc>
        <w:tc>
          <w:tcPr>
            <w:tcW w:w="120" w:type="dxa"/>
            <w:vAlign w:val="bottom"/>
          </w:tcPr>
          <w:p>
            <w:pPr>
              <w:spacing w:after="0"/>
              <w:rPr>
                <w:sz w:val="17"/>
                <w:szCs w:val="17"/>
                <w:color w:val="auto"/>
              </w:rPr>
            </w:pPr>
          </w:p>
        </w:tc>
        <w:tc>
          <w:tcPr>
            <w:tcW w:w="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14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4,323,710</w:t>
            </w:r>
          </w:p>
        </w:tc>
        <w:tc>
          <w:tcPr>
            <w:tcW w:w="120" w:type="dxa"/>
            <w:vAlign w:val="bottom"/>
          </w:tcPr>
          <w:p>
            <w:pPr>
              <w:spacing w:after="0"/>
              <w:rPr>
                <w:sz w:val="17"/>
                <w:szCs w:val="17"/>
                <w:color w:val="auto"/>
              </w:rPr>
            </w:pPr>
          </w:p>
        </w:tc>
        <w:tc>
          <w:tcPr>
            <w:tcW w:w="320" w:type="dxa"/>
            <w:vAlign w:val="bottom"/>
            <w:tcBorders>
              <w:bottom w:val="single" w:sz="8" w:color="2C6937"/>
            </w:tcBorders>
          </w:tcPr>
          <w:p>
            <w:pPr>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4,305,288</w:t>
            </w:r>
          </w:p>
        </w:tc>
        <w:tc>
          <w:tcPr>
            <w:tcW w:w="120" w:type="dxa"/>
            <w:vAlign w:val="bottom"/>
          </w:tcPr>
          <w:p>
            <w:pPr>
              <w:spacing w:after="0"/>
              <w:rPr>
                <w:sz w:val="17"/>
                <w:szCs w:val="17"/>
                <w:color w:val="auto"/>
              </w:rPr>
            </w:pPr>
          </w:p>
        </w:tc>
        <w:tc>
          <w:tcPr>
            <w:tcW w:w="220" w:type="dxa"/>
            <w:vAlign w:val="bottom"/>
            <w:tcBorders>
              <w:bottom w:val="single" w:sz="8" w:color="2C6937"/>
            </w:tcBorders>
          </w:tcPr>
          <w:p>
            <w:pPr>
              <w:jc w:val="right"/>
              <w:ind w:right="4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18,422</w:t>
            </w:r>
          </w:p>
        </w:tc>
        <w:tc>
          <w:tcPr>
            <w:tcW w:w="0" w:type="dxa"/>
            <w:vAlign w:val="bottom"/>
          </w:tcPr>
          <w:p>
            <w:pPr>
              <w:spacing w:after="0"/>
              <w:rPr>
                <w:sz w:val="1"/>
                <w:szCs w:val="1"/>
                <w:color w:val="auto"/>
              </w:rPr>
            </w:pPr>
          </w:p>
        </w:tc>
      </w:tr>
      <w:tr>
        <w:trPr>
          <w:trHeight w:val="20"/>
        </w:trPr>
        <w:tc>
          <w:tcPr>
            <w:tcW w:w="7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20" w:type="dxa"/>
            <w:vAlign w:val="bottom"/>
            <w:tcBorders>
              <w:top w:val="single" w:sz="8" w:color="2C6937"/>
            </w:tcBorders>
          </w:tcPr>
          <w:p>
            <w:pPr>
              <w:ind w:left="20"/>
              <w:spacing w:after="0"/>
              <w:rPr>
                <w:sz w:val="20"/>
                <w:szCs w:val="20"/>
                <w:color w:val="auto"/>
              </w:rPr>
            </w:pPr>
            <w:r>
              <w:rPr>
                <w:rFonts w:ascii="Arial" w:cs="Arial" w:eastAsia="Arial" w:hAnsi="Arial"/>
                <w:sz w:val="15"/>
                <w:szCs w:val="15"/>
                <w:b w:val="1"/>
                <w:bCs w:val="1"/>
                <w:color w:val="auto"/>
              </w:rPr>
              <w:t>Liabilities and equity</w:t>
            </w:r>
          </w:p>
        </w:tc>
        <w:tc>
          <w:tcPr>
            <w:tcW w:w="120" w:type="dxa"/>
            <w:vAlign w:val="bottom"/>
          </w:tcPr>
          <w:p>
            <w:pPr>
              <w:spacing w:after="0"/>
              <w:rPr>
                <w:sz w:val="17"/>
                <w:szCs w:val="17"/>
                <w:color w:val="auto"/>
              </w:rPr>
            </w:pPr>
          </w:p>
        </w:tc>
        <w:tc>
          <w:tcPr>
            <w:tcW w:w="160" w:type="dxa"/>
            <w:vAlign w:val="bottom"/>
            <w:tcBorders>
              <w:top w:val="single" w:sz="8" w:color="2C6937"/>
            </w:tcBorders>
          </w:tcPr>
          <w:p>
            <w:pPr>
              <w:spacing w:after="0"/>
              <w:rPr>
                <w:sz w:val="17"/>
                <w:szCs w:val="17"/>
                <w:color w:val="auto"/>
              </w:rPr>
            </w:pPr>
          </w:p>
        </w:tc>
        <w:tc>
          <w:tcPr>
            <w:tcW w:w="1140" w:type="dxa"/>
            <w:vAlign w:val="bottom"/>
            <w:tcBorders>
              <w:top w:val="single" w:sz="8" w:color="2C6937"/>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2C6937"/>
            </w:tcBorders>
          </w:tcPr>
          <w:p>
            <w:pPr>
              <w:spacing w:after="0"/>
              <w:rPr>
                <w:sz w:val="17"/>
                <w:szCs w:val="17"/>
                <w:color w:val="auto"/>
              </w:rPr>
            </w:pPr>
          </w:p>
        </w:tc>
        <w:tc>
          <w:tcPr>
            <w:tcW w:w="960" w:type="dxa"/>
            <w:vAlign w:val="bottom"/>
            <w:tcBorders>
              <w:top w:val="single" w:sz="8" w:color="2C6937"/>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2C6937"/>
            </w:tcBorders>
          </w:tcPr>
          <w:p>
            <w:pPr>
              <w:spacing w:after="0"/>
              <w:rPr>
                <w:sz w:val="17"/>
                <w:szCs w:val="17"/>
                <w:color w:val="auto"/>
              </w:rPr>
            </w:pPr>
          </w:p>
        </w:tc>
        <w:tc>
          <w:tcPr>
            <w:tcW w:w="106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40" w:type="dxa"/>
            <w:vAlign w:val="bottom"/>
            <w:gridSpan w:val="2"/>
          </w:tcPr>
          <w:p>
            <w:pPr>
              <w:ind w:left="20"/>
              <w:spacing w:after="0"/>
              <w:rPr>
                <w:sz w:val="20"/>
                <w:szCs w:val="20"/>
                <w:color w:val="auto"/>
              </w:rPr>
            </w:pPr>
            <w:r>
              <w:rPr>
                <w:rFonts w:ascii="Arial" w:cs="Arial" w:eastAsia="Arial" w:hAnsi="Arial"/>
                <w:sz w:val="15"/>
                <w:szCs w:val="15"/>
                <w:color w:val="auto"/>
              </w:rPr>
              <w:t>Debt:</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140" w:type="dxa"/>
            <w:vAlign w:val="bottom"/>
            <w:gridSpan w:val="2"/>
          </w:tcPr>
          <w:p>
            <w:pPr>
              <w:ind w:left="180"/>
              <w:spacing w:after="0"/>
              <w:rPr>
                <w:sz w:val="20"/>
                <w:szCs w:val="20"/>
                <w:color w:val="auto"/>
              </w:rPr>
            </w:pPr>
            <w:r>
              <w:rPr>
                <w:rFonts w:ascii="Arial" w:cs="Arial" w:eastAsia="Arial" w:hAnsi="Arial"/>
                <w:sz w:val="15"/>
                <w:szCs w:val="15"/>
                <w:color w:val="auto"/>
              </w:rPr>
              <w:t>Of Fannie Mae</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140" w:type="dxa"/>
            <w:vAlign w:val="bottom"/>
          </w:tcPr>
          <w:p>
            <w:pPr>
              <w:jc w:val="right"/>
              <w:ind w:right="4"/>
              <w:spacing w:after="0"/>
              <w:rPr>
                <w:sz w:val="20"/>
                <w:szCs w:val="20"/>
                <w:color w:val="auto"/>
              </w:rPr>
            </w:pPr>
            <w:r>
              <w:rPr>
                <w:rFonts w:ascii="Arial" w:cs="Arial" w:eastAsia="Arial" w:hAnsi="Arial"/>
                <w:sz w:val="15"/>
                <w:szCs w:val="15"/>
                <w:b w:val="1"/>
                <w:bCs w:val="1"/>
                <w:color w:val="auto"/>
              </w:rPr>
              <w:t>137,696</w:t>
            </w:r>
          </w:p>
        </w:tc>
        <w:tc>
          <w:tcPr>
            <w:tcW w:w="44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134,168</w:t>
            </w:r>
          </w:p>
        </w:tc>
        <w:tc>
          <w:tcPr>
            <w:tcW w:w="340" w:type="dxa"/>
            <w:vAlign w:val="bottom"/>
            <w:gridSpan w:val="2"/>
          </w:tcPr>
          <w:p>
            <w:pPr>
              <w:jc w:val="right"/>
              <w:ind w:right="43"/>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3,528</w:t>
            </w:r>
          </w:p>
        </w:tc>
        <w:tc>
          <w:tcPr>
            <w:tcW w:w="0" w:type="dxa"/>
            <w:vAlign w:val="bottom"/>
          </w:tcPr>
          <w:p>
            <w:pPr>
              <w:spacing w:after="0"/>
              <w:rPr>
                <w:sz w:val="1"/>
                <w:szCs w:val="1"/>
                <w:color w:val="auto"/>
              </w:rPr>
            </w:pPr>
          </w:p>
        </w:tc>
      </w:tr>
      <w:tr>
        <w:trPr>
          <w:trHeight w:val="206"/>
        </w:trPr>
        <w:tc>
          <w:tcPr>
            <w:tcW w:w="7140" w:type="dxa"/>
            <w:vAlign w:val="bottom"/>
            <w:gridSpan w:val="2"/>
          </w:tcPr>
          <w:p>
            <w:pPr>
              <w:ind w:left="180"/>
              <w:spacing w:after="0"/>
              <w:rPr>
                <w:sz w:val="20"/>
                <w:szCs w:val="20"/>
                <w:color w:val="auto"/>
              </w:rPr>
            </w:pPr>
            <w:r>
              <w:rPr>
                <w:rFonts w:ascii="Arial" w:cs="Arial" w:eastAsia="Arial" w:hAnsi="Arial"/>
                <w:sz w:val="15"/>
                <w:szCs w:val="15"/>
                <w:color w:val="auto"/>
              </w:rPr>
              <w:t>Of consolidated trusts</w:t>
            </w:r>
          </w:p>
        </w:tc>
        <w:tc>
          <w:tcPr>
            <w:tcW w:w="16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b w:val="1"/>
                <w:bCs w:val="1"/>
                <w:color w:val="auto"/>
              </w:rPr>
              <w:t>4,094,654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4,087,720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6,934</w:t>
            </w:r>
          </w:p>
        </w:tc>
        <w:tc>
          <w:tcPr>
            <w:tcW w:w="0" w:type="dxa"/>
            <w:vAlign w:val="bottom"/>
          </w:tcPr>
          <w:p>
            <w:pPr>
              <w:spacing w:after="0"/>
              <w:rPr>
                <w:sz w:val="1"/>
                <w:szCs w:val="1"/>
                <w:color w:val="auto"/>
              </w:rPr>
            </w:pPr>
          </w:p>
        </w:tc>
      </w:tr>
      <w:tr>
        <w:trPr>
          <w:trHeight w:val="210"/>
        </w:trPr>
        <w:tc>
          <w:tcPr>
            <w:tcW w:w="70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Other liabilities</w:t>
            </w:r>
          </w:p>
        </w:tc>
        <w:tc>
          <w:tcPr>
            <w:tcW w:w="12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14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22,316</w:t>
            </w:r>
          </w:p>
        </w:tc>
        <w:tc>
          <w:tcPr>
            <w:tcW w:w="12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23,123</w:t>
            </w:r>
          </w:p>
        </w:tc>
        <w:tc>
          <w:tcPr>
            <w:tcW w:w="12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(807)</w:t>
            </w:r>
          </w:p>
        </w:tc>
        <w:tc>
          <w:tcPr>
            <w:tcW w:w="0" w:type="dxa"/>
            <w:vAlign w:val="bottom"/>
          </w:tcPr>
          <w:p>
            <w:pPr>
              <w:spacing w:after="0"/>
              <w:rPr>
                <w:sz w:val="1"/>
                <w:szCs w:val="1"/>
                <w:color w:val="auto"/>
              </w:rPr>
            </w:pPr>
          </w:p>
        </w:tc>
      </w:tr>
      <w:tr>
        <w:trPr>
          <w:trHeight w:val="204"/>
        </w:trPr>
        <w:tc>
          <w:tcPr>
            <w:tcW w:w="7140" w:type="dxa"/>
            <w:vAlign w:val="bottom"/>
            <w:gridSpan w:val="2"/>
          </w:tcPr>
          <w:p>
            <w:pPr>
              <w:ind w:left="140"/>
              <w:spacing w:after="0"/>
              <w:rPr>
                <w:sz w:val="20"/>
                <w:szCs w:val="20"/>
                <w:color w:val="auto"/>
              </w:rPr>
            </w:pPr>
            <w:r>
              <w:rPr>
                <w:rFonts w:ascii="Arial" w:cs="Arial" w:eastAsia="Arial" w:hAnsi="Arial"/>
                <w:sz w:val="15"/>
                <w:szCs w:val="15"/>
                <w:color w:val="auto"/>
              </w:rPr>
              <w:t>Total liabilities</w:t>
            </w:r>
          </w:p>
        </w:tc>
        <w:tc>
          <w:tcPr>
            <w:tcW w:w="16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b w:val="1"/>
                <w:bCs w:val="1"/>
                <w:color w:val="auto"/>
              </w:rPr>
              <w:t>4,254,666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4,245,011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9,655</w:t>
            </w:r>
          </w:p>
        </w:tc>
        <w:tc>
          <w:tcPr>
            <w:tcW w:w="0" w:type="dxa"/>
            <w:vAlign w:val="bottom"/>
          </w:tcPr>
          <w:p>
            <w:pPr>
              <w:spacing w:after="0"/>
              <w:rPr>
                <w:sz w:val="1"/>
                <w:szCs w:val="1"/>
                <w:color w:val="auto"/>
              </w:rPr>
            </w:pPr>
          </w:p>
        </w:tc>
      </w:tr>
      <w:tr>
        <w:trPr>
          <w:trHeight w:val="196"/>
        </w:trPr>
        <w:tc>
          <w:tcPr>
            <w:tcW w:w="7140" w:type="dxa"/>
            <w:vAlign w:val="bottom"/>
            <w:gridSpan w:val="2"/>
          </w:tcPr>
          <w:p>
            <w:pPr>
              <w:ind w:left="20"/>
              <w:spacing w:after="0"/>
              <w:rPr>
                <w:sz w:val="20"/>
                <w:szCs w:val="20"/>
                <w:color w:val="auto"/>
              </w:rPr>
            </w:pPr>
            <w:r>
              <w:rPr>
                <w:rFonts w:ascii="Arial" w:cs="Arial" w:eastAsia="Arial" w:hAnsi="Arial"/>
                <w:sz w:val="15"/>
                <w:szCs w:val="15"/>
                <w:color w:val="auto"/>
              </w:rPr>
              <w:t>Fannie Mae stockholders’ equity:</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140" w:type="dxa"/>
            <w:vAlign w:val="bottom"/>
            <w:gridSpan w:val="2"/>
          </w:tcPr>
          <w:p>
            <w:pPr>
              <w:ind w:left="180"/>
              <w:spacing w:after="0"/>
              <w:rPr>
                <w:sz w:val="20"/>
                <w:szCs w:val="20"/>
                <w:color w:val="auto"/>
              </w:rPr>
            </w:pPr>
            <w:r>
              <w:rPr>
                <w:rFonts w:ascii="Arial" w:cs="Arial" w:eastAsia="Arial" w:hAnsi="Arial"/>
                <w:sz w:val="15"/>
                <w:szCs w:val="15"/>
                <w:color w:val="auto"/>
              </w:rPr>
              <w:t>Senior preferred stock</w:t>
            </w:r>
          </w:p>
        </w:tc>
        <w:tc>
          <w:tcPr>
            <w:tcW w:w="16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b w:val="1"/>
                <w:bCs w:val="1"/>
                <w:color w:val="auto"/>
              </w:rPr>
              <w:t>120,836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120,836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0"/>
        </w:trPr>
        <w:tc>
          <w:tcPr>
            <w:tcW w:w="70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 net deficit</w:t>
            </w:r>
          </w:p>
        </w:tc>
        <w:tc>
          <w:tcPr>
            <w:tcW w:w="12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(51,792)</w:t>
            </w:r>
          </w:p>
        </w:tc>
        <w:tc>
          <w:tcPr>
            <w:tcW w:w="12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(60,559)</w:t>
            </w:r>
          </w:p>
        </w:tc>
        <w:tc>
          <w:tcPr>
            <w:tcW w:w="12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8,767</w:t>
            </w:r>
          </w:p>
        </w:tc>
        <w:tc>
          <w:tcPr>
            <w:tcW w:w="0" w:type="dxa"/>
            <w:vAlign w:val="bottom"/>
          </w:tcPr>
          <w:p>
            <w:pPr>
              <w:spacing w:after="0"/>
              <w:rPr>
                <w:sz w:val="1"/>
                <w:szCs w:val="1"/>
                <w:color w:val="auto"/>
              </w:rPr>
            </w:pPr>
          </w:p>
        </w:tc>
      </w:tr>
      <w:tr>
        <w:trPr>
          <w:trHeight w:val="199"/>
        </w:trPr>
        <w:tc>
          <w:tcPr>
            <w:tcW w:w="70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Total equity</w:t>
            </w:r>
          </w:p>
        </w:tc>
        <w:tc>
          <w:tcPr>
            <w:tcW w:w="12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14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69,044</w:t>
            </w:r>
          </w:p>
        </w:tc>
        <w:tc>
          <w:tcPr>
            <w:tcW w:w="120" w:type="dxa"/>
            <w:vAlign w:val="bottom"/>
          </w:tcPr>
          <w:p>
            <w:pPr>
              <w:spacing w:after="0"/>
              <w:rPr>
                <w:sz w:val="17"/>
                <w:szCs w:val="17"/>
                <w:color w:val="auto"/>
              </w:rPr>
            </w:pPr>
          </w:p>
        </w:tc>
        <w:tc>
          <w:tcPr>
            <w:tcW w:w="32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60,277</w:t>
            </w:r>
          </w:p>
        </w:tc>
        <w:tc>
          <w:tcPr>
            <w:tcW w:w="120" w:type="dxa"/>
            <w:vAlign w:val="bottom"/>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8,767</w:t>
            </w:r>
          </w:p>
        </w:tc>
        <w:tc>
          <w:tcPr>
            <w:tcW w:w="0" w:type="dxa"/>
            <w:vAlign w:val="bottom"/>
          </w:tcPr>
          <w:p>
            <w:pPr>
              <w:spacing w:after="0"/>
              <w:rPr>
                <w:sz w:val="1"/>
                <w:szCs w:val="1"/>
                <w:color w:val="auto"/>
              </w:rPr>
            </w:pPr>
          </w:p>
        </w:tc>
      </w:tr>
      <w:tr>
        <w:trPr>
          <w:trHeight w:val="199"/>
        </w:trPr>
        <w:tc>
          <w:tcPr>
            <w:tcW w:w="7140" w:type="dxa"/>
            <w:vAlign w:val="bottom"/>
            <w:gridSpan w:val="2"/>
          </w:tcPr>
          <w:p>
            <w:pPr>
              <w:ind w:left="320"/>
              <w:spacing w:after="0"/>
              <w:rPr>
                <w:sz w:val="20"/>
                <w:szCs w:val="20"/>
                <w:color w:val="auto"/>
              </w:rPr>
            </w:pPr>
            <w:r>
              <w:rPr>
                <w:rFonts w:ascii="Arial" w:cs="Arial" w:eastAsia="Arial" w:hAnsi="Arial"/>
                <w:sz w:val="15"/>
                <w:szCs w:val="15"/>
                <w:color w:val="auto"/>
              </w:rPr>
              <w:t>Total liabilities and equity</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140" w:type="dxa"/>
            <w:vAlign w:val="bottom"/>
          </w:tcPr>
          <w:p>
            <w:pPr>
              <w:jc w:val="right"/>
              <w:ind w:right="4"/>
              <w:spacing w:after="0"/>
              <w:rPr>
                <w:sz w:val="20"/>
                <w:szCs w:val="20"/>
                <w:color w:val="auto"/>
              </w:rPr>
            </w:pPr>
            <w:r>
              <w:rPr>
                <w:rFonts w:ascii="Arial" w:cs="Arial" w:eastAsia="Arial" w:hAnsi="Arial"/>
                <w:sz w:val="15"/>
                <w:szCs w:val="15"/>
                <w:b w:val="1"/>
                <w:bCs w:val="1"/>
                <w:color w:val="auto"/>
              </w:rPr>
              <w:t>4,323,710</w:t>
            </w:r>
          </w:p>
        </w:tc>
        <w:tc>
          <w:tcPr>
            <w:tcW w:w="44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4,305,288</w:t>
            </w:r>
          </w:p>
        </w:tc>
        <w:tc>
          <w:tcPr>
            <w:tcW w:w="340" w:type="dxa"/>
            <w:vAlign w:val="bottom"/>
            <w:gridSpan w:val="2"/>
          </w:tcPr>
          <w:p>
            <w:pPr>
              <w:jc w:val="right"/>
              <w:ind w:right="43"/>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18,422</w:t>
            </w:r>
          </w:p>
        </w:tc>
        <w:tc>
          <w:tcPr>
            <w:tcW w:w="0" w:type="dxa"/>
            <w:vAlign w:val="bottom"/>
          </w:tcPr>
          <w:p>
            <w:pPr>
              <w:spacing w:after="0"/>
              <w:rPr>
                <w:sz w:val="1"/>
                <w:szCs w:val="1"/>
                <w:color w:val="auto"/>
              </w:rPr>
            </w:pPr>
          </w:p>
        </w:tc>
      </w:tr>
      <w:tr>
        <w:trPr>
          <w:trHeight w:val="20"/>
        </w:trPr>
        <w:tc>
          <w:tcPr>
            <w:tcW w:w="70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0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Cash and Cash Equivalents and Securities Purchased Under Agreements to Resell</w:t>
      </w:r>
    </w:p>
    <w:p>
      <w:pPr>
        <w:spacing w:after="0" w:line="103" w:lineRule="exact"/>
        <w:rPr>
          <w:sz w:val="20"/>
          <w:szCs w:val="20"/>
          <w:color w:val="auto"/>
        </w:rPr>
      </w:pPr>
    </w:p>
    <w:p>
      <w:pPr>
        <w:ind w:right="200"/>
        <w:spacing w:after="0" w:line="267" w:lineRule="auto"/>
        <w:rPr>
          <w:sz w:val="20"/>
          <w:szCs w:val="20"/>
          <w:color w:val="auto"/>
        </w:rPr>
      </w:pPr>
      <w:r>
        <w:rPr>
          <w:rFonts w:ascii="Arial" w:cs="Arial" w:eastAsia="Arial" w:hAnsi="Arial"/>
          <w:sz w:val="16"/>
          <w:szCs w:val="16"/>
          <w:color w:val="auto"/>
        </w:rPr>
        <w:t>Cash and cash equivalents and securities purchased under agreements to resell increased from December 31, 2022 to June 30, 2023 primarily driven by our corporate debt issuances outpacing maturities, proceeds from the sale of securities and loans, and the continued accumulation of earnings retained from our operations. For further discussion, see “Liquidity and Capital Management—Liquidity Management.”</w:t>
      </w:r>
    </w:p>
    <w:p>
      <w:pPr>
        <w:spacing w:after="0" w:line="86"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Mortgage Loans, Net of Allowance</w:t>
      </w:r>
    </w:p>
    <w:p>
      <w:pPr>
        <w:spacing w:after="0" w:line="77" w:lineRule="exact"/>
        <w:rPr>
          <w:sz w:val="20"/>
          <w:szCs w:val="20"/>
          <w:color w:val="auto"/>
        </w:rPr>
      </w:pPr>
    </w:p>
    <w:p>
      <w:pPr>
        <w:ind w:right="220"/>
        <w:spacing w:after="0" w:line="283" w:lineRule="auto"/>
        <w:rPr>
          <w:sz w:val="20"/>
          <w:szCs w:val="20"/>
          <w:color w:val="auto"/>
        </w:rPr>
      </w:pPr>
      <w:r>
        <w:rPr>
          <w:rFonts w:ascii="Arial" w:cs="Arial" w:eastAsia="Arial" w:hAnsi="Arial"/>
          <w:sz w:val="16"/>
          <w:szCs w:val="16"/>
          <w:color w:val="auto"/>
        </w:rPr>
        <w:t>The mortgage loans reported in our condensed consolidated balance sheets are classified as either HFS or HFI and include loans owned by Fannie Mae and loans held in consolidated trusts.</w:t>
      </w:r>
    </w:p>
    <w:p>
      <w:pPr>
        <w:spacing w:after="0" w:line="30" w:lineRule="exact"/>
        <w:rPr>
          <w:sz w:val="20"/>
          <w:szCs w:val="20"/>
          <w:color w:val="auto"/>
        </w:rPr>
      </w:pPr>
    </w:p>
    <w:p>
      <w:pPr>
        <w:ind w:right="300"/>
        <w:spacing w:after="0" w:line="283" w:lineRule="auto"/>
        <w:rPr>
          <w:sz w:val="20"/>
          <w:szCs w:val="20"/>
          <w:color w:val="auto"/>
        </w:rPr>
      </w:pPr>
      <w:r>
        <w:rPr>
          <w:rFonts w:ascii="Arial" w:cs="Arial" w:eastAsia="Arial" w:hAnsi="Arial"/>
          <w:sz w:val="16"/>
          <w:szCs w:val="16"/>
          <w:color w:val="auto"/>
        </w:rPr>
        <w:t>Mortgage loans, net of allowance for loan losses modestly increased from December 31, 2022 to June 30, 2023, driven primarily by acquisition volumes being higher than loan paydowns during the first half of 2023, as well as a decline in our allowance for loan losses.</w:t>
      </w:r>
    </w:p>
    <w:p>
      <w:pPr>
        <w:spacing w:after="0" w:line="43"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For additional information on our mortgage loans, see “Note 3, Mortgage Loans,” and for additional information on changes in our allowance for loan losses, see “Note 4, Allowance for Loan Losses.”</w:t>
      </w: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Debt</w:t>
      </w:r>
    </w:p>
    <w:p>
      <w:pPr>
        <w:spacing w:after="0" w:line="77"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The increase in debt of Fannie Mae from December 31, 2022 to June 30, 2023 was due to new issuances outpacing redemptions. The increase in debt of consolidated trusts from December 31, 2022 to June 30, 2023 was primarily driven</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18</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840" w:type="dxa"/>
            <w:vAlign w:val="bottom"/>
            <w:tcBorders>
              <w:bottom w:val="single" w:sz="8" w:color="9A9A9A"/>
            </w:tcBorders>
          </w:tcPr>
          <w:p>
            <w:pPr>
              <w:spacing w:after="0"/>
              <w:rPr>
                <w:sz w:val="18"/>
                <w:szCs w:val="18"/>
                <w:color w:val="auto"/>
              </w:rPr>
            </w:pPr>
          </w:p>
        </w:tc>
        <w:tc>
          <w:tcPr>
            <w:tcW w:w="42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21" w:name="page22"/>
    <w:bookmarkEnd w:id="21"/>
    <w:p>
      <w:pPr>
        <w:ind w:left="8340"/>
        <w:spacing w:after="0"/>
        <w:rPr>
          <w:sz w:val="20"/>
          <w:szCs w:val="20"/>
          <w:color w:val="auto"/>
        </w:rPr>
      </w:pPr>
      <w:r>
        <w:rPr>
          <w:rFonts w:ascii="Arial" w:cs="Arial" w:eastAsia="Arial" w:hAnsi="Arial"/>
          <w:sz w:val="14"/>
          <w:szCs w:val="14"/>
          <w:color w:val="05314D"/>
        </w:rPr>
        <w:t>MD&amp;A | Consolidated Balance Sheet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by sales of Fannie Mae MBS, which also includes sales of Fannie Mae MBS that were previously held in our retained mortgage portfolio. Sales of Fannie Mae MBS are accounted for as issuances of debt of consolidated trusts in our condensed consolidated balance sheets, since the MBS certificate ownership is transferred from us to a third party. See “Liquidity and Capital Management—Liquidity Management—Debt Funding” for a summary of activity in short-term and long-term debt of Fannie Mae. Also see “Note 7, Short-Term and Long-Term Debt” for additional information on our total outstanding debt.</w:t>
      </w:r>
    </w:p>
    <w:p>
      <w:pPr>
        <w:spacing w:after="0" w:line="71"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Stockholders’ Equity</w:t>
      </w:r>
    </w:p>
    <w:p>
      <w:pPr>
        <w:spacing w:after="0" w:line="103"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Our stockholders’ equity (also referred to as our net worth) increased to $69.0 billion as of June 30, 2023, compared with $60.3 billion as of December 31, 2022, due to the $8.8 billion in comprehensive income recognized during the first half of 2023.</w:t>
      </w:r>
    </w:p>
    <w:p>
      <w:pPr>
        <w:spacing w:after="0" w:line="56"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The aggregate liquidation preference of the senior preferred stock increased to $185.5 billion as of June 30, 2023 from $181.8 billion as of March 31, 2023, due to the $3.8 billion increase in our net worth in the first quarter of 2023. The aggregate liquidation preference of the senior preferred stock will further increase to $190.5 billion as of September 30, 2023 due to the $5.0 billion increase in our net worth in the second quarter of 2023. For more information about how this liquidation preference is determined, see “Business—Conservatorship and Treasury Agreements—Treasury Agreements—Senior Preferred Stock” in our 2022 Form 10-K and “Liquidity and Capital Management—Capital Management—Capital Activity” in this report.</w:t>
      </w:r>
    </w:p>
    <w:p>
      <w:pPr>
        <w:spacing w:after="0" w:line="57"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Retained Mortgage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52705</wp:posOffset>
            </wp:positionV>
            <wp:extent cx="7138670"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77" w:lineRule="exact"/>
        <w:rPr>
          <w:sz w:val="20"/>
          <w:szCs w:val="20"/>
          <w:color w:val="auto"/>
        </w:rPr>
      </w:pPr>
    </w:p>
    <w:p>
      <w:pPr>
        <w:ind w:right="680"/>
        <w:spacing w:after="0" w:line="283" w:lineRule="auto"/>
        <w:rPr>
          <w:sz w:val="20"/>
          <w:szCs w:val="20"/>
          <w:color w:val="auto"/>
        </w:rPr>
      </w:pPr>
      <w:r>
        <w:rPr>
          <w:rFonts w:ascii="Arial" w:cs="Arial" w:eastAsia="Arial" w:hAnsi="Arial"/>
          <w:sz w:val="16"/>
          <w:szCs w:val="16"/>
          <w:color w:val="auto"/>
        </w:rPr>
        <w:t>We use our retained mortgage portfolio primarily to provide liquidity to the mortgage market through our whole loan conduit and to support our loss mitigation activities, particularly in times of economic stress when other sources of liquidity to the mortgage market may decrease or withdraw.</w:t>
      </w:r>
    </w:p>
    <w:p>
      <w:pPr>
        <w:spacing w:after="0" w:line="30" w:lineRule="exact"/>
        <w:rPr>
          <w:sz w:val="20"/>
          <w:szCs w:val="20"/>
          <w:color w:val="auto"/>
        </w:rPr>
      </w:pPr>
    </w:p>
    <w:p>
      <w:pPr>
        <w:ind w:right="140"/>
        <w:spacing w:after="0" w:line="267" w:lineRule="auto"/>
        <w:rPr>
          <w:sz w:val="20"/>
          <w:szCs w:val="20"/>
          <w:color w:val="auto"/>
        </w:rPr>
      </w:pPr>
      <w:r>
        <w:rPr>
          <w:rFonts w:ascii="Arial" w:cs="Arial" w:eastAsia="Arial" w:hAnsi="Arial"/>
          <w:sz w:val="16"/>
          <w:szCs w:val="16"/>
          <w:color w:val="auto"/>
        </w:rPr>
        <w:t>Our retained mortgage portfolio consists of mortgage loans and mortgage-related securities that we own, including Fannie Mae MBS and non-Fannie Mae mortgage-related securities. Assets held by consolidated MBS trusts that back mortgage-related securities owned by third parties are not included in our retained mortgage portfolio.</w:t>
      </w:r>
    </w:p>
    <w:p>
      <w:pPr>
        <w:spacing w:after="0" w:line="43"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The chart below separates the instruments within our retained mortgage portfolio, measured by unpaid principal balance, into three categories based on each instrument’s use:</w:t>
      </w:r>
    </w:p>
    <w:p>
      <w:pPr>
        <w:spacing w:after="0" w:line="1" w:lineRule="exact"/>
        <w:rPr>
          <w:sz w:val="20"/>
          <w:szCs w:val="20"/>
          <w:color w:val="auto"/>
        </w:rPr>
      </w:pPr>
    </w:p>
    <w:p>
      <w:pPr>
        <w:ind w:left="620" w:right="160" w:hanging="307"/>
        <w:spacing w:after="0" w:line="285" w:lineRule="auto"/>
        <w:tabs>
          <w:tab w:leader="none" w:pos="62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Lender liquidity</w:t>
      </w:r>
      <w:r>
        <w:rPr>
          <w:rFonts w:ascii="Arial" w:cs="Arial" w:eastAsia="Arial" w:hAnsi="Arial"/>
          <w:sz w:val="16"/>
          <w:szCs w:val="16"/>
          <w:color w:val="auto"/>
        </w:rPr>
        <w:t>, which includes balances related to our whole loan conduit activity, supports our efforts to provide liquidity to the single-family and</w:t>
      </w:r>
      <w:r>
        <w:rPr>
          <w:rFonts w:ascii="Arial" w:cs="Arial" w:eastAsia="Arial" w:hAnsi="Arial"/>
          <w:sz w:val="16"/>
          <w:szCs w:val="16"/>
          <w:i w:val="1"/>
          <w:iCs w:val="1"/>
          <w:color w:val="auto"/>
        </w:rPr>
        <w:t xml:space="preserve"> </w:t>
      </w:r>
      <w:r>
        <w:rPr>
          <w:rFonts w:ascii="Arial" w:cs="Arial" w:eastAsia="Arial" w:hAnsi="Arial"/>
          <w:sz w:val="16"/>
          <w:szCs w:val="16"/>
          <w:color w:val="auto"/>
        </w:rPr>
        <w:t>multifamily mortgage markets.</w:t>
      </w:r>
    </w:p>
    <w:p>
      <w:pPr>
        <w:spacing w:after="0" w:line="1" w:lineRule="exact"/>
        <w:rPr>
          <w:rFonts w:ascii="Arial" w:cs="Arial" w:eastAsia="Arial" w:hAnsi="Arial"/>
          <w:sz w:val="16"/>
          <w:szCs w:val="16"/>
          <w:color w:val="auto"/>
        </w:rPr>
      </w:pPr>
    </w:p>
    <w:p>
      <w:pPr>
        <w:ind w:left="620" w:hanging="307"/>
        <w:spacing w:after="0"/>
        <w:tabs>
          <w:tab w:leader="none" w:pos="62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Loss mitigation </w:t>
      </w:r>
      <w:r>
        <w:rPr>
          <w:rFonts w:ascii="Arial" w:cs="Arial" w:eastAsia="Arial" w:hAnsi="Arial"/>
          <w:sz w:val="16"/>
          <w:szCs w:val="16"/>
          <w:color w:val="auto"/>
        </w:rPr>
        <w:t>supports our loss mitigation efforts through the purchase of delinquent loans from our MBS trusts.</w:t>
      </w:r>
    </w:p>
    <w:p>
      <w:pPr>
        <w:spacing w:after="0" w:line="60" w:lineRule="exact"/>
        <w:rPr>
          <w:rFonts w:ascii="Arial" w:cs="Arial" w:eastAsia="Arial" w:hAnsi="Arial"/>
          <w:sz w:val="16"/>
          <w:szCs w:val="16"/>
          <w:color w:val="auto"/>
        </w:rPr>
      </w:pPr>
    </w:p>
    <w:p>
      <w:pPr>
        <w:ind w:left="620" w:right="440" w:hanging="307"/>
        <w:spacing w:after="0" w:line="265" w:lineRule="auto"/>
        <w:tabs>
          <w:tab w:leader="none" w:pos="62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represents assets that were previously purchased for investment purposes. The majority of the balance of “Other” as of June 30, 2023</w:t>
      </w:r>
      <w:r>
        <w:rPr>
          <w:rFonts w:ascii="Arial" w:cs="Arial" w:eastAsia="Arial" w:hAnsi="Arial"/>
          <w:sz w:val="16"/>
          <w:szCs w:val="16"/>
          <w:i w:val="1"/>
          <w:iCs w:val="1"/>
          <w:color w:val="auto"/>
        </w:rPr>
        <w:t xml:space="preserve"> </w:t>
      </w:r>
      <w:r>
        <w:rPr>
          <w:rFonts w:ascii="Arial" w:cs="Arial" w:eastAsia="Arial" w:hAnsi="Arial"/>
          <w:sz w:val="16"/>
          <w:szCs w:val="16"/>
          <w:color w:val="auto"/>
        </w:rPr>
        <w:t>consisted of Fannie Mae reverse mortgage securities and reverse mortgage loans. We expect the amount of assets in “Other” will continue to decline over time as they liquidate, mature or are sold.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5314D"/>
        </w:rPr>
        <w:t>Retained Mortgage Portfolio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5314D"/>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54610</wp:posOffset>
            </wp:positionV>
            <wp:extent cx="5452110" cy="14897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52110" cy="1489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19</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840" w:type="dxa"/>
            <w:vAlign w:val="bottom"/>
            <w:tcBorders>
              <w:bottom w:val="single" w:sz="8" w:color="9A9A9A"/>
            </w:tcBorders>
          </w:tcPr>
          <w:p>
            <w:pPr>
              <w:spacing w:after="0"/>
              <w:rPr>
                <w:sz w:val="18"/>
                <w:szCs w:val="18"/>
                <w:color w:val="auto"/>
              </w:rPr>
            </w:pPr>
          </w:p>
        </w:tc>
        <w:tc>
          <w:tcPr>
            <w:tcW w:w="42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22" w:name="page23"/>
    <w:bookmarkEnd w:id="22"/>
    <w:p>
      <w:pPr>
        <w:ind w:left="9020"/>
        <w:spacing w:after="0"/>
        <w:rPr>
          <w:sz w:val="20"/>
          <w:szCs w:val="20"/>
          <w:color w:val="auto"/>
        </w:rPr>
      </w:pPr>
      <w:r>
        <w:rPr>
          <w:rFonts w:ascii="Arial" w:cs="Arial" w:eastAsia="Arial" w:hAnsi="Arial"/>
          <w:sz w:val="13"/>
          <w:szCs w:val="13"/>
          <w:color w:val="05314D"/>
        </w:rPr>
        <w:t>MD&amp;A | Retained Mortgage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22860</wp:posOffset>
            </wp:positionV>
            <wp:extent cx="7122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20"/>
        <w:spacing w:after="0" w:line="267" w:lineRule="auto"/>
        <w:rPr>
          <w:sz w:val="20"/>
          <w:szCs w:val="20"/>
          <w:color w:val="auto"/>
        </w:rPr>
      </w:pPr>
      <w:r>
        <w:rPr>
          <w:rFonts w:ascii="Arial" w:cs="Arial" w:eastAsia="Arial" w:hAnsi="Arial"/>
          <w:sz w:val="16"/>
          <w:szCs w:val="16"/>
          <w:color w:val="auto"/>
        </w:rPr>
        <w:t>The table below displays the components of our retained mortgage portfolio, measured by unpaid principal balance. Based on the nature of the asset, these balances are included in either “Investments in securities, at fair value” or “Mortgage loans, net of allowance for loan losses” in our “Summary of Condensed Consolidated Balance Sheets” table above.</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001543"/>
        </w:rPr>
        <w:t>Retained Mortgage Portfolio</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7120" w:type="dxa"/>
            <w:vAlign w:val="bottom"/>
            <w:tcBorders>
              <w:top w:val="single" w:sz="8" w:color="2C6937"/>
            </w:tcBorders>
          </w:tcPr>
          <w:p>
            <w:pPr>
              <w:spacing w:after="0"/>
              <w:rPr>
                <w:sz w:val="19"/>
                <w:szCs w:val="19"/>
                <w:color w:val="auto"/>
              </w:rPr>
            </w:pPr>
          </w:p>
        </w:tc>
        <w:tc>
          <w:tcPr>
            <w:tcW w:w="160" w:type="dxa"/>
            <w:vAlign w:val="bottom"/>
            <w:tcBorders>
              <w:top w:val="single" w:sz="8" w:color="2C6937"/>
              <w:bottom w:val="single" w:sz="8" w:color="2C6937"/>
            </w:tcBorders>
          </w:tcPr>
          <w:p>
            <w:pPr>
              <w:spacing w:after="0"/>
              <w:rPr>
                <w:sz w:val="19"/>
                <w:szCs w:val="19"/>
                <w:color w:val="auto"/>
              </w:rPr>
            </w:pPr>
          </w:p>
        </w:tc>
        <w:tc>
          <w:tcPr>
            <w:tcW w:w="240" w:type="dxa"/>
            <w:vAlign w:val="bottom"/>
            <w:tcBorders>
              <w:top w:val="single" w:sz="8" w:color="2C6937"/>
              <w:bottom w:val="single" w:sz="8" w:color="2C6937"/>
            </w:tcBorders>
          </w:tcPr>
          <w:p>
            <w:pPr>
              <w:spacing w:after="0"/>
              <w:rPr>
                <w:sz w:val="19"/>
                <w:szCs w:val="19"/>
                <w:color w:val="auto"/>
              </w:rPr>
            </w:pPr>
          </w:p>
        </w:tc>
        <w:tc>
          <w:tcPr>
            <w:tcW w:w="1860" w:type="dxa"/>
            <w:vAlign w:val="bottom"/>
            <w:tcBorders>
              <w:top w:val="single" w:sz="8" w:color="2C6937"/>
              <w:bottom w:val="single" w:sz="8" w:color="2C6937"/>
            </w:tcBorders>
            <w:gridSpan w:val="3"/>
          </w:tcPr>
          <w:p>
            <w:pPr>
              <w:ind w:left="1460"/>
              <w:spacing w:after="0"/>
              <w:rPr>
                <w:sz w:val="20"/>
                <w:szCs w:val="20"/>
                <w:color w:val="auto"/>
              </w:rPr>
            </w:pPr>
            <w:r>
              <w:rPr>
                <w:rFonts w:ascii="Arial" w:cs="Arial" w:eastAsia="Arial" w:hAnsi="Arial"/>
                <w:sz w:val="15"/>
                <w:szCs w:val="15"/>
                <w:b w:val="1"/>
                <w:bCs w:val="1"/>
                <w:color w:val="auto"/>
              </w:rPr>
              <w:t>As of</w:t>
            </w:r>
          </w:p>
        </w:tc>
        <w:tc>
          <w:tcPr>
            <w:tcW w:w="120" w:type="dxa"/>
            <w:vAlign w:val="bottom"/>
            <w:tcBorders>
              <w:top w:val="single" w:sz="8" w:color="2C6937"/>
              <w:bottom w:val="single" w:sz="8" w:color="2C6937"/>
            </w:tcBorders>
          </w:tcPr>
          <w:p>
            <w:pPr>
              <w:spacing w:after="0"/>
              <w:rPr>
                <w:sz w:val="19"/>
                <w:szCs w:val="19"/>
                <w:color w:val="auto"/>
              </w:rPr>
            </w:pPr>
          </w:p>
        </w:tc>
        <w:tc>
          <w:tcPr>
            <w:tcW w:w="1740" w:type="dxa"/>
            <w:vAlign w:val="bottom"/>
            <w:tcBorders>
              <w:top w:val="single" w:sz="8" w:color="2C6937"/>
              <w:bottom w:val="single" w:sz="8" w:color="2C6937"/>
            </w:tcBorders>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712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1860" w:type="dxa"/>
            <w:vAlign w:val="bottom"/>
            <w:tcBorders>
              <w:bottom w:val="single" w:sz="8" w:color="2C6937"/>
            </w:tcBorders>
            <w:gridSpan w:val="3"/>
          </w:tcPr>
          <w:p>
            <w:pPr>
              <w:ind w:left="120"/>
              <w:spacing w:after="0"/>
              <w:rPr>
                <w:sz w:val="20"/>
                <w:szCs w:val="20"/>
                <w:color w:val="auto"/>
              </w:rPr>
            </w:pPr>
            <w:r>
              <w:rPr>
                <w:rFonts w:ascii="Arial" w:cs="Arial" w:eastAsia="Arial" w:hAnsi="Arial"/>
                <w:sz w:val="15"/>
                <w:szCs w:val="15"/>
                <w:b w:val="1"/>
                <w:bCs w:val="1"/>
                <w:color w:val="auto"/>
              </w:rPr>
              <w:t>June 30, 2023</w:t>
            </w:r>
          </w:p>
        </w:tc>
        <w:tc>
          <w:tcPr>
            <w:tcW w:w="120" w:type="dxa"/>
            <w:vAlign w:val="bottom"/>
            <w:tcBorders>
              <w:bottom w:val="single" w:sz="8" w:color="2C6937"/>
            </w:tcBorders>
          </w:tcPr>
          <w:p>
            <w:pPr>
              <w:spacing w:after="0"/>
              <w:rPr>
                <w:sz w:val="17"/>
                <w:szCs w:val="17"/>
                <w:color w:val="auto"/>
              </w:rPr>
            </w:pPr>
          </w:p>
        </w:tc>
        <w:tc>
          <w:tcPr>
            <w:tcW w:w="1740" w:type="dxa"/>
            <w:vAlign w:val="bottom"/>
            <w:tcBorders>
              <w:bottom w:val="single" w:sz="8" w:color="2C6937"/>
            </w:tcBorders>
          </w:tcPr>
          <w:p>
            <w:pPr>
              <w:jc w:val="right"/>
              <w:ind w:right="223"/>
              <w:spacing w:after="0"/>
              <w:rPr>
                <w:sz w:val="20"/>
                <w:szCs w:val="20"/>
                <w:color w:val="auto"/>
              </w:rPr>
            </w:pPr>
            <w:r>
              <w:rPr>
                <w:rFonts w:ascii="Arial" w:cs="Arial" w:eastAsia="Arial" w:hAnsi="Arial"/>
                <w:sz w:val="15"/>
                <w:szCs w:val="15"/>
                <w:b w:val="1"/>
                <w:bCs w:val="1"/>
                <w:color w:val="auto"/>
              </w:rPr>
              <w:t>December 31, 2022</w:t>
            </w:r>
          </w:p>
        </w:tc>
        <w:tc>
          <w:tcPr>
            <w:tcW w:w="0" w:type="dxa"/>
            <w:vAlign w:val="bottom"/>
          </w:tcPr>
          <w:p>
            <w:pPr>
              <w:spacing w:after="0"/>
              <w:rPr>
                <w:sz w:val="1"/>
                <w:szCs w:val="1"/>
                <w:color w:val="auto"/>
              </w:rPr>
            </w:pPr>
          </w:p>
        </w:tc>
      </w:tr>
      <w:tr>
        <w:trPr>
          <w:trHeight w:val="209"/>
        </w:trPr>
        <w:tc>
          <w:tcPr>
            <w:tcW w:w="712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Lender liquidity:</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20" w:type="dxa"/>
            <w:vAlign w:val="bottom"/>
            <w:gridSpan w:val="5"/>
          </w:tcPr>
          <w:p>
            <w:pPr>
              <w:jc w:val="right"/>
              <w:ind w:right="1263"/>
              <w:spacing w:after="0"/>
              <w:rPr>
                <w:sz w:val="20"/>
                <w:szCs w:val="20"/>
                <w:color w:val="auto"/>
              </w:rPr>
            </w:pPr>
            <w:r>
              <w:rPr>
                <w:rFonts w:ascii="Arial" w:cs="Arial" w:eastAsia="Arial" w:hAnsi="Arial"/>
                <w:sz w:val="15"/>
                <w:szCs w:val="15"/>
                <w:b w:val="1"/>
                <w:bCs w:val="1"/>
                <w:color w:val="auto"/>
              </w:rPr>
              <w:t>(Dollars in millions)</w:t>
            </w:r>
          </w:p>
        </w:tc>
        <w:tc>
          <w:tcPr>
            <w:tcW w:w="0" w:type="dxa"/>
            <w:vAlign w:val="bottom"/>
          </w:tcPr>
          <w:p>
            <w:pPr>
              <w:spacing w:after="0"/>
              <w:rPr>
                <w:sz w:val="1"/>
                <w:szCs w:val="1"/>
                <w:color w:val="auto"/>
              </w:rPr>
            </w:pPr>
          </w:p>
        </w:tc>
      </w:tr>
      <w:tr>
        <w:trPr>
          <w:trHeight w:val="201"/>
        </w:trPr>
        <w:tc>
          <w:tcPr>
            <w:tcW w:w="7120" w:type="dxa"/>
            <w:vAlign w:val="bottom"/>
            <w:vMerge w:val="continue"/>
          </w:tcPr>
          <w:p>
            <w:pPr>
              <w:spacing w:after="0"/>
              <w:rPr>
                <w:sz w:val="17"/>
                <w:szCs w:val="17"/>
                <w:color w:val="auto"/>
              </w:rPr>
            </w:pPr>
          </w:p>
        </w:tc>
        <w:tc>
          <w:tcPr>
            <w:tcW w:w="400" w:type="dxa"/>
            <w:vAlign w:val="bottom"/>
            <w:gridSpan w:val="2"/>
            <w:vMerge w:val="restart"/>
          </w:tcPr>
          <w:p>
            <w:pPr>
              <w:jc w:val="right"/>
              <w:ind w:right="63"/>
              <w:spacing w:after="0"/>
              <w:rPr>
                <w:sz w:val="20"/>
                <w:szCs w:val="20"/>
                <w:color w:val="auto"/>
              </w:rPr>
            </w:pPr>
            <w:r>
              <w:rPr>
                <w:rFonts w:ascii="Arial" w:cs="Arial" w:eastAsia="Arial" w:hAnsi="Arial"/>
                <w:sz w:val="15"/>
                <w:szCs w:val="15"/>
                <w:b w:val="1"/>
                <w:bCs w:val="1"/>
                <w:color w:val="auto"/>
              </w:rPr>
              <w:t>$</w:t>
            </w:r>
          </w:p>
        </w:tc>
        <w:tc>
          <w:tcPr>
            <w:tcW w:w="16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23,367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120" w:type="dxa"/>
            <w:vAlign w:val="bottom"/>
          </w:tcPr>
          <w:p>
            <w:pPr>
              <w:ind w:left="180"/>
              <w:spacing w:after="0" w:line="198" w:lineRule="exact"/>
              <w:rPr>
                <w:sz w:val="20"/>
                <w:szCs w:val="20"/>
                <w:color w:val="auto"/>
              </w:rPr>
            </w:pPr>
            <w:r>
              <w:rPr>
                <w:rFonts w:ascii="Arial" w:cs="Arial" w:eastAsia="Arial" w:hAnsi="Arial"/>
                <w:sz w:val="15"/>
                <w:szCs w:val="15"/>
                <w:color w:val="auto"/>
              </w:rPr>
              <w:t>Agency securities</w:t>
            </w:r>
            <w:r>
              <w:rPr>
                <w:rFonts w:ascii="Arial" w:cs="Arial" w:eastAsia="Arial" w:hAnsi="Arial"/>
                <w:sz w:val="20"/>
                <w:szCs w:val="20"/>
                <w:color w:val="auto"/>
                <w:vertAlign w:val="superscript"/>
              </w:rPr>
              <w:t>(1)</w:t>
            </w:r>
          </w:p>
        </w:tc>
        <w:tc>
          <w:tcPr>
            <w:tcW w:w="400" w:type="dxa"/>
            <w:vAlign w:val="bottom"/>
            <w:gridSpan w:val="2"/>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16,410</w:t>
            </w:r>
          </w:p>
        </w:tc>
        <w:tc>
          <w:tcPr>
            <w:tcW w:w="0" w:type="dxa"/>
            <w:vAlign w:val="bottom"/>
          </w:tcPr>
          <w:p>
            <w:pPr>
              <w:spacing w:after="0"/>
              <w:rPr>
                <w:sz w:val="1"/>
                <w:szCs w:val="1"/>
                <w:color w:val="auto"/>
              </w:rPr>
            </w:pPr>
          </w:p>
        </w:tc>
      </w:tr>
      <w:tr>
        <w:trPr>
          <w:trHeight w:val="210"/>
        </w:trPr>
        <w:tc>
          <w:tcPr>
            <w:tcW w:w="71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Mortgage loans</w:t>
            </w:r>
          </w:p>
        </w:tc>
        <w:tc>
          <w:tcPr>
            <w:tcW w:w="16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1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7,256</w:t>
            </w:r>
          </w:p>
        </w:tc>
        <w:tc>
          <w:tcPr>
            <w:tcW w:w="20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7,329</w:t>
            </w:r>
          </w:p>
        </w:tc>
        <w:tc>
          <w:tcPr>
            <w:tcW w:w="0" w:type="dxa"/>
            <w:vAlign w:val="bottom"/>
          </w:tcPr>
          <w:p>
            <w:pPr>
              <w:spacing w:after="0"/>
              <w:rPr>
                <w:sz w:val="1"/>
                <w:szCs w:val="1"/>
                <w:color w:val="auto"/>
              </w:rPr>
            </w:pPr>
          </w:p>
        </w:tc>
      </w:tr>
      <w:tr>
        <w:trPr>
          <w:trHeight w:val="196"/>
        </w:trPr>
        <w:tc>
          <w:tcPr>
            <w:tcW w:w="7120" w:type="dxa"/>
            <w:vAlign w:val="bottom"/>
          </w:tcPr>
          <w:p>
            <w:pPr>
              <w:ind w:left="20"/>
              <w:spacing w:after="0"/>
              <w:rPr>
                <w:sz w:val="20"/>
                <w:szCs w:val="20"/>
                <w:color w:val="auto"/>
              </w:rPr>
            </w:pPr>
            <w:r>
              <w:rPr>
                <w:rFonts w:ascii="Arial" w:cs="Arial" w:eastAsia="Arial" w:hAnsi="Arial"/>
                <w:sz w:val="15"/>
                <w:szCs w:val="15"/>
                <w:color w:val="auto"/>
              </w:rPr>
              <w:t>Total lender liquidity</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b w:val="1"/>
                <w:bCs w:val="1"/>
                <w:color w:val="auto"/>
              </w:rPr>
              <w:t>30,623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23,739</w:t>
            </w:r>
          </w:p>
        </w:tc>
        <w:tc>
          <w:tcPr>
            <w:tcW w:w="0" w:type="dxa"/>
            <w:vAlign w:val="bottom"/>
          </w:tcPr>
          <w:p>
            <w:pPr>
              <w:spacing w:after="0"/>
              <w:rPr>
                <w:sz w:val="1"/>
                <w:szCs w:val="1"/>
                <w:color w:val="auto"/>
              </w:rPr>
            </w:pPr>
          </w:p>
        </w:tc>
      </w:tr>
      <w:tr>
        <w:trPr>
          <w:trHeight w:val="206"/>
        </w:trPr>
        <w:tc>
          <w:tcPr>
            <w:tcW w:w="7120" w:type="dxa"/>
            <w:vAlign w:val="bottom"/>
          </w:tcPr>
          <w:p>
            <w:pPr>
              <w:ind w:left="20"/>
              <w:spacing w:after="0" w:line="207" w:lineRule="exact"/>
              <w:rPr>
                <w:sz w:val="20"/>
                <w:szCs w:val="20"/>
                <w:color w:val="auto"/>
              </w:rPr>
            </w:pPr>
            <w:r>
              <w:rPr>
                <w:rFonts w:ascii="Arial" w:cs="Arial" w:eastAsia="Arial" w:hAnsi="Arial"/>
                <w:sz w:val="15"/>
                <w:szCs w:val="15"/>
                <w:b w:val="1"/>
                <w:bCs w:val="1"/>
                <w:color w:val="auto"/>
              </w:rPr>
              <w:t>Loss mitigation mortgage loans</w:t>
            </w:r>
            <w:r>
              <w:rPr>
                <w:rFonts w:ascii="Arial" w:cs="Arial" w:eastAsia="Arial" w:hAnsi="Arial"/>
                <w:sz w:val="20"/>
                <w:szCs w:val="20"/>
                <w:b w:val="1"/>
                <w:bCs w:val="1"/>
                <w:color w:val="auto"/>
                <w:vertAlign w:val="superscript"/>
              </w:rPr>
              <w:t>(2)</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b w:val="1"/>
                <w:bCs w:val="1"/>
                <w:color w:val="auto"/>
              </w:rPr>
              <w:t>36,510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38,458</w:t>
            </w:r>
          </w:p>
        </w:tc>
        <w:tc>
          <w:tcPr>
            <w:tcW w:w="0" w:type="dxa"/>
            <w:vAlign w:val="bottom"/>
          </w:tcPr>
          <w:p>
            <w:pPr>
              <w:spacing w:after="0"/>
              <w:rPr>
                <w:sz w:val="1"/>
                <w:szCs w:val="1"/>
                <w:color w:val="auto"/>
              </w:rPr>
            </w:pPr>
          </w:p>
        </w:tc>
      </w:tr>
      <w:tr>
        <w:trPr>
          <w:trHeight w:val="214"/>
        </w:trPr>
        <w:tc>
          <w:tcPr>
            <w:tcW w:w="7120" w:type="dxa"/>
            <w:vAlign w:val="bottom"/>
          </w:tcPr>
          <w:p>
            <w:pPr>
              <w:ind w:left="20"/>
              <w:spacing w:after="0"/>
              <w:rPr>
                <w:sz w:val="20"/>
                <w:szCs w:val="20"/>
                <w:color w:val="auto"/>
              </w:rPr>
            </w:pPr>
            <w:r>
              <w:rPr>
                <w:rFonts w:ascii="Arial" w:cs="Arial" w:eastAsia="Arial" w:hAnsi="Arial"/>
                <w:sz w:val="15"/>
                <w:szCs w:val="15"/>
                <w:b w:val="1"/>
                <w:bCs w:val="1"/>
                <w:color w:val="auto"/>
              </w:rPr>
              <w:t>Other:</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4,755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120" w:type="dxa"/>
            <w:vAlign w:val="bottom"/>
          </w:tcPr>
          <w:p>
            <w:pPr>
              <w:ind w:left="180"/>
              <w:spacing w:after="0" w:line="198" w:lineRule="exact"/>
              <w:rPr>
                <w:sz w:val="20"/>
                <w:szCs w:val="20"/>
                <w:color w:val="auto"/>
              </w:rPr>
            </w:pPr>
            <w:r>
              <w:rPr>
                <w:rFonts w:ascii="Arial" w:cs="Arial" w:eastAsia="Arial" w:hAnsi="Arial"/>
                <w:sz w:val="15"/>
                <w:szCs w:val="15"/>
                <w:color w:val="auto"/>
              </w:rPr>
              <w:t>Reverse mortgage loans</w:t>
            </w:r>
            <w:r>
              <w:rPr>
                <w:rFonts w:ascii="Arial" w:cs="Arial" w:eastAsia="Arial" w:hAnsi="Arial"/>
                <w:sz w:val="20"/>
                <w:szCs w:val="20"/>
                <w:color w:val="auto"/>
                <w:vertAlign w:val="superscript"/>
              </w:rPr>
              <w:t>(3)</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6,565</w:t>
            </w:r>
          </w:p>
        </w:tc>
        <w:tc>
          <w:tcPr>
            <w:tcW w:w="0" w:type="dxa"/>
            <w:vAlign w:val="bottom"/>
          </w:tcPr>
          <w:p>
            <w:pPr>
              <w:spacing w:after="0"/>
              <w:rPr>
                <w:sz w:val="1"/>
                <w:szCs w:val="1"/>
                <w:color w:val="auto"/>
              </w:rPr>
            </w:pPr>
          </w:p>
        </w:tc>
      </w:tr>
      <w:tr>
        <w:trPr>
          <w:trHeight w:val="206"/>
        </w:trPr>
        <w:tc>
          <w:tcPr>
            <w:tcW w:w="7120" w:type="dxa"/>
            <w:vAlign w:val="bottom"/>
          </w:tcPr>
          <w:p>
            <w:pPr>
              <w:ind w:left="180"/>
              <w:spacing w:after="0"/>
              <w:rPr>
                <w:sz w:val="20"/>
                <w:szCs w:val="20"/>
                <w:color w:val="auto"/>
              </w:rPr>
            </w:pPr>
            <w:r>
              <w:rPr>
                <w:rFonts w:ascii="Arial" w:cs="Arial" w:eastAsia="Arial" w:hAnsi="Arial"/>
                <w:sz w:val="15"/>
                <w:szCs w:val="15"/>
                <w:color w:val="auto"/>
              </w:rPr>
              <w:t>Mortgage loans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b w:val="1"/>
                <w:bCs w:val="1"/>
                <w:color w:val="auto"/>
              </w:rPr>
              <w:t>3,306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3,365</w:t>
            </w:r>
          </w:p>
        </w:tc>
        <w:tc>
          <w:tcPr>
            <w:tcW w:w="0" w:type="dxa"/>
            <w:vAlign w:val="bottom"/>
          </w:tcPr>
          <w:p>
            <w:pPr>
              <w:spacing w:after="0"/>
              <w:rPr>
                <w:sz w:val="1"/>
                <w:szCs w:val="1"/>
                <w:color w:val="auto"/>
              </w:rPr>
            </w:pPr>
          </w:p>
        </w:tc>
      </w:tr>
      <w:tr>
        <w:trPr>
          <w:trHeight w:val="206"/>
        </w:trPr>
        <w:tc>
          <w:tcPr>
            <w:tcW w:w="7120" w:type="dxa"/>
            <w:vAlign w:val="bottom"/>
          </w:tcPr>
          <w:p>
            <w:pPr>
              <w:ind w:left="180"/>
              <w:spacing w:after="0" w:line="207" w:lineRule="exact"/>
              <w:rPr>
                <w:sz w:val="20"/>
                <w:szCs w:val="20"/>
                <w:color w:val="auto"/>
              </w:rPr>
            </w:pPr>
            <w:r>
              <w:rPr>
                <w:rFonts w:ascii="Arial" w:cs="Arial" w:eastAsia="Arial" w:hAnsi="Arial"/>
                <w:sz w:val="15"/>
                <w:szCs w:val="15"/>
                <w:color w:val="auto"/>
              </w:rPr>
              <w:t>Reverse mortgage securities</w:t>
            </w:r>
            <w:r>
              <w:rPr>
                <w:rFonts w:ascii="Arial" w:cs="Arial" w:eastAsia="Arial" w:hAnsi="Arial"/>
                <w:sz w:val="20"/>
                <w:szCs w:val="20"/>
                <w:color w:val="auto"/>
                <w:vertAlign w:val="superscript"/>
              </w:rPr>
              <w:t>(4)</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b w:val="1"/>
                <w:bCs w:val="1"/>
                <w:color w:val="auto"/>
              </w:rPr>
              <w:t>3,600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4,811</w:t>
            </w:r>
          </w:p>
        </w:tc>
        <w:tc>
          <w:tcPr>
            <w:tcW w:w="0" w:type="dxa"/>
            <w:vAlign w:val="bottom"/>
          </w:tcPr>
          <w:p>
            <w:pPr>
              <w:spacing w:after="0"/>
              <w:rPr>
                <w:sz w:val="1"/>
                <w:szCs w:val="1"/>
                <w:color w:val="auto"/>
              </w:rPr>
            </w:pPr>
          </w:p>
        </w:tc>
      </w:tr>
      <w:tr>
        <w:trPr>
          <w:trHeight w:val="210"/>
        </w:trPr>
        <w:tc>
          <w:tcPr>
            <w:tcW w:w="7120" w:type="dxa"/>
            <w:vAlign w:val="bottom"/>
            <w:tcBorders>
              <w:bottom w:val="single" w:sz="8" w:color="2C6937"/>
            </w:tcBorders>
          </w:tcPr>
          <w:p>
            <w:pPr>
              <w:ind w:left="180"/>
              <w:spacing w:after="0" w:line="209" w:lineRule="exact"/>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(5)</w:t>
            </w:r>
          </w:p>
        </w:tc>
        <w:tc>
          <w:tcPr>
            <w:tcW w:w="16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1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690</w:t>
            </w:r>
          </w:p>
        </w:tc>
        <w:tc>
          <w:tcPr>
            <w:tcW w:w="20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804</w:t>
            </w:r>
          </w:p>
        </w:tc>
        <w:tc>
          <w:tcPr>
            <w:tcW w:w="0" w:type="dxa"/>
            <w:vAlign w:val="bottom"/>
          </w:tcPr>
          <w:p>
            <w:pPr>
              <w:spacing w:after="0"/>
              <w:rPr>
                <w:sz w:val="1"/>
                <w:szCs w:val="1"/>
                <w:color w:val="auto"/>
              </w:rPr>
            </w:pPr>
          </w:p>
        </w:tc>
      </w:tr>
      <w:tr>
        <w:trPr>
          <w:trHeight w:val="199"/>
        </w:trPr>
        <w:tc>
          <w:tcPr>
            <w:tcW w:w="71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Total other</w:t>
            </w:r>
          </w:p>
        </w:tc>
        <w:tc>
          <w:tcPr>
            <w:tcW w:w="160" w:type="dxa"/>
            <w:vAlign w:val="bottom"/>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1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12,351</w:t>
            </w:r>
          </w:p>
        </w:tc>
        <w:tc>
          <w:tcPr>
            <w:tcW w:w="200" w:type="dxa"/>
            <w:vAlign w:val="bottom"/>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15,545</w:t>
            </w:r>
          </w:p>
        </w:tc>
        <w:tc>
          <w:tcPr>
            <w:tcW w:w="0" w:type="dxa"/>
            <w:vAlign w:val="bottom"/>
          </w:tcPr>
          <w:p>
            <w:pPr>
              <w:spacing w:after="0"/>
              <w:rPr>
                <w:sz w:val="1"/>
                <w:szCs w:val="1"/>
                <w:color w:val="auto"/>
              </w:rPr>
            </w:pPr>
          </w:p>
        </w:tc>
      </w:tr>
      <w:tr>
        <w:trPr>
          <w:trHeight w:val="199"/>
        </w:trPr>
        <w:tc>
          <w:tcPr>
            <w:tcW w:w="71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Total retained mortgage portfolio</w:t>
            </w:r>
          </w:p>
        </w:tc>
        <w:tc>
          <w:tcPr>
            <w:tcW w:w="160" w:type="dxa"/>
            <w:vAlign w:val="bottom"/>
          </w:tcPr>
          <w:p>
            <w:pPr>
              <w:spacing w:after="0"/>
              <w:rPr>
                <w:sz w:val="17"/>
                <w:szCs w:val="17"/>
                <w:color w:val="auto"/>
              </w:rPr>
            </w:pPr>
          </w:p>
        </w:tc>
        <w:tc>
          <w:tcPr>
            <w:tcW w:w="240" w:type="dxa"/>
            <w:vAlign w:val="bottom"/>
            <w:tcBorders>
              <w:bottom w:val="single" w:sz="8" w:color="2C6937"/>
            </w:tcBorders>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1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79,484</w:t>
            </w:r>
          </w:p>
        </w:tc>
        <w:tc>
          <w:tcPr>
            <w:tcW w:w="200" w:type="dxa"/>
            <w:vAlign w:val="bottom"/>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77,742</w:t>
            </w:r>
          </w:p>
        </w:tc>
        <w:tc>
          <w:tcPr>
            <w:tcW w:w="0" w:type="dxa"/>
            <w:vAlign w:val="bottom"/>
          </w:tcPr>
          <w:p>
            <w:pPr>
              <w:spacing w:after="0"/>
              <w:rPr>
                <w:sz w:val="1"/>
                <w:szCs w:val="1"/>
                <w:color w:val="auto"/>
              </w:rPr>
            </w:pPr>
          </w:p>
        </w:tc>
      </w:tr>
      <w:tr>
        <w:trPr>
          <w:trHeight w:val="20"/>
        </w:trPr>
        <w:tc>
          <w:tcPr>
            <w:tcW w:w="7120" w:type="dxa"/>
            <w:vAlign w:val="bottom"/>
            <w:tcBorders>
              <w:bottom w:val="single" w:sz="8" w:color="2C6937"/>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1640" w:type="dxa"/>
            <w:vAlign w:val="bottom"/>
            <w:tcBorders>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74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7120" w:type="dxa"/>
            <w:vAlign w:val="bottom"/>
          </w:tcPr>
          <w:p>
            <w:pPr>
              <w:ind w:left="20"/>
              <w:spacing w:after="0"/>
              <w:rPr>
                <w:sz w:val="20"/>
                <w:szCs w:val="20"/>
                <w:color w:val="auto"/>
              </w:rPr>
            </w:pPr>
            <w:r>
              <w:rPr>
                <w:rFonts w:ascii="Arial" w:cs="Arial" w:eastAsia="Arial" w:hAnsi="Arial"/>
                <w:sz w:val="15"/>
                <w:szCs w:val="15"/>
                <w:b w:val="1"/>
                <w:bCs w:val="1"/>
                <w:color w:val="auto"/>
              </w:rPr>
              <w:t>Retained mortgage portfolio by segment:</w:t>
            </w:r>
          </w:p>
        </w:tc>
        <w:tc>
          <w:tcPr>
            <w:tcW w:w="400" w:type="dxa"/>
            <w:vAlign w:val="bottom"/>
            <w:gridSpan w:val="2"/>
            <w:vMerge w:val="restart"/>
          </w:tcPr>
          <w:p>
            <w:pPr>
              <w:jc w:val="right"/>
              <w:ind w:right="63"/>
              <w:spacing w:after="0"/>
              <w:rPr>
                <w:sz w:val="20"/>
                <w:szCs w:val="20"/>
                <w:color w:val="auto"/>
              </w:rPr>
            </w:pPr>
            <w:r>
              <w:rPr>
                <w:rFonts w:ascii="Arial" w:cs="Arial" w:eastAsia="Arial" w:hAnsi="Arial"/>
                <w:sz w:val="15"/>
                <w:szCs w:val="15"/>
                <w:b w:val="1"/>
                <w:bCs w:val="1"/>
                <w:color w:val="auto"/>
              </w:rPr>
              <w:t>$</w:t>
            </w:r>
          </w:p>
        </w:tc>
        <w:tc>
          <w:tcPr>
            <w:tcW w:w="16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74,019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7120" w:type="dxa"/>
            <w:vAlign w:val="bottom"/>
          </w:tcPr>
          <w:p>
            <w:pPr>
              <w:ind w:left="220"/>
              <w:spacing w:after="0"/>
              <w:rPr>
                <w:sz w:val="20"/>
                <w:szCs w:val="20"/>
                <w:color w:val="auto"/>
              </w:rPr>
            </w:pPr>
            <w:r>
              <w:rPr>
                <w:rFonts w:ascii="Arial" w:cs="Arial" w:eastAsia="Arial" w:hAnsi="Arial"/>
                <w:sz w:val="15"/>
                <w:szCs w:val="15"/>
                <w:color w:val="auto"/>
              </w:rPr>
              <w:t>Single-family mortgage loans and mortgage-related securities</w:t>
            </w:r>
          </w:p>
        </w:tc>
        <w:tc>
          <w:tcPr>
            <w:tcW w:w="400" w:type="dxa"/>
            <w:vAlign w:val="bottom"/>
            <w:gridSpan w:val="2"/>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73,769</w:t>
            </w:r>
          </w:p>
        </w:tc>
        <w:tc>
          <w:tcPr>
            <w:tcW w:w="0" w:type="dxa"/>
            <w:vAlign w:val="bottom"/>
          </w:tcPr>
          <w:p>
            <w:pPr>
              <w:spacing w:after="0"/>
              <w:rPr>
                <w:sz w:val="1"/>
                <w:szCs w:val="1"/>
                <w:color w:val="auto"/>
              </w:rPr>
            </w:pPr>
          </w:p>
        </w:tc>
      </w:tr>
      <w:tr>
        <w:trPr>
          <w:trHeight w:val="216"/>
        </w:trPr>
        <w:tc>
          <w:tcPr>
            <w:tcW w:w="7120" w:type="dxa"/>
            <w:vAlign w:val="bottom"/>
          </w:tcPr>
          <w:p>
            <w:pPr>
              <w:ind w:left="220"/>
              <w:spacing w:after="0"/>
              <w:rPr>
                <w:sz w:val="20"/>
                <w:szCs w:val="20"/>
                <w:color w:val="auto"/>
              </w:rPr>
            </w:pPr>
            <w:r>
              <w:rPr>
                <w:rFonts w:ascii="Arial" w:cs="Arial" w:eastAsia="Arial" w:hAnsi="Arial"/>
                <w:sz w:val="15"/>
                <w:szCs w:val="15"/>
                <w:color w:val="auto"/>
              </w:rPr>
              <w:t>Multifamily mortgage loans and mortgage-related securities</w:t>
            </w:r>
          </w:p>
        </w:tc>
        <w:tc>
          <w:tcPr>
            <w:tcW w:w="400" w:type="dxa"/>
            <w:vAlign w:val="bottom"/>
            <w:gridSpan w:val="2"/>
          </w:tcPr>
          <w:p>
            <w:pPr>
              <w:jc w:val="right"/>
              <w:ind w:right="63"/>
              <w:spacing w:after="0"/>
              <w:rPr>
                <w:sz w:val="20"/>
                <w:szCs w:val="20"/>
                <w:color w:val="auto"/>
              </w:rPr>
            </w:pPr>
            <w:r>
              <w:rPr>
                <w:rFonts w:ascii="Arial" w:cs="Arial" w:eastAsia="Arial" w:hAnsi="Arial"/>
                <w:sz w:val="15"/>
                <w:szCs w:val="15"/>
                <w:b w:val="1"/>
                <w:bCs w:val="1"/>
                <w:color w:val="auto"/>
              </w:rPr>
              <w:t>$</w:t>
            </w:r>
          </w:p>
        </w:tc>
        <w:tc>
          <w:tcPr>
            <w:tcW w:w="1640" w:type="dxa"/>
            <w:vAlign w:val="bottom"/>
          </w:tcPr>
          <w:p>
            <w:pPr>
              <w:jc w:val="right"/>
              <w:spacing w:after="0"/>
              <w:rPr>
                <w:sz w:val="20"/>
                <w:szCs w:val="20"/>
                <w:color w:val="auto"/>
              </w:rPr>
            </w:pPr>
            <w:r>
              <w:rPr>
                <w:rFonts w:ascii="Arial" w:cs="Arial" w:eastAsia="Arial" w:hAnsi="Arial"/>
                <w:sz w:val="15"/>
                <w:szCs w:val="15"/>
                <w:b w:val="1"/>
                <w:bCs w:val="1"/>
                <w:color w:val="auto"/>
              </w:rPr>
              <w:t>5,465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3,973</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260" w:right="200" w:hanging="237"/>
        <w:spacing w:after="0" w:line="269" w:lineRule="auto"/>
        <w:tabs>
          <w:tab w:leader="none" w:pos="260" w:val="left"/>
        </w:tabs>
        <w:numPr>
          <w:ilvl w:val="0"/>
          <w:numId w:val="28"/>
        </w:numPr>
        <w:rPr>
          <w:rFonts w:ascii="Arial" w:cs="Arial" w:eastAsia="Arial" w:hAnsi="Arial"/>
          <w:sz w:val="9"/>
          <w:szCs w:val="9"/>
          <w:color w:val="auto"/>
        </w:rPr>
      </w:pPr>
      <w:r>
        <w:rPr>
          <w:rFonts w:ascii="Arial" w:cs="Arial" w:eastAsia="Arial" w:hAnsi="Arial"/>
          <w:sz w:val="14"/>
          <w:szCs w:val="14"/>
          <w:color w:val="auto"/>
        </w:rPr>
        <w:t>Consists of Fannie Mae, Freddie Mac and Ginnie Mae mortgage-related securities, including Freddie Mac securities guaranteed by Fannie Mae. Excludes Fannie Mae and Ginnie Mae reverse mortgage securities and Fannie Mae-wrapped private-label securities.</w:t>
      </w:r>
    </w:p>
    <w:p>
      <w:pPr>
        <w:spacing w:after="0" w:line="12" w:lineRule="exact"/>
        <w:rPr>
          <w:rFonts w:ascii="Arial" w:cs="Arial" w:eastAsia="Arial" w:hAnsi="Arial"/>
          <w:sz w:val="9"/>
          <w:szCs w:val="9"/>
          <w:color w:val="auto"/>
        </w:rPr>
      </w:pPr>
    </w:p>
    <w:p>
      <w:pPr>
        <w:ind w:left="260" w:right="540" w:hanging="237"/>
        <w:spacing w:after="0" w:line="223" w:lineRule="auto"/>
        <w:tabs>
          <w:tab w:leader="none" w:pos="26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Includes single-family loans on nonaccrual status of $6.8 billion and $7.1 billion as of June 30, 2023 and December 31, 2022, respectively. Also includes multifamily loans on nonaccrual status of $1.0 billion and $243 million as of June 30, 2023 and December 31, 2022, respectively.</w:t>
      </w:r>
    </w:p>
    <w:p>
      <w:pPr>
        <w:ind w:left="260" w:hanging="237"/>
        <w:spacing w:after="0"/>
        <w:tabs>
          <w:tab w:leader="none" w:pos="26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We stopped acquiring newly originated reverse mortgage loans in 2010.</w:t>
      </w:r>
    </w:p>
    <w:p>
      <w:pPr>
        <w:spacing w:after="0" w:line="28" w:lineRule="exact"/>
        <w:rPr>
          <w:rFonts w:ascii="Arial" w:cs="Arial" w:eastAsia="Arial" w:hAnsi="Arial"/>
          <w:sz w:val="18"/>
          <w:szCs w:val="18"/>
          <w:color w:val="auto"/>
          <w:vertAlign w:val="superscript"/>
        </w:rPr>
      </w:pPr>
    </w:p>
    <w:p>
      <w:pPr>
        <w:ind w:left="260" w:hanging="237"/>
        <w:spacing w:after="0"/>
        <w:tabs>
          <w:tab w:leader="none" w:pos="260" w:val="left"/>
        </w:tabs>
        <w:numPr>
          <w:ilvl w:val="0"/>
          <w:numId w:val="28"/>
        </w:numPr>
        <w:rPr>
          <w:rFonts w:ascii="Arial" w:cs="Arial" w:eastAsia="Arial" w:hAnsi="Arial"/>
          <w:sz w:val="9"/>
          <w:szCs w:val="9"/>
          <w:color w:val="auto"/>
        </w:rPr>
      </w:pPr>
      <w:r>
        <w:rPr>
          <w:rFonts w:ascii="Arial" w:cs="Arial" w:eastAsia="Arial" w:hAnsi="Arial"/>
          <w:sz w:val="14"/>
          <w:szCs w:val="14"/>
          <w:color w:val="auto"/>
        </w:rPr>
        <w:t>Consists of Fannie Mae and Ginnie Mae reverse mortgage securities.</w:t>
      </w:r>
    </w:p>
    <w:p>
      <w:pPr>
        <w:spacing w:after="0" w:line="35" w:lineRule="exact"/>
        <w:rPr>
          <w:rFonts w:ascii="Arial" w:cs="Arial" w:eastAsia="Arial" w:hAnsi="Arial"/>
          <w:sz w:val="9"/>
          <w:szCs w:val="9"/>
          <w:color w:val="auto"/>
        </w:rPr>
      </w:pPr>
    </w:p>
    <w:p>
      <w:pPr>
        <w:ind w:left="240" w:hanging="217"/>
        <w:spacing w:after="0"/>
        <w:tabs>
          <w:tab w:leader="none" w:pos="240" w:val="left"/>
        </w:tabs>
        <w:numPr>
          <w:ilvl w:val="0"/>
          <w:numId w:val="28"/>
        </w:numPr>
        <w:rPr>
          <w:rFonts w:ascii="Arial" w:cs="Arial" w:eastAsia="Arial" w:hAnsi="Arial"/>
          <w:sz w:val="9"/>
          <w:szCs w:val="9"/>
          <w:color w:val="auto"/>
        </w:rPr>
      </w:pPr>
      <w:r>
        <w:rPr>
          <w:rFonts w:ascii="Arial" w:cs="Arial" w:eastAsia="Arial" w:hAnsi="Arial"/>
          <w:sz w:val="14"/>
          <w:szCs w:val="14"/>
          <w:color w:val="auto"/>
        </w:rPr>
        <w:t>Consists of private-label and other securities, Fannie Mae-wrapped private-label securities and mortgage revenue bonds.</w:t>
      </w:r>
    </w:p>
    <w:p>
      <w:pPr>
        <w:spacing w:after="0" w:line="72" w:lineRule="exact"/>
        <w:rPr>
          <w:sz w:val="20"/>
          <w:szCs w:val="20"/>
          <w:color w:val="auto"/>
        </w:rPr>
      </w:pPr>
    </w:p>
    <w:p>
      <w:pPr>
        <w:ind w:left="20"/>
        <w:spacing w:after="0" w:line="276" w:lineRule="auto"/>
        <w:rPr>
          <w:sz w:val="20"/>
          <w:szCs w:val="20"/>
          <w:color w:val="auto"/>
        </w:rPr>
      </w:pPr>
      <w:r>
        <w:rPr>
          <w:rFonts w:ascii="Arial" w:cs="Arial" w:eastAsia="Arial" w:hAnsi="Arial"/>
          <w:sz w:val="16"/>
          <w:szCs w:val="16"/>
          <w:color w:val="auto"/>
        </w:rPr>
        <w:t>The amount of mortgage assets that we may own is capped at $225 billion under the terms of our senior preferred stock purchase agreement with Treasury. In addition, we are currently required to cap our mortgage assets at $202.5 billion per instructions from FHFA. See “Business—Conservatorship and Treasury Agreements” in our 2022 Form 10-K for additional information on our mortgage assets cap.</w:t>
      </w:r>
    </w:p>
    <w:p>
      <w:pPr>
        <w:spacing w:after="0" w:line="36" w:lineRule="exact"/>
        <w:rPr>
          <w:sz w:val="20"/>
          <w:szCs w:val="20"/>
          <w:color w:val="auto"/>
        </w:rPr>
      </w:pPr>
    </w:p>
    <w:p>
      <w:pPr>
        <w:jc w:val="both"/>
        <w:ind w:left="20" w:right="260"/>
        <w:spacing w:after="0" w:line="267" w:lineRule="auto"/>
        <w:rPr>
          <w:sz w:val="20"/>
          <w:szCs w:val="20"/>
          <w:color w:val="auto"/>
        </w:rPr>
      </w:pPr>
      <w:r>
        <w:rPr>
          <w:rFonts w:ascii="Arial" w:cs="Arial" w:eastAsia="Arial" w:hAnsi="Arial"/>
          <w:sz w:val="16"/>
          <w:szCs w:val="16"/>
          <w:color w:val="auto"/>
        </w:rPr>
        <w:t>We include 10% of the notional value of the interest-only securities we hold in calculating the size of the retained portfolio for the purpose of determining compliance with the senior preferred stock purchase agreement retained portfolio limits and associated FHFA guidance. As of June 30, 2023, 10% of the notional value of our interest-only securities was $1.6 billion, which is not included in the table above.</w:t>
      </w:r>
    </w:p>
    <w:p>
      <w:pPr>
        <w:spacing w:after="0" w:line="43" w:lineRule="exact"/>
        <w:rPr>
          <w:sz w:val="20"/>
          <w:szCs w:val="20"/>
          <w:color w:val="auto"/>
        </w:rPr>
      </w:pPr>
    </w:p>
    <w:p>
      <w:pPr>
        <w:ind w:left="20" w:right="80"/>
        <w:spacing w:after="0" w:line="264" w:lineRule="auto"/>
        <w:rPr>
          <w:sz w:val="20"/>
          <w:szCs w:val="20"/>
          <w:color w:val="auto"/>
        </w:rPr>
      </w:pPr>
      <w:r>
        <w:rPr>
          <w:rFonts w:ascii="Arial" w:cs="Arial" w:eastAsia="Arial" w:hAnsi="Arial"/>
          <w:sz w:val="16"/>
          <w:szCs w:val="16"/>
          <w:color w:val="auto"/>
        </w:rPr>
        <w:t>Under the terms of our MBS trust documents, we have the option or, in some instances, the obligation, to purchase mortgage loans that meet specific criteria from an MBS trust. The purchase price for these loans is the unpaid principal balance of the loan plus accrued interest. If a delinquent loan remains in a single-family MBS trust, the servicer is responsible for advancing the borrower’s missed scheduled principal and interest payments to the MBS holders for up to four months, after which time we must make these missed payments. In addition, we must reimburse servicers for advanced principal and interest payments.</w:t>
      </w:r>
    </w:p>
    <w:p>
      <w:pPr>
        <w:spacing w:after="0" w:line="19" w:lineRule="exact"/>
        <w:rPr>
          <w:sz w:val="20"/>
          <w:szCs w:val="20"/>
          <w:color w:val="auto"/>
        </w:rPr>
      </w:pPr>
    </w:p>
    <w:p>
      <w:pPr>
        <w:ind w:left="20" w:right="160"/>
        <w:spacing w:after="0" w:line="264" w:lineRule="auto"/>
        <w:rPr>
          <w:sz w:val="20"/>
          <w:szCs w:val="20"/>
          <w:color w:val="auto"/>
        </w:rPr>
      </w:pPr>
      <w:r>
        <w:rPr>
          <w:rFonts w:ascii="Arial" w:cs="Arial" w:eastAsia="Arial" w:hAnsi="Arial"/>
          <w:sz w:val="16"/>
          <w:szCs w:val="16"/>
          <w:color w:val="auto"/>
        </w:rPr>
        <w:t>In support of our loss mitigation strategies, we purchased $4.5 billion of loans from our single-family MBS trusts in the first half of 2023, the substantial majority of which were delinquent, compared with $11.2 billion of loans purchased from single-family MBS trusts in the first half of 2022. We expect the amount of loans we buy out of trusts will decrease in 2023 relative to the prior year as loans exiting COVID-19-related forbearance drove a higher number of loan modifications in 2022. The size of our retained mortgage portfolio will be impacted by the volume of loans we ultimately buy, the timing of those purchases, and the length of time those loans remain in our retained mortgage portfolio.</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20</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-28575</wp:posOffset>
            </wp:positionV>
            <wp:extent cx="3365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-28575</wp:posOffset>
            </wp:positionV>
            <wp:extent cx="3365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00" w:top="250" w:right="339" w:bottom="1440" w:gutter="0" w:footer="0" w:header="0"/>
        </w:sectPr>
      </w:pPr>
    </w:p>
    <w:bookmarkStart w:id="23" w:name="page24"/>
    <w:bookmarkEnd w:id="23"/>
    <w:p>
      <w:pPr>
        <w:ind w:left="8960"/>
        <w:spacing w:after="0"/>
        <w:rPr>
          <w:sz w:val="20"/>
          <w:szCs w:val="20"/>
          <w:color w:val="auto"/>
        </w:rPr>
      </w:pPr>
      <w:r>
        <w:rPr>
          <w:rFonts w:ascii="Arial" w:cs="Arial" w:eastAsia="Arial" w:hAnsi="Arial"/>
          <w:sz w:val="14"/>
          <w:szCs w:val="14"/>
          <w:color w:val="05314D"/>
        </w:rPr>
        <w:t>MD&amp;A | 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52705</wp:posOffset>
            </wp:positionV>
            <wp:extent cx="7138670"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Our “guaranty book of business” consists of:</w:t>
      </w:r>
    </w:p>
    <w:p>
      <w:pPr>
        <w:spacing w:after="0" w:line="61" w:lineRule="exact"/>
        <w:rPr>
          <w:sz w:val="20"/>
          <w:szCs w:val="20"/>
          <w:color w:val="auto"/>
        </w:rPr>
      </w:pPr>
    </w:p>
    <w:p>
      <w:pPr>
        <w:ind w:left="620" w:hanging="307"/>
        <w:spacing w:after="0"/>
        <w:tabs>
          <w:tab w:leader="none" w:pos="6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Fannie Mae MBS outstanding, excluding the portions of any structured securities we issue that are backed by Freddie Mac securities;</w:t>
      </w:r>
    </w:p>
    <w:p>
      <w:pPr>
        <w:spacing w:after="0" w:line="73" w:lineRule="exact"/>
        <w:rPr>
          <w:rFonts w:ascii="Arial" w:cs="Arial" w:eastAsia="Arial" w:hAnsi="Arial"/>
          <w:sz w:val="16"/>
          <w:szCs w:val="16"/>
          <w:color w:val="auto"/>
        </w:rPr>
      </w:pPr>
    </w:p>
    <w:p>
      <w:pPr>
        <w:ind w:left="620" w:hanging="307"/>
        <w:spacing w:after="0"/>
        <w:tabs>
          <w:tab w:leader="none" w:pos="6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mortgage loans of Fannie Mae held in our retained mortgage portfolio; and</w:t>
      </w:r>
    </w:p>
    <w:p>
      <w:pPr>
        <w:spacing w:after="0" w:line="60" w:lineRule="exact"/>
        <w:rPr>
          <w:rFonts w:ascii="Arial" w:cs="Arial" w:eastAsia="Arial" w:hAnsi="Arial"/>
          <w:sz w:val="16"/>
          <w:szCs w:val="16"/>
          <w:color w:val="auto"/>
        </w:rPr>
      </w:pPr>
    </w:p>
    <w:p>
      <w:pPr>
        <w:ind w:left="620" w:hanging="307"/>
        <w:spacing w:after="0"/>
        <w:tabs>
          <w:tab w:leader="none" w:pos="6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other credit enhancements that we provide on mortgage assets.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“Total Fannie Mae guarantees” consists of:</w:t>
      </w:r>
    </w:p>
    <w:p>
      <w:pPr>
        <w:spacing w:after="0" w:line="61" w:lineRule="exact"/>
        <w:rPr>
          <w:sz w:val="20"/>
          <w:szCs w:val="20"/>
          <w:color w:val="auto"/>
        </w:rPr>
      </w:pPr>
    </w:p>
    <w:p>
      <w:pPr>
        <w:ind w:left="620" w:hanging="307"/>
        <w:spacing w:after="0"/>
        <w:tabs>
          <w:tab w:leader="none" w:pos="6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guaranty book of business; and</w:t>
      </w:r>
    </w:p>
    <w:p>
      <w:pPr>
        <w:spacing w:after="0" w:line="60" w:lineRule="exact"/>
        <w:rPr>
          <w:rFonts w:ascii="Arial" w:cs="Arial" w:eastAsia="Arial" w:hAnsi="Arial"/>
          <w:sz w:val="16"/>
          <w:szCs w:val="16"/>
          <w:color w:val="auto"/>
        </w:rPr>
      </w:pPr>
    </w:p>
    <w:p>
      <w:pPr>
        <w:ind w:left="620" w:hanging="307"/>
        <w:spacing w:after="0"/>
        <w:tabs>
          <w:tab w:leader="none" w:pos="6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portions of any structured securities we issue that are backed by Freddie Mac securities.</w:t>
      </w:r>
    </w:p>
    <w:p>
      <w:pPr>
        <w:spacing w:after="0" w:line="100" w:lineRule="exact"/>
        <w:rPr>
          <w:sz w:val="20"/>
          <w:szCs w:val="20"/>
          <w:color w:val="auto"/>
        </w:rPr>
      </w:pPr>
    </w:p>
    <w:p>
      <w:pPr>
        <w:ind w:right="360"/>
        <w:spacing w:after="0" w:line="243" w:lineRule="auto"/>
        <w:rPr>
          <w:sz w:val="20"/>
          <w:szCs w:val="20"/>
          <w:color w:val="auto"/>
        </w:rPr>
      </w:pPr>
      <w:r>
        <w:rPr>
          <w:rFonts w:ascii="Arial" w:cs="Arial" w:eastAsia="Arial" w:hAnsi="Arial"/>
          <w:sz w:val="16"/>
          <w:szCs w:val="16"/>
          <w:color w:val="auto"/>
        </w:rPr>
        <w:t>We and Freddie Mac issue single-family uniform mortgage-backed securities, or “UMBS.” In this report, we use the term “Fannie Mae-issued UMBS” to refer to single-family Fannie Mae MBS that are directly backed by fixed-rate mortgage loans and generally eligible for trading in the to-be-announced (“TBA”) market. We use the term “Fannie Mae MBS” or “our MBS” to refer to any type of mortgage-backed security that we issue, including UMBS</w:t>
      </w:r>
      <w:r>
        <w:rPr>
          <w:rFonts w:ascii="Arial" w:cs="Arial" w:eastAsia="Arial" w:hAnsi="Arial"/>
          <w:sz w:val="21"/>
          <w:szCs w:val="21"/>
          <w:color w:val="auto"/>
          <w:vertAlign w:val="superscript"/>
        </w:rPr>
        <w:t>®</w:t>
      </w:r>
      <w:r>
        <w:rPr>
          <w:rFonts w:ascii="Arial" w:cs="Arial" w:eastAsia="Arial" w:hAnsi="Arial"/>
          <w:sz w:val="16"/>
          <w:szCs w:val="16"/>
          <w:color w:val="auto"/>
        </w:rPr>
        <w:t>, Supers</w:t>
      </w:r>
      <w:r>
        <w:rPr>
          <w:rFonts w:ascii="Arial" w:cs="Arial" w:eastAsia="Arial" w:hAnsi="Arial"/>
          <w:sz w:val="21"/>
          <w:szCs w:val="21"/>
          <w:color w:val="auto"/>
          <w:vertAlign w:val="superscript"/>
        </w:rPr>
        <w:t>®</w:t>
      </w:r>
      <w:r>
        <w:rPr>
          <w:rFonts w:ascii="Arial" w:cs="Arial" w:eastAsia="Arial" w:hAnsi="Arial"/>
          <w:sz w:val="16"/>
          <w:szCs w:val="16"/>
          <w:color w:val="auto"/>
        </w:rPr>
        <w:t>, Real Estate Mortgage Investment Conduit securities (“REMICs”) and other types of single-family or multifamily mortgage-backed securities.</w:t>
      </w:r>
    </w:p>
    <w:p>
      <w:pPr>
        <w:spacing w:after="0" w:line="1"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Some Fannie Mae MBS that we issue are backed in whole or in part by Freddie Mac securities. When we resecuritize Freddie Mac securities into Fannie Mae-issued structured securities, such as Supers and REMICs, our guaranty of principal and interest extends to the underlying Freddie Mac securities. However, Freddie Mac continues to guarantee the payment of principal and interest on the underlying Freddie Mac securities that we have resecuritized. See “Business—Mortgage Securitizations—Uniform Mortgage-Backed Securities, or UMBS—UMBS and Structured Securities” in our 2022 Form 10-K for information regarding the upfront fee we charge to include Freddie Mac securities in our structured securities. Effective April 1, 2023, the upfront fee for commingled securities decreased from 50 basis points to 9.375 basis points on the portion of the securities made up of Freddie Mac-issued collateral. References to our single-family guaranty book of business exclude Freddie Mac-acquired mortgage loans underlying Freddie Mac securities that we have resecuritized.</w:t>
      </w:r>
    </w:p>
    <w:p>
      <w:pPr>
        <w:spacing w:after="0" w:line="50"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Our issuance of structured securities backed in whole or in part by Freddie Mac securities creates additional off-balance sheet exposure. Our guaranty extends to the underlying Freddie Mac security included in the structured security, but we do not have control over the Freddie Mac mortgage loan securitizations. Because we do not have the power to direct matters (primarily the servicing of mortgage loans) that impact the credit risk to which we are exposed, which constitute control of these securitization trusts, we do not consolidate these trusts in our condensed consolidated balance sheet, giving rise to off-balance sheet exposure. See “Liquidity and Capital Management—Liquidity Management—Off-Balance Sheet Arrangements” and “Note 6, Financial Guarantees” for information regarding our maximum exposure to loss on unconsolidated Fannie Mae MBS and Freddie Mac securities.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displays the composition of our guaranty book of business based on unpaid principal balance.</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Composition of Fannie Mae Guaranty Book of Business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200" w:type="dxa"/>
            <w:vAlign w:val="bottom"/>
            <w:tcBorders>
              <w:top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100" w:type="dxa"/>
            <w:vAlign w:val="bottom"/>
            <w:tcBorders>
              <w:top w:val="single" w:sz="8" w:color="2C6937"/>
              <w:bottom w:val="single" w:sz="8" w:color="2C6937"/>
            </w:tcBorders>
          </w:tcPr>
          <w:p>
            <w:pPr>
              <w:spacing w:after="0"/>
              <w:rPr>
                <w:sz w:val="17"/>
                <w:szCs w:val="17"/>
                <w:color w:val="auto"/>
              </w:rPr>
            </w:pPr>
          </w:p>
        </w:tc>
        <w:tc>
          <w:tcPr>
            <w:tcW w:w="1020" w:type="dxa"/>
            <w:vAlign w:val="bottom"/>
            <w:tcBorders>
              <w:top w:val="single" w:sz="8" w:color="2C6937"/>
              <w:bottom w:val="single" w:sz="8" w:color="2C6937"/>
            </w:tcBorders>
          </w:tcPr>
          <w:p>
            <w:pPr>
              <w:spacing w:after="0"/>
              <w:rPr>
                <w:sz w:val="17"/>
                <w:szCs w:val="17"/>
                <w:color w:val="auto"/>
              </w:rPr>
            </w:pPr>
          </w:p>
        </w:tc>
        <w:tc>
          <w:tcPr>
            <w:tcW w:w="120" w:type="dxa"/>
            <w:vAlign w:val="bottom"/>
            <w:tcBorders>
              <w:top w:val="single" w:sz="8" w:color="2C6937"/>
              <w:bottom w:val="single" w:sz="8" w:color="2C6937"/>
            </w:tcBorders>
          </w:tcPr>
          <w:p>
            <w:pPr>
              <w:spacing w:after="0"/>
              <w:rPr>
                <w:sz w:val="17"/>
                <w:szCs w:val="17"/>
                <w:color w:val="auto"/>
              </w:rPr>
            </w:pPr>
          </w:p>
        </w:tc>
        <w:tc>
          <w:tcPr>
            <w:tcW w:w="120" w:type="dxa"/>
            <w:vAlign w:val="bottom"/>
            <w:tcBorders>
              <w:top w:val="single" w:sz="8" w:color="2C6937"/>
              <w:bottom w:val="single" w:sz="8" w:color="2C6937"/>
            </w:tcBorders>
          </w:tcPr>
          <w:p>
            <w:pPr>
              <w:spacing w:after="0"/>
              <w:rPr>
                <w:sz w:val="17"/>
                <w:szCs w:val="17"/>
                <w:color w:val="auto"/>
              </w:rPr>
            </w:pPr>
          </w:p>
        </w:tc>
        <w:tc>
          <w:tcPr>
            <w:tcW w:w="940" w:type="dxa"/>
            <w:vAlign w:val="bottom"/>
            <w:tcBorders>
              <w:top w:val="single" w:sz="8" w:color="2C6937"/>
              <w:bottom w:val="single" w:sz="8" w:color="2C6937"/>
            </w:tcBorders>
          </w:tcPr>
          <w:p>
            <w:pPr>
              <w:spacing w:after="0"/>
              <w:rPr>
                <w:sz w:val="17"/>
                <w:szCs w:val="17"/>
                <w:color w:val="auto"/>
              </w:rPr>
            </w:pPr>
          </w:p>
        </w:tc>
        <w:tc>
          <w:tcPr>
            <w:tcW w:w="100" w:type="dxa"/>
            <w:vAlign w:val="bottom"/>
            <w:tcBorders>
              <w:top w:val="single" w:sz="8" w:color="2C6937"/>
              <w:bottom w:val="single" w:sz="8" w:color="2C6937"/>
            </w:tcBorders>
          </w:tcPr>
          <w:p>
            <w:pPr>
              <w:spacing w:after="0"/>
              <w:rPr>
                <w:sz w:val="17"/>
                <w:szCs w:val="17"/>
                <w:color w:val="auto"/>
              </w:rPr>
            </w:pPr>
          </w:p>
        </w:tc>
        <w:tc>
          <w:tcPr>
            <w:tcW w:w="220" w:type="dxa"/>
            <w:vAlign w:val="bottom"/>
            <w:tcBorders>
              <w:top w:val="single" w:sz="8" w:color="2C6937"/>
              <w:bottom w:val="single" w:sz="8" w:color="2C6937"/>
            </w:tcBorders>
          </w:tcPr>
          <w:p>
            <w:pPr>
              <w:spacing w:after="0"/>
              <w:rPr>
                <w:sz w:val="17"/>
                <w:szCs w:val="17"/>
                <w:color w:val="auto"/>
              </w:rPr>
            </w:pPr>
          </w:p>
        </w:tc>
        <w:tc>
          <w:tcPr>
            <w:tcW w:w="1980" w:type="dxa"/>
            <w:vAlign w:val="bottom"/>
            <w:tcBorders>
              <w:top w:val="single" w:sz="8" w:color="2C6937"/>
              <w:bottom w:val="single" w:sz="8" w:color="2C6937"/>
            </w:tcBorders>
            <w:gridSpan w:val="4"/>
          </w:tcPr>
          <w:p>
            <w:pPr>
              <w:jc w:val="right"/>
              <w:ind w:right="891"/>
              <w:spacing w:after="0"/>
              <w:rPr>
                <w:sz w:val="20"/>
                <w:szCs w:val="20"/>
                <w:color w:val="auto"/>
              </w:rPr>
            </w:pPr>
            <w:r>
              <w:rPr>
                <w:rFonts w:ascii="Arial" w:cs="Arial" w:eastAsia="Arial" w:hAnsi="Arial"/>
                <w:sz w:val="14"/>
                <w:szCs w:val="14"/>
                <w:b w:val="1"/>
                <w:bCs w:val="1"/>
                <w:color w:val="auto"/>
              </w:rPr>
              <w:t>As of</w:t>
            </w:r>
          </w:p>
        </w:tc>
        <w:tc>
          <w:tcPr>
            <w:tcW w:w="60" w:type="dxa"/>
            <w:vAlign w:val="bottom"/>
            <w:tcBorders>
              <w:top w:val="single" w:sz="8" w:color="2C6937"/>
              <w:bottom w:val="single" w:sz="8" w:color="2C6937"/>
            </w:tcBorders>
          </w:tcPr>
          <w:p>
            <w:pPr>
              <w:spacing w:after="0"/>
              <w:rPr>
                <w:sz w:val="17"/>
                <w:szCs w:val="17"/>
                <w:color w:val="auto"/>
              </w:rPr>
            </w:pPr>
          </w:p>
        </w:tc>
        <w:tc>
          <w:tcPr>
            <w:tcW w:w="100" w:type="dxa"/>
            <w:vAlign w:val="bottom"/>
            <w:tcBorders>
              <w:top w:val="single" w:sz="8" w:color="2C6937"/>
              <w:bottom w:val="single" w:sz="8" w:color="2C6937"/>
            </w:tcBorders>
          </w:tcPr>
          <w:p>
            <w:pPr>
              <w:spacing w:after="0"/>
              <w:rPr>
                <w:sz w:val="17"/>
                <w:szCs w:val="17"/>
                <w:color w:val="auto"/>
              </w:rPr>
            </w:pPr>
          </w:p>
        </w:tc>
        <w:tc>
          <w:tcPr>
            <w:tcW w:w="120" w:type="dxa"/>
            <w:vAlign w:val="bottom"/>
            <w:tcBorders>
              <w:top w:val="single" w:sz="8" w:color="2C6937"/>
              <w:bottom w:val="single" w:sz="8" w:color="2C6937"/>
            </w:tcBorders>
          </w:tcPr>
          <w:p>
            <w:pPr>
              <w:spacing w:after="0"/>
              <w:rPr>
                <w:sz w:val="17"/>
                <w:szCs w:val="17"/>
                <w:color w:val="auto"/>
              </w:rPr>
            </w:pPr>
          </w:p>
        </w:tc>
        <w:tc>
          <w:tcPr>
            <w:tcW w:w="940" w:type="dxa"/>
            <w:vAlign w:val="bottom"/>
            <w:tcBorders>
              <w:top w:val="single" w:sz="8" w:color="2C6937"/>
              <w:bottom w:val="single" w:sz="8" w:color="2C6937"/>
            </w:tcBorders>
          </w:tcPr>
          <w:p>
            <w:pPr>
              <w:spacing w:after="0"/>
              <w:rPr>
                <w:sz w:val="17"/>
                <w:szCs w:val="17"/>
                <w:color w:val="auto"/>
              </w:rPr>
            </w:pPr>
          </w:p>
        </w:tc>
        <w:tc>
          <w:tcPr>
            <w:tcW w:w="100" w:type="dxa"/>
            <w:vAlign w:val="bottom"/>
            <w:tcBorders>
              <w:top w:val="single" w:sz="8" w:color="2C6937"/>
              <w:bottom w:val="single" w:sz="8" w:color="2C6937"/>
            </w:tcBorders>
          </w:tcPr>
          <w:p>
            <w:pPr>
              <w:spacing w:after="0"/>
              <w:rPr>
                <w:sz w:val="17"/>
                <w:szCs w:val="17"/>
                <w:color w:val="auto"/>
              </w:rPr>
            </w:pPr>
          </w:p>
        </w:tc>
        <w:tc>
          <w:tcPr>
            <w:tcW w:w="220" w:type="dxa"/>
            <w:vAlign w:val="bottom"/>
            <w:tcBorders>
              <w:top w:val="single" w:sz="8" w:color="2C6937"/>
              <w:bottom w:val="single" w:sz="8" w:color="2C6937"/>
            </w:tcBorders>
          </w:tcPr>
          <w:p>
            <w:pPr>
              <w:spacing w:after="0"/>
              <w:rPr>
                <w:sz w:val="17"/>
                <w:szCs w:val="17"/>
                <w:color w:val="auto"/>
              </w:rPr>
            </w:pPr>
          </w:p>
        </w:tc>
        <w:tc>
          <w:tcPr>
            <w:tcW w:w="800" w:type="dxa"/>
            <w:vAlign w:val="bottom"/>
            <w:tcBorders>
              <w:top w:val="single" w:sz="8" w:color="2C6937"/>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gridSpan w:val="2"/>
          </w:tcPr>
          <w:p>
            <w:pPr>
              <w:ind w:left="20"/>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Borders>
              <w:bottom w:val="single" w:sz="8" w:color="2C6937"/>
            </w:tcBorders>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spacing w:after="0"/>
              <w:rPr>
                <w:sz w:val="16"/>
                <w:szCs w:val="16"/>
                <w:color w:val="auto"/>
              </w:rPr>
            </w:pPr>
          </w:p>
        </w:tc>
        <w:tc>
          <w:tcPr>
            <w:tcW w:w="1320" w:type="dxa"/>
            <w:vAlign w:val="bottom"/>
            <w:tcBorders>
              <w:bottom w:val="single" w:sz="8" w:color="2C6937"/>
            </w:tcBorders>
            <w:gridSpan w:val="5"/>
          </w:tcPr>
          <w:p>
            <w:pPr>
              <w:ind w:left="20"/>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jc w:val="right"/>
              <w:ind w:right="51"/>
              <w:spacing w:after="0"/>
              <w:rPr>
                <w:sz w:val="20"/>
                <w:szCs w:val="20"/>
                <w:color w:val="auto"/>
              </w:rPr>
            </w:pPr>
            <w:r>
              <w:rPr>
                <w:rFonts w:ascii="Arial" w:cs="Arial" w:eastAsia="Arial" w:hAnsi="Arial"/>
                <w:sz w:val="14"/>
                <w:szCs w:val="14"/>
                <w:b w:val="1"/>
                <w:bCs w:val="1"/>
                <w:color w:val="auto"/>
                <w:w w:val="96"/>
              </w:rPr>
              <w:t>Single-Family</w:t>
            </w:r>
          </w:p>
        </w:tc>
        <w:tc>
          <w:tcPr>
            <w:tcW w:w="12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ind w:right="111"/>
              <w:spacing w:after="0"/>
              <w:rPr>
                <w:sz w:val="20"/>
                <w:szCs w:val="20"/>
                <w:color w:val="auto"/>
              </w:rPr>
            </w:pPr>
            <w:r>
              <w:rPr>
                <w:rFonts w:ascii="Arial" w:cs="Arial" w:eastAsia="Arial" w:hAnsi="Arial"/>
                <w:sz w:val="14"/>
                <w:szCs w:val="14"/>
                <w:b w:val="1"/>
                <w:bCs w:val="1"/>
                <w:color w:val="auto"/>
              </w:rPr>
              <w:t>Multifamily</w:t>
            </w:r>
          </w:p>
        </w:tc>
        <w:tc>
          <w:tcPr>
            <w:tcW w:w="100" w:type="dxa"/>
            <w:vAlign w:val="bottom"/>
            <w:tcBorders>
              <w:bottom w:val="single" w:sz="8" w:color="2C6937"/>
            </w:tcBorders>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ind w:right="291"/>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w w:val="96"/>
              </w:rPr>
              <w:t>Single-Family</w:t>
            </w:r>
          </w:p>
        </w:tc>
        <w:tc>
          <w:tcPr>
            <w:tcW w:w="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40" w:type="dxa"/>
            <w:vAlign w:val="bottom"/>
            <w:tcBorders>
              <w:bottom w:val="single" w:sz="8" w:color="2C6937"/>
            </w:tcBorders>
            <w:gridSpan w:val="2"/>
          </w:tcPr>
          <w:p>
            <w:pPr>
              <w:ind w:left="40"/>
              <w:spacing w:after="0"/>
              <w:rPr>
                <w:sz w:val="20"/>
                <w:szCs w:val="20"/>
                <w:color w:val="auto"/>
              </w:rPr>
            </w:pPr>
            <w:r>
              <w:rPr>
                <w:rFonts w:ascii="Arial" w:cs="Arial" w:eastAsia="Arial" w:hAnsi="Arial"/>
                <w:sz w:val="14"/>
                <w:szCs w:val="14"/>
                <w:b w:val="1"/>
                <w:bCs w:val="1"/>
                <w:color w:val="auto"/>
              </w:rPr>
              <w:t>Multifamily</w:t>
            </w: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300" w:type="dxa"/>
            <w:vAlign w:val="bottom"/>
            <w:gridSpan w:val="2"/>
            <w:vMerge w:val="restart"/>
          </w:tcPr>
          <w:p>
            <w:pPr>
              <w:ind w:left="20"/>
              <w:spacing w:after="0"/>
              <w:rPr>
                <w:sz w:val="20"/>
                <w:szCs w:val="20"/>
                <w:color w:val="auto"/>
              </w:rPr>
            </w:pPr>
            <w:r>
              <w:rPr>
                <w:rFonts w:ascii="Arial" w:cs="Arial" w:eastAsia="Arial" w:hAnsi="Arial"/>
                <w:sz w:val="14"/>
                <w:szCs w:val="14"/>
                <w:color w:val="auto"/>
              </w:rPr>
              <w:t>Conventional guaranty book of business</w:t>
            </w:r>
            <w:r>
              <w:rPr>
                <w:rFonts w:ascii="Arial" w:cs="Arial" w:eastAsia="Arial" w:hAnsi="Arial"/>
                <w:sz w:val="8"/>
                <w:szCs w:val="8"/>
                <w:color w:val="auto"/>
              </w:rPr>
              <w:t>(1)</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(Dollars in millions)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00" w:type="dxa"/>
            <w:vAlign w:val="bottom"/>
            <w:gridSpan w:val="2"/>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3,649,552</w:t>
            </w:r>
          </w:p>
        </w:tc>
        <w:tc>
          <w:tcPr>
            <w:tcW w:w="24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1"/>
              <w:spacing w:after="0"/>
              <w:rPr>
                <w:sz w:val="20"/>
                <w:szCs w:val="20"/>
                <w:color w:val="auto"/>
              </w:rPr>
            </w:pPr>
            <w:r>
              <w:rPr>
                <w:rFonts w:ascii="Arial" w:cs="Arial" w:eastAsia="Arial" w:hAnsi="Arial"/>
                <w:sz w:val="14"/>
                <w:szCs w:val="14"/>
                <w:b w:val="1"/>
                <w:bCs w:val="1"/>
                <w:color w:val="auto"/>
              </w:rPr>
              <w:t>456,029</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4,105,581</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3,646,981</w:t>
            </w:r>
          </w:p>
        </w:tc>
        <w:tc>
          <w:tcPr>
            <w:tcW w:w="28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1"/>
              <w:spacing w:after="0"/>
              <w:rPr>
                <w:sz w:val="20"/>
                <w:szCs w:val="20"/>
                <w:color w:val="auto"/>
              </w:rPr>
            </w:pPr>
            <w:r>
              <w:rPr>
                <w:rFonts w:ascii="Arial" w:cs="Arial" w:eastAsia="Arial" w:hAnsi="Arial"/>
                <w:sz w:val="14"/>
                <w:szCs w:val="14"/>
                <w:color w:val="auto"/>
              </w:rPr>
              <w:t>442,067</w:t>
            </w:r>
          </w:p>
        </w:tc>
        <w:tc>
          <w:tcPr>
            <w:tcW w:w="10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4,089,048</w:t>
            </w:r>
          </w:p>
        </w:tc>
        <w:tc>
          <w:tcPr>
            <w:tcW w:w="0" w:type="dxa"/>
            <w:vAlign w:val="bottom"/>
          </w:tcPr>
          <w:p>
            <w:pPr>
              <w:spacing w:after="0"/>
              <w:rPr>
                <w:sz w:val="1"/>
                <w:szCs w:val="1"/>
                <w:color w:val="auto"/>
              </w:rPr>
            </w:pPr>
          </w:p>
        </w:tc>
      </w:tr>
      <w:tr>
        <w:trPr>
          <w:trHeight w:val="186"/>
        </w:trPr>
        <w:tc>
          <w:tcPr>
            <w:tcW w:w="420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Government guaranty book of business</w:t>
            </w:r>
            <w:r>
              <w:rPr>
                <w:rFonts w:ascii="Arial" w:cs="Arial" w:eastAsia="Arial" w:hAnsi="Arial"/>
                <w:sz w:val="8"/>
                <w:szCs w:val="8"/>
                <w:color w:val="auto"/>
              </w:rPr>
              <w:t>(2)</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9,879</w:t>
            </w:r>
          </w:p>
        </w:tc>
        <w:tc>
          <w:tcPr>
            <w:tcW w:w="12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550</w:t>
            </w:r>
          </w:p>
        </w:tc>
        <w:tc>
          <w:tcPr>
            <w:tcW w:w="1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10,429</w:t>
            </w: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12,450</w:t>
            </w:r>
          </w:p>
        </w:tc>
        <w:tc>
          <w:tcPr>
            <w:tcW w:w="6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572</w:t>
            </w:r>
          </w:p>
        </w:tc>
        <w:tc>
          <w:tcPr>
            <w:tcW w:w="1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13,022</w:t>
            </w:r>
          </w:p>
        </w:tc>
        <w:tc>
          <w:tcPr>
            <w:tcW w:w="0" w:type="dxa"/>
            <w:vAlign w:val="bottom"/>
          </w:tcPr>
          <w:p>
            <w:pPr>
              <w:spacing w:after="0"/>
              <w:rPr>
                <w:sz w:val="1"/>
                <w:szCs w:val="1"/>
                <w:color w:val="auto"/>
              </w:rPr>
            </w:pPr>
          </w:p>
        </w:tc>
      </w:tr>
      <w:tr>
        <w:trPr>
          <w:trHeight w:val="185"/>
        </w:trPr>
        <w:tc>
          <w:tcPr>
            <w:tcW w:w="4300" w:type="dxa"/>
            <w:vAlign w:val="bottom"/>
            <w:gridSpan w:val="2"/>
          </w:tcPr>
          <w:p>
            <w:pPr>
              <w:ind w:left="120"/>
              <w:spacing w:after="0"/>
              <w:rPr>
                <w:sz w:val="20"/>
                <w:szCs w:val="20"/>
                <w:color w:val="auto"/>
              </w:rPr>
            </w:pPr>
            <w:r>
              <w:rPr>
                <w:rFonts w:ascii="Arial" w:cs="Arial" w:eastAsia="Arial" w:hAnsi="Arial"/>
                <w:sz w:val="14"/>
                <w:szCs w:val="14"/>
                <w:color w:val="auto"/>
              </w:rPr>
              <w:t>Guaranty book of business</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3,659,431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11"/>
              <w:spacing w:after="0"/>
              <w:rPr>
                <w:sz w:val="20"/>
                <w:szCs w:val="20"/>
                <w:color w:val="auto"/>
              </w:rPr>
            </w:pPr>
            <w:r>
              <w:rPr>
                <w:rFonts w:ascii="Arial" w:cs="Arial" w:eastAsia="Arial" w:hAnsi="Arial"/>
                <w:sz w:val="14"/>
                <w:szCs w:val="14"/>
                <w:b w:val="1"/>
                <w:bCs w:val="1"/>
                <w:color w:val="auto"/>
              </w:rPr>
              <w:t>456,579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4,116,010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3,659,431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11"/>
              <w:spacing w:after="0"/>
              <w:rPr>
                <w:sz w:val="20"/>
                <w:szCs w:val="20"/>
                <w:color w:val="auto"/>
              </w:rPr>
            </w:pPr>
            <w:r>
              <w:rPr>
                <w:rFonts w:ascii="Arial" w:cs="Arial" w:eastAsia="Arial" w:hAnsi="Arial"/>
                <w:sz w:val="14"/>
                <w:szCs w:val="14"/>
                <w:color w:val="auto"/>
              </w:rPr>
              <w:t>442,639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4,102,070</w:t>
            </w:r>
          </w:p>
        </w:tc>
        <w:tc>
          <w:tcPr>
            <w:tcW w:w="0" w:type="dxa"/>
            <w:vAlign w:val="bottom"/>
          </w:tcPr>
          <w:p>
            <w:pPr>
              <w:spacing w:after="0"/>
              <w:rPr>
                <w:sz w:val="1"/>
                <w:szCs w:val="1"/>
                <w:color w:val="auto"/>
              </w:rPr>
            </w:pPr>
          </w:p>
        </w:tc>
      </w:tr>
      <w:tr>
        <w:trPr>
          <w:trHeight w:val="195"/>
        </w:trPr>
        <w:tc>
          <w:tcPr>
            <w:tcW w:w="420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Freddie Mac securities guaranteed by Fannie Mae</w:t>
            </w:r>
            <w:r>
              <w:rPr>
                <w:rFonts w:ascii="Arial" w:cs="Arial" w:eastAsia="Arial" w:hAnsi="Arial"/>
                <w:sz w:val="17"/>
                <w:szCs w:val="17"/>
                <w:color w:val="auto"/>
                <w:vertAlign w:val="superscript"/>
              </w:rPr>
              <w:t>(3)</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224,877</w:t>
            </w:r>
          </w:p>
        </w:tc>
        <w:tc>
          <w:tcPr>
            <w:tcW w:w="12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224,877</w:t>
            </w: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234,023</w:t>
            </w:r>
          </w:p>
        </w:tc>
        <w:tc>
          <w:tcPr>
            <w:tcW w:w="6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234,023</w:t>
            </w:r>
          </w:p>
        </w:tc>
        <w:tc>
          <w:tcPr>
            <w:tcW w:w="0" w:type="dxa"/>
            <w:vAlign w:val="bottom"/>
          </w:tcPr>
          <w:p>
            <w:pPr>
              <w:spacing w:after="0"/>
              <w:rPr>
                <w:sz w:val="1"/>
                <w:szCs w:val="1"/>
                <w:color w:val="auto"/>
              </w:rPr>
            </w:pPr>
          </w:p>
        </w:tc>
      </w:tr>
      <w:tr>
        <w:trPr>
          <w:trHeight w:val="173"/>
        </w:trPr>
        <w:tc>
          <w:tcPr>
            <w:tcW w:w="4300" w:type="dxa"/>
            <w:vAlign w:val="bottom"/>
            <w:gridSpan w:val="2"/>
          </w:tcPr>
          <w:p>
            <w:pPr>
              <w:ind w:left="140"/>
              <w:spacing w:after="0"/>
              <w:rPr>
                <w:sz w:val="20"/>
                <w:szCs w:val="20"/>
                <w:color w:val="auto"/>
              </w:rPr>
            </w:pPr>
            <w:r>
              <w:rPr>
                <w:rFonts w:ascii="Arial" w:cs="Arial" w:eastAsia="Arial" w:hAnsi="Arial"/>
                <w:sz w:val="14"/>
                <w:szCs w:val="14"/>
                <w:color w:val="auto"/>
              </w:rPr>
              <w:t>Total Fannie Mae guarantees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3,884,308</w:t>
            </w:r>
          </w:p>
        </w:tc>
        <w:tc>
          <w:tcPr>
            <w:tcW w:w="24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1"/>
              <w:spacing w:after="0"/>
              <w:rPr>
                <w:sz w:val="20"/>
                <w:szCs w:val="20"/>
                <w:color w:val="auto"/>
              </w:rPr>
            </w:pPr>
            <w:r>
              <w:rPr>
                <w:rFonts w:ascii="Arial" w:cs="Arial" w:eastAsia="Arial" w:hAnsi="Arial"/>
                <w:sz w:val="14"/>
                <w:szCs w:val="14"/>
                <w:b w:val="1"/>
                <w:bCs w:val="1"/>
                <w:color w:val="auto"/>
              </w:rPr>
              <w:t>456,579</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4,340,887</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3,893,454</w:t>
            </w:r>
          </w:p>
        </w:tc>
        <w:tc>
          <w:tcPr>
            <w:tcW w:w="28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1"/>
              <w:spacing w:after="0"/>
              <w:rPr>
                <w:sz w:val="20"/>
                <w:szCs w:val="20"/>
                <w:color w:val="auto"/>
              </w:rPr>
            </w:pPr>
            <w:r>
              <w:rPr>
                <w:rFonts w:ascii="Arial" w:cs="Arial" w:eastAsia="Arial" w:hAnsi="Arial"/>
                <w:sz w:val="14"/>
                <w:szCs w:val="14"/>
                <w:color w:val="auto"/>
              </w:rPr>
              <w:t>442,639</w:t>
            </w:r>
          </w:p>
        </w:tc>
        <w:tc>
          <w:tcPr>
            <w:tcW w:w="100" w:type="dxa"/>
            <w:vAlign w:val="bottom"/>
          </w:tcPr>
          <w:p>
            <w:pPr>
              <w:spacing w:after="0"/>
              <w:rPr>
                <w:sz w:val="15"/>
                <w:szCs w:val="15"/>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4,336,093</w:t>
            </w:r>
          </w:p>
        </w:tc>
        <w:tc>
          <w:tcPr>
            <w:tcW w:w="0" w:type="dxa"/>
            <w:vAlign w:val="bottom"/>
          </w:tcPr>
          <w:p>
            <w:pPr>
              <w:spacing w:after="0"/>
              <w:rPr>
                <w:sz w:val="1"/>
                <w:szCs w:val="1"/>
                <w:color w:val="auto"/>
              </w:rPr>
            </w:pPr>
          </w:p>
        </w:tc>
      </w:tr>
      <w:tr>
        <w:trPr>
          <w:trHeight w:val="20"/>
        </w:trPr>
        <w:tc>
          <w:tcPr>
            <w:tcW w:w="4200" w:type="dxa"/>
            <w:vAlign w:val="bottom"/>
            <w:tcBorders>
              <w:top w:val="single" w:sz="8" w:color="216C2B"/>
              <w:bottom w:val="single" w:sz="8" w:color="216C2B"/>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240" w:hanging="237"/>
        <w:spacing w:after="0"/>
        <w:tabs>
          <w:tab w:leader="none" w:pos="24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Refers to mortgage loans and mortgage-related securities that are not guaranteed or insured, in whole or in part, by the U.S. government.</w:t>
      </w:r>
    </w:p>
    <w:p>
      <w:pPr>
        <w:spacing w:after="0" w:line="41" w:lineRule="exact"/>
        <w:rPr>
          <w:rFonts w:ascii="Arial" w:cs="Arial" w:eastAsia="Arial" w:hAnsi="Arial"/>
          <w:sz w:val="18"/>
          <w:szCs w:val="18"/>
          <w:color w:val="auto"/>
          <w:vertAlign w:val="superscript"/>
        </w:rPr>
      </w:pPr>
    </w:p>
    <w:p>
      <w:pPr>
        <w:ind w:left="240" w:hanging="237"/>
        <w:spacing w:after="0" w:line="190" w:lineRule="auto"/>
        <w:tabs>
          <w:tab w:leader="none" w:pos="24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Refers to mortgage loans and mortgage-related securities guaranteed or insured, in whole or in part, by the U.S. government.</w:t>
      </w:r>
    </w:p>
    <w:p>
      <w:pPr>
        <w:spacing w:after="0" w:line="42" w:lineRule="exact"/>
        <w:rPr>
          <w:rFonts w:ascii="Arial" w:cs="Arial" w:eastAsia="Arial" w:hAnsi="Arial"/>
          <w:sz w:val="18"/>
          <w:szCs w:val="18"/>
          <w:color w:val="auto"/>
          <w:vertAlign w:val="superscript"/>
        </w:rPr>
      </w:pPr>
    </w:p>
    <w:p>
      <w:pPr>
        <w:ind w:left="240" w:right="40" w:hanging="237"/>
        <w:spacing w:after="0" w:line="227" w:lineRule="auto"/>
        <w:tabs>
          <w:tab w:leader="none" w:pos="24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Consists of off-balance sheet arrangements of approximately (i) $186.6 billion and $193.9 billion in unpaid principal balance of Freddie Mac-issued UMBS backing Fannie Mae-issued Supers as of June 30, 2023 and December 31, 2022, respectively; and (ii) $38.3 billion and $40.1 billion in unpaid principal balance of Freddie Mac securities backing Fannie Mae-issued REMICs as of June 30, 2023 and December 31, 2022, respectively. See “Liquidity and Capital Management—Liquidity Management—Off-Balance Sheet Arrangements” for more information regarding our maximum exposure to loss on consolidated Fannie Mae MBS and Freddie Mac securities.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21</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24" w:name="page25"/>
    <w:bookmarkEnd w:id="24"/>
    <w:p>
      <w:pPr>
        <w:ind w:left="8960"/>
        <w:spacing w:after="0"/>
        <w:rPr>
          <w:sz w:val="20"/>
          <w:szCs w:val="20"/>
          <w:color w:val="auto"/>
        </w:rPr>
      </w:pPr>
      <w:r>
        <w:rPr>
          <w:rFonts w:ascii="Arial" w:cs="Arial" w:eastAsia="Arial" w:hAnsi="Arial"/>
          <w:sz w:val="14"/>
          <w:szCs w:val="14"/>
          <w:color w:val="05314D"/>
        </w:rPr>
        <w:t>MD&amp;A | 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Federal Housing Enterprises Financial Safety and Soundness Act of 1992, as amended, including by the Housing and Economic Recovery Act of 2008 (together, the “GSE Act”) requires us to set aside each year an amount equal to 4.2 basis points of the unpaid principal balance of our new business purchases and to pay this amount to specified U.S. Department of Housing and Urban Development (“HUD”) and Treasury funds in support of affordable housing. In March 2023, we paid $287 million to the funds based on our new business purchases in 2022. For the first half of 2023, we recognized an expense of $77 million related to this obligation based on $182.2 billion in new business purchases during the period. We expect to pay this amount to the funds in 2024, plus additional amounts to be accrued based on our new business purchases in the second half of 2023. See “Business—Legislation and Regulation—GSE-Focused Matters—Affordable Housing Allocations” in our 2022 Form 10-K for more information regarding this obligation.</w:t>
      </w:r>
    </w:p>
    <w:p>
      <w:pPr>
        <w:spacing w:after="0" w:line="112"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Business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22160"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22160" cy="16510"/>
                    </a:xfrm>
                    <a:prstGeom prst="rect">
                      <a:avLst/>
                    </a:prstGeom>
                    <a:noFill/>
                  </pic:spPr>
                </pic:pic>
              </a:graphicData>
            </a:graphic>
          </wp:anchor>
        </w:drawing>
      </w:r>
    </w:p>
    <w:p>
      <w:pPr>
        <w:spacing w:after="0" w:line="27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have two reportable business segments: Single-Family and Multifamily. The Single-Family business operates in the secondary mortgage market relating to single-family mortgage loans, which are secured by properties containing four or fewer residential dwelling units. The Multifamily business operates in the secondary mortgage market relating primarily to multifamily mortgage loans, which are secured by properties containing five or more residential units.</w:t>
      </w:r>
    </w:p>
    <w:p>
      <w:pPr>
        <w:spacing w:after="0" w:line="43"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The chart below displays net revenues and net income for each of our business segments for the first half of 2023 compared with the first half of 2022. Net revenues consist of net interest income and fee and other income.</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5314D"/>
        </w:rPr>
        <w:t>Business Segment Net Revenues and Net Income</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5314D"/>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910590</wp:posOffset>
            </wp:positionH>
            <wp:positionV relativeFrom="paragraph">
              <wp:posOffset>88900</wp:posOffset>
            </wp:positionV>
            <wp:extent cx="5321300" cy="16370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321300"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In the following sections, we describe each segment’s business metrics, financial results and credit performance.</w:t>
      </w:r>
    </w:p>
    <w:p>
      <w:pPr>
        <w:spacing w:after="0" w:line="163"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Single-Family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44450</wp:posOffset>
            </wp:positionV>
            <wp:extent cx="7138670"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64" w:lineRule="exact"/>
        <w:rPr>
          <w:sz w:val="20"/>
          <w:szCs w:val="20"/>
          <w:color w:val="auto"/>
        </w:rPr>
      </w:pPr>
    </w:p>
    <w:p>
      <w:pPr>
        <w:jc w:val="both"/>
        <w:ind w:right="400"/>
        <w:spacing w:after="0" w:line="267" w:lineRule="auto"/>
        <w:rPr>
          <w:sz w:val="20"/>
          <w:szCs w:val="20"/>
          <w:color w:val="auto"/>
        </w:rPr>
      </w:pPr>
      <w:r>
        <w:rPr>
          <w:rFonts w:ascii="Arial" w:cs="Arial" w:eastAsia="Arial" w:hAnsi="Arial"/>
          <w:sz w:val="16"/>
          <w:szCs w:val="16"/>
          <w:color w:val="auto"/>
        </w:rPr>
        <w:t>This section supplements and updates information regarding our Single-Family business segment in our 2022 Form 10-K. See “MD&amp;A—Single-Family Business” in our 2022 Form 10-K for additional information regarding the primary business activities, lenders, investors and competition of our Single-Family business.</w:t>
      </w:r>
    </w:p>
    <w:p>
      <w:pPr>
        <w:spacing w:after="0" w:line="73"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Single-Family Mortgage Market</w:t>
      </w:r>
    </w:p>
    <w:p>
      <w:pPr>
        <w:spacing w:after="0" w:line="90"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Housing activity was relatively flat in the second quarter of 2023 compared with the first quarter of 2023. Total existing home sales averaged 4.25 million units annualized in the second quarter of 2023, compared with 4.33 million units in the first quarter of 2023, according to data from the National Association of REALTORS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 According to the U.S. Census Bureau, new single-family home sales averaged an annualized rate of approximately 694,000 units in the second quarter of 2023, compared with approximately 638,000 units in the first quarter of 2023.</w:t>
      </w:r>
    </w:p>
    <w:p>
      <w:pPr>
        <w:spacing w:after="0" w:line="64" w:lineRule="exact"/>
        <w:rPr>
          <w:sz w:val="20"/>
          <w:szCs w:val="20"/>
          <w:color w:val="auto"/>
        </w:rPr>
      </w:pPr>
    </w:p>
    <w:p>
      <w:pPr>
        <w:ind w:right="180"/>
        <w:spacing w:after="0" w:line="269" w:lineRule="auto"/>
        <w:rPr>
          <w:sz w:val="20"/>
          <w:szCs w:val="20"/>
          <w:color w:val="auto"/>
        </w:rPr>
      </w:pPr>
      <w:r>
        <w:rPr>
          <w:rFonts w:ascii="Arial" w:cs="Arial" w:eastAsia="Arial" w:hAnsi="Arial"/>
          <w:sz w:val="16"/>
          <w:szCs w:val="16"/>
          <w:color w:val="auto"/>
        </w:rPr>
        <w:t>The 30-year fixed mortgage rate was 6.71% as of June 29, 2023, compared with 6.32% as of March 31, 2023, and averaged 6.51% in the second quarter of 2023, compared with 6.37% in the first quarter of 2023, according to Freddie Mac’s Primary Mortgage Market Survey</w:t>
      </w:r>
      <w:r>
        <w:rPr>
          <w:rFonts w:ascii="Arial" w:cs="Arial" w:eastAsia="Arial" w:hAnsi="Arial"/>
          <w:sz w:val="21"/>
          <w:szCs w:val="21"/>
          <w:color w:val="auto"/>
          <w:vertAlign w:val="superscript"/>
        </w:rPr>
        <w:t>®</w:t>
      </w:r>
      <w:r>
        <w:rPr>
          <w:rFonts w:ascii="Arial" w:cs="Arial" w:eastAsia="Arial" w:hAnsi="Arial"/>
          <w:sz w:val="16"/>
          <w:szCs w:val="16"/>
          <w:color w:val="auto"/>
        </w:rPr>
        <w:t>.</w:t>
      </w:r>
    </w:p>
    <w:p>
      <w:pPr>
        <w:ind w:right="60"/>
        <w:spacing w:after="0" w:line="262" w:lineRule="auto"/>
        <w:rPr>
          <w:sz w:val="20"/>
          <w:szCs w:val="20"/>
          <w:color w:val="auto"/>
        </w:rPr>
      </w:pPr>
      <w:r>
        <w:rPr>
          <w:rFonts w:ascii="Arial" w:cs="Arial" w:eastAsia="Arial" w:hAnsi="Arial"/>
          <w:sz w:val="16"/>
          <w:szCs w:val="16"/>
          <w:color w:val="auto"/>
        </w:rPr>
        <w:t>Single-family mortgage market originations declined from an estimated $683 billion in the second quarter of 2022 to an estimated $443 billion in the second quarter of 2023. According to the July forecast from our Economic and Strategic Research Group, total originations in the U.S. single-family mortgage market in 2023 are forecasted to decrease from 2022 levels by approximately 32%, from an estimated $2.39 trillion in 2022 to $1.62 trillion in 2023, and the amount of</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22</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25" w:name="page26"/>
    <w:bookmarkEnd w:id="25"/>
    <w:p>
      <w:pPr>
        <w:ind w:left="7180"/>
        <w:spacing w:after="0"/>
        <w:rPr>
          <w:sz w:val="20"/>
          <w:szCs w:val="20"/>
          <w:color w:val="auto"/>
        </w:rPr>
      </w:pPr>
      <w:r>
        <w:rPr>
          <w:rFonts w:ascii="Arial" w:cs="Arial" w:eastAsia="Arial" w:hAnsi="Arial"/>
          <w:sz w:val="14"/>
          <w:szCs w:val="14"/>
          <w:color w:val="05314D"/>
        </w:rPr>
        <w:t>MD&amp;A | Single-Family Business | Single-Family Mortgage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color w:val="auto"/>
        </w:rPr>
        <w:t>refinance originations in the U.S. single-family mortgage market will decrease from an estimated $753 billion in 2022 to $264 billion in 2023. Our Economic and Strategic Research Group’s July forecast is based on data available as of July 10, 2023. See “Key Market Economic Indicators” for additional discussion of how housing activity can affect our financial results and the uncertainties that may affect our forecasts and expectations.</w:t>
      </w:r>
    </w:p>
    <w:p>
      <w:pPr>
        <w:spacing w:after="0" w:line="86"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Single-Family Mortgage-Related Securities Issuances Share</w:t>
      </w:r>
    </w:p>
    <w:p>
      <w:pPr>
        <w:spacing w:after="0" w:line="77"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Our single-family Fannie Mae MBS issuances were $91.6 billion for the second quarter of 2023, compared with $174.5 billion for the second quarter of 2022. This decrease was primarily driven by lower volumes of refinance and purchase lending in the second quarter of 2023 due to higher mortgage rates. Based on the latest data available, the chart below displays our estimated share of single-family mortgage-related securities issuances in the second quarter of 2023 as compared with that of our primary competitors for the issuance of single-family mortgage-related securities.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5314D"/>
        </w:rPr>
        <w:t>Single-Family Mortgage-Related Securities Issuances Share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5314D"/>
        </w:rPr>
        <w:t>Second Quarter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1278890</wp:posOffset>
            </wp:positionH>
            <wp:positionV relativeFrom="paragraph">
              <wp:posOffset>58420</wp:posOffset>
            </wp:positionV>
            <wp:extent cx="4592320" cy="17767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592320" cy="1776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We estimate our share of single-family mortgage-related securities issuances was 31% in the first quarter of 2023 and 36% in the second quarter of 2022.</w:t>
      </w:r>
    </w:p>
    <w:p>
      <w:pPr>
        <w:spacing w:after="0" w:line="129"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Presentation of Our Single-Family Conventional Guaranty Book of Business</w:t>
      </w:r>
    </w:p>
    <w:p>
      <w:pPr>
        <w:spacing w:after="0" w:line="103"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For purposes of the information reported in this “Single-Family Business” section, we measure the single-family conventional guaranty book of business using the unpaid principal balance of our mortgage loans underlying Fannie Mae MBS outstanding. By contrast, the single-family conventional guaranty book of business presented in the “Composition of Fannie Mae Guaranty Book of Business” table in the “Guaranty Book of Business” section is based on the unpaid principal balance of the Fannie Mae MBS outstanding, rather than the unpaid principal balance of the underlying mortgage loans. These amounts differ primarily as a result of payments we receive on underlying loans that have not yet been remitted to the MBS holders or instances where we have advanced missed borrower payments on mortgage loans to make required distributions to related MBS holders. As measured for purposes of the information reported below, our single-family conventional guaranty book of business was $3,632.4 billion as of June 30, 2023 and $3,635.2 billion as of December 31, 2022.</w:t>
      </w:r>
    </w:p>
    <w:p>
      <w:pPr>
        <w:spacing w:after="0" w:line="78"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Single-Family Business Metrics</w:t>
      </w:r>
    </w:p>
    <w:p>
      <w:pPr>
        <w:spacing w:after="0" w:line="11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Select Business Metrics</w:t>
      </w:r>
    </w:p>
    <w:p>
      <w:pPr>
        <w:spacing w:after="0" w:line="84"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Net interest income for our Single-Family business is driven by the guaranty fees we charge and the size of our single-family conventional guaranty book of business. The guaranty fees we charge are based on the characteristics of the loans we acquire. We may adjust our guaranty fees in light of market conditions and to achieve return targets. As a result, the average charged guaranty fee on new acquisitions may fluctuate based on the credit quality and product mix of loans acquired, as well as market conditions and other factors.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23</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26" w:name="page27"/>
    <w:bookmarkEnd w:id="26"/>
    <w:p>
      <w:pPr>
        <w:ind w:left="7180"/>
        <w:spacing w:after="0"/>
        <w:rPr>
          <w:sz w:val="20"/>
          <w:szCs w:val="20"/>
          <w:color w:val="auto"/>
        </w:rPr>
      </w:pPr>
      <w:r>
        <w:rPr>
          <w:rFonts w:ascii="Arial" w:cs="Arial" w:eastAsia="Arial" w:hAnsi="Arial"/>
          <w:sz w:val="14"/>
          <w:szCs w:val="14"/>
          <w:color w:val="05314D"/>
        </w:rPr>
        <w:t>MD&amp;A | Single-Family Business | Single-Family Business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The charts below display our average charged guaranty fees, net of TCCA fees, on our single-family conventional guaranty book of business and on new single-family conventional loan acquisitions, along with our average single-family conventional guaranty book of business and our single-family conventional loan acquisitions for the periods presented.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5314D"/>
        </w:rPr>
        <w:t>Select Single-Family Business Metrics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5314D"/>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58420</wp:posOffset>
            </wp:positionV>
            <wp:extent cx="5591175" cy="18503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91175" cy="185039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00" w:right="400"/>
        <w:spacing w:after="0" w:line="290" w:lineRule="auto"/>
        <w:rPr>
          <w:sz w:val="20"/>
          <w:szCs w:val="20"/>
          <w:color w:val="auto"/>
        </w:rPr>
      </w:pPr>
      <w:r>
        <w:rPr>
          <w:rFonts w:ascii="Arial" w:cs="Arial" w:eastAsia="Arial" w:hAnsi="Arial"/>
          <w:sz w:val="14"/>
          <w:szCs w:val="14"/>
          <w:color w:val="auto"/>
        </w:rPr>
        <w:t>Average charged guaranty fee on single-family conventional guaranty book of business, net of TCCA fees</w:t>
      </w:r>
      <w:r>
        <w:rPr>
          <w:rFonts w:ascii="Arial" w:cs="Arial" w:eastAsia="Arial" w:hAnsi="Arial"/>
          <w:sz w:val="17"/>
          <w:szCs w:val="17"/>
          <w:color w:val="auto"/>
          <w:vertAlign w:val="superscript"/>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41275</wp:posOffset>
            </wp:positionV>
            <wp:extent cx="155575" cy="1066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5575" cy="106680"/>
                    </a:xfrm>
                    <a:prstGeom prst="rect">
                      <a:avLst/>
                    </a:prstGeom>
                    <a:noFill/>
                  </pic:spPr>
                </pic:pic>
              </a:graphicData>
            </a:graphic>
          </wp:anchor>
        </w:drawing>
      </w:r>
    </w:p>
    <w:p>
      <w:pPr>
        <w:spacing w:after="0" w:line="65" w:lineRule="exact"/>
        <w:rPr>
          <w:sz w:val="20"/>
          <w:szCs w:val="20"/>
          <w:color w:val="auto"/>
        </w:rPr>
      </w:pPr>
    </w:p>
    <w:p>
      <w:pPr>
        <w:ind w:left="1200" w:right="680"/>
        <w:spacing w:after="0" w:line="290" w:lineRule="auto"/>
        <w:rPr>
          <w:sz w:val="20"/>
          <w:szCs w:val="20"/>
          <w:color w:val="auto"/>
        </w:rPr>
      </w:pPr>
      <w:r>
        <w:rPr>
          <w:rFonts w:ascii="Arial" w:cs="Arial" w:eastAsia="Arial" w:hAnsi="Arial"/>
          <w:sz w:val="14"/>
          <w:szCs w:val="14"/>
          <w:color w:val="auto"/>
        </w:rPr>
        <w:t>Average charged guaranty fee on new single-family conventional acquisitions, net of TCCA fees</w:t>
      </w:r>
      <w:r>
        <w:rPr>
          <w:rFonts w:ascii="Arial" w:cs="Arial" w:eastAsia="Arial" w:hAnsi="Arial"/>
          <w:sz w:val="17"/>
          <w:szCs w:val="17"/>
          <w:color w:val="auto"/>
          <w:vertAlign w:val="superscript"/>
        </w:rPr>
        <w:t>(1)(3)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3"/>
          <w:szCs w:val="13"/>
          <w:color w:val="auto"/>
        </w:rPr>
        <w:t>Average single-family conventional guaranty book of business</w:t>
      </w:r>
      <w:r>
        <w:rPr>
          <w:rFonts w:ascii="Arial" w:cs="Arial" w:eastAsia="Arial" w:hAnsi="Arial"/>
          <w:sz w:val="7"/>
          <w:szCs w:val="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219710</wp:posOffset>
            </wp:positionV>
            <wp:extent cx="155575" cy="1066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55575" cy="106680"/>
                    </a:xfrm>
                    <a:prstGeom prst="rect">
                      <a:avLst/>
                    </a:prstGeom>
                    <a:noFill/>
                  </pic:spPr>
                </pic:pic>
              </a:graphicData>
            </a:graphic>
          </wp:anchor>
        </w:drawing>
      </w: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auto"/>
        </w:rPr>
        <w:t>Single-family conventional acquisitions</w:t>
      </w:r>
    </w:p>
    <w:p>
      <w:pPr>
        <w:spacing w:after="0" w:line="294" w:lineRule="exact"/>
        <w:rPr>
          <w:sz w:val="20"/>
          <w:szCs w:val="20"/>
          <w:color w:val="auto"/>
        </w:rPr>
      </w:pPr>
    </w:p>
    <w:p>
      <w:pPr>
        <w:sectPr>
          <w:pgSz w:w="11900" w:h="16838" w:orient="portrait"/>
          <w:cols w:equalWidth="0" w:num="2">
            <w:col w:w="5820" w:space="720"/>
            <w:col w:w="4700"/>
          </w:cols>
          <w:pgMar w:left="320" w:top="250" w:right="339" w:bottom="1440" w:gutter="0" w:footer="0" w:header="0"/>
          <w:type w:val="continuous"/>
        </w:sectPr>
      </w:pPr>
    </w:p>
    <w:p>
      <w:pPr>
        <w:ind w:left="220" w:hanging="216"/>
        <w:spacing w:after="0"/>
        <w:tabs>
          <w:tab w:leader="none" w:pos="220" w:val="left"/>
        </w:tabs>
        <w:numPr>
          <w:ilvl w:val="0"/>
          <w:numId w:val="32"/>
        </w:numPr>
        <w:rPr>
          <w:rFonts w:ascii="Arial" w:cs="Arial" w:eastAsia="Arial" w:hAnsi="Arial"/>
          <w:sz w:val="17"/>
          <w:szCs w:val="17"/>
          <w:color w:val="auto"/>
          <w:vertAlign w:val="superscript"/>
        </w:rPr>
      </w:pPr>
      <w:r>
        <w:rPr>
          <w:rFonts w:ascii="Arial" w:cs="Arial" w:eastAsia="Arial" w:hAnsi="Arial"/>
          <w:sz w:val="13"/>
          <w:szCs w:val="13"/>
          <w:color w:val="auto"/>
        </w:rPr>
        <w:t>Excludes the impact of a 10 basis point guaranty fee increase implemented pursuant to the TCCA, the incremental revenue from which is remitted to Treasury and not retained by us.</w:t>
      </w:r>
    </w:p>
    <w:p>
      <w:pPr>
        <w:spacing w:after="0" w:line="41" w:lineRule="exact"/>
        <w:rPr>
          <w:rFonts w:ascii="Arial" w:cs="Arial" w:eastAsia="Arial" w:hAnsi="Arial"/>
          <w:sz w:val="17"/>
          <w:szCs w:val="17"/>
          <w:color w:val="auto"/>
          <w:vertAlign w:val="superscript"/>
        </w:rPr>
      </w:pPr>
    </w:p>
    <w:p>
      <w:pPr>
        <w:ind w:left="240" w:right="60" w:hanging="237"/>
        <w:spacing w:after="0" w:line="236" w:lineRule="auto"/>
        <w:tabs>
          <w:tab w:leader="none" w:pos="216" w:val="left"/>
        </w:tabs>
        <w:numPr>
          <w:ilvl w:val="0"/>
          <w:numId w:val="32"/>
        </w:numPr>
        <w:rPr>
          <w:rFonts w:ascii="Arial" w:cs="Arial" w:eastAsia="Arial" w:hAnsi="Arial"/>
          <w:sz w:val="17"/>
          <w:szCs w:val="17"/>
          <w:color w:val="auto"/>
          <w:vertAlign w:val="superscript"/>
        </w:rPr>
      </w:pPr>
      <w:r>
        <w:rPr>
          <w:rFonts w:ascii="Arial" w:cs="Arial" w:eastAsia="Arial" w:hAnsi="Arial"/>
          <w:sz w:val="13"/>
          <w:szCs w:val="13"/>
          <w:color w:val="auto"/>
        </w:rPr>
        <w:t>Our single-family conventional guaranty book of business primarily consists of single-family conventional mortgage loans underlying Fannie Mae MBS outstanding. It also includes single-family conventional mortgage loans of Fannie Mae held in our retained mortgage portfolio, and other credit enhancements that we provide on single-family conventional mortgage assets. Our single-family conventional guaranty book of business does not include: (a) mortgage loans guaranteed or insured, in whole or in part, by the U.S. government;</w:t>
      </w:r>
    </w:p>
    <w:p>
      <w:pPr>
        <w:ind w:left="240" w:right="100"/>
        <w:spacing w:after="0" w:line="291" w:lineRule="auto"/>
        <w:rPr>
          <w:rFonts w:ascii="Arial" w:cs="Arial" w:eastAsia="Arial" w:hAnsi="Arial"/>
          <w:sz w:val="17"/>
          <w:szCs w:val="17"/>
          <w:color w:val="auto"/>
          <w:vertAlign w:val="superscript"/>
        </w:rPr>
      </w:pPr>
      <w:r>
        <w:rPr>
          <w:rFonts w:ascii="Arial" w:cs="Arial" w:eastAsia="Arial" w:hAnsi="Arial"/>
          <w:sz w:val="13"/>
          <w:szCs w:val="13"/>
          <w:color w:val="auto"/>
        </w:rPr>
        <w:t>(b) Freddie Mac-acquired mortgage loans underlying Freddie Mac-issued UMBS that we have resecuritized; or (c) non-Fannie Mae single-family mortgage-related securities held in our retained mortgage portfolio for which we do not provide a guaranty. Our average single-family conventional guaranty book of business is based on quarter-end balances.</w:t>
      </w:r>
    </w:p>
    <w:p>
      <w:pPr>
        <w:spacing w:after="0" w:line="4" w:lineRule="exact"/>
        <w:rPr>
          <w:rFonts w:ascii="Arial" w:cs="Arial" w:eastAsia="Arial" w:hAnsi="Arial"/>
          <w:sz w:val="17"/>
          <w:szCs w:val="17"/>
          <w:color w:val="auto"/>
          <w:vertAlign w:val="superscript"/>
        </w:rPr>
      </w:pPr>
    </w:p>
    <w:p>
      <w:pPr>
        <w:ind w:left="240" w:right="20" w:hanging="237"/>
        <w:spacing w:after="0" w:line="223" w:lineRule="auto"/>
        <w:tabs>
          <w:tab w:leader="none" w:pos="27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In the fourth quarter of 2022, we enhanced the method we use to estimate average loan life at acquisition. Charged fees reported in prior periods have been updated in this report to reflect this updated methodology.</w:t>
      </w:r>
    </w:p>
    <w:p>
      <w:pPr>
        <w:spacing w:after="0" w:line="71"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auto"/>
        </w:rPr>
        <w:t>Our single-family conventional loan acquisition volumes remained near historically low levels in the second quarter of 2023. This was primarily driven by historically low refinance volumes due to continued higher interest rates in the second quarter of 2023, as few borrowers could benefit from refinancing. In addition, housing affordability constraints and limited supply continued to put downward pressure on the volume of purchase loans we acquired.</w:t>
      </w:r>
    </w:p>
    <w:p>
      <w:pPr>
        <w:spacing w:after="0" w:line="36"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Average charged guaranty fee on newly acquired conventional single-family loans is a metric management uses to measure the price we earn as compensation for the credit risk we manage and to assess our return. Average charged guaranty fee represents, on an annualized basis, the average of the base guaranty fees charged during the period for our single-family conventional guaranty arrangements, which we receive monthly over the life of the loan, plus the recognition of any upfront cash payments, including loan-level price adjustments, based on an estimated average life at the time of acquisition. Our average charged guaranty fees on newly acquired conventional single-family loans are sensitive to changes in inputs used in the calculation, including assumptions about the weighted average life of the loans, therefore changes in these charged guaranty fees are not always a result of a change in pricing.</w:t>
      </w:r>
    </w:p>
    <w:p>
      <w:pPr>
        <w:spacing w:after="0" w:line="50"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Our average charged guaranty fee on newly acquired conventional single-family loans, net of TCCA fees, increased in the second quarter of 2023 compared with the second quarter of 2022, primarily driven by the overall weaker credit risk profile of our second quarter 2023 acquisitions. We generally charge higher guaranty fees on loans with weaker credit risk characteristics. Loans we acquired in the second quarter of 2023 had a weaker credit profile than loans we acquired in the second quarter of 2022 because a significantly larger share of our second quarter 2023 acquisitions were purchase loans, which generally have higher origination LTV ratios than refinance loans. In addition, a greater portion of our second quarter 2023 acquisitions were long-term fixed-rate loans, which generally have higher charged guaranty fees than intermediate-term fixed-rate loans. See “Single-Family Mortgage Credit Risk Management—Single-Family Portfolio Diversification and Monitoring” below for a description of key risk characteristics of our single-family acquisitions in the second quarter of 2023 and second quarter of 2022.</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24</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840" w:type="dxa"/>
            <w:vAlign w:val="bottom"/>
            <w:tcBorders>
              <w:bottom w:val="single" w:sz="8" w:color="9A9A9A"/>
            </w:tcBorders>
          </w:tcPr>
          <w:p>
            <w:pPr>
              <w:spacing w:after="0"/>
              <w:rPr>
                <w:sz w:val="18"/>
                <w:szCs w:val="18"/>
                <w:color w:val="auto"/>
              </w:rPr>
            </w:pPr>
          </w:p>
        </w:tc>
        <w:tc>
          <w:tcPr>
            <w:tcW w:w="42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type w:val="continuous"/>
        </w:sectPr>
      </w:pPr>
    </w:p>
    <w:bookmarkStart w:id="27" w:name="page28"/>
    <w:bookmarkEnd w:id="27"/>
    <w:p>
      <w:pPr>
        <w:ind w:left="7180"/>
        <w:spacing w:after="0"/>
        <w:rPr>
          <w:sz w:val="20"/>
          <w:szCs w:val="20"/>
          <w:color w:val="auto"/>
        </w:rPr>
      </w:pPr>
      <w:r>
        <w:rPr>
          <w:rFonts w:ascii="Arial" w:cs="Arial" w:eastAsia="Arial" w:hAnsi="Arial"/>
          <w:sz w:val="14"/>
          <w:szCs w:val="14"/>
          <w:color w:val="05314D"/>
        </w:rPr>
        <w:t>MD&amp;A | Single-Family Business | Single-Family Business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Recent Price Changes</w:t>
      </w:r>
    </w:p>
    <w:p>
      <w:pPr>
        <w:spacing w:after="0" w:line="71"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In January 2023, FHFA announced changes to our single-family pricing framework by introducing redesigned and recalibrated upfront fee matrices for purchase, rate-term refinance, and cash-out refinance loans, in addition to a new upfront fee for certain borrowers with debt-to-income ratios above 40%. These price changes took effect on May 1, 2023, with the exception of the new upfront fee for certain borrowers with debt-to-income ratios above 40%, which FHFA rescinded. See “MD&amp;A—Single-Family Business—Single-Family Business Metrics” in our 2022 Form 10-K for more information on the recent price changes on our single-family loan acquisitions. See “Legislation and Regulation” in this report for a description of potential future single-family loan price changes that may result from recent bills introduced in Congress and FHFA’s request for input on Fannie Mae and Freddie Mac’s single-family pricing framework.</w:t>
      </w:r>
    </w:p>
    <w:p>
      <w:pPr>
        <w:spacing w:after="0" w:line="91"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Single-Family Business Financial Results</w:t>
      </w:r>
    </w:p>
    <w:p>
      <w:pPr>
        <w:spacing w:after="0" w:line="77"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This section provides a discussion of the primary components of net income for our Single-Family business. This information complements the discussion of financial results in “Consolidated Results of Operations.”</w:t>
      </w:r>
    </w:p>
    <w:p>
      <w:pPr>
        <w:spacing w:after="0" w:line="150"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05314D"/>
        </w:rPr>
        <w:t>Single-Family Business Financial Results</w:t>
      </w:r>
      <w:r>
        <w:rPr>
          <w:rFonts w:ascii="Arial" w:cs="Arial" w:eastAsia="Arial" w:hAnsi="Arial"/>
          <w:sz w:val="24"/>
          <w:szCs w:val="24"/>
          <w:b w:val="1"/>
          <w:bCs w:val="1"/>
          <w:color w:val="05314D"/>
          <w:vertAlign w:val="superscript"/>
        </w:rPr>
        <w:t>(1)</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48"/>
        </w:trPr>
        <w:tc>
          <w:tcPr>
            <w:tcW w:w="3940" w:type="dxa"/>
            <w:vAlign w:val="bottom"/>
            <w:tcBorders>
              <w:top w:val="single" w:sz="8" w:color="2C6937"/>
            </w:tcBorders>
          </w:tcPr>
          <w:p>
            <w:pPr>
              <w:spacing w:after="0"/>
              <w:rPr>
                <w:sz w:val="12"/>
                <w:szCs w:val="12"/>
                <w:color w:val="auto"/>
              </w:rPr>
            </w:pPr>
          </w:p>
        </w:tc>
        <w:tc>
          <w:tcPr>
            <w:tcW w:w="120" w:type="dxa"/>
            <w:vAlign w:val="bottom"/>
            <w:tcBorders>
              <w:top w:val="single" w:sz="8" w:color="2C6937"/>
            </w:tcBorders>
          </w:tcPr>
          <w:p>
            <w:pPr>
              <w:spacing w:after="0"/>
              <w:rPr>
                <w:sz w:val="12"/>
                <w:szCs w:val="12"/>
                <w:color w:val="auto"/>
              </w:rPr>
            </w:pPr>
          </w:p>
        </w:tc>
        <w:tc>
          <w:tcPr>
            <w:tcW w:w="2260" w:type="dxa"/>
            <w:vAlign w:val="bottom"/>
            <w:tcBorders>
              <w:top w:val="single" w:sz="8" w:color="2C6937"/>
            </w:tcBorders>
            <w:gridSpan w:val="6"/>
          </w:tcPr>
          <w:p>
            <w:pPr>
              <w:ind w:left="20"/>
              <w:spacing w:after="0" w:line="148" w:lineRule="exact"/>
              <w:rPr>
                <w:sz w:val="20"/>
                <w:szCs w:val="20"/>
                <w:color w:val="auto"/>
              </w:rPr>
            </w:pPr>
            <w:r>
              <w:rPr>
                <w:rFonts w:ascii="Arial" w:cs="Arial" w:eastAsia="Arial" w:hAnsi="Arial"/>
                <w:sz w:val="14"/>
                <w:szCs w:val="14"/>
                <w:b w:val="1"/>
                <w:bCs w:val="1"/>
                <w:color w:val="auto"/>
                <w:w w:val="98"/>
              </w:rPr>
              <w:t>For the Three Months Ended June</w:t>
            </w:r>
          </w:p>
        </w:tc>
        <w:tc>
          <w:tcPr>
            <w:tcW w:w="140" w:type="dxa"/>
            <w:vAlign w:val="bottom"/>
            <w:tcBorders>
              <w:top w:val="single" w:sz="8" w:color="2C6937"/>
            </w:tcBorders>
          </w:tcPr>
          <w:p>
            <w:pPr>
              <w:spacing w:after="0"/>
              <w:rPr>
                <w:sz w:val="12"/>
                <w:szCs w:val="12"/>
                <w:color w:val="auto"/>
              </w:rPr>
            </w:pPr>
          </w:p>
        </w:tc>
        <w:tc>
          <w:tcPr>
            <w:tcW w:w="180" w:type="dxa"/>
            <w:vAlign w:val="bottom"/>
            <w:tcBorders>
              <w:top w:val="single" w:sz="8" w:color="2C6937"/>
            </w:tcBorders>
          </w:tcPr>
          <w:p>
            <w:pPr>
              <w:spacing w:after="0"/>
              <w:rPr>
                <w:sz w:val="12"/>
                <w:szCs w:val="12"/>
                <w:color w:val="auto"/>
              </w:rPr>
            </w:pPr>
          </w:p>
        </w:tc>
        <w:tc>
          <w:tcPr>
            <w:tcW w:w="900" w:type="dxa"/>
            <w:vAlign w:val="bottom"/>
            <w:tcBorders>
              <w:top w:val="single" w:sz="8" w:color="2C6937"/>
            </w:tcBorders>
          </w:tcPr>
          <w:p>
            <w:pPr>
              <w:spacing w:after="0"/>
              <w:rPr>
                <w:sz w:val="12"/>
                <w:szCs w:val="12"/>
                <w:color w:val="auto"/>
              </w:rPr>
            </w:pPr>
          </w:p>
        </w:tc>
        <w:tc>
          <w:tcPr>
            <w:tcW w:w="140" w:type="dxa"/>
            <w:vAlign w:val="bottom"/>
            <w:tcBorders>
              <w:top w:val="single" w:sz="8" w:color="2C6937"/>
            </w:tcBorders>
          </w:tcPr>
          <w:p>
            <w:pPr>
              <w:spacing w:after="0"/>
              <w:rPr>
                <w:sz w:val="12"/>
                <w:szCs w:val="12"/>
                <w:color w:val="auto"/>
              </w:rPr>
            </w:pPr>
          </w:p>
        </w:tc>
        <w:tc>
          <w:tcPr>
            <w:tcW w:w="100" w:type="dxa"/>
            <w:vAlign w:val="bottom"/>
            <w:tcBorders>
              <w:top w:val="single" w:sz="8" w:color="2C6937"/>
            </w:tcBorders>
          </w:tcPr>
          <w:p>
            <w:pPr>
              <w:spacing w:after="0"/>
              <w:rPr>
                <w:sz w:val="12"/>
                <w:szCs w:val="12"/>
                <w:color w:val="auto"/>
              </w:rPr>
            </w:pPr>
          </w:p>
        </w:tc>
        <w:tc>
          <w:tcPr>
            <w:tcW w:w="2180" w:type="dxa"/>
            <w:vAlign w:val="bottom"/>
            <w:tcBorders>
              <w:top w:val="single" w:sz="8" w:color="2C6937"/>
            </w:tcBorders>
            <w:gridSpan w:val="5"/>
          </w:tcPr>
          <w:p>
            <w:pPr>
              <w:jc w:val="right"/>
              <w:ind w:right="43"/>
              <w:spacing w:after="0" w:line="148" w:lineRule="exact"/>
              <w:rPr>
                <w:sz w:val="20"/>
                <w:szCs w:val="20"/>
                <w:color w:val="auto"/>
              </w:rPr>
            </w:pPr>
            <w:r>
              <w:rPr>
                <w:rFonts w:ascii="Arial" w:cs="Arial" w:eastAsia="Arial" w:hAnsi="Arial"/>
                <w:sz w:val="14"/>
                <w:szCs w:val="14"/>
                <w:b w:val="1"/>
                <w:bCs w:val="1"/>
                <w:color w:val="auto"/>
                <w:w w:val="97"/>
              </w:rPr>
              <w:t>For the Six Months Ended June</w:t>
            </w:r>
          </w:p>
        </w:tc>
        <w:tc>
          <w:tcPr>
            <w:tcW w:w="100" w:type="dxa"/>
            <w:vAlign w:val="bottom"/>
            <w:tcBorders>
              <w:top w:val="single" w:sz="8" w:color="2C6937"/>
            </w:tcBorders>
          </w:tcPr>
          <w:p>
            <w:pPr>
              <w:spacing w:after="0"/>
              <w:rPr>
                <w:sz w:val="12"/>
                <w:szCs w:val="12"/>
                <w:color w:val="auto"/>
              </w:rPr>
            </w:pPr>
          </w:p>
        </w:tc>
        <w:tc>
          <w:tcPr>
            <w:tcW w:w="180" w:type="dxa"/>
            <w:vAlign w:val="bottom"/>
            <w:tcBorders>
              <w:top w:val="single" w:sz="8" w:color="2C6937"/>
            </w:tcBorders>
          </w:tcPr>
          <w:p>
            <w:pPr>
              <w:spacing w:after="0"/>
              <w:rPr>
                <w:sz w:val="12"/>
                <w:szCs w:val="12"/>
                <w:color w:val="auto"/>
              </w:rPr>
            </w:pPr>
          </w:p>
        </w:tc>
        <w:tc>
          <w:tcPr>
            <w:tcW w:w="880" w:type="dxa"/>
            <w:vAlign w:val="bottom"/>
            <w:tcBorders>
              <w:top w:val="single" w:sz="8" w:color="2C6937"/>
            </w:tcBorders>
          </w:tcPr>
          <w:p>
            <w:pPr>
              <w:spacing w:after="0"/>
              <w:rPr>
                <w:sz w:val="12"/>
                <w:szCs w:val="12"/>
                <w:color w:val="auto"/>
              </w:rPr>
            </w:pPr>
          </w:p>
        </w:tc>
      </w:tr>
      <w:tr>
        <w:trPr>
          <w:trHeight w:val="180"/>
        </w:trPr>
        <w:tc>
          <w:tcPr>
            <w:tcW w:w="3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2C6937"/>
            </w:tcBorders>
          </w:tcPr>
          <w:p>
            <w:pPr>
              <w:spacing w:after="0"/>
              <w:rPr>
                <w:sz w:val="15"/>
                <w:szCs w:val="15"/>
                <w:color w:val="auto"/>
              </w:rPr>
            </w:pPr>
          </w:p>
        </w:tc>
        <w:tc>
          <w:tcPr>
            <w:tcW w:w="800" w:type="dxa"/>
            <w:vAlign w:val="bottom"/>
            <w:tcBorders>
              <w:bottom w:val="single" w:sz="8" w:color="2C6937"/>
            </w:tcBorders>
          </w:tcPr>
          <w:p>
            <w:pPr>
              <w:spacing w:after="0"/>
              <w:rPr>
                <w:sz w:val="15"/>
                <w:szCs w:val="15"/>
                <w:color w:val="auto"/>
              </w:rPr>
            </w:pPr>
          </w:p>
        </w:tc>
        <w:tc>
          <w:tcPr>
            <w:tcW w:w="400" w:type="dxa"/>
            <w:vAlign w:val="bottom"/>
            <w:tcBorders>
              <w:bottom w:val="single" w:sz="8" w:color="2C6937"/>
            </w:tcBorders>
            <w:gridSpan w:val="3"/>
          </w:tcPr>
          <w:p>
            <w:pPr>
              <w:jc w:val="right"/>
              <w:ind w:right="220"/>
              <w:spacing w:after="0"/>
              <w:rPr>
                <w:sz w:val="20"/>
                <w:szCs w:val="20"/>
                <w:color w:val="auto"/>
              </w:rPr>
            </w:pPr>
            <w:r>
              <w:rPr>
                <w:rFonts w:ascii="Arial" w:cs="Arial" w:eastAsia="Arial" w:hAnsi="Arial"/>
                <w:sz w:val="14"/>
                <w:szCs w:val="14"/>
                <w:b w:val="1"/>
                <w:bCs w:val="1"/>
                <w:color w:val="auto"/>
                <w:w w:val="81"/>
              </w:rPr>
              <w:t>30,</w:t>
            </w:r>
          </w:p>
        </w:tc>
        <w:tc>
          <w:tcPr>
            <w:tcW w:w="820" w:type="dxa"/>
            <w:vAlign w:val="bottom"/>
            <w:tcBorders>
              <w:bottom w:val="single" w:sz="8" w:color="2C6937"/>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tcPr>
          <w:p>
            <w:pPr>
              <w:spacing w:after="0"/>
              <w:rPr>
                <w:sz w:val="15"/>
                <w:szCs w:val="15"/>
                <w:color w:val="auto"/>
              </w:rPr>
            </w:pPr>
          </w:p>
        </w:tc>
        <w:tc>
          <w:tcPr>
            <w:tcW w:w="420" w:type="dxa"/>
            <w:vAlign w:val="bottom"/>
            <w:tcBorders>
              <w:bottom w:val="single" w:sz="8" w:color="2C6937"/>
            </w:tcBorders>
            <w:gridSpan w:val="3"/>
          </w:tcPr>
          <w:p>
            <w:pPr>
              <w:jc w:val="right"/>
              <w:ind w:right="220"/>
              <w:spacing w:after="0"/>
              <w:rPr>
                <w:sz w:val="20"/>
                <w:szCs w:val="20"/>
                <w:color w:val="auto"/>
              </w:rPr>
            </w:pPr>
            <w:r>
              <w:rPr>
                <w:rFonts w:ascii="Arial" w:cs="Arial" w:eastAsia="Arial" w:hAnsi="Arial"/>
                <w:sz w:val="14"/>
                <w:szCs w:val="14"/>
                <w:b w:val="1"/>
                <w:bCs w:val="1"/>
                <w:color w:val="auto"/>
                <w:w w:val="92"/>
              </w:rPr>
              <w:t>30,</w:t>
            </w:r>
          </w:p>
        </w:tc>
        <w:tc>
          <w:tcPr>
            <w:tcW w:w="82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5"/>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ind w:right="283"/>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ind w:right="303"/>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040" w:type="dxa"/>
            <w:vAlign w:val="bottom"/>
            <w:tcBorders>
              <w:bottom w:val="single" w:sz="8" w:color="2C6937"/>
            </w:tcBorders>
            <w:gridSpan w:val="2"/>
          </w:tcPr>
          <w:p>
            <w:pPr>
              <w:ind w:left="80"/>
              <w:spacing w:after="0"/>
              <w:rPr>
                <w:sz w:val="20"/>
                <w:szCs w:val="20"/>
                <w:color w:val="auto"/>
              </w:rPr>
            </w:pPr>
            <w:r>
              <w:rPr>
                <w:rFonts w:ascii="Arial" w:cs="Arial" w:eastAsia="Arial" w:hAnsi="Arial"/>
                <w:sz w:val="14"/>
                <w:szCs w:val="14"/>
                <w:b w:val="1"/>
                <w:bCs w:val="1"/>
                <w:color w:val="auto"/>
              </w:rPr>
              <w:t>Variance</w:t>
            </w:r>
          </w:p>
        </w:tc>
        <w:tc>
          <w:tcPr>
            <w:tcW w:w="10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ind w:right="284"/>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ind w:right="30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jc w:val="right"/>
              <w:ind w:right="163"/>
              <w:spacing w:after="0"/>
              <w:rPr>
                <w:sz w:val="20"/>
                <w:szCs w:val="20"/>
                <w:color w:val="auto"/>
              </w:rPr>
            </w:pPr>
            <w:r>
              <w:rPr>
                <w:rFonts w:ascii="Arial" w:cs="Arial" w:eastAsia="Arial" w:hAnsi="Arial"/>
                <w:sz w:val="14"/>
                <w:szCs w:val="14"/>
                <w:b w:val="1"/>
                <w:bCs w:val="1"/>
                <w:color w:val="auto"/>
              </w:rPr>
              <w:t>Variance</w:t>
            </w:r>
          </w:p>
        </w:tc>
      </w:tr>
      <w:tr>
        <w:trPr>
          <w:trHeight w:val="171"/>
        </w:trPr>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4"/>
          </w:tcPr>
          <w:p>
            <w:pPr>
              <w:jc w:val="right"/>
              <w:ind w:right="424"/>
              <w:spacing w:after="0"/>
              <w:rPr>
                <w:sz w:val="20"/>
                <w:szCs w:val="20"/>
                <w:color w:val="auto"/>
              </w:rPr>
            </w:pPr>
            <w:r>
              <w:rPr>
                <w:rFonts w:ascii="Arial" w:cs="Arial" w:eastAsia="Arial" w:hAnsi="Arial"/>
                <w:sz w:val="14"/>
                <w:szCs w:val="14"/>
                <w:b w:val="1"/>
                <w:bCs w:val="1"/>
                <w:color w:val="auto"/>
              </w:rPr>
              <w:t>(Dollars in millions)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6"/>
        </w:trPr>
        <w:tc>
          <w:tcPr>
            <w:tcW w:w="4060" w:type="dxa"/>
            <w:vAlign w:val="bottom"/>
            <w:gridSpan w:val="2"/>
          </w:tcPr>
          <w:p>
            <w:pPr>
              <w:ind w:left="20"/>
              <w:spacing w:after="0" w:line="207" w:lineRule="exact"/>
              <w:rPr>
                <w:sz w:val="20"/>
                <w:szCs w:val="20"/>
                <w:color w:val="auto"/>
              </w:rPr>
            </w:pPr>
            <w:r>
              <w:rPr>
                <w:rFonts w:ascii="Arial" w:cs="Arial" w:eastAsia="Arial" w:hAnsi="Arial"/>
                <w:sz w:val="15"/>
                <w:szCs w:val="15"/>
                <w:color w:val="auto"/>
              </w:rPr>
              <w:t>Net interest income</w:t>
            </w:r>
            <w:r>
              <w:rPr>
                <w:rFonts w:ascii="Arial" w:cs="Arial" w:eastAsia="Arial" w:hAnsi="Arial"/>
                <w:sz w:val="20"/>
                <w:szCs w:val="20"/>
                <w:color w:val="auto"/>
                <w:vertAlign w:val="superscript"/>
              </w:rPr>
              <w:t>(2)</w:t>
            </w:r>
          </w:p>
        </w:tc>
        <w:tc>
          <w:tcPr>
            <w:tcW w:w="24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5,917</w:t>
            </w:r>
          </w:p>
        </w:tc>
        <w:tc>
          <w:tcPr>
            <w:tcW w:w="40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6,573</w:t>
            </w:r>
          </w:p>
        </w:tc>
        <w:tc>
          <w:tcPr>
            <w:tcW w:w="3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(656)</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11,589</w:t>
            </w:r>
          </w:p>
        </w:tc>
        <w:tc>
          <w:tcPr>
            <w:tcW w:w="4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12,828</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(1,239)</w:t>
            </w:r>
          </w:p>
        </w:tc>
      </w:tr>
      <w:tr>
        <w:trPr>
          <w:trHeight w:val="210"/>
        </w:trPr>
        <w:tc>
          <w:tcPr>
            <w:tcW w:w="39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Fee and other income</w:t>
            </w:r>
          </w:p>
        </w:tc>
        <w:tc>
          <w:tcPr>
            <w:tcW w:w="12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52</w:t>
            </w:r>
          </w:p>
        </w:tc>
        <w:tc>
          <w:tcPr>
            <w:tcW w:w="20" w:type="dxa"/>
            <w:vAlign w:val="bottom"/>
            <w:tcBorders>
              <w:bottom w:val="single" w:sz="8" w:color="2C6937"/>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60</w:t>
            </w:r>
          </w:p>
        </w:tc>
        <w:tc>
          <w:tcPr>
            <w:tcW w:w="14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w:t>
            </w:r>
          </w:p>
        </w:tc>
        <w:tc>
          <w:tcPr>
            <w:tcW w:w="140" w:type="dxa"/>
            <w:vAlign w:val="bottom"/>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100</w:t>
            </w:r>
          </w:p>
        </w:tc>
        <w:tc>
          <w:tcPr>
            <w:tcW w:w="20" w:type="dxa"/>
            <w:vAlign w:val="bottom"/>
            <w:tcBorders>
              <w:bottom w:val="single" w:sz="8" w:color="2C6937"/>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121</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(21)</w:t>
            </w:r>
          </w:p>
        </w:tc>
      </w:tr>
      <w:tr>
        <w:trPr>
          <w:trHeight w:val="196"/>
        </w:trPr>
        <w:tc>
          <w:tcPr>
            <w:tcW w:w="4060" w:type="dxa"/>
            <w:vAlign w:val="bottom"/>
            <w:gridSpan w:val="2"/>
          </w:tcPr>
          <w:p>
            <w:pPr>
              <w:ind w:left="180"/>
              <w:spacing w:after="0"/>
              <w:rPr>
                <w:sz w:val="20"/>
                <w:szCs w:val="20"/>
                <w:color w:val="auto"/>
              </w:rPr>
            </w:pPr>
            <w:r>
              <w:rPr>
                <w:rFonts w:ascii="Arial" w:cs="Arial" w:eastAsia="Arial" w:hAnsi="Arial"/>
                <w:sz w:val="15"/>
                <w:szCs w:val="15"/>
                <w:color w:val="auto"/>
              </w:rPr>
              <w:t>Net revenues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5,969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6,633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(664)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11,689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12,949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(1,260)</w:t>
            </w:r>
          </w:p>
        </w:tc>
      </w:tr>
      <w:tr>
        <w:trPr>
          <w:trHeight w:val="206"/>
        </w:trPr>
        <w:tc>
          <w:tcPr>
            <w:tcW w:w="4060" w:type="dxa"/>
            <w:vAlign w:val="bottom"/>
            <w:gridSpan w:val="2"/>
          </w:tcPr>
          <w:p>
            <w:pPr>
              <w:ind w:left="20"/>
              <w:spacing w:after="0"/>
              <w:rPr>
                <w:sz w:val="20"/>
                <w:szCs w:val="20"/>
                <w:color w:val="auto"/>
              </w:rPr>
            </w:pPr>
            <w:r>
              <w:rPr>
                <w:rFonts w:ascii="Arial" w:cs="Arial" w:eastAsia="Arial" w:hAnsi="Arial"/>
                <w:sz w:val="15"/>
                <w:szCs w:val="15"/>
                <w:color w:val="auto"/>
              </w:rPr>
              <w:t>Investment gains (losses), net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54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49</w:t>
            </w:r>
          </w:p>
        </w:tc>
      </w:tr>
      <w:tr>
        <w:trPr>
          <w:trHeight w:val="206"/>
        </w:trPr>
        <w:tc>
          <w:tcPr>
            <w:tcW w:w="4060" w:type="dxa"/>
            <w:vAlign w:val="bottom"/>
            <w:gridSpan w:val="2"/>
          </w:tcPr>
          <w:p>
            <w:pPr>
              <w:ind w:left="20"/>
              <w:spacing w:after="0"/>
              <w:rPr>
                <w:sz w:val="20"/>
                <w:szCs w:val="20"/>
                <w:color w:val="auto"/>
              </w:rPr>
            </w:pPr>
            <w:r>
              <w:rPr>
                <w:rFonts w:ascii="Arial" w:cs="Arial" w:eastAsia="Arial" w:hAnsi="Arial"/>
                <w:sz w:val="15"/>
                <w:szCs w:val="15"/>
                <w:color w:val="auto"/>
              </w:rPr>
              <w:t>Fair value gains, net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460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543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626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1,070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(444)</w:t>
            </w:r>
          </w:p>
        </w:tc>
      </w:tr>
      <w:tr>
        <w:trPr>
          <w:trHeight w:val="206"/>
        </w:trPr>
        <w:tc>
          <w:tcPr>
            <w:tcW w:w="4060" w:type="dxa"/>
            <w:vAlign w:val="bottom"/>
            <w:gridSpan w:val="2"/>
          </w:tcPr>
          <w:p>
            <w:pPr>
              <w:ind w:left="20"/>
              <w:spacing w:after="0"/>
              <w:rPr>
                <w:sz w:val="20"/>
                <w:szCs w:val="20"/>
                <w:color w:val="auto"/>
              </w:rPr>
            </w:pPr>
            <w:r>
              <w:rPr>
                <w:rFonts w:ascii="Arial" w:cs="Arial" w:eastAsia="Arial" w:hAnsi="Arial"/>
                <w:sz w:val="15"/>
                <w:szCs w:val="15"/>
                <w:color w:val="auto"/>
              </w:rPr>
              <w:t>Administrative expenses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(718)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(671)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(1,438)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(1,354)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(84)</w:t>
            </w:r>
          </w:p>
        </w:tc>
      </w:tr>
      <w:tr>
        <w:trPr>
          <w:trHeight w:val="206"/>
        </w:trPr>
        <w:tc>
          <w:tcPr>
            <w:tcW w:w="4060" w:type="dxa"/>
            <w:vAlign w:val="bottom"/>
            <w:gridSpan w:val="2"/>
          </w:tcPr>
          <w:p>
            <w:pPr>
              <w:ind w:left="20"/>
              <w:spacing w:after="0"/>
              <w:rPr>
                <w:sz w:val="20"/>
                <w:szCs w:val="20"/>
                <w:color w:val="auto"/>
              </w:rPr>
            </w:pPr>
            <w:r>
              <w:rPr>
                <w:rFonts w:ascii="Arial" w:cs="Arial" w:eastAsia="Arial" w:hAnsi="Arial"/>
                <w:sz w:val="15"/>
                <w:szCs w:val="15"/>
                <w:color w:val="auto"/>
              </w:rPr>
              <w:t>Benefit (provision) for credit losses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1,418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(206)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1,624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1,465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(476)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1,941</w:t>
            </w:r>
          </w:p>
        </w:tc>
      </w:tr>
      <w:tr>
        <w:trPr>
          <w:trHeight w:val="206"/>
        </w:trPr>
        <w:tc>
          <w:tcPr>
            <w:tcW w:w="4060" w:type="dxa"/>
            <w:vAlign w:val="bottom"/>
            <w:gridSpan w:val="2"/>
          </w:tcPr>
          <w:p>
            <w:pPr>
              <w:ind w:left="20"/>
              <w:spacing w:after="0" w:line="207" w:lineRule="exact"/>
              <w:rPr>
                <w:sz w:val="20"/>
                <w:szCs w:val="20"/>
                <w:color w:val="auto"/>
              </w:rPr>
            </w:pPr>
            <w:r>
              <w:rPr>
                <w:rFonts w:ascii="Arial" w:cs="Arial" w:eastAsia="Arial" w:hAnsi="Arial"/>
                <w:sz w:val="15"/>
                <w:szCs w:val="15"/>
                <w:color w:val="auto"/>
              </w:rPr>
              <w:t>TCCA fees</w:t>
            </w:r>
            <w:r>
              <w:rPr>
                <w:rFonts w:ascii="Arial" w:cs="Arial" w:eastAsia="Arial" w:hAnsi="Arial"/>
                <w:sz w:val="20"/>
                <w:szCs w:val="20"/>
                <w:color w:val="auto"/>
                <w:vertAlign w:val="superscript"/>
              </w:rPr>
              <w:t>(2)</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(856)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(841)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(1,711)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(1,665)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(46)</w:t>
            </w:r>
          </w:p>
        </w:tc>
      </w:tr>
      <w:tr>
        <w:trPr>
          <w:trHeight w:val="216"/>
        </w:trPr>
        <w:tc>
          <w:tcPr>
            <w:tcW w:w="4060" w:type="dxa"/>
            <w:vAlign w:val="bottom"/>
            <w:gridSpan w:val="2"/>
          </w:tcPr>
          <w:p>
            <w:pPr>
              <w:ind w:left="20"/>
              <w:spacing w:after="0"/>
              <w:rPr>
                <w:sz w:val="20"/>
                <w:szCs w:val="20"/>
                <w:color w:val="auto"/>
              </w:rPr>
            </w:pPr>
            <w:r>
              <w:rPr>
                <w:rFonts w:ascii="Arial" w:cs="Arial" w:eastAsia="Arial" w:hAnsi="Arial"/>
                <w:sz w:val="15"/>
                <w:szCs w:val="15"/>
                <w:color w:val="auto"/>
              </w:rPr>
              <w:t>Credit enhancement expense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(327)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(270)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(614)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(134)</w:t>
            </w:r>
          </w:p>
        </w:tc>
      </w:tr>
      <w:tr>
        <w:trPr>
          <w:trHeight w:val="232"/>
        </w:trPr>
        <w:tc>
          <w:tcPr>
            <w:tcW w:w="4060" w:type="dxa"/>
            <w:vAlign w:val="bottom"/>
            <w:gridSpan w:val="2"/>
          </w:tcPr>
          <w:p>
            <w:pPr>
              <w:ind w:left="20"/>
              <w:spacing w:after="0"/>
              <w:rPr>
                <w:sz w:val="20"/>
                <w:szCs w:val="20"/>
                <w:color w:val="auto"/>
              </w:rPr>
            </w:pPr>
            <w:r>
              <w:rPr>
                <w:rFonts w:ascii="Arial" w:cs="Arial" w:eastAsia="Arial" w:hAnsi="Arial"/>
                <w:sz w:val="15"/>
                <w:szCs w:val="15"/>
                <w:color w:val="auto"/>
              </w:rPr>
              <w:t>Change in expected credit enhancement recoveries</w:t>
            </w:r>
            <w:r>
              <w:rPr>
                <w:rFonts w:ascii="Arial" w:cs="Arial" w:eastAsia="Arial" w:hAnsi="Arial"/>
                <w:sz w:val="20"/>
                <w:szCs w:val="20"/>
                <w:color w:val="auto"/>
                <w:vertAlign w:val="superscript"/>
              </w:rPr>
              <w:t>(3)</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(223)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(180)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(128)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(154)</w:t>
            </w:r>
          </w:p>
        </w:tc>
      </w:tr>
      <w:tr>
        <w:trPr>
          <w:trHeight w:val="213"/>
        </w:trPr>
        <w:tc>
          <w:tcPr>
            <w:tcW w:w="3940" w:type="dxa"/>
            <w:vAlign w:val="bottom"/>
            <w:tcBorders>
              <w:bottom w:val="single" w:sz="8" w:color="2C6937"/>
            </w:tcBorders>
          </w:tcPr>
          <w:p>
            <w:pPr>
              <w:ind w:left="20"/>
              <w:spacing w:after="0" w:line="213" w:lineRule="exact"/>
              <w:rPr>
                <w:sz w:val="20"/>
                <w:szCs w:val="20"/>
                <w:color w:val="auto"/>
              </w:rPr>
            </w:pPr>
            <w:r>
              <w:rPr>
                <w:rFonts w:ascii="Arial" w:cs="Arial" w:eastAsia="Arial" w:hAnsi="Arial"/>
                <w:sz w:val="15"/>
                <w:szCs w:val="15"/>
                <w:color w:val="auto"/>
              </w:rPr>
              <w:t>Other expenses, net</w:t>
            </w:r>
            <w:r>
              <w:rPr>
                <w:rFonts w:ascii="Arial" w:cs="Arial" w:eastAsia="Arial" w:hAnsi="Arial"/>
                <w:sz w:val="20"/>
                <w:szCs w:val="20"/>
                <w:color w:val="auto"/>
                <w:vertAlign w:val="superscript"/>
              </w:rPr>
              <w:t>(4)</w:t>
            </w:r>
          </w:p>
        </w:tc>
        <w:tc>
          <w:tcPr>
            <w:tcW w:w="12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(203)</w:t>
            </w:r>
          </w:p>
        </w:tc>
        <w:tc>
          <w:tcPr>
            <w:tcW w:w="20" w:type="dxa"/>
            <w:vAlign w:val="bottom"/>
            <w:tcBorders>
              <w:bottom w:val="single" w:sz="8" w:color="2C6937"/>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(224)</w:t>
            </w:r>
          </w:p>
        </w:tc>
        <w:tc>
          <w:tcPr>
            <w:tcW w:w="14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21</w:t>
            </w:r>
          </w:p>
        </w:tc>
        <w:tc>
          <w:tcPr>
            <w:tcW w:w="140" w:type="dxa"/>
            <w:vAlign w:val="bottom"/>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(319)</w:t>
            </w:r>
          </w:p>
        </w:tc>
        <w:tc>
          <w:tcPr>
            <w:tcW w:w="20" w:type="dxa"/>
            <w:vAlign w:val="bottom"/>
            <w:tcBorders>
              <w:bottom w:val="single" w:sz="8" w:color="2C6937"/>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(388)</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69</w:t>
            </w:r>
          </w:p>
        </w:tc>
      </w:tr>
      <w:tr>
        <w:trPr>
          <w:trHeight w:val="196"/>
        </w:trPr>
        <w:tc>
          <w:tcPr>
            <w:tcW w:w="4060" w:type="dxa"/>
            <w:vAlign w:val="bottom"/>
            <w:gridSpan w:val="2"/>
          </w:tcPr>
          <w:p>
            <w:pPr>
              <w:ind w:left="20"/>
              <w:spacing w:after="0"/>
              <w:rPr>
                <w:sz w:val="20"/>
                <w:szCs w:val="20"/>
                <w:color w:val="auto"/>
              </w:rPr>
            </w:pPr>
            <w:r>
              <w:rPr>
                <w:rFonts w:ascii="Arial" w:cs="Arial" w:eastAsia="Arial" w:hAnsi="Arial"/>
                <w:sz w:val="15"/>
                <w:szCs w:val="15"/>
                <w:color w:val="auto"/>
              </w:rPr>
              <w:t>Income before federal income taxes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5,547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4,894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653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9,526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9,589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(63)</w:t>
            </w:r>
          </w:p>
        </w:tc>
      </w:tr>
      <w:tr>
        <w:trPr>
          <w:trHeight w:val="210"/>
        </w:trPr>
        <w:tc>
          <w:tcPr>
            <w:tcW w:w="39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Provision for federal income taxes</w:t>
            </w:r>
          </w:p>
        </w:tc>
        <w:tc>
          <w:tcPr>
            <w:tcW w:w="12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(1,153)</w:t>
            </w:r>
          </w:p>
        </w:tc>
        <w:tc>
          <w:tcPr>
            <w:tcW w:w="20" w:type="dxa"/>
            <w:vAlign w:val="bottom"/>
            <w:tcBorders>
              <w:bottom w:val="single" w:sz="8" w:color="2C6937"/>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(1,008)</w:t>
            </w:r>
          </w:p>
        </w:tc>
        <w:tc>
          <w:tcPr>
            <w:tcW w:w="14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(145)</w:t>
            </w:r>
          </w:p>
        </w:tc>
        <w:tc>
          <w:tcPr>
            <w:tcW w:w="140" w:type="dxa"/>
            <w:vAlign w:val="bottom"/>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(2,000)</w:t>
            </w:r>
          </w:p>
        </w:tc>
        <w:tc>
          <w:tcPr>
            <w:tcW w:w="20" w:type="dxa"/>
            <w:vAlign w:val="bottom"/>
            <w:tcBorders>
              <w:bottom w:val="single" w:sz="8" w:color="2C6937"/>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(1,994)</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w:t>
            </w:r>
          </w:p>
        </w:tc>
      </w:tr>
      <w:tr>
        <w:trPr>
          <w:trHeight w:val="199"/>
        </w:trPr>
        <w:tc>
          <w:tcPr>
            <w:tcW w:w="4060" w:type="dxa"/>
            <w:vAlign w:val="bottom"/>
            <w:gridSpan w:val="2"/>
          </w:tcPr>
          <w:p>
            <w:pPr>
              <w:ind w:left="180"/>
              <w:spacing w:after="0"/>
              <w:rPr>
                <w:sz w:val="20"/>
                <w:szCs w:val="20"/>
                <w:color w:val="auto"/>
              </w:rPr>
            </w:pPr>
            <w:r>
              <w:rPr>
                <w:rFonts w:ascii="Arial" w:cs="Arial" w:eastAsia="Arial" w:hAnsi="Arial"/>
                <w:sz w:val="15"/>
                <w:szCs w:val="15"/>
                <w:color w:val="auto"/>
              </w:rPr>
              <w:t>Net income</w:t>
            </w:r>
          </w:p>
        </w:tc>
        <w:tc>
          <w:tcPr>
            <w:tcW w:w="24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4,394</w:t>
            </w:r>
          </w:p>
        </w:tc>
        <w:tc>
          <w:tcPr>
            <w:tcW w:w="40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3,886</w:t>
            </w:r>
          </w:p>
        </w:tc>
        <w:tc>
          <w:tcPr>
            <w:tcW w:w="3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508</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7,526</w:t>
            </w:r>
          </w:p>
        </w:tc>
        <w:tc>
          <w:tcPr>
            <w:tcW w:w="4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7,595</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(69)</w:t>
            </w:r>
          </w:p>
        </w:tc>
      </w:tr>
      <w:tr>
        <w:trPr>
          <w:trHeight w:val="20"/>
        </w:trPr>
        <w:tc>
          <w:tcPr>
            <w:tcW w:w="39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r>
    </w:tbl>
    <w:p>
      <w:pPr>
        <w:spacing w:after="0" w:line="111" w:lineRule="exact"/>
        <w:rPr>
          <w:sz w:val="20"/>
          <w:szCs w:val="20"/>
          <w:color w:val="auto"/>
        </w:rPr>
      </w:pPr>
    </w:p>
    <w:p>
      <w:pPr>
        <w:ind w:left="240" w:hanging="237"/>
        <w:spacing w:after="0"/>
        <w:tabs>
          <w:tab w:leader="none" w:pos="240" w:val="left"/>
        </w:tabs>
        <w:numPr>
          <w:ilvl w:val="0"/>
          <w:numId w:val="33"/>
        </w:numPr>
        <w:rPr>
          <w:rFonts w:ascii="Arial" w:cs="Arial" w:eastAsia="Arial" w:hAnsi="Arial"/>
          <w:sz w:val="9"/>
          <w:szCs w:val="9"/>
          <w:color w:val="auto"/>
        </w:rPr>
      </w:pPr>
      <w:r>
        <w:rPr>
          <w:rFonts w:ascii="Arial" w:cs="Arial" w:eastAsia="Arial" w:hAnsi="Arial"/>
          <w:sz w:val="14"/>
          <w:szCs w:val="14"/>
          <w:color w:val="auto"/>
        </w:rPr>
        <w:t>See “Note 9, Segment Reporting” for information about our segment allocation methodology.</w:t>
      </w:r>
    </w:p>
    <w:p>
      <w:pPr>
        <w:spacing w:after="0" w:line="45" w:lineRule="exact"/>
        <w:rPr>
          <w:rFonts w:ascii="Arial" w:cs="Arial" w:eastAsia="Arial" w:hAnsi="Arial"/>
          <w:sz w:val="9"/>
          <w:szCs w:val="9"/>
          <w:color w:val="auto"/>
        </w:rPr>
      </w:pPr>
    </w:p>
    <w:p>
      <w:pPr>
        <w:ind w:left="240" w:right="100" w:hanging="237"/>
        <w:spacing w:after="0" w:line="269" w:lineRule="auto"/>
        <w:tabs>
          <w:tab w:leader="none" w:pos="240" w:val="left"/>
        </w:tabs>
        <w:numPr>
          <w:ilvl w:val="0"/>
          <w:numId w:val="33"/>
        </w:numPr>
        <w:rPr>
          <w:rFonts w:ascii="Arial" w:cs="Arial" w:eastAsia="Arial" w:hAnsi="Arial"/>
          <w:sz w:val="9"/>
          <w:szCs w:val="9"/>
          <w:color w:val="auto"/>
        </w:rPr>
      </w:pPr>
      <w:r>
        <w:rPr>
          <w:rFonts w:ascii="Arial" w:cs="Arial" w:eastAsia="Arial" w:hAnsi="Arial"/>
          <w:sz w:val="14"/>
          <w:szCs w:val="14"/>
          <w:color w:val="auto"/>
        </w:rPr>
        <w:t>Reflects the impact of a 10 basis point guaranty fee increase implemented pursuant to the TCCA, the incremental revenue from which is remitted to Treasury. The resulting revenue is included in “Net interest income” and the expense is recognized as “TCCA fees.”</w:t>
      </w:r>
    </w:p>
    <w:p>
      <w:pPr>
        <w:spacing w:after="0" w:line="8" w:lineRule="exact"/>
        <w:rPr>
          <w:rFonts w:ascii="Arial" w:cs="Arial" w:eastAsia="Arial" w:hAnsi="Arial"/>
          <w:sz w:val="9"/>
          <w:szCs w:val="9"/>
          <w:color w:val="auto"/>
        </w:rPr>
      </w:pPr>
    </w:p>
    <w:p>
      <w:pPr>
        <w:ind w:left="240" w:right="280" w:hanging="237"/>
        <w:spacing w:after="0" w:line="206" w:lineRule="auto"/>
        <w:tabs>
          <w:tab w:leader="none" w:pos="24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Includes estimated changes in benefits, as well as any realized amounts, from our single-family freestanding credit enhancements, which primarily relate to our CAS and CIRT</w:t>
      </w:r>
      <w:r>
        <w:rPr>
          <w:rFonts w:ascii="Arial" w:cs="Arial" w:eastAsia="Arial" w:hAnsi="Arial"/>
          <w:sz w:val="17"/>
          <w:szCs w:val="17"/>
          <w:color w:val="auto"/>
          <w:vertAlign w:val="superscript"/>
        </w:rPr>
        <w:t>TM</w:t>
      </w:r>
      <w:r>
        <w:rPr>
          <w:rFonts w:ascii="Arial" w:cs="Arial" w:eastAsia="Arial" w:hAnsi="Arial"/>
          <w:sz w:val="14"/>
          <w:szCs w:val="14"/>
          <w:color w:val="auto"/>
        </w:rPr>
        <w:t xml:space="preserve"> programs.</w:t>
      </w:r>
    </w:p>
    <w:p>
      <w:pPr>
        <w:spacing w:after="0" w:line="32" w:lineRule="exact"/>
        <w:rPr>
          <w:rFonts w:ascii="Arial" w:cs="Arial" w:eastAsia="Arial" w:hAnsi="Arial"/>
          <w:sz w:val="18"/>
          <w:szCs w:val="18"/>
          <w:color w:val="auto"/>
          <w:vertAlign w:val="superscript"/>
        </w:rPr>
      </w:pPr>
    </w:p>
    <w:p>
      <w:pPr>
        <w:ind w:left="240" w:right="580" w:hanging="237"/>
        <w:spacing w:after="0" w:line="214" w:lineRule="auto"/>
        <w:tabs>
          <w:tab w:leader="none" w:pos="24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Consists of debt extinguishment gains and losses, foreclosed property income (expense), gains and losses from partnership investments, housing trust fund expenses, loan subservicing costs, and servicer fees paid in connection with certain loss mitigation activities.</w:t>
      </w:r>
    </w:p>
    <w:p>
      <w:pPr>
        <w:spacing w:after="0" w:line="9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Net Interest Income</w:t>
      </w:r>
    </w:p>
    <w:p>
      <w:pPr>
        <w:spacing w:after="0" w:line="97" w:lineRule="exact"/>
        <w:rPr>
          <w:sz w:val="20"/>
          <w:szCs w:val="20"/>
          <w:color w:val="auto"/>
        </w:rPr>
      </w:pPr>
    </w:p>
    <w:p>
      <w:pPr>
        <w:ind w:right="220"/>
        <w:spacing w:after="0" w:line="283" w:lineRule="auto"/>
        <w:rPr>
          <w:sz w:val="20"/>
          <w:szCs w:val="20"/>
          <w:color w:val="auto"/>
        </w:rPr>
      </w:pPr>
      <w:r>
        <w:rPr>
          <w:rFonts w:ascii="Arial" w:cs="Arial" w:eastAsia="Arial" w:hAnsi="Arial"/>
          <w:sz w:val="16"/>
          <w:szCs w:val="16"/>
          <w:color w:val="auto"/>
        </w:rPr>
        <w:t>The decrease in single-family net interest income in the second quarter and first half of 2023 compared with the second quarter and first half of 2022 was primarily the result of lower net amortization income, partially offset by higher income from portfolios.</w:t>
      </w:r>
    </w:p>
    <w:p>
      <w:pPr>
        <w:spacing w:after="0" w:line="43" w:lineRule="exact"/>
        <w:rPr>
          <w:sz w:val="20"/>
          <w:szCs w:val="20"/>
          <w:color w:val="auto"/>
        </w:rPr>
      </w:pPr>
    </w:p>
    <w:p>
      <w:pPr>
        <w:ind w:right="540"/>
        <w:spacing w:after="0" w:line="283" w:lineRule="auto"/>
        <w:rPr>
          <w:sz w:val="20"/>
          <w:szCs w:val="20"/>
          <w:color w:val="auto"/>
        </w:rPr>
      </w:pPr>
      <w:r>
        <w:rPr>
          <w:rFonts w:ascii="Arial" w:cs="Arial" w:eastAsia="Arial" w:hAnsi="Arial"/>
          <w:sz w:val="16"/>
          <w:szCs w:val="16"/>
          <w:color w:val="auto"/>
        </w:rPr>
        <w:t>The drivers of net interest income for the Single-Family segment are consistent with the drivers of net interest income in our condensed consolidated statements of operations and comprehensive income, which we discuss in “Consolidated Results of Operations—Net Interest Income.”</w:t>
      </w:r>
    </w:p>
    <w:p>
      <w:pPr>
        <w:spacing w:after="0" w:line="6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Fair Value Gains, Net</w:t>
      </w:r>
    </w:p>
    <w:p>
      <w:pPr>
        <w:spacing w:after="0" w:line="71"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Fair value gains, net in the second quarter of 2023 were primarily driven by gains on risk management derivatives and long-term debt of consolidated trusts held at fair value, partially offset by losses on trading securities.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25</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840" w:type="dxa"/>
            <w:vAlign w:val="bottom"/>
            <w:tcBorders>
              <w:bottom w:val="single" w:sz="8" w:color="9A9A9A"/>
            </w:tcBorders>
          </w:tcPr>
          <w:p>
            <w:pPr>
              <w:spacing w:after="0"/>
              <w:rPr>
                <w:sz w:val="18"/>
                <w:szCs w:val="18"/>
                <w:color w:val="auto"/>
              </w:rPr>
            </w:pPr>
          </w:p>
        </w:tc>
        <w:tc>
          <w:tcPr>
            <w:tcW w:w="42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28" w:name="page29"/>
    <w:bookmarkEnd w:id="28"/>
    <w:p>
      <w:pPr>
        <w:ind w:left="6560"/>
        <w:spacing w:after="0"/>
        <w:rPr>
          <w:sz w:val="20"/>
          <w:szCs w:val="20"/>
          <w:color w:val="auto"/>
        </w:rPr>
      </w:pPr>
      <w:r>
        <w:rPr>
          <w:rFonts w:ascii="Arial" w:cs="Arial" w:eastAsia="Arial" w:hAnsi="Arial"/>
          <w:sz w:val="14"/>
          <w:szCs w:val="14"/>
          <w:color w:val="05314D"/>
        </w:rPr>
        <w:t>MD&amp;A | Single-Family Business | Single-Family Business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Fair value gains, net in the first half of 2023 were primarily driven by gains on risk management derivatives.</w:t>
      </w:r>
    </w:p>
    <w:p>
      <w:pPr>
        <w:spacing w:after="0" w:line="87" w:lineRule="exact"/>
        <w:rPr>
          <w:sz w:val="20"/>
          <w:szCs w:val="20"/>
          <w:color w:val="auto"/>
        </w:rPr>
      </w:pPr>
    </w:p>
    <w:p>
      <w:pPr>
        <w:ind w:right="220"/>
        <w:spacing w:after="0" w:line="276" w:lineRule="auto"/>
        <w:rPr>
          <w:sz w:val="20"/>
          <w:szCs w:val="20"/>
          <w:color w:val="auto"/>
        </w:rPr>
      </w:pPr>
      <w:r>
        <w:rPr>
          <w:rFonts w:ascii="Arial" w:cs="Arial" w:eastAsia="Arial" w:hAnsi="Arial"/>
          <w:sz w:val="16"/>
          <w:szCs w:val="16"/>
          <w:color w:val="auto"/>
        </w:rPr>
        <w:t>Fair value gains, net in the second quarter and first half of 2022 were driven by gains as a result of increases in the fair value of mortgage commitment derivatives and gains on the fair value of long-term debt of consolidated trusts held at fair value, which were partially offset by fair value losses on trading securities.</w:t>
      </w:r>
    </w:p>
    <w:p>
      <w:pPr>
        <w:spacing w:after="0" w:line="36" w:lineRule="exact"/>
        <w:rPr>
          <w:sz w:val="20"/>
          <w:szCs w:val="20"/>
          <w:color w:val="auto"/>
        </w:rPr>
      </w:pPr>
    </w:p>
    <w:p>
      <w:pPr>
        <w:ind w:right="460"/>
        <w:spacing w:after="0" w:line="283" w:lineRule="auto"/>
        <w:rPr>
          <w:sz w:val="20"/>
          <w:szCs w:val="20"/>
          <w:color w:val="auto"/>
        </w:rPr>
      </w:pPr>
      <w:r>
        <w:rPr>
          <w:rFonts w:ascii="Arial" w:cs="Arial" w:eastAsia="Arial" w:hAnsi="Arial"/>
          <w:sz w:val="16"/>
          <w:szCs w:val="16"/>
          <w:color w:val="auto"/>
        </w:rPr>
        <w:t>The drivers of fair value gains, net for the Single-Family segment are consistent with the drivers of fair value gains, net in our condensed consolidated statements of operations and comprehensive income, which we discuss in “Consolidated Results of Operations—Fair Value Gains, Net.”</w:t>
      </w:r>
    </w:p>
    <w:p>
      <w:pPr>
        <w:spacing w:after="0" w:line="6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Benefit (Provision) for Credit Losses</w:t>
      </w:r>
    </w:p>
    <w:p>
      <w:pPr>
        <w:spacing w:after="0" w:line="71" w:lineRule="exact"/>
        <w:rPr>
          <w:sz w:val="20"/>
          <w:szCs w:val="20"/>
          <w:color w:val="auto"/>
        </w:rPr>
      </w:pPr>
    </w:p>
    <w:p>
      <w:pPr>
        <w:ind w:right="380"/>
        <w:spacing w:after="0" w:line="283" w:lineRule="auto"/>
        <w:rPr>
          <w:sz w:val="20"/>
          <w:szCs w:val="20"/>
          <w:color w:val="auto"/>
        </w:rPr>
      </w:pPr>
      <w:r>
        <w:rPr>
          <w:rFonts w:ascii="Arial" w:cs="Arial" w:eastAsia="Arial" w:hAnsi="Arial"/>
          <w:sz w:val="16"/>
          <w:szCs w:val="16"/>
          <w:color w:val="auto"/>
        </w:rPr>
        <w:t>Our single-family benefit for credit losses in the second quarter and first half of 2023 was primarily driven by a benefit from actual and forecasted home prices, partially offset by a provision from changes in loan activity, which includes provision on newly acquired loans.</w:t>
      </w:r>
    </w:p>
    <w:p>
      <w:pPr>
        <w:spacing w:after="0" w:line="17"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largest driver of provision for credit losses for the second quarter and first half of 2022 was a provision for higher actual and projected interest rates due to interest rate increases in the first half of 2022. Some of the provision from increased actual and projected interest rates in the second quarter and first half of 2022 was offset by a benefit from actual and forecasted home price growth.</w:t>
      </w:r>
    </w:p>
    <w:p>
      <w:pPr>
        <w:spacing w:after="0" w:line="23"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See “Consolidated Results of Operations—Benefit (Provision) for Credit Losses” for more information on the primary factors that contributed to our single-family benefit or provision for credit losses.</w:t>
      </w:r>
    </w:p>
    <w:p>
      <w:pPr>
        <w:spacing w:after="0" w:line="72"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Single-Family Mortgage Credit Risk Management</w:t>
      </w:r>
    </w:p>
    <w:p>
      <w:pPr>
        <w:spacing w:after="0" w:line="77" w:lineRule="exact"/>
        <w:rPr>
          <w:sz w:val="20"/>
          <w:szCs w:val="20"/>
          <w:color w:val="auto"/>
        </w:rPr>
      </w:pPr>
    </w:p>
    <w:p>
      <w:pPr>
        <w:jc w:val="both"/>
        <w:ind w:right="40"/>
        <w:spacing w:after="0" w:line="267" w:lineRule="auto"/>
        <w:rPr>
          <w:sz w:val="20"/>
          <w:szCs w:val="20"/>
          <w:color w:val="auto"/>
        </w:rPr>
      </w:pPr>
      <w:r>
        <w:rPr>
          <w:rFonts w:ascii="Arial" w:cs="Arial" w:eastAsia="Arial" w:hAnsi="Arial"/>
          <w:sz w:val="16"/>
          <w:szCs w:val="16"/>
          <w:color w:val="auto"/>
        </w:rPr>
        <w:t>This section updates our discussion of single-family mortgage credit risk management in our 2022 Form 10-K. For additional information on our acquisition and servicing policies, underwriting and servicing standards, quality control process, repurchase requests, and representation and warranty framework, see “MD&amp;A—Single-Family Business—Single-Family Mortgage Credit Risk Management” in our 2022 Form 10-K.</w:t>
      </w:r>
    </w:p>
    <w:p>
      <w:pPr>
        <w:spacing w:after="0" w:line="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Single-Family Portfolio Diversification and Monitoring</w:t>
      </w:r>
    </w:p>
    <w:p>
      <w:pPr>
        <w:spacing w:after="0" w:line="84" w:lineRule="exact"/>
        <w:rPr>
          <w:sz w:val="20"/>
          <w:szCs w:val="20"/>
          <w:color w:val="auto"/>
        </w:rPr>
      </w:pPr>
    </w:p>
    <w:p>
      <w:pPr>
        <w:ind w:right="480"/>
        <w:spacing w:after="0" w:line="283" w:lineRule="auto"/>
        <w:rPr>
          <w:sz w:val="20"/>
          <w:szCs w:val="20"/>
          <w:color w:val="auto"/>
        </w:rPr>
      </w:pPr>
      <w:r>
        <w:rPr>
          <w:rFonts w:ascii="Arial" w:cs="Arial" w:eastAsia="Arial" w:hAnsi="Arial"/>
          <w:sz w:val="16"/>
          <w:szCs w:val="16"/>
          <w:color w:val="auto"/>
        </w:rPr>
        <w:t>The following table displays our single-family conventional business volumes and our single-family conventional guaranty book of business, based on certain key risk characteristics that we use to evaluate the risk profile and credit quality of our single-family loans.</w:t>
      </w:r>
    </w:p>
    <w:p>
      <w:pPr>
        <w:spacing w:after="0" w:line="30" w:lineRule="exact"/>
        <w:rPr>
          <w:sz w:val="20"/>
          <w:szCs w:val="20"/>
          <w:color w:val="auto"/>
        </w:rPr>
      </w:pPr>
    </w:p>
    <w:p>
      <w:pPr>
        <w:ind w:right="720"/>
        <w:spacing w:after="0" w:line="283" w:lineRule="auto"/>
        <w:rPr>
          <w:sz w:val="20"/>
          <w:szCs w:val="20"/>
          <w:color w:val="auto"/>
        </w:rPr>
      </w:pPr>
      <w:r>
        <w:rPr>
          <w:rFonts w:ascii="Arial" w:cs="Arial" w:eastAsia="Arial" w:hAnsi="Arial"/>
          <w:sz w:val="16"/>
          <w:szCs w:val="16"/>
          <w:color w:val="auto"/>
        </w:rPr>
        <w:t>We provide additional information on the credit characteristics of our single-family loans in quarterly financial supplements, which we furnish to the Securities and Exchange Commission (the “SEC”) with current reports on Form 8-K and make available on our website.</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26</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29" w:name="page30"/>
    <w:bookmarkEnd w:id="29"/>
    <w:p>
      <w:pPr>
        <w:ind w:left="608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Key Risk Characteristics of Single-Family Conventional Business Volume and Guaranty Book of Business</w:t>
      </w:r>
      <w:r>
        <w:rPr>
          <w:rFonts w:ascii="Arial" w:cs="Arial" w:eastAsia="Arial" w:hAnsi="Arial"/>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138670"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0" w:type="dxa"/>
            <w:vAlign w:val="bottom"/>
            <w:gridSpan w:val="9"/>
          </w:tcPr>
          <w:p>
            <w:pPr>
              <w:jc w:val="right"/>
              <w:ind w:right="111"/>
              <w:spacing w:after="0"/>
              <w:rPr>
                <w:sz w:val="20"/>
                <w:szCs w:val="20"/>
                <w:color w:val="auto"/>
              </w:rPr>
            </w:pPr>
            <w:r>
              <w:rPr>
                <w:rFonts w:ascii="Arial" w:cs="Arial" w:eastAsia="Arial" w:hAnsi="Arial"/>
                <w:sz w:val="14"/>
                <w:szCs w:val="14"/>
                <w:b w:val="1"/>
                <w:bCs w:val="1"/>
                <w:color w:val="auto"/>
              </w:rPr>
              <w:t>Percent of Single-Family Conventional Business Volume at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bottom w:val="single" w:sz="8" w:color="2C6937"/>
            </w:tcBorders>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1720" w:type="dxa"/>
            <w:vAlign w:val="bottom"/>
            <w:tcBorders>
              <w:bottom w:val="single" w:sz="8" w:color="2C6937"/>
            </w:tcBorders>
            <w:gridSpan w:val="3"/>
          </w:tcPr>
          <w:p>
            <w:pPr>
              <w:jc w:val="right"/>
              <w:ind w:right="471"/>
              <w:spacing w:after="0"/>
              <w:rPr>
                <w:sz w:val="20"/>
                <w:szCs w:val="20"/>
                <w:color w:val="auto"/>
              </w:rPr>
            </w:pPr>
            <w:r>
              <w:rPr>
                <w:rFonts w:ascii="Arial" w:cs="Arial" w:eastAsia="Arial" w:hAnsi="Arial"/>
                <w:sz w:val="14"/>
                <w:szCs w:val="14"/>
                <w:b w:val="1"/>
                <w:bCs w:val="1"/>
                <w:color w:val="auto"/>
              </w:rPr>
              <w:t>Acquisition</w:t>
            </w:r>
            <w:r>
              <w:rPr>
                <w:rFonts w:ascii="Arial" w:cs="Arial" w:eastAsia="Arial" w:hAnsi="Arial"/>
                <w:sz w:val="8"/>
                <w:szCs w:val="8"/>
                <w:b w:val="1"/>
                <w:bCs w:val="1"/>
                <w:color w:val="auto"/>
              </w:rPr>
              <w:t>(2)</w:t>
            </w:r>
          </w:p>
        </w:tc>
        <w:tc>
          <w:tcPr>
            <w:tcW w:w="260" w:type="dxa"/>
            <w:vAlign w:val="bottom"/>
            <w:tcBorders>
              <w:bottom w:val="single" w:sz="8" w:color="2C6937"/>
            </w:tcBorders>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660" w:type="dxa"/>
            <w:vAlign w:val="bottom"/>
            <w:tcBorders>
              <w:bottom w:val="single" w:sz="8" w:color="2C6937"/>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7"/>
              </w:rPr>
              <w:t>Percent of Single-Family Conventional</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9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7"/>
              </w:rPr>
              <w:t>For the Three Months Ended</w:t>
            </w:r>
          </w:p>
        </w:tc>
        <w:tc>
          <w:tcPr>
            <w:tcW w:w="260" w:type="dxa"/>
            <w:vAlign w:val="bottom"/>
          </w:tcPr>
          <w:p>
            <w:pPr>
              <w:spacing w:after="0"/>
              <w:rPr>
                <w:sz w:val="2"/>
                <w:szCs w:val="2"/>
                <w:color w:val="auto"/>
              </w:rPr>
            </w:pPr>
          </w:p>
        </w:tc>
        <w:tc>
          <w:tcPr>
            <w:tcW w:w="19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8"/>
              </w:rPr>
              <w:t>For the Six Months Ended</w:t>
            </w: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32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1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196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320" w:type="dxa"/>
            <w:vAlign w:val="bottom"/>
            <w:gridSpan w:val="4"/>
          </w:tcPr>
          <w:p>
            <w:pPr>
              <w:jc w:val="center"/>
              <w:spacing w:after="0" w:line="142" w:lineRule="exact"/>
              <w:rPr>
                <w:sz w:val="20"/>
                <w:szCs w:val="20"/>
                <w:color w:val="auto"/>
              </w:rPr>
            </w:pPr>
            <w:r>
              <w:rPr>
                <w:rFonts w:ascii="Arial" w:cs="Arial" w:eastAsia="Arial" w:hAnsi="Arial"/>
                <w:sz w:val="13"/>
                <w:szCs w:val="13"/>
                <w:b w:val="1"/>
                <w:bCs w:val="1"/>
                <w:color w:val="auto"/>
              </w:rPr>
              <w:t>Guaranty Book of Business</w:t>
            </w:r>
            <w:r>
              <w:rPr>
                <w:rFonts w:ascii="Arial" w:cs="Arial" w:eastAsia="Arial" w:hAnsi="Arial"/>
                <w:sz w:val="16"/>
                <w:szCs w:val="16"/>
                <w:b w:val="1"/>
                <w:bCs w:val="1"/>
                <w:color w:val="auto"/>
                <w:vertAlign w:val="superscript"/>
              </w:rPr>
              <w:t>(3)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3"/>
          </w:tcPr>
          <w:p>
            <w:pPr>
              <w:jc w:val="center"/>
              <w:ind w:left="571"/>
              <w:spacing w:after="0"/>
              <w:rPr>
                <w:sz w:val="20"/>
                <w:szCs w:val="20"/>
                <w:color w:val="auto"/>
              </w:rPr>
            </w:pPr>
            <w:r>
              <w:rPr>
                <w:rFonts w:ascii="Arial" w:cs="Arial" w:eastAsia="Arial" w:hAnsi="Arial"/>
                <w:sz w:val="14"/>
                <w:szCs w:val="14"/>
                <w:b w:val="1"/>
                <w:bCs w:val="1"/>
                <w:color w:val="auto"/>
                <w:w w:val="96"/>
              </w:rPr>
              <w:t>June 30,</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3"/>
          </w:tcPr>
          <w:p>
            <w:pPr>
              <w:jc w:val="center"/>
              <w:ind w:left="571"/>
              <w:spacing w:after="0"/>
              <w:rPr>
                <w:sz w:val="20"/>
                <w:szCs w:val="20"/>
                <w:color w:val="auto"/>
              </w:rPr>
            </w:pPr>
            <w:r>
              <w:rPr>
                <w:rFonts w:ascii="Arial" w:cs="Arial" w:eastAsia="Arial" w:hAnsi="Arial"/>
                <w:sz w:val="14"/>
                <w:szCs w:val="14"/>
                <w:b w:val="1"/>
                <w:bCs w:val="1"/>
                <w:color w:val="auto"/>
                <w:w w:val="96"/>
              </w:rPr>
              <w:t>June 30,</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As of</w:t>
            </w: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top w:val="single" w:sz="8" w:color="2C6937"/>
              <w:bottom w:val="single" w:sz="8" w:color="2C6937"/>
            </w:tcBorders>
          </w:tcPr>
          <w:p>
            <w:pPr>
              <w:jc w:val="right"/>
              <w:ind w:right="211"/>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2C6937"/>
            </w:tcBorders>
          </w:tcPr>
          <w:p>
            <w:pPr>
              <w:spacing w:after="0"/>
              <w:rPr>
                <w:sz w:val="16"/>
                <w:szCs w:val="16"/>
                <w:color w:val="auto"/>
              </w:rPr>
            </w:pPr>
          </w:p>
        </w:tc>
        <w:tc>
          <w:tcPr>
            <w:tcW w:w="220" w:type="dxa"/>
            <w:vAlign w:val="bottom"/>
            <w:tcBorders>
              <w:top w:val="single" w:sz="8" w:color="2C6937"/>
              <w:bottom w:val="single" w:sz="8" w:color="2C6937"/>
            </w:tcBorders>
          </w:tcPr>
          <w:p>
            <w:pPr>
              <w:spacing w:after="0"/>
              <w:rPr>
                <w:sz w:val="16"/>
                <w:szCs w:val="16"/>
                <w:color w:val="auto"/>
              </w:rPr>
            </w:pPr>
          </w:p>
        </w:tc>
        <w:tc>
          <w:tcPr>
            <w:tcW w:w="640" w:type="dxa"/>
            <w:vAlign w:val="bottom"/>
            <w:tcBorders>
              <w:top w:val="single" w:sz="8" w:color="2C6937"/>
              <w:bottom w:val="single" w:sz="8" w:color="2C6937"/>
            </w:tcBorders>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820" w:type="dxa"/>
            <w:vAlign w:val="bottom"/>
            <w:tcBorders>
              <w:top w:val="single" w:sz="8" w:color="2C6937"/>
              <w:bottom w:val="single" w:sz="8" w:color="2C6937"/>
            </w:tcBorders>
          </w:tcPr>
          <w:p>
            <w:pPr>
              <w:jc w:val="right"/>
              <w:ind w:right="191"/>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216C2B"/>
            </w:tcBorders>
          </w:tcPr>
          <w:p>
            <w:pPr>
              <w:spacing w:after="0"/>
              <w:rPr>
                <w:sz w:val="16"/>
                <w:szCs w:val="16"/>
                <w:color w:val="auto"/>
              </w:rPr>
            </w:pPr>
          </w:p>
        </w:tc>
        <w:tc>
          <w:tcPr>
            <w:tcW w:w="220" w:type="dxa"/>
            <w:vAlign w:val="bottom"/>
            <w:tcBorders>
              <w:top w:val="single" w:sz="8" w:color="216C2B"/>
              <w:bottom w:val="single" w:sz="8" w:color="2C6937"/>
            </w:tcBorders>
          </w:tcPr>
          <w:p>
            <w:pPr>
              <w:spacing w:after="0"/>
              <w:rPr>
                <w:sz w:val="16"/>
                <w:szCs w:val="16"/>
                <w:color w:val="auto"/>
              </w:rPr>
            </w:pPr>
          </w:p>
        </w:tc>
        <w:tc>
          <w:tcPr>
            <w:tcW w:w="660" w:type="dxa"/>
            <w:vAlign w:val="bottom"/>
            <w:tcBorders>
              <w:top w:val="single" w:sz="8" w:color="216C2B"/>
              <w:bottom w:val="single" w:sz="8" w:color="2C6937"/>
            </w:tcBorders>
          </w:tcPr>
          <w:p>
            <w:pPr>
              <w:jc w:val="right"/>
              <w:ind w:right="23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240" w:type="dxa"/>
            <w:vAlign w:val="bottom"/>
            <w:tcBorders>
              <w:top w:val="single" w:sz="8" w:color="2C6937"/>
              <w:bottom w:val="single" w:sz="8" w:color="2C6937"/>
            </w:tcBorders>
          </w:tcPr>
          <w:p>
            <w:pPr>
              <w:spacing w:after="0"/>
              <w:rPr>
                <w:sz w:val="16"/>
                <w:szCs w:val="16"/>
                <w:color w:val="auto"/>
              </w:rPr>
            </w:pPr>
          </w:p>
        </w:tc>
        <w:tc>
          <w:tcPr>
            <w:tcW w:w="1420" w:type="dxa"/>
            <w:vAlign w:val="bottom"/>
            <w:tcBorders>
              <w:top w:val="single" w:sz="8" w:color="2C6937"/>
              <w:bottom w:val="single" w:sz="8" w:color="2C6937"/>
            </w:tcBorders>
          </w:tcPr>
          <w:p>
            <w:pPr>
              <w:jc w:val="right"/>
              <w:ind w:right="311"/>
              <w:spacing w:after="0"/>
              <w:rPr>
                <w:sz w:val="20"/>
                <w:szCs w:val="20"/>
                <w:color w:val="auto"/>
              </w:rPr>
            </w:pPr>
            <w:r>
              <w:rPr>
                <w:rFonts w:ascii="Arial" w:cs="Arial" w:eastAsia="Arial" w:hAnsi="Arial"/>
                <w:sz w:val="14"/>
                <w:szCs w:val="14"/>
                <w:b w:val="1"/>
                <w:bCs w:val="1"/>
                <w:color w:val="auto"/>
              </w:rPr>
              <w:t>June 30, 2023</w:t>
            </w:r>
          </w:p>
        </w:tc>
        <w:tc>
          <w:tcPr>
            <w:tcW w:w="240" w:type="dxa"/>
            <w:vAlign w:val="bottom"/>
            <w:tcBorders>
              <w:top w:val="single" w:sz="8" w:color="2C6937"/>
            </w:tcBorders>
          </w:tcPr>
          <w:p>
            <w:pPr>
              <w:spacing w:after="0"/>
              <w:rPr>
                <w:sz w:val="16"/>
                <w:szCs w:val="16"/>
                <w:color w:val="auto"/>
              </w:rPr>
            </w:pPr>
          </w:p>
        </w:tc>
        <w:tc>
          <w:tcPr>
            <w:tcW w:w="200" w:type="dxa"/>
            <w:vAlign w:val="bottom"/>
            <w:tcBorders>
              <w:top w:val="single" w:sz="8" w:color="2C6937"/>
              <w:bottom w:val="single" w:sz="8" w:color="2C6937"/>
            </w:tcBorders>
          </w:tcPr>
          <w:p>
            <w:pPr>
              <w:spacing w:after="0"/>
              <w:rPr>
                <w:sz w:val="16"/>
                <w:szCs w:val="16"/>
                <w:color w:val="auto"/>
              </w:rPr>
            </w:pPr>
          </w:p>
        </w:tc>
        <w:tc>
          <w:tcPr>
            <w:tcW w:w="1460" w:type="dxa"/>
            <w:vAlign w:val="bottom"/>
            <w:tcBorders>
              <w:top w:val="single" w:sz="8" w:color="2C6937"/>
              <w:bottom w:val="single" w:sz="8" w:color="2C6937"/>
            </w:tcBorders>
          </w:tcPr>
          <w:p>
            <w:pPr>
              <w:jc w:val="right"/>
              <w:ind w:right="131"/>
              <w:spacing w:after="0"/>
              <w:rPr>
                <w:sz w:val="20"/>
                <w:szCs w:val="20"/>
                <w:color w:val="auto"/>
              </w:rPr>
            </w:pPr>
            <w:r>
              <w:rPr>
                <w:rFonts w:ascii="Arial" w:cs="Arial" w:eastAsia="Arial" w:hAnsi="Arial"/>
                <w:sz w:val="14"/>
                <w:szCs w:val="14"/>
                <w:b w:val="1"/>
                <w:bCs w:val="1"/>
                <w:color w:val="auto"/>
                <w:w w:val="98"/>
              </w:rPr>
              <w:t>December 31, 2022</w:t>
            </w:r>
          </w:p>
        </w:tc>
        <w:tc>
          <w:tcPr>
            <w:tcW w:w="20" w:type="dxa"/>
            <w:vAlign w:val="bottom"/>
            <w:tcBorders>
              <w:top w:val="single" w:sz="8" w:color="2C6937"/>
              <w:bottom w:val="single" w:sz="8" w:color="2C6937"/>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80" w:type="dxa"/>
            <w:vAlign w:val="bottom"/>
            <w:gridSpan w:val="3"/>
          </w:tcPr>
          <w:p>
            <w:pPr>
              <w:ind w:left="20"/>
              <w:spacing w:after="0"/>
              <w:rPr>
                <w:sz w:val="20"/>
                <w:szCs w:val="20"/>
                <w:color w:val="auto"/>
              </w:rPr>
            </w:pPr>
            <w:r>
              <w:rPr>
                <w:rFonts w:ascii="Arial" w:cs="Arial" w:eastAsia="Arial" w:hAnsi="Arial"/>
                <w:sz w:val="14"/>
                <w:szCs w:val="14"/>
                <w:b w:val="1"/>
                <w:bCs w:val="1"/>
                <w:color w:val="auto"/>
              </w:rPr>
              <w:t>Original loan-to-value (“LTV”) ratio:</w:t>
            </w:r>
            <w:r>
              <w:rPr>
                <w:rFonts w:ascii="Arial" w:cs="Arial" w:eastAsia="Arial" w:hAnsi="Arial"/>
                <w:sz w:val="8"/>
                <w:szCs w:val="8"/>
                <w:b w:val="1"/>
                <w:bCs w:val="1"/>
                <w:color w:val="auto"/>
              </w:rPr>
              <w:t>(4)</w:t>
            </w: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900" w:type="dxa"/>
            <w:vAlign w:val="bottom"/>
            <w:gridSpan w:val="2"/>
          </w:tcPr>
          <w:p>
            <w:pPr>
              <w:ind w:left="120"/>
              <w:spacing w:after="0"/>
              <w:rPr>
                <w:sz w:val="20"/>
                <w:szCs w:val="20"/>
                <w:color w:val="auto"/>
              </w:rPr>
            </w:pPr>
            <w:r>
              <w:rPr>
                <w:rFonts w:ascii="Arial" w:cs="Arial" w:eastAsia="Arial" w:hAnsi="Arial"/>
                <w:sz w:val="14"/>
                <w:szCs w:val="14"/>
                <w:color w:val="auto"/>
              </w:rPr>
              <w:t>&lt;= 60%</w:t>
            </w: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26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w:t>
            </w:r>
          </w:p>
        </w:tc>
        <w:tc>
          <w:tcPr>
            <w:tcW w:w="260" w:type="dxa"/>
            <w:vAlign w:val="bottom"/>
          </w:tcPr>
          <w:p>
            <w:pPr>
              <w:jc w:val="right"/>
              <w:ind w:right="51"/>
              <w:spacing w:after="0"/>
              <w:rPr>
                <w:sz w:val="20"/>
                <w:szCs w:val="20"/>
                <w:color w:val="auto"/>
              </w:rPr>
            </w:pPr>
            <w:r>
              <w:rPr>
                <w:rFonts w:ascii="Arial" w:cs="Arial" w:eastAsia="Arial" w:hAnsi="Arial"/>
                <w:sz w:val="14"/>
                <w:szCs w:val="14"/>
                <w:color w:val="auto"/>
                <w:w w:val="96"/>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260" w:type="dxa"/>
            <w:vAlign w:val="bottom"/>
          </w:tcPr>
          <w:p>
            <w:pPr>
              <w:jc w:val="right"/>
              <w:ind w:right="31"/>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25</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c>
          <w:tcPr>
            <w:tcW w:w="24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4"/>
                <w:szCs w:val="14"/>
                <w:b w:val="1"/>
                <w:bCs w:val="1"/>
                <w:color w:val="auto"/>
              </w:rPr>
              <w:t>26</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26</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880" w:type="dxa"/>
            <w:vAlign w:val="bottom"/>
            <w:gridSpan w:val="2"/>
          </w:tcPr>
          <w:p>
            <w:pPr>
              <w:ind w:left="20"/>
              <w:spacing w:after="0"/>
              <w:rPr>
                <w:sz w:val="20"/>
                <w:szCs w:val="20"/>
                <w:color w:val="auto"/>
              </w:rPr>
            </w:pPr>
            <w:r>
              <w:rPr>
                <w:rFonts w:ascii="Arial" w:cs="Arial" w:eastAsia="Arial" w:hAnsi="Arial"/>
                <w:sz w:val="14"/>
                <w:szCs w:val="14"/>
                <w:color w:val="auto"/>
              </w:rPr>
              <w:t>60.01% to 70%</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Arial" w:cs="Arial" w:eastAsia="Arial" w:hAnsi="Arial"/>
                <w:sz w:val="14"/>
                <w:szCs w:val="14"/>
                <w:b w:val="1"/>
                <w:bCs w:val="1"/>
                <w:color w:val="auto"/>
              </w:rPr>
              <w:t>14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880" w:type="dxa"/>
            <w:vAlign w:val="bottom"/>
            <w:gridSpan w:val="2"/>
          </w:tcPr>
          <w:p>
            <w:pPr>
              <w:ind w:left="20"/>
              <w:spacing w:after="0"/>
              <w:rPr>
                <w:sz w:val="20"/>
                <w:szCs w:val="20"/>
                <w:color w:val="auto"/>
              </w:rPr>
            </w:pPr>
            <w:r>
              <w:rPr>
                <w:rFonts w:ascii="Arial" w:cs="Arial" w:eastAsia="Arial" w:hAnsi="Arial"/>
                <w:sz w:val="14"/>
                <w:szCs w:val="14"/>
                <w:color w:val="auto"/>
              </w:rPr>
              <w:t>70.01% to 80%</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33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Arial" w:cs="Arial" w:eastAsia="Arial" w:hAnsi="Arial"/>
                <w:sz w:val="14"/>
                <w:szCs w:val="14"/>
                <w:b w:val="1"/>
                <w:bCs w:val="1"/>
                <w:color w:val="auto"/>
              </w:rPr>
              <w:t>33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880" w:type="dxa"/>
            <w:vAlign w:val="bottom"/>
            <w:gridSpan w:val="2"/>
          </w:tcPr>
          <w:p>
            <w:pPr>
              <w:ind w:left="20"/>
              <w:spacing w:after="0"/>
              <w:rPr>
                <w:sz w:val="20"/>
                <w:szCs w:val="20"/>
                <w:color w:val="auto"/>
              </w:rPr>
            </w:pPr>
            <w:r>
              <w:rPr>
                <w:rFonts w:ascii="Arial" w:cs="Arial" w:eastAsia="Arial" w:hAnsi="Arial"/>
                <w:sz w:val="14"/>
                <w:szCs w:val="14"/>
                <w:color w:val="auto"/>
              </w:rPr>
              <w:t>80.01% to 90%</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Arial" w:cs="Arial" w:eastAsia="Arial" w:hAnsi="Arial"/>
                <w:sz w:val="14"/>
                <w:szCs w:val="14"/>
                <w:b w:val="1"/>
                <w:bCs w:val="1"/>
                <w:color w:val="auto"/>
              </w:rPr>
              <w:t>11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2880" w:type="dxa"/>
            <w:vAlign w:val="bottom"/>
            <w:gridSpan w:val="2"/>
          </w:tcPr>
          <w:p>
            <w:pPr>
              <w:ind w:left="20"/>
              <w:spacing w:after="0"/>
              <w:rPr>
                <w:sz w:val="20"/>
                <w:szCs w:val="20"/>
                <w:color w:val="auto"/>
              </w:rPr>
            </w:pPr>
            <w:r>
              <w:rPr>
                <w:rFonts w:ascii="Arial" w:cs="Arial" w:eastAsia="Arial" w:hAnsi="Arial"/>
                <w:sz w:val="14"/>
                <w:szCs w:val="14"/>
                <w:color w:val="auto"/>
              </w:rPr>
              <w:t>90.01% to 95%</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ind w:right="11"/>
              <w:spacing w:after="0"/>
              <w:rPr>
                <w:sz w:val="20"/>
                <w:szCs w:val="20"/>
                <w:color w:val="auto"/>
              </w:rPr>
            </w:pPr>
            <w:r>
              <w:rPr>
                <w:rFonts w:ascii="Arial" w:cs="Arial" w:eastAsia="Arial" w:hAnsi="Arial"/>
                <w:sz w:val="14"/>
                <w:szCs w:val="14"/>
                <w:b w:val="1"/>
                <w:bCs w:val="1"/>
                <w:color w:val="auto"/>
              </w:rPr>
              <w:t>11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880" w:type="dxa"/>
            <w:vAlign w:val="bottom"/>
            <w:gridSpan w:val="2"/>
          </w:tcPr>
          <w:p>
            <w:pPr>
              <w:ind w:left="20"/>
              <w:spacing w:after="0"/>
              <w:rPr>
                <w:sz w:val="20"/>
                <w:szCs w:val="20"/>
                <w:color w:val="auto"/>
              </w:rPr>
            </w:pPr>
            <w:r>
              <w:rPr>
                <w:rFonts w:ascii="Arial" w:cs="Arial" w:eastAsia="Arial" w:hAnsi="Arial"/>
                <w:sz w:val="14"/>
                <w:szCs w:val="14"/>
                <w:color w:val="auto"/>
              </w:rPr>
              <w:t>95.01% to 100%</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 w:type="dxa"/>
            <w:vAlign w:val="bottom"/>
            <w:tcBorders>
              <w:bottom w:val="single" w:sz="8" w:color="2C6937"/>
            </w:tcBorders>
          </w:tcPr>
          <w:p>
            <w:pPr>
              <w:spacing w:after="0"/>
              <w:rPr>
                <w:sz w:val="19"/>
                <w:szCs w:val="19"/>
                <w:color w:val="auto"/>
              </w:rPr>
            </w:pPr>
          </w:p>
        </w:tc>
        <w:tc>
          <w:tcPr>
            <w:tcW w:w="280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Greater than 100%</w:t>
            </w:r>
          </w:p>
        </w:tc>
        <w:tc>
          <w:tcPr>
            <w:tcW w:w="80" w:type="dxa"/>
            <w:vAlign w:val="bottom"/>
          </w:tcPr>
          <w:p>
            <w:pPr>
              <w:spacing w:after="0"/>
              <w:rPr>
                <w:sz w:val="19"/>
                <w:szCs w:val="19"/>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142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14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w:t>
            </w:r>
          </w:p>
        </w:tc>
        <w:tc>
          <w:tcPr>
            <w:tcW w:w="20" w:type="dxa"/>
            <w:vAlign w:val="bottom"/>
            <w:tcBorders>
              <w:bottom w:val="single" w:sz="8" w:color="2C6937"/>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288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right"/>
              <w:ind w:right="51"/>
              <w:spacing w:after="0"/>
              <w:rPr>
                <w:sz w:val="20"/>
                <w:szCs w:val="20"/>
                <w:color w:val="auto"/>
              </w:rPr>
            </w:pPr>
            <w:r>
              <w:rPr>
                <w:rFonts w:ascii="Arial" w:cs="Arial" w:eastAsia="Arial" w:hAnsi="Arial"/>
                <w:sz w:val="14"/>
                <w:szCs w:val="14"/>
                <w:color w:val="auto"/>
                <w:w w:val="96"/>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jc w:val="right"/>
              <w:ind w:right="31"/>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c>
          <w:tcPr>
            <w:tcW w:w="24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2C6937"/>
              <w:bottom w:val="single" w:sz="8" w:color="2C6937"/>
            </w:tcBorders>
          </w:tcPr>
          <w:p>
            <w:pPr>
              <w:spacing w:after="0" w:line="20" w:lineRule="exact"/>
              <w:rPr>
                <w:sz w:val="1"/>
                <w:szCs w:val="1"/>
                <w:color w:val="auto"/>
              </w:rPr>
            </w:pPr>
          </w:p>
        </w:tc>
        <w:tc>
          <w:tcPr>
            <w:tcW w:w="28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bottom w:val="single" w:sz="8" w:color="CBC8C3"/>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Borders>
              <w:bottom w:val="single" w:sz="8" w:color="CBC8C3"/>
            </w:tcBorders>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Borders>
              <w:bottom w:val="single" w:sz="8" w:color="CBC8C3"/>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Borders>
              <w:bottom w:val="single" w:sz="8" w:color="CBC8C3"/>
            </w:tcBorders>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142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46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bottom w:val="single" w:sz="8" w:color="CBC8C3"/>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00" w:type="dxa"/>
            <w:vAlign w:val="bottom"/>
            <w:shd w:val="clear" w:color="auto" w:fill="CBC8C3"/>
          </w:tcPr>
          <w:p>
            <w:pPr>
              <w:spacing w:after="0"/>
              <w:rPr>
                <w:sz w:val="17"/>
                <w:szCs w:val="17"/>
                <w:color w:val="auto"/>
              </w:rPr>
            </w:pPr>
          </w:p>
        </w:tc>
        <w:tc>
          <w:tcPr>
            <w:tcW w:w="2880" w:type="dxa"/>
            <w:vAlign w:val="bottom"/>
            <w:gridSpan w:val="2"/>
            <w:shd w:val="clear" w:color="auto" w:fill="CBC8C3"/>
          </w:tcPr>
          <w:p>
            <w:pPr>
              <w:ind w:left="120"/>
              <w:spacing w:after="0"/>
              <w:rPr>
                <w:sz w:val="20"/>
                <w:szCs w:val="20"/>
                <w:color w:val="auto"/>
              </w:rPr>
            </w:pPr>
            <w:r>
              <w:rPr>
                <w:rFonts w:ascii="Arial" w:cs="Arial" w:eastAsia="Arial" w:hAnsi="Arial"/>
                <w:sz w:val="14"/>
                <w:szCs w:val="14"/>
                <w:b w:val="1"/>
                <w:bCs w:val="1"/>
                <w:i w:val="1"/>
                <w:iCs w:val="1"/>
                <w:color w:val="auto"/>
              </w:rPr>
              <w:t>Weighted average</w:t>
            </w:r>
          </w:p>
        </w:tc>
        <w:tc>
          <w:tcPr>
            <w:tcW w:w="86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78</w:t>
            </w:r>
          </w:p>
        </w:tc>
        <w:tc>
          <w:tcPr>
            <w:tcW w:w="260" w:type="dxa"/>
            <w:vAlign w:val="bottom"/>
            <w:shd w:val="clear" w:color="auto" w:fill="CBC8C3"/>
          </w:tcPr>
          <w:p>
            <w:pPr>
              <w:jc w:val="right"/>
              <w:ind w:right="51"/>
              <w:spacing w:after="0"/>
              <w:rPr>
                <w:sz w:val="20"/>
                <w:szCs w:val="20"/>
                <w:color w:val="auto"/>
              </w:rPr>
            </w:pPr>
            <w:r>
              <w:rPr>
                <w:rFonts w:ascii="Arial" w:cs="Arial" w:eastAsia="Arial" w:hAnsi="Arial"/>
                <w:sz w:val="14"/>
                <w:szCs w:val="14"/>
                <w:b w:val="1"/>
                <w:bCs w:val="1"/>
                <w:i w:val="1"/>
                <w:iCs w:val="1"/>
                <w:color w:val="auto"/>
                <w:w w:val="96"/>
              </w:rPr>
              <w:t>%</w:t>
            </w:r>
          </w:p>
        </w:tc>
        <w:tc>
          <w:tcPr>
            <w:tcW w:w="220" w:type="dxa"/>
            <w:vAlign w:val="bottom"/>
            <w:shd w:val="clear" w:color="auto" w:fill="CBC8C3"/>
          </w:tcPr>
          <w:p>
            <w:pPr>
              <w:spacing w:after="0"/>
              <w:rPr>
                <w:sz w:val="17"/>
                <w:szCs w:val="17"/>
                <w:color w:val="auto"/>
              </w:rPr>
            </w:pPr>
          </w:p>
        </w:tc>
        <w:tc>
          <w:tcPr>
            <w:tcW w:w="64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75</w:t>
            </w:r>
          </w:p>
        </w:tc>
        <w:tc>
          <w:tcPr>
            <w:tcW w:w="260" w:type="dxa"/>
            <w:vAlign w:val="bottom"/>
            <w:shd w:val="clear" w:color="auto" w:fill="CBC8C3"/>
          </w:tcPr>
          <w:p>
            <w:pPr>
              <w:jc w:val="right"/>
              <w:ind w:right="51"/>
              <w:spacing w:after="0"/>
              <w:rPr>
                <w:sz w:val="20"/>
                <w:szCs w:val="20"/>
                <w:color w:val="auto"/>
              </w:rPr>
            </w:pPr>
            <w:r>
              <w:rPr>
                <w:rFonts w:ascii="Arial" w:cs="Arial" w:eastAsia="Arial" w:hAnsi="Arial"/>
                <w:sz w:val="14"/>
                <w:szCs w:val="14"/>
                <w:i w:val="1"/>
                <w:iCs w:val="1"/>
                <w:color w:val="auto"/>
                <w:w w:val="96"/>
              </w:rPr>
              <w:t>%</w:t>
            </w:r>
          </w:p>
        </w:tc>
        <w:tc>
          <w:tcPr>
            <w:tcW w:w="82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78</w:t>
            </w:r>
          </w:p>
        </w:tc>
        <w:tc>
          <w:tcPr>
            <w:tcW w:w="260" w:type="dxa"/>
            <w:vAlign w:val="bottom"/>
            <w:shd w:val="clear" w:color="auto" w:fill="CBC8C3"/>
          </w:tcPr>
          <w:p>
            <w:pPr>
              <w:jc w:val="right"/>
              <w:ind w:right="31"/>
              <w:spacing w:after="0"/>
              <w:rPr>
                <w:sz w:val="20"/>
                <w:szCs w:val="20"/>
                <w:color w:val="auto"/>
              </w:rPr>
            </w:pPr>
            <w:r>
              <w:rPr>
                <w:rFonts w:ascii="Arial" w:cs="Arial" w:eastAsia="Arial" w:hAnsi="Arial"/>
                <w:sz w:val="14"/>
                <w:szCs w:val="14"/>
                <w:b w:val="1"/>
                <w:bCs w:val="1"/>
                <w:i w:val="1"/>
                <w:iCs w:val="1"/>
                <w:color w:val="auto"/>
              </w:rPr>
              <w:t>%</w:t>
            </w:r>
          </w:p>
        </w:tc>
        <w:tc>
          <w:tcPr>
            <w:tcW w:w="220" w:type="dxa"/>
            <w:vAlign w:val="bottom"/>
            <w:shd w:val="clear" w:color="auto" w:fill="CBC8C3"/>
          </w:tcPr>
          <w:p>
            <w:pPr>
              <w:spacing w:after="0"/>
              <w:rPr>
                <w:sz w:val="17"/>
                <w:szCs w:val="17"/>
                <w:color w:val="auto"/>
              </w:rPr>
            </w:pPr>
          </w:p>
        </w:tc>
        <w:tc>
          <w:tcPr>
            <w:tcW w:w="660" w:type="dxa"/>
            <w:vAlign w:val="bottom"/>
            <w:shd w:val="clear" w:color="auto" w:fill="CBC8C3"/>
          </w:tcPr>
          <w:p>
            <w:pPr>
              <w:jc w:val="right"/>
              <w:ind w:right="11"/>
              <w:spacing w:after="0"/>
              <w:rPr>
                <w:sz w:val="20"/>
                <w:szCs w:val="20"/>
                <w:color w:val="auto"/>
              </w:rPr>
            </w:pPr>
            <w:r>
              <w:rPr>
                <w:rFonts w:ascii="Arial" w:cs="Arial" w:eastAsia="Arial" w:hAnsi="Arial"/>
                <w:sz w:val="14"/>
                <w:szCs w:val="14"/>
                <w:i w:val="1"/>
                <w:iCs w:val="1"/>
                <w:color w:val="auto"/>
              </w:rPr>
              <w:t>73</w:t>
            </w:r>
          </w:p>
        </w:tc>
        <w:tc>
          <w:tcPr>
            <w:tcW w:w="240" w:type="dxa"/>
            <w:vAlign w:val="bottom"/>
            <w:shd w:val="clear" w:color="auto" w:fill="CBC8C3"/>
          </w:tcPr>
          <w:p>
            <w:pPr>
              <w:jc w:val="right"/>
              <w:ind w:right="31"/>
              <w:spacing w:after="0"/>
              <w:rPr>
                <w:sz w:val="20"/>
                <w:szCs w:val="20"/>
                <w:color w:val="auto"/>
              </w:rPr>
            </w:pPr>
            <w:r>
              <w:rPr>
                <w:rFonts w:ascii="Arial" w:cs="Arial" w:eastAsia="Arial" w:hAnsi="Arial"/>
                <w:sz w:val="14"/>
                <w:szCs w:val="14"/>
                <w:i w:val="1"/>
                <w:iCs w:val="1"/>
                <w:color w:val="auto"/>
                <w:w w:val="96"/>
              </w:rPr>
              <w:t>%</w:t>
            </w:r>
          </w:p>
        </w:tc>
        <w:tc>
          <w:tcPr>
            <w:tcW w:w="240" w:type="dxa"/>
            <w:vAlign w:val="bottom"/>
            <w:shd w:val="clear" w:color="auto" w:fill="CBC8C3"/>
          </w:tcPr>
          <w:p>
            <w:pPr>
              <w:spacing w:after="0"/>
              <w:rPr>
                <w:sz w:val="17"/>
                <w:szCs w:val="17"/>
                <w:color w:val="auto"/>
              </w:rPr>
            </w:pPr>
          </w:p>
        </w:tc>
        <w:tc>
          <w:tcPr>
            <w:tcW w:w="1420" w:type="dxa"/>
            <w:vAlign w:val="bottom"/>
            <w:shd w:val="clear" w:color="auto" w:fill="CBC8C3"/>
          </w:tcPr>
          <w:p>
            <w:pPr>
              <w:jc w:val="right"/>
              <w:ind w:right="11"/>
              <w:spacing w:after="0"/>
              <w:rPr>
                <w:sz w:val="20"/>
                <w:szCs w:val="20"/>
                <w:color w:val="auto"/>
              </w:rPr>
            </w:pPr>
            <w:r>
              <w:rPr>
                <w:rFonts w:ascii="Arial" w:cs="Arial" w:eastAsia="Arial" w:hAnsi="Arial"/>
                <w:sz w:val="14"/>
                <w:szCs w:val="14"/>
                <w:b w:val="1"/>
                <w:bCs w:val="1"/>
                <w:i w:val="1"/>
                <w:iCs w:val="1"/>
                <w:color w:val="auto"/>
              </w:rPr>
              <w:t>73</w:t>
            </w:r>
          </w:p>
        </w:tc>
        <w:tc>
          <w:tcPr>
            <w:tcW w:w="240" w:type="dxa"/>
            <w:vAlign w:val="bottom"/>
            <w:shd w:val="clear" w:color="auto" w:fill="CBC8C3"/>
          </w:tcPr>
          <w:p>
            <w:pPr>
              <w:jc w:val="right"/>
              <w:ind w:right="31"/>
              <w:spacing w:after="0"/>
              <w:rPr>
                <w:sz w:val="20"/>
                <w:szCs w:val="20"/>
                <w:color w:val="auto"/>
              </w:rPr>
            </w:pPr>
            <w:r>
              <w:rPr>
                <w:rFonts w:ascii="Arial" w:cs="Arial" w:eastAsia="Arial" w:hAnsi="Arial"/>
                <w:sz w:val="14"/>
                <w:szCs w:val="14"/>
                <w:b w:val="1"/>
                <w:bCs w:val="1"/>
                <w:i w:val="1"/>
                <w:iCs w:val="1"/>
                <w:color w:val="auto"/>
                <w:w w:val="96"/>
              </w:rPr>
              <w:t>%</w:t>
            </w:r>
          </w:p>
        </w:tc>
        <w:tc>
          <w:tcPr>
            <w:tcW w:w="200" w:type="dxa"/>
            <w:vAlign w:val="bottom"/>
            <w:shd w:val="clear" w:color="auto" w:fill="CBC8C3"/>
          </w:tcPr>
          <w:p>
            <w:pPr>
              <w:spacing w:after="0"/>
              <w:rPr>
                <w:sz w:val="17"/>
                <w:szCs w:val="17"/>
                <w:color w:val="auto"/>
              </w:rPr>
            </w:pPr>
          </w:p>
        </w:tc>
        <w:tc>
          <w:tcPr>
            <w:tcW w:w="146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72</w:t>
            </w:r>
          </w:p>
        </w:tc>
        <w:tc>
          <w:tcPr>
            <w:tcW w:w="160" w:type="dxa"/>
            <w:vAlign w:val="bottom"/>
            <w:gridSpan w:val="2"/>
            <w:shd w:val="clear" w:color="auto" w:fill="CBC8C3"/>
          </w:tcPr>
          <w:p>
            <w:pPr>
              <w:jc w:val="right"/>
              <w:spacing w:after="0"/>
              <w:rPr>
                <w:sz w:val="20"/>
                <w:szCs w:val="20"/>
                <w:color w:val="auto"/>
              </w:rPr>
            </w:pPr>
            <w:r>
              <w:rPr>
                <w:rFonts w:ascii="Arial" w:cs="Arial" w:eastAsia="Arial" w:hAnsi="Arial"/>
                <w:sz w:val="14"/>
                <w:szCs w:val="14"/>
                <w:i w:val="1"/>
                <w:iCs w:val="1"/>
                <w:color w:val="auto"/>
              </w:rPr>
              <w:t>%</w:t>
            </w:r>
          </w:p>
        </w:tc>
        <w:tc>
          <w:tcPr>
            <w:tcW w:w="100" w:type="dxa"/>
            <w:vAlign w:val="bottom"/>
            <w:shd w:val="clear" w:color="auto" w:fill="CBC8C3"/>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980" w:type="dxa"/>
            <w:vAlign w:val="bottom"/>
            <w:gridSpan w:val="3"/>
          </w:tcPr>
          <w:p>
            <w:pPr>
              <w:ind w:left="20"/>
              <w:spacing w:after="0"/>
              <w:rPr>
                <w:sz w:val="20"/>
                <w:szCs w:val="20"/>
                <w:color w:val="auto"/>
              </w:rPr>
            </w:pPr>
            <w:r>
              <w:rPr>
                <w:rFonts w:ascii="Arial" w:cs="Arial" w:eastAsia="Arial" w:hAnsi="Arial"/>
                <w:sz w:val="14"/>
                <w:szCs w:val="14"/>
                <w:color w:val="auto"/>
              </w:rPr>
              <w:t>Average loan amount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   317,748</w:t>
            </w: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300,556</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   316,117</w:t>
            </w: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299,852</w:t>
            </w:r>
          </w:p>
        </w:tc>
        <w:tc>
          <w:tcPr>
            <w:tcW w:w="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ind w:right="11"/>
              <w:spacing w:after="0"/>
              <w:rPr>
                <w:sz w:val="20"/>
                <w:szCs w:val="20"/>
                <w:color w:val="auto"/>
              </w:rPr>
            </w:pPr>
            <w:r>
              <w:rPr>
                <w:rFonts w:ascii="Arial" w:cs="Arial" w:eastAsia="Arial" w:hAnsi="Arial"/>
                <w:sz w:val="14"/>
                <w:szCs w:val="14"/>
                <w:b w:val="1"/>
                <w:bCs w:val="1"/>
                <w:color w:val="auto"/>
              </w:rPr>
              <w:t>206,929</w:t>
            </w: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206,049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gridSpan w:val="3"/>
          </w:tcPr>
          <w:p>
            <w:pPr>
              <w:ind w:left="20"/>
              <w:spacing w:after="0"/>
              <w:rPr>
                <w:sz w:val="20"/>
                <w:szCs w:val="20"/>
                <w:color w:val="auto"/>
              </w:rPr>
            </w:pPr>
            <w:r>
              <w:rPr>
                <w:rFonts w:ascii="Arial" w:cs="Arial" w:eastAsia="Arial" w:hAnsi="Arial"/>
                <w:sz w:val="14"/>
                <w:szCs w:val="14"/>
                <w:color w:val="auto"/>
              </w:rPr>
              <w:t>Loan count (in thousands)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281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573</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496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1,373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Arial" w:cs="Arial" w:eastAsia="Arial" w:hAnsi="Arial"/>
                <w:sz w:val="14"/>
                <w:szCs w:val="14"/>
                <w:b w:val="1"/>
                <w:bCs w:val="1"/>
                <w:color w:val="auto"/>
              </w:rPr>
              <w:t>17,554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17,643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980" w:type="dxa"/>
            <w:vAlign w:val="bottom"/>
            <w:gridSpan w:val="3"/>
          </w:tcPr>
          <w:p>
            <w:pPr>
              <w:ind w:left="20"/>
              <w:spacing w:after="0"/>
              <w:rPr>
                <w:sz w:val="20"/>
                <w:szCs w:val="20"/>
                <w:color w:val="auto"/>
              </w:rPr>
            </w:pPr>
            <w:r>
              <w:rPr>
                <w:rFonts w:ascii="Arial" w:cs="Arial" w:eastAsia="Arial" w:hAnsi="Arial"/>
                <w:sz w:val="14"/>
                <w:szCs w:val="14"/>
                <w:b w:val="1"/>
                <w:bCs w:val="1"/>
                <w:color w:val="auto"/>
              </w:rPr>
              <w:t>Estimated mark-to-market LTV ratio:</w:t>
            </w:r>
            <w:r>
              <w:rPr>
                <w:rFonts w:ascii="Arial" w:cs="Arial" w:eastAsia="Arial" w:hAnsi="Arial"/>
                <w:sz w:val="17"/>
                <w:szCs w:val="17"/>
                <w:b w:val="1"/>
                <w:bCs w:val="1"/>
                <w:color w:val="auto"/>
                <w:vertAlign w:val="superscript"/>
              </w:rPr>
              <w:t>(5)</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900" w:type="dxa"/>
            <w:vAlign w:val="bottom"/>
            <w:gridSpan w:val="2"/>
          </w:tcPr>
          <w:p>
            <w:pPr>
              <w:ind w:left="120"/>
              <w:spacing w:after="0"/>
              <w:rPr>
                <w:sz w:val="20"/>
                <w:szCs w:val="20"/>
                <w:color w:val="auto"/>
              </w:rPr>
            </w:pPr>
            <w:r>
              <w:rPr>
                <w:rFonts w:ascii="Arial" w:cs="Arial" w:eastAsia="Arial" w:hAnsi="Arial"/>
                <w:sz w:val="14"/>
                <w:szCs w:val="14"/>
                <w:color w:val="auto"/>
              </w:rPr>
              <w:t>&lt;= 60%</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ind w:right="11"/>
              <w:spacing w:after="0"/>
              <w:rPr>
                <w:sz w:val="20"/>
                <w:szCs w:val="20"/>
                <w:color w:val="auto"/>
              </w:rPr>
            </w:pPr>
            <w:r>
              <w:rPr>
                <w:rFonts w:ascii="Arial" w:cs="Arial" w:eastAsia="Arial" w:hAnsi="Arial"/>
                <w:sz w:val="14"/>
                <w:szCs w:val="14"/>
                <w:b w:val="1"/>
                <w:bCs w:val="1"/>
                <w:color w:val="auto"/>
              </w:rPr>
              <w:t>68</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66</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880" w:type="dxa"/>
            <w:vAlign w:val="bottom"/>
            <w:gridSpan w:val="2"/>
          </w:tcPr>
          <w:p>
            <w:pPr>
              <w:ind w:left="20"/>
              <w:spacing w:after="0"/>
              <w:rPr>
                <w:sz w:val="20"/>
                <w:szCs w:val="20"/>
                <w:color w:val="auto"/>
              </w:rPr>
            </w:pPr>
            <w:r>
              <w:rPr>
                <w:rFonts w:ascii="Arial" w:cs="Arial" w:eastAsia="Arial" w:hAnsi="Arial"/>
                <w:sz w:val="14"/>
                <w:szCs w:val="14"/>
                <w:color w:val="auto"/>
              </w:rPr>
              <w:t>60.01% to 70%</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Arial" w:cs="Arial" w:eastAsia="Arial" w:hAnsi="Arial"/>
                <w:sz w:val="14"/>
                <w:szCs w:val="14"/>
                <w:b w:val="1"/>
                <w:bCs w:val="1"/>
                <w:color w:val="auto"/>
              </w:rPr>
              <w:t>15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2880" w:type="dxa"/>
            <w:vAlign w:val="bottom"/>
            <w:gridSpan w:val="2"/>
          </w:tcPr>
          <w:p>
            <w:pPr>
              <w:ind w:left="20"/>
              <w:spacing w:after="0"/>
              <w:rPr>
                <w:sz w:val="20"/>
                <w:szCs w:val="20"/>
                <w:color w:val="auto"/>
              </w:rPr>
            </w:pPr>
            <w:r>
              <w:rPr>
                <w:rFonts w:ascii="Arial" w:cs="Arial" w:eastAsia="Arial" w:hAnsi="Arial"/>
                <w:sz w:val="14"/>
                <w:szCs w:val="14"/>
                <w:color w:val="auto"/>
              </w:rPr>
              <w:t>70.01% to 80%</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ind w:right="11"/>
              <w:spacing w:after="0"/>
              <w:rPr>
                <w:sz w:val="20"/>
                <w:szCs w:val="20"/>
                <w:color w:val="auto"/>
              </w:rPr>
            </w:pPr>
            <w:r>
              <w:rPr>
                <w:rFonts w:ascii="Arial" w:cs="Arial" w:eastAsia="Arial" w:hAnsi="Arial"/>
                <w:sz w:val="14"/>
                <w:szCs w:val="14"/>
                <w:b w:val="1"/>
                <w:bCs w:val="1"/>
                <w:color w:val="auto"/>
              </w:rPr>
              <w:t>10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880" w:type="dxa"/>
            <w:vAlign w:val="bottom"/>
            <w:gridSpan w:val="2"/>
          </w:tcPr>
          <w:p>
            <w:pPr>
              <w:ind w:left="20"/>
              <w:spacing w:after="0"/>
              <w:rPr>
                <w:sz w:val="20"/>
                <w:szCs w:val="20"/>
                <w:color w:val="auto"/>
              </w:rPr>
            </w:pPr>
            <w:r>
              <w:rPr>
                <w:rFonts w:ascii="Arial" w:cs="Arial" w:eastAsia="Arial" w:hAnsi="Arial"/>
                <w:sz w:val="14"/>
                <w:szCs w:val="14"/>
                <w:color w:val="auto"/>
              </w:rPr>
              <w:t>80.01% to 90%</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Arial" w:cs="Arial" w:eastAsia="Arial" w:hAnsi="Arial"/>
                <w:sz w:val="14"/>
                <w:szCs w:val="14"/>
                <w:b w:val="1"/>
                <w:bCs w:val="1"/>
                <w:color w:val="auto"/>
              </w:rPr>
              <w:t>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880" w:type="dxa"/>
            <w:vAlign w:val="bottom"/>
            <w:gridSpan w:val="2"/>
          </w:tcPr>
          <w:p>
            <w:pPr>
              <w:ind w:left="20"/>
              <w:spacing w:after="0"/>
              <w:rPr>
                <w:sz w:val="20"/>
                <w:szCs w:val="20"/>
                <w:color w:val="auto"/>
              </w:rPr>
            </w:pPr>
            <w:r>
              <w:rPr>
                <w:rFonts w:ascii="Arial" w:cs="Arial" w:eastAsia="Arial" w:hAnsi="Arial"/>
                <w:sz w:val="14"/>
                <w:szCs w:val="14"/>
                <w:color w:val="auto"/>
              </w:rPr>
              <w:t>90.01% to 100%</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00" w:type="dxa"/>
            <w:vAlign w:val="bottom"/>
            <w:tcBorders>
              <w:bottom w:val="single" w:sz="8" w:color="2C6937"/>
            </w:tcBorders>
          </w:tcPr>
          <w:p>
            <w:pPr>
              <w:spacing w:after="0"/>
              <w:rPr>
                <w:sz w:val="18"/>
                <w:szCs w:val="18"/>
                <w:color w:val="auto"/>
              </w:rPr>
            </w:pPr>
          </w:p>
        </w:tc>
        <w:tc>
          <w:tcPr>
            <w:tcW w:w="280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Greater than 100%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4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2C6937"/>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288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2C6937"/>
              <w:bottom w:val="single" w:sz="8" w:color="2C6937"/>
            </w:tcBorders>
          </w:tcPr>
          <w:p>
            <w:pPr>
              <w:spacing w:after="0" w:line="20" w:lineRule="exact"/>
              <w:rPr>
                <w:sz w:val="1"/>
                <w:szCs w:val="1"/>
                <w:color w:val="auto"/>
              </w:rPr>
            </w:pPr>
          </w:p>
        </w:tc>
        <w:tc>
          <w:tcPr>
            <w:tcW w:w="28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bottom w:val="single" w:sz="8" w:color="CBC8C3"/>
            </w:tcBorders>
          </w:tcPr>
          <w:p>
            <w:pPr>
              <w:spacing w:after="0" w:line="20" w:lineRule="exact"/>
              <w:rPr>
                <w:sz w:val="1"/>
                <w:szCs w:val="1"/>
                <w:color w:val="auto"/>
              </w:rPr>
            </w:pPr>
          </w:p>
        </w:tc>
        <w:tc>
          <w:tcPr>
            <w:tcW w:w="860" w:type="dxa"/>
            <w:vAlign w:val="bottom"/>
            <w:tcBorders>
              <w:bottom w:val="single" w:sz="8" w:color="CBC8C3"/>
            </w:tcBorders>
          </w:tcPr>
          <w:p>
            <w:pPr>
              <w:spacing w:after="0" w:line="20" w:lineRule="exact"/>
              <w:rPr>
                <w:sz w:val="1"/>
                <w:szCs w:val="1"/>
                <w:color w:val="auto"/>
              </w:rPr>
            </w:pPr>
          </w:p>
        </w:tc>
        <w:tc>
          <w:tcPr>
            <w:tcW w:w="260" w:type="dxa"/>
            <w:vAlign w:val="bottom"/>
            <w:tcBorders>
              <w:bottom w:val="single" w:sz="8" w:color="CBC8C3"/>
            </w:tcBorders>
          </w:tcPr>
          <w:p>
            <w:pPr>
              <w:spacing w:after="0" w:line="20" w:lineRule="exact"/>
              <w:rPr>
                <w:sz w:val="1"/>
                <w:szCs w:val="1"/>
                <w:color w:val="auto"/>
              </w:rPr>
            </w:pPr>
          </w:p>
        </w:tc>
        <w:tc>
          <w:tcPr>
            <w:tcW w:w="220" w:type="dxa"/>
            <w:vAlign w:val="bottom"/>
            <w:tcBorders>
              <w:bottom w:val="single" w:sz="8" w:color="CBC8C3"/>
            </w:tcBorders>
          </w:tcPr>
          <w:p>
            <w:pPr>
              <w:spacing w:after="0" w:line="20" w:lineRule="exact"/>
              <w:rPr>
                <w:sz w:val="1"/>
                <w:szCs w:val="1"/>
                <w:color w:val="auto"/>
              </w:rPr>
            </w:pPr>
          </w:p>
        </w:tc>
        <w:tc>
          <w:tcPr>
            <w:tcW w:w="640" w:type="dxa"/>
            <w:vAlign w:val="bottom"/>
            <w:tcBorders>
              <w:bottom w:val="single" w:sz="8" w:color="CBC8C3"/>
            </w:tcBorders>
          </w:tcPr>
          <w:p>
            <w:pPr>
              <w:spacing w:after="0" w:line="20" w:lineRule="exact"/>
              <w:rPr>
                <w:sz w:val="1"/>
                <w:szCs w:val="1"/>
                <w:color w:val="auto"/>
              </w:rPr>
            </w:pPr>
          </w:p>
        </w:tc>
        <w:tc>
          <w:tcPr>
            <w:tcW w:w="260" w:type="dxa"/>
            <w:vAlign w:val="bottom"/>
            <w:tcBorders>
              <w:bottom w:val="single" w:sz="8" w:color="CBC8C3"/>
            </w:tcBorders>
          </w:tcPr>
          <w:p>
            <w:pPr>
              <w:spacing w:after="0" w:line="20" w:lineRule="exact"/>
              <w:rPr>
                <w:sz w:val="1"/>
                <w:szCs w:val="1"/>
                <w:color w:val="auto"/>
              </w:rPr>
            </w:pPr>
          </w:p>
        </w:tc>
        <w:tc>
          <w:tcPr>
            <w:tcW w:w="820" w:type="dxa"/>
            <w:vAlign w:val="bottom"/>
            <w:tcBorders>
              <w:bottom w:val="single" w:sz="8" w:color="CBC8C3"/>
            </w:tcBorders>
          </w:tcPr>
          <w:p>
            <w:pPr>
              <w:spacing w:after="0" w:line="20" w:lineRule="exact"/>
              <w:rPr>
                <w:sz w:val="1"/>
                <w:szCs w:val="1"/>
                <w:color w:val="auto"/>
              </w:rPr>
            </w:pPr>
          </w:p>
        </w:tc>
        <w:tc>
          <w:tcPr>
            <w:tcW w:w="260" w:type="dxa"/>
            <w:vAlign w:val="bottom"/>
            <w:tcBorders>
              <w:bottom w:val="single" w:sz="8" w:color="CBC8C3"/>
            </w:tcBorders>
          </w:tcPr>
          <w:p>
            <w:pPr>
              <w:spacing w:after="0" w:line="20" w:lineRule="exact"/>
              <w:rPr>
                <w:sz w:val="1"/>
                <w:szCs w:val="1"/>
                <w:color w:val="auto"/>
              </w:rPr>
            </w:pPr>
          </w:p>
        </w:tc>
        <w:tc>
          <w:tcPr>
            <w:tcW w:w="220" w:type="dxa"/>
            <w:vAlign w:val="bottom"/>
            <w:tcBorders>
              <w:bottom w:val="single" w:sz="8" w:color="CBC8C3"/>
            </w:tcBorders>
          </w:tcPr>
          <w:p>
            <w:pPr>
              <w:spacing w:after="0" w:line="20" w:lineRule="exact"/>
              <w:rPr>
                <w:sz w:val="1"/>
                <w:szCs w:val="1"/>
                <w:color w:val="auto"/>
              </w:rPr>
            </w:pPr>
          </w:p>
        </w:tc>
        <w:tc>
          <w:tcPr>
            <w:tcW w:w="660" w:type="dxa"/>
            <w:vAlign w:val="bottom"/>
            <w:tcBorders>
              <w:bottom w:val="single" w:sz="8" w:color="CBC8C3"/>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142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46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bottom w:val="single" w:sz="8" w:color="CBC8C3"/>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0" w:type="dxa"/>
            <w:vAlign w:val="bottom"/>
            <w:shd w:val="clear" w:color="auto" w:fill="CBC8C3"/>
          </w:tcPr>
          <w:p>
            <w:pPr>
              <w:spacing w:after="0"/>
              <w:rPr>
                <w:sz w:val="18"/>
                <w:szCs w:val="18"/>
                <w:color w:val="auto"/>
              </w:rPr>
            </w:pPr>
          </w:p>
        </w:tc>
        <w:tc>
          <w:tcPr>
            <w:tcW w:w="2880" w:type="dxa"/>
            <w:vAlign w:val="bottom"/>
            <w:gridSpan w:val="2"/>
            <w:shd w:val="clear" w:color="auto" w:fill="CBC8C3"/>
          </w:tcPr>
          <w:p>
            <w:pPr>
              <w:ind w:left="120"/>
              <w:spacing w:after="0"/>
              <w:rPr>
                <w:sz w:val="20"/>
                <w:szCs w:val="20"/>
                <w:color w:val="auto"/>
              </w:rPr>
            </w:pPr>
            <w:r>
              <w:rPr>
                <w:rFonts w:ascii="Arial" w:cs="Arial" w:eastAsia="Arial" w:hAnsi="Arial"/>
                <w:sz w:val="14"/>
                <w:szCs w:val="14"/>
                <w:b w:val="1"/>
                <w:bCs w:val="1"/>
                <w:i w:val="1"/>
                <w:iCs w:val="1"/>
                <w:color w:val="auto"/>
              </w:rPr>
              <w:t>Weighted average</w:t>
            </w:r>
          </w:p>
        </w:tc>
        <w:tc>
          <w:tcPr>
            <w:tcW w:w="860" w:type="dxa"/>
            <w:vAlign w:val="bottom"/>
            <w:shd w:val="clear" w:color="auto" w:fill="CBC8C3"/>
          </w:tcPr>
          <w:p>
            <w:pPr>
              <w:spacing w:after="0"/>
              <w:rPr>
                <w:sz w:val="18"/>
                <w:szCs w:val="18"/>
                <w:color w:val="auto"/>
              </w:rPr>
            </w:pPr>
          </w:p>
        </w:tc>
        <w:tc>
          <w:tcPr>
            <w:tcW w:w="260" w:type="dxa"/>
            <w:vAlign w:val="bottom"/>
            <w:shd w:val="clear" w:color="auto" w:fill="CBC8C3"/>
          </w:tcPr>
          <w:p>
            <w:pPr>
              <w:spacing w:after="0"/>
              <w:rPr>
                <w:sz w:val="18"/>
                <w:szCs w:val="18"/>
                <w:color w:val="auto"/>
              </w:rPr>
            </w:pPr>
          </w:p>
        </w:tc>
        <w:tc>
          <w:tcPr>
            <w:tcW w:w="220" w:type="dxa"/>
            <w:vAlign w:val="bottom"/>
            <w:shd w:val="clear" w:color="auto" w:fill="CBC8C3"/>
          </w:tcPr>
          <w:p>
            <w:pPr>
              <w:spacing w:after="0"/>
              <w:rPr>
                <w:sz w:val="18"/>
                <w:szCs w:val="18"/>
                <w:color w:val="auto"/>
              </w:rPr>
            </w:pPr>
          </w:p>
        </w:tc>
        <w:tc>
          <w:tcPr>
            <w:tcW w:w="640" w:type="dxa"/>
            <w:vAlign w:val="bottom"/>
            <w:shd w:val="clear" w:color="auto" w:fill="CBC8C3"/>
          </w:tcPr>
          <w:p>
            <w:pPr>
              <w:spacing w:after="0"/>
              <w:rPr>
                <w:sz w:val="18"/>
                <w:szCs w:val="18"/>
                <w:color w:val="auto"/>
              </w:rPr>
            </w:pPr>
          </w:p>
        </w:tc>
        <w:tc>
          <w:tcPr>
            <w:tcW w:w="260" w:type="dxa"/>
            <w:vAlign w:val="bottom"/>
            <w:shd w:val="clear" w:color="auto" w:fill="CBC8C3"/>
          </w:tcPr>
          <w:p>
            <w:pPr>
              <w:spacing w:after="0"/>
              <w:rPr>
                <w:sz w:val="18"/>
                <w:szCs w:val="18"/>
                <w:color w:val="auto"/>
              </w:rPr>
            </w:pPr>
          </w:p>
        </w:tc>
        <w:tc>
          <w:tcPr>
            <w:tcW w:w="820" w:type="dxa"/>
            <w:vAlign w:val="bottom"/>
            <w:shd w:val="clear" w:color="auto" w:fill="CBC8C3"/>
          </w:tcPr>
          <w:p>
            <w:pPr>
              <w:spacing w:after="0"/>
              <w:rPr>
                <w:sz w:val="18"/>
                <w:szCs w:val="18"/>
                <w:color w:val="auto"/>
              </w:rPr>
            </w:pPr>
          </w:p>
        </w:tc>
        <w:tc>
          <w:tcPr>
            <w:tcW w:w="260" w:type="dxa"/>
            <w:vAlign w:val="bottom"/>
            <w:shd w:val="clear" w:color="auto" w:fill="CBC8C3"/>
          </w:tcPr>
          <w:p>
            <w:pPr>
              <w:spacing w:after="0"/>
              <w:rPr>
                <w:sz w:val="18"/>
                <w:szCs w:val="18"/>
                <w:color w:val="auto"/>
              </w:rPr>
            </w:pPr>
          </w:p>
        </w:tc>
        <w:tc>
          <w:tcPr>
            <w:tcW w:w="220" w:type="dxa"/>
            <w:vAlign w:val="bottom"/>
            <w:shd w:val="clear" w:color="auto" w:fill="CBC8C3"/>
          </w:tcPr>
          <w:p>
            <w:pPr>
              <w:spacing w:after="0"/>
              <w:rPr>
                <w:sz w:val="18"/>
                <w:szCs w:val="18"/>
                <w:color w:val="auto"/>
              </w:rPr>
            </w:pPr>
          </w:p>
        </w:tc>
        <w:tc>
          <w:tcPr>
            <w:tcW w:w="660" w:type="dxa"/>
            <w:vAlign w:val="bottom"/>
            <w:shd w:val="clear" w:color="auto" w:fill="CBC8C3"/>
          </w:tcPr>
          <w:p>
            <w:pPr>
              <w:spacing w:after="0"/>
              <w:rPr>
                <w:sz w:val="18"/>
                <w:szCs w:val="18"/>
                <w:color w:val="auto"/>
              </w:rPr>
            </w:pPr>
          </w:p>
        </w:tc>
        <w:tc>
          <w:tcPr>
            <w:tcW w:w="240" w:type="dxa"/>
            <w:vAlign w:val="bottom"/>
            <w:shd w:val="clear" w:color="auto" w:fill="CBC8C3"/>
          </w:tcPr>
          <w:p>
            <w:pPr>
              <w:spacing w:after="0"/>
              <w:rPr>
                <w:sz w:val="18"/>
                <w:szCs w:val="18"/>
                <w:color w:val="auto"/>
              </w:rPr>
            </w:pPr>
          </w:p>
        </w:tc>
        <w:tc>
          <w:tcPr>
            <w:tcW w:w="240" w:type="dxa"/>
            <w:vAlign w:val="bottom"/>
            <w:shd w:val="clear" w:color="auto" w:fill="CBC8C3"/>
          </w:tcPr>
          <w:p>
            <w:pPr>
              <w:spacing w:after="0"/>
              <w:rPr>
                <w:sz w:val="18"/>
                <w:szCs w:val="18"/>
                <w:color w:val="auto"/>
              </w:rPr>
            </w:pPr>
          </w:p>
        </w:tc>
        <w:tc>
          <w:tcPr>
            <w:tcW w:w="1420" w:type="dxa"/>
            <w:vAlign w:val="bottom"/>
            <w:shd w:val="clear" w:color="auto" w:fill="CBC8C3"/>
          </w:tcPr>
          <w:p>
            <w:pPr>
              <w:jc w:val="right"/>
              <w:ind w:right="11"/>
              <w:spacing w:after="0"/>
              <w:rPr>
                <w:sz w:val="20"/>
                <w:szCs w:val="20"/>
                <w:color w:val="auto"/>
              </w:rPr>
            </w:pPr>
            <w:r>
              <w:rPr>
                <w:rFonts w:ascii="Arial" w:cs="Arial" w:eastAsia="Arial" w:hAnsi="Arial"/>
                <w:sz w:val="14"/>
                <w:szCs w:val="14"/>
                <w:b w:val="1"/>
                <w:bCs w:val="1"/>
                <w:i w:val="1"/>
                <w:iCs w:val="1"/>
                <w:color w:val="auto"/>
              </w:rPr>
              <w:t>51</w:t>
            </w:r>
          </w:p>
        </w:tc>
        <w:tc>
          <w:tcPr>
            <w:tcW w:w="240" w:type="dxa"/>
            <w:vAlign w:val="bottom"/>
            <w:shd w:val="clear" w:color="auto" w:fill="CBC8C3"/>
          </w:tcPr>
          <w:p>
            <w:pPr>
              <w:jc w:val="right"/>
              <w:ind w:right="31"/>
              <w:spacing w:after="0"/>
              <w:rPr>
                <w:sz w:val="20"/>
                <w:szCs w:val="20"/>
                <w:color w:val="auto"/>
              </w:rPr>
            </w:pPr>
            <w:r>
              <w:rPr>
                <w:rFonts w:ascii="Arial" w:cs="Arial" w:eastAsia="Arial" w:hAnsi="Arial"/>
                <w:sz w:val="14"/>
                <w:szCs w:val="14"/>
                <w:b w:val="1"/>
                <w:bCs w:val="1"/>
                <w:i w:val="1"/>
                <w:iCs w:val="1"/>
                <w:color w:val="auto"/>
                <w:w w:val="96"/>
              </w:rPr>
              <w:t>%</w:t>
            </w:r>
          </w:p>
        </w:tc>
        <w:tc>
          <w:tcPr>
            <w:tcW w:w="200" w:type="dxa"/>
            <w:vAlign w:val="bottom"/>
            <w:shd w:val="clear" w:color="auto" w:fill="CBC8C3"/>
          </w:tcPr>
          <w:p>
            <w:pPr>
              <w:spacing w:after="0"/>
              <w:rPr>
                <w:sz w:val="18"/>
                <w:szCs w:val="18"/>
                <w:color w:val="auto"/>
              </w:rPr>
            </w:pPr>
          </w:p>
        </w:tc>
        <w:tc>
          <w:tcPr>
            <w:tcW w:w="146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52</w:t>
            </w:r>
          </w:p>
        </w:tc>
        <w:tc>
          <w:tcPr>
            <w:tcW w:w="160" w:type="dxa"/>
            <w:vAlign w:val="bottom"/>
            <w:gridSpan w:val="2"/>
            <w:shd w:val="clear" w:color="auto" w:fill="CBC8C3"/>
          </w:tcPr>
          <w:p>
            <w:pPr>
              <w:jc w:val="right"/>
              <w:spacing w:after="0"/>
              <w:rPr>
                <w:sz w:val="20"/>
                <w:szCs w:val="20"/>
                <w:color w:val="auto"/>
              </w:rPr>
            </w:pPr>
            <w:r>
              <w:rPr>
                <w:rFonts w:ascii="Arial" w:cs="Arial" w:eastAsia="Arial" w:hAnsi="Arial"/>
                <w:sz w:val="14"/>
                <w:szCs w:val="14"/>
                <w:i w:val="1"/>
                <w:iCs w:val="1"/>
                <w:color w:val="auto"/>
              </w:rPr>
              <w:t>%</w:t>
            </w:r>
          </w:p>
        </w:tc>
        <w:tc>
          <w:tcPr>
            <w:tcW w:w="100" w:type="dxa"/>
            <w:vAlign w:val="bottom"/>
            <w:shd w:val="clear" w:color="auto" w:fill="CBC8C3"/>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980" w:type="dxa"/>
            <w:vAlign w:val="bottom"/>
            <w:gridSpan w:val="3"/>
          </w:tcPr>
          <w:p>
            <w:pPr>
              <w:ind w:left="20"/>
              <w:spacing w:after="0"/>
              <w:rPr>
                <w:sz w:val="20"/>
                <w:szCs w:val="20"/>
                <w:color w:val="auto"/>
              </w:rPr>
            </w:pPr>
            <w:r>
              <w:rPr>
                <w:rFonts w:ascii="Arial" w:cs="Arial" w:eastAsia="Arial" w:hAnsi="Arial"/>
                <w:sz w:val="14"/>
                <w:szCs w:val="14"/>
                <w:b w:val="1"/>
                <w:bCs w:val="1"/>
                <w:color w:val="auto"/>
              </w:rPr>
              <w:t>FICO credit score at</w:t>
            </w: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origination:</w:t>
            </w:r>
            <w:r>
              <w:rPr>
                <w:rFonts w:ascii="Arial" w:cs="Arial" w:eastAsia="Arial" w:hAnsi="Arial"/>
                <w:sz w:val="17"/>
                <w:szCs w:val="17"/>
                <w:b w:val="1"/>
                <w:bCs w:val="1"/>
                <w:color w:val="auto"/>
                <w:vertAlign w:val="superscript"/>
              </w:rPr>
              <w:t>(6)</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900" w:type="dxa"/>
            <w:vAlign w:val="bottom"/>
            <w:gridSpan w:val="2"/>
          </w:tcPr>
          <w:p>
            <w:pPr>
              <w:ind w:left="120"/>
              <w:spacing w:after="0"/>
              <w:rPr>
                <w:sz w:val="20"/>
                <w:szCs w:val="20"/>
                <w:color w:val="auto"/>
              </w:rPr>
            </w:pPr>
            <w:r>
              <w:rPr>
                <w:rFonts w:ascii="Arial" w:cs="Arial" w:eastAsia="Arial" w:hAnsi="Arial"/>
                <w:sz w:val="14"/>
                <w:szCs w:val="14"/>
                <w:color w:val="auto"/>
              </w:rPr>
              <w:t>&lt; 620</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rPr>
              <w:t>* %</w:t>
            </w:r>
          </w:p>
        </w:tc>
        <w:tc>
          <w:tcPr>
            <w:tcW w:w="220" w:type="dxa"/>
            <w:vAlign w:val="bottom"/>
          </w:tcPr>
          <w:p>
            <w:pPr>
              <w:spacing w:after="0"/>
              <w:rPr>
                <w:sz w:val="17"/>
                <w:szCs w:val="17"/>
                <w:color w:val="auto"/>
              </w:rPr>
            </w:pPr>
          </w:p>
        </w:tc>
        <w:tc>
          <w:tcPr>
            <w:tcW w:w="900" w:type="dxa"/>
            <w:vAlign w:val="bottom"/>
            <w:gridSpan w:val="2"/>
          </w:tcPr>
          <w:p>
            <w:pPr>
              <w:jc w:val="right"/>
              <w:ind w:right="31"/>
              <w:spacing w:after="0"/>
              <w:rPr>
                <w:sz w:val="20"/>
                <w:szCs w:val="20"/>
                <w:color w:val="auto"/>
              </w:rPr>
            </w:pPr>
            <w:r>
              <w:rPr>
                <w:rFonts w:ascii="Arial" w:cs="Arial" w:eastAsia="Arial" w:hAnsi="Arial"/>
                <w:sz w:val="14"/>
                <w:szCs w:val="14"/>
                <w:color w:val="auto"/>
              </w:rPr>
              <w:t>* %</w:t>
            </w:r>
          </w:p>
        </w:tc>
        <w:tc>
          <w:tcPr>
            <w:tcW w:w="240" w:type="dxa"/>
            <w:vAlign w:val="bottom"/>
          </w:tcPr>
          <w:p>
            <w:pPr>
              <w:spacing w:after="0"/>
              <w:rPr>
                <w:sz w:val="17"/>
                <w:szCs w:val="17"/>
                <w:color w:val="auto"/>
              </w:rPr>
            </w:pPr>
          </w:p>
        </w:tc>
        <w:tc>
          <w:tcPr>
            <w:tcW w:w="166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rPr>
              <w:t>* %</w:t>
            </w: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880" w:type="dxa"/>
            <w:vAlign w:val="bottom"/>
            <w:gridSpan w:val="2"/>
          </w:tcPr>
          <w:p>
            <w:pPr>
              <w:ind w:left="20"/>
              <w:spacing w:after="0"/>
              <w:rPr>
                <w:sz w:val="20"/>
                <w:szCs w:val="20"/>
                <w:color w:val="auto"/>
              </w:rPr>
            </w:pPr>
            <w:r>
              <w:rPr>
                <w:rFonts w:ascii="Arial" w:cs="Arial" w:eastAsia="Arial" w:hAnsi="Arial"/>
                <w:sz w:val="14"/>
                <w:szCs w:val="14"/>
                <w:color w:val="auto"/>
              </w:rPr>
              <w:t>620 to &lt; 660</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2880" w:type="dxa"/>
            <w:vAlign w:val="bottom"/>
            <w:gridSpan w:val="2"/>
          </w:tcPr>
          <w:p>
            <w:pPr>
              <w:ind w:left="20"/>
              <w:spacing w:after="0"/>
              <w:rPr>
                <w:sz w:val="20"/>
                <w:szCs w:val="20"/>
                <w:color w:val="auto"/>
              </w:rPr>
            </w:pPr>
            <w:r>
              <w:rPr>
                <w:rFonts w:ascii="Arial" w:cs="Arial" w:eastAsia="Arial" w:hAnsi="Arial"/>
                <w:sz w:val="14"/>
                <w:szCs w:val="14"/>
                <w:color w:val="auto"/>
              </w:rPr>
              <w:t>660 to &lt; 680</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ind w:right="11"/>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880" w:type="dxa"/>
            <w:vAlign w:val="bottom"/>
            <w:gridSpan w:val="2"/>
          </w:tcPr>
          <w:p>
            <w:pPr>
              <w:ind w:left="20"/>
              <w:spacing w:after="0"/>
              <w:rPr>
                <w:sz w:val="20"/>
                <w:szCs w:val="20"/>
                <w:color w:val="auto"/>
              </w:rPr>
            </w:pPr>
            <w:r>
              <w:rPr>
                <w:rFonts w:ascii="Arial" w:cs="Arial" w:eastAsia="Arial" w:hAnsi="Arial"/>
                <w:sz w:val="14"/>
                <w:szCs w:val="14"/>
                <w:color w:val="auto"/>
              </w:rPr>
              <w:t>680 to &lt; 700</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Arial" w:cs="Arial" w:eastAsia="Arial" w:hAnsi="Arial"/>
                <w:sz w:val="14"/>
                <w:szCs w:val="14"/>
                <w:b w:val="1"/>
                <w:bCs w:val="1"/>
                <w:color w:val="auto"/>
              </w:rPr>
              <w:t>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880" w:type="dxa"/>
            <w:vAlign w:val="bottom"/>
            <w:gridSpan w:val="2"/>
          </w:tcPr>
          <w:p>
            <w:pPr>
              <w:ind w:left="20"/>
              <w:spacing w:after="0"/>
              <w:rPr>
                <w:sz w:val="20"/>
                <w:szCs w:val="20"/>
                <w:color w:val="auto"/>
              </w:rPr>
            </w:pPr>
            <w:r>
              <w:rPr>
                <w:rFonts w:ascii="Arial" w:cs="Arial" w:eastAsia="Arial" w:hAnsi="Arial"/>
                <w:sz w:val="14"/>
                <w:szCs w:val="14"/>
                <w:color w:val="auto"/>
              </w:rPr>
              <w:t>700 to &lt; 740</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21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Arial" w:cs="Arial" w:eastAsia="Arial" w:hAnsi="Arial"/>
                <w:sz w:val="14"/>
                <w:szCs w:val="14"/>
                <w:b w:val="1"/>
                <w:bCs w:val="1"/>
                <w:color w:val="auto"/>
              </w:rPr>
              <w:t>20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90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color w:val="auto"/>
              </w:rPr>
              <w:t>&gt;= 740</w:t>
            </w:r>
          </w:p>
        </w:tc>
        <w:tc>
          <w:tcPr>
            <w:tcW w:w="80" w:type="dxa"/>
            <w:vAlign w:val="bottom"/>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70</w:t>
            </w:r>
          </w:p>
        </w:tc>
        <w:tc>
          <w:tcPr>
            <w:tcW w:w="26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61</w:t>
            </w:r>
          </w:p>
        </w:tc>
        <w:tc>
          <w:tcPr>
            <w:tcW w:w="260" w:type="dxa"/>
            <w:vAlign w:val="bottom"/>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67</w:t>
            </w:r>
          </w:p>
        </w:tc>
        <w:tc>
          <w:tcPr>
            <w:tcW w:w="26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6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62</w:t>
            </w:r>
          </w:p>
        </w:tc>
        <w:tc>
          <w:tcPr>
            <w:tcW w:w="24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142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66</w:t>
            </w:r>
          </w:p>
        </w:tc>
        <w:tc>
          <w:tcPr>
            <w:tcW w:w="2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4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66</w:t>
            </w:r>
          </w:p>
        </w:tc>
        <w:tc>
          <w:tcPr>
            <w:tcW w:w="20" w:type="dxa"/>
            <w:vAlign w:val="bottom"/>
            <w:tcBorders>
              <w:bottom w:val="single" w:sz="8" w:color="2C6937"/>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288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jc w:val="right"/>
              <w:ind w:right="31"/>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c>
          <w:tcPr>
            <w:tcW w:w="24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2C6937"/>
              <w:bottom w:val="single" w:sz="8" w:color="2C6937"/>
            </w:tcBorders>
          </w:tcPr>
          <w:p>
            <w:pPr>
              <w:spacing w:after="0" w:line="20" w:lineRule="exact"/>
              <w:rPr>
                <w:sz w:val="1"/>
                <w:szCs w:val="1"/>
                <w:color w:val="auto"/>
              </w:rPr>
            </w:pPr>
          </w:p>
        </w:tc>
        <w:tc>
          <w:tcPr>
            <w:tcW w:w="28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bottom w:val="single" w:sz="8" w:color="CBC8C3"/>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Borders>
              <w:bottom w:val="single" w:sz="8" w:color="CBC8C3"/>
            </w:tcBorders>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Borders>
              <w:bottom w:val="single" w:sz="8" w:color="CBC8C3"/>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Borders>
              <w:bottom w:val="single" w:sz="8" w:color="CBC8C3"/>
            </w:tcBorders>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142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46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bottom w:val="single" w:sz="8" w:color="CBC8C3"/>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0" w:type="dxa"/>
            <w:vAlign w:val="bottom"/>
            <w:shd w:val="clear" w:color="auto" w:fill="CBC8C3"/>
          </w:tcPr>
          <w:p>
            <w:pPr>
              <w:spacing w:after="0"/>
              <w:rPr>
                <w:sz w:val="18"/>
                <w:szCs w:val="18"/>
                <w:color w:val="auto"/>
              </w:rPr>
            </w:pPr>
          </w:p>
        </w:tc>
        <w:tc>
          <w:tcPr>
            <w:tcW w:w="2880" w:type="dxa"/>
            <w:vAlign w:val="bottom"/>
            <w:gridSpan w:val="2"/>
            <w:shd w:val="clear" w:color="auto" w:fill="CBC8C3"/>
          </w:tcPr>
          <w:p>
            <w:pPr>
              <w:ind w:left="120"/>
              <w:spacing w:after="0"/>
              <w:rPr>
                <w:sz w:val="20"/>
                <w:szCs w:val="20"/>
                <w:color w:val="auto"/>
              </w:rPr>
            </w:pPr>
            <w:r>
              <w:rPr>
                <w:rFonts w:ascii="Arial" w:cs="Arial" w:eastAsia="Arial" w:hAnsi="Arial"/>
                <w:sz w:val="14"/>
                <w:szCs w:val="14"/>
                <w:b w:val="1"/>
                <w:bCs w:val="1"/>
                <w:i w:val="1"/>
                <w:iCs w:val="1"/>
                <w:color w:val="auto"/>
              </w:rPr>
              <w:t>Weighted average</w:t>
            </w:r>
          </w:p>
        </w:tc>
        <w:tc>
          <w:tcPr>
            <w:tcW w:w="86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756</w:t>
            </w:r>
          </w:p>
        </w:tc>
        <w:tc>
          <w:tcPr>
            <w:tcW w:w="260" w:type="dxa"/>
            <w:vAlign w:val="bottom"/>
            <w:shd w:val="clear" w:color="auto" w:fill="CBC8C3"/>
          </w:tcPr>
          <w:p>
            <w:pPr>
              <w:spacing w:after="0"/>
              <w:rPr>
                <w:sz w:val="18"/>
                <w:szCs w:val="18"/>
                <w:color w:val="auto"/>
              </w:rPr>
            </w:pPr>
          </w:p>
        </w:tc>
        <w:tc>
          <w:tcPr>
            <w:tcW w:w="220" w:type="dxa"/>
            <w:vAlign w:val="bottom"/>
            <w:shd w:val="clear" w:color="auto" w:fill="CBC8C3"/>
          </w:tcPr>
          <w:p>
            <w:pPr>
              <w:spacing w:after="0"/>
              <w:rPr>
                <w:sz w:val="18"/>
                <w:szCs w:val="18"/>
                <w:color w:val="auto"/>
              </w:rPr>
            </w:pPr>
          </w:p>
        </w:tc>
        <w:tc>
          <w:tcPr>
            <w:tcW w:w="64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746</w:t>
            </w:r>
          </w:p>
        </w:tc>
        <w:tc>
          <w:tcPr>
            <w:tcW w:w="260" w:type="dxa"/>
            <w:vAlign w:val="bottom"/>
            <w:shd w:val="clear" w:color="auto" w:fill="CBC8C3"/>
          </w:tcPr>
          <w:p>
            <w:pPr>
              <w:spacing w:after="0"/>
              <w:rPr>
                <w:sz w:val="18"/>
                <w:szCs w:val="18"/>
                <w:color w:val="auto"/>
              </w:rPr>
            </w:pPr>
          </w:p>
        </w:tc>
        <w:tc>
          <w:tcPr>
            <w:tcW w:w="82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753</w:t>
            </w:r>
          </w:p>
        </w:tc>
        <w:tc>
          <w:tcPr>
            <w:tcW w:w="260" w:type="dxa"/>
            <w:vAlign w:val="bottom"/>
            <w:shd w:val="clear" w:color="auto" w:fill="CBC8C3"/>
          </w:tcPr>
          <w:p>
            <w:pPr>
              <w:spacing w:after="0"/>
              <w:rPr>
                <w:sz w:val="18"/>
                <w:szCs w:val="18"/>
                <w:color w:val="auto"/>
              </w:rPr>
            </w:pPr>
          </w:p>
        </w:tc>
        <w:tc>
          <w:tcPr>
            <w:tcW w:w="220" w:type="dxa"/>
            <w:vAlign w:val="bottom"/>
            <w:shd w:val="clear" w:color="auto" w:fill="CBC8C3"/>
          </w:tcPr>
          <w:p>
            <w:pPr>
              <w:spacing w:after="0"/>
              <w:rPr>
                <w:sz w:val="18"/>
                <w:szCs w:val="18"/>
                <w:color w:val="auto"/>
              </w:rPr>
            </w:pPr>
          </w:p>
        </w:tc>
        <w:tc>
          <w:tcPr>
            <w:tcW w:w="660" w:type="dxa"/>
            <w:vAlign w:val="bottom"/>
            <w:shd w:val="clear" w:color="auto" w:fill="CBC8C3"/>
          </w:tcPr>
          <w:p>
            <w:pPr>
              <w:jc w:val="right"/>
              <w:ind w:right="11"/>
              <w:spacing w:after="0"/>
              <w:rPr>
                <w:sz w:val="20"/>
                <w:szCs w:val="20"/>
                <w:color w:val="auto"/>
              </w:rPr>
            </w:pPr>
            <w:r>
              <w:rPr>
                <w:rFonts w:ascii="Arial" w:cs="Arial" w:eastAsia="Arial" w:hAnsi="Arial"/>
                <w:sz w:val="14"/>
                <w:szCs w:val="14"/>
                <w:i w:val="1"/>
                <w:iCs w:val="1"/>
                <w:color w:val="auto"/>
              </w:rPr>
              <w:t>747</w:t>
            </w:r>
          </w:p>
        </w:tc>
        <w:tc>
          <w:tcPr>
            <w:tcW w:w="240" w:type="dxa"/>
            <w:vAlign w:val="bottom"/>
            <w:shd w:val="clear" w:color="auto" w:fill="CBC8C3"/>
          </w:tcPr>
          <w:p>
            <w:pPr>
              <w:spacing w:after="0"/>
              <w:rPr>
                <w:sz w:val="18"/>
                <w:szCs w:val="18"/>
                <w:color w:val="auto"/>
              </w:rPr>
            </w:pPr>
          </w:p>
        </w:tc>
        <w:tc>
          <w:tcPr>
            <w:tcW w:w="240" w:type="dxa"/>
            <w:vAlign w:val="bottom"/>
            <w:shd w:val="clear" w:color="auto" w:fill="CBC8C3"/>
          </w:tcPr>
          <w:p>
            <w:pPr>
              <w:spacing w:after="0"/>
              <w:rPr>
                <w:sz w:val="18"/>
                <w:szCs w:val="18"/>
                <w:color w:val="auto"/>
              </w:rPr>
            </w:pPr>
          </w:p>
        </w:tc>
        <w:tc>
          <w:tcPr>
            <w:tcW w:w="1420" w:type="dxa"/>
            <w:vAlign w:val="bottom"/>
            <w:shd w:val="clear" w:color="auto" w:fill="CBC8C3"/>
          </w:tcPr>
          <w:p>
            <w:pPr>
              <w:jc w:val="right"/>
              <w:ind w:right="11"/>
              <w:spacing w:after="0"/>
              <w:rPr>
                <w:sz w:val="20"/>
                <w:szCs w:val="20"/>
                <w:color w:val="auto"/>
              </w:rPr>
            </w:pPr>
            <w:r>
              <w:rPr>
                <w:rFonts w:ascii="Arial" w:cs="Arial" w:eastAsia="Arial" w:hAnsi="Arial"/>
                <w:sz w:val="14"/>
                <w:szCs w:val="14"/>
                <w:b w:val="1"/>
                <w:bCs w:val="1"/>
                <w:i w:val="1"/>
                <w:iCs w:val="1"/>
                <w:color w:val="auto"/>
              </w:rPr>
              <w:t>752</w:t>
            </w:r>
          </w:p>
        </w:tc>
        <w:tc>
          <w:tcPr>
            <w:tcW w:w="240" w:type="dxa"/>
            <w:vAlign w:val="bottom"/>
            <w:shd w:val="clear" w:color="auto" w:fill="CBC8C3"/>
          </w:tcPr>
          <w:p>
            <w:pPr>
              <w:spacing w:after="0"/>
              <w:rPr>
                <w:sz w:val="18"/>
                <w:szCs w:val="18"/>
                <w:color w:val="auto"/>
              </w:rPr>
            </w:pPr>
          </w:p>
        </w:tc>
        <w:tc>
          <w:tcPr>
            <w:tcW w:w="200" w:type="dxa"/>
            <w:vAlign w:val="bottom"/>
            <w:shd w:val="clear" w:color="auto" w:fill="CBC8C3"/>
          </w:tcPr>
          <w:p>
            <w:pPr>
              <w:spacing w:after="0"/>
              <w:rPr>
                <w:sz w:val="18"/>
                <w:szCs w:val="18"/>
                <w:color w:val="auto"/>
              </w:rPr>
            </w:pPr>
          </w:p>
        </w:tc>
        <w:tc>
          <w:tcPr>
            <w:tcW w:w="146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752</w:t>
            </w:r>
          </w:p>
        </w:tc>
        <w:tc>
          <w:tcPr>
            <w:tcW w:w="20" w:type="dxa"/>
            <w:vAlign w:val="bottom"/>
            <w:shd w:val="clear" w:color="auto" w:fill="CBC8C3"/>
          </w:tcPr>
          <w:p>
            <w:pPr>
              <w:spacing w:after="0"/>
              <w:rPr>
                <w:sz w:val="18"/>
                <w:szCs w:val="18"/>
                <w:color w:val="auto"/>
              </w:rPr>
            </w:pPr>
          </w:p>
        </w:tc>
        <w:tc>
          <w:tcPr>
            <w:tcW w:w="140" w:type="dxa"/>
            <w:vAlign w:val="bottom"/>
            <w:shd w:val="clear" w:color="auto" w:fill="CBC8C3"/>
          </w:tcPr>
          <w:p>
            <w:pPr>
              <w:spacing w:after="0"/>
              <w:rPr>
                <w:sz w:val="18"/>
                <w:szCs w:val="18"/>
                <w:color w:val="auto"/>
              </w:rPr>
            </w:pPr>
          </w:p>
        </w:tc>
        <w:tc>
          <w:tcPr>
            <w:tcW w:w="100" w:type="dxa"/>
            <w:vAlign w:val="bottom"/>
            <w:shd w:val="clear" w:color="auto" w:fill="CBC8C3"/>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98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Debt-to-income (“DTI”) ratio at origination:</w:t>
            </w: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900" w:type="dxa"/>
            <w:vAlign w:val="bottom"/>
            <w:gridSpan w:val="2"/>
          </w:tcPr>
          <w:p>
            <w:pPr>
              <w:ind w:left="180"/>
              <w:spacing w:after="0"/>
              <w:rPr>
                <w:sz w:val="20"/>
                <w:szCs w:val="20"/>
                <w:color w:val="auto"/>
              </w:rPr>
            </w:pPr>
            <w:r>
              <w:rPr>
                <w:rFonts w:ascii="Arial" w:cs="Arial" w:eastAsia="Arial" w:hAnsi="Arial"/>
                <w:sz w:val="9"/>
                <w:szCs w:val="9"/>
                <w:b w:val="1"/>
                <w:bCs w:val="1"/>
                <w:color w:val="auto"/>
              </w:rPr>
              <w:t>(7)</w:t>
            </w: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900" w:type="dxa"/>
            <w:vAlign w:val="bottom"/>
            <w:gridSpan w:val="2"/>
          </w:tcPr>
          <w:p>
            <w:pPr>
              <w:ind w:left="120"/>
              <w:spacing w:after="0"/>
              <w:rPr>
                <w:sz w:val="20"/>
                <w:szCs w:val="20"/>
                <w:color w:val="auto"/>
              </w:rPr>
            </w:pPr>
            <w:r>
              <w:rPr>
                <w:rFonts w:ascii="Arial" w:cs="Arial" w:eastAsia="Arial" w:hAnsi="Arial"/>
                <w:sz w:val="14"/>
                <w:szCs w:val="14"/>
                <w:color w:val="auto"/>
              </w:rPr>
              <w:t>&lt;= 43%</w:t>
            </w:r>
          </w:p>
        </w:tc>
        <w:tc>
          <w:tcPr>
            <w:tcW w:w="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66</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68</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65</w:t>
            </w:r>
          </w:p>
        </w:tc>
        <w:tc>
          <w:tcPr>
            <w:tcW w:w="260" w:type="dxa"/>
            <w:vAlign w:val="bottom"/>
          </w:tcPr>
          <w:p>
            <w:pPr>
              <w:jc w:val="right"/>
              <w:ind w:right="31"/>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70</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c>
          <w:tcPr>
            <w:tcW w:w="240" w:type="dxa"/>
            <w:vAlign w:val="bottom"/>
          </w:tcPr>
          <w:p>
            <w:pPr>
              <w:spacing w:after="0"/>
              <w:rPr>
                <w:sz w:val="22"/>
                <w:szCs w:val="22"/>
                <w:color w:val="auto"/>
              </w:rPr>
            </w:pPr>
          </w:p>
        </w:tc>
        <w:tc>
          <w:tcPr>
            <w:tcW w:w="1420" w:type="dxa"/>
            <w:vAlign w:val="bottom"/>
          </w:tcPr>
          <w:p>
            <w:pPr>
              <w:jc w:val="right"/>
              <w:ind w:right="11"/>
              <w:spacing w:after="0"/>
              <w:rPr>
                <w:sz w:val="20"/>
                <w:szCs w:val="20"/>
                <w:color w:val="auto"/>
              </w:rPr>
            </w:pPr>
            <w:r>
              <w:rPr>
                <w:rFonts w:ascii="Arial" w:cs="Arial" w:eastAsia="Arial" w:hAnsi="Arial"/>
                <w:sz w:val="14"/>
                <w:szCs w:val="14"/>
                <w:b w:val="1"/>
                <w:bCs w:val="1"/>
                <w:color w:val="auto"/>
              </w:rPr>
              <w:t>75</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c>
          <w:tcPr>
            <w:tcW w:w="2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75</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880" w:type="dxa"/>
            <w:vAlign w:val="bottom"/>
            <w:gridSpan w:val="2"/>
          </w:tcPr>
          <w:p>
            <w:pPr>
              <w:ind w:left="20"/>
              <w:spacing w:after="0"/>
              <w:rPr>
                <w:sz w:val="20"/>
                <w:szCs w:val="20"/>
                <w:color w:val="auto"/>
              </w:rPr>
            </w:pPr>
            <w:r>
              <w:rPr>
                <w:rFonts w:ascii="Arial" w:cs="Arial" w:eastAsia="Arial" w:hAnsi="Arial"/>
                <w:sz w:val="14"/>
                <w:szCs w:val="14"/>
                <w:color w:val="auto"/>
              </w:rPr>
              <w:t>43.01% to 45%</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 w:type="dxa"/>
            <w:vAlign w:val="bottom"/>
            <w:tcBorders>
              <w:bottom w:val="single" w:sz="8" w:color="2C6937"/>
            </w:tcBorders>
          </w:tcPr>
          <w:p>
            <w:pPr>
              <w:spacing w:after="0"/>
              <w:rPr>
                <w:sz w:val="19"/>
                <w:szCs w:val="19"/>
                <w:color w:val="auto"/>
              </w:rPr>
            </w:pPr>
          </w:p>
        </w:tc>
        <w:tc>
          <w:tcPr>
            <w:tcW w:w="280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Greater than 45%</w:t>
            </w:r>
          </w:p>
        </w:tc>
        <w:tc>
          <w:tcPr>
            <w:tcW w:w="80" w:type="dxa"/>
            <w:vAlign w:val="bottom"/>
          </w:tcPr>
          <w:p>
            <w:pPr>
              <w:spacing w:after="0"/>
              <w:rPr>
                <w:sz w:val="19"/>
                <w:szCs w:val="19"/>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24</w:t>
            </w:r>
          </w:p>
        </w:tc>
        <w:tc>
          <w:tcPr>
            <w:tcW w:w="260" w:type="dxa"/>
            <w:vAlign w:val="bottom"/>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22</w:t>
            </w:r>
          </w:p>
        </w:tc>
        <w:tc>
          <w:tcPr>
            <w:tcW w:w="260" w:type="dxa"/>
            <w:vAlign w:val="bottom"/>
          </w:tcPr>
          <w:p>
            <w:pPr>
              <w:spacing w:after="0"/>
              <w:rPr>
                <w:sz w:val="19"/>
                <w:szCs w:val="19"/>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25</w:t>
            </w:r>
          </w:p>
        </w:tc>
        <w:tc>
          <w:tcPr>
            <w:tcW w:w="260" w:type="dxa"/>
            <w:vAlign w:val="bottom"/>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6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20</w:t>
            </w:r>
          </w:p>
        </w:tc>
        <w:tc>
          <w:tcPr>
            <w:tcW w:w="24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142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16</w:t>
            </w:r>
          </w:p>
        </w:tc>
        <w:tc>
          <w:tcPr>
            <w:tcW w:w="24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14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w:t>
            </w:r>
          </w:p>
        </w:tc>
        <w:tc>
          <w:tcPr>
            <w:tcW w:w="20" w:type="dxa"/>
            <w:vAlign w:val="bottom"/>
            <w:tcBorders>
              <w:bottom w:val="single" w:sz="8" w:color="2C6937"/>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288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jc w:val="right"/>
              <w:ind w:right="31"/>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c>
          <w:tcPr>
            <w:tcW w:w="240" w:type="dxa"/>
            <w:vAlign w:val="bottom"/>
          </w:tcPr>
          <w:p>
            <w:pPr>
              <w:spacing w:after="0"/>
              <w:rPr>
                <w:sz w:val="17"/>
                <w:szCs w:val="17"/>
                <w:color w:val="auto"/>
              </w:rPr>
            </w:pPr>
          </w:p>
        </w:tc>
        <w:tc>
          <w:tcPr>
            <w:tcW w:w="142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2C6937"/>
              <w:bottom w:val="single" w:sz="8" w:color="2C6937"/>
            </w:tcBorders>
          </w:tcPr>
          <w:p>
            <w:pPr>
              <w:spacing w:after="0" w:line="20" w:lineRule="exact"/>
              <w:rPr>
                <w:sz w:val="1"/>
                <w:szCs w:val="1"/>
                <w:color w:val="auto"/>
              </w:rPr>
            </w:pPr>
          </w:p>
        </w:tc>
        <w:tc>
          <w:tcPr>
            <w:tcW w:w="28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bottom w:val="single" w:sz="8" w:color="CBC8C3"/>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Borders>
              <w:bottom w:val="single" w:sz="8" w:color="CBC8C3"/>
            </w:tcBorders>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Borders>
              <w:bottom w:val="single" w:sz="8" w:color="CBC8C3"/>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Borders>
              <w:bottom w:val="single" w:sz="8" w:color="CBC8C3"/>
            </w:tcBorders>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142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46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bottom w:val="single" w:sz="8" w:color="CBC8C3"/>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0" w:type="dxa"/>
            <w:vAlign w:val="bottom"/>
            <w:shd w:val="clear" w:color="auto" w:fill="CBC8C3"/>
          </w:tcPr>
          <w:p>
            <w:pPr>
              <w:spacing w:after="0"/>
              <w:rPr>
                <w:sz w:val="18"/>
                <w:szCs w:val="18"/>
                <w:color w:val="auto"/>
              </w:rPr>
            </w:pPr>
          </w:p>
        </w:tc>
        <w:tc>
          <w:tcPr>
            <w:tcW w:w="2880" w:type="dxa"/>
            <w:vAlign w:val="bottom"/>
            <w:gridSpan w:val="2"/>
            <w:shd w:val="clear" w:color="auto" w:fill="CBC8C3"/>
          </w:tcPr>
          <w:p>
            <w:pPr>
              <w:ind w:left="120"/>
              <w:spacing w:after="0"/>
              <w:rPr>
                <w:sz w:val="20"/>
                <w:szCs w:val="20"/>
                <w:color w:val="auto"/>
              </w:rPr>
            </w:pPr>
            <w:r>
              <w:rPr>
                <w:rFonts w:ascii="Arial" w:cs="Arial" w:eastAsia="Arial" w:hAnsi="Arial"/>
                <w:sz w:val="14"/>
                <w:szCs w:val="14"/>
                <w:b w:val="1"/>
                <w:bCs w:val="1"/>
                <w:i w:val="1"/>
                <w:iCs w:val="1"/>
                <w:color w:val="auto"/>
              </w:rPr>
              <w:t>Weighted average</w:t>
            </w:r>
          </w:p>
        </w:tc>
        <w:tc>
          <w:tcPr>
            <w:tcW w:w="86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38</w:t>
            </w:r>
          </w:p>
        </w:tc>
        <w:tc>
          <w:tcPr>
            <w:tcW w:w="26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20" w:type="dxa"/>
            <w:vAlign w:val="bottom"/>
            <w:shd w:val="clear" w:color="auto" w:fill="CBC8C3"/>
          </w:tcPr>
          <w:p>
            <w:pPr>
              <w:spacing w:after="0"/>
              <w:rPr>
                <w:sz w:val="18"/>
                <w:szCs w:val="18"/>
                <w:color w:val="auto"/>
              </w:rPr>
            </w:pPr>
          </w:p>
        </w:tc>
        <w:tc>
          <w:tcPr>
            <w:tcW w:w="64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37</w:t>
            </w:r>
          </w:p>
        </w:tc>
        <w:tc>
          <w:tcPr>
            <w:tcW w:w="26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w:t>
            </w:r>
          </w:p>
        </w:tc>
        <w:tc>
          <w:tcPr>
            <w:tcW w:w="82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38</w:t>
            </w:r>
          </w:p>
        </w:tc>
        <w:tc>
          <w:tcPr>
            <w:tcW w:w="260" w:type="dxa"/>
            <w:vAlign w:val="bottom"/>
            <w:shd w:val="clear" w:color="auto" w:fill="CBC8C3"/>
          </w:tcPr>
          <w:p>
            <w:pPr>
              <w:jc w:val="right"/>
              <w:ind w:right="31"/>
              <w:spacing w:after="0"/>
              <w:rPr>
                <w:sz w:val="20"/>
                <w:szCs w:val="20"/>
                <w:color w:val="auto"/>
              </w:rPr>
            </w:pPr>
            <w:r>
              <w:rPr>
                <w:rFonts w:ascii="Arial" w:cs="Arial" w:eastAsia="Arial" w:hAnsi="Arial"/>
                <w:sz w:val="14"/>
                <w:szCs w:val="14"/>
                <w:b w:val="1"/>
                <w:bCs w:val="1"/>
                <w:i w:val="1"/>
                <w:iCs w:val="1"/>
                <w:color w:val="auto"/>
              </w:rPr>
              <w:t>%</w:t>
            </w:r>
          </w:p>
        </w:tc>
        <w:tc>
          <w:tcPr>
            <w:tcW w:w="220" w:type="dxa"/>
            <w:vAlign w:val="bottom"/>
            <w:shd w:val="clear" w:color="auto" w:fill="CBC8C3"/>
          </w:tcPr>
          <w:p>
            <w:pPr>
              <w:spacing w:after="0"/>
              <w:rPr>
                <w:sz w:val="18"/>
                <w:szCs w:val="18"/>
                <w:color w:val="auto"/>
              </w:rPr>
            </w:pPr>
          </w:p>
        </w:tc>
        <w:tc>
          <w:tcPr>
            <w:tcW w:w="660" w:type="dxa"/>
            <w:vAlign w:val="bottom"/>
            <w:shd w:val="clear" w:color="auto" w:fill="CBC8C3"/>
          </w:tcPr>
          <w:p>
            <w:pPr>
              <w:jc w:val="right"/>
              <w:ind w:right="11"/>
              <w:spacing w:after="0"/>
              <w:rPr>
                <w:sz w:val="20"/>
                <w:szCs w:val="20"/>
                <w:color w:val="auto"/>
              </w:rPr>
            </w:pPr>
            <w:r>
              <w:rPr>
                <w:rFonts w:ascii="Arial" w:cs="Arial" w:eastAsia="Arial" w:hAnsi="Arial"/>
                <w:sz w:val="14"/>
                <w:szCs w:val="14"/>
                <w:i w:val="1"/>
                <w:iCs w:val="1"/>
                <w:color w:val="auto"/>
              </w:rPr>
              <w:t>36</w:t>
            </w:r>
          </w:p>
        </w:tc>
        <w:tc>
          <w:tcPr>
            <w:tcW w:w="240" w:type="dxa"/>
            <w:vAlign w:val="bottom"/>
            <w:shd w:val="clear" w:color="auto" w:fill="CBC8C3"/>
          </w:tcPr>
          <w:p>
            <w:pPr>
              <w:jc w:val="right"/>
              <w:ind w:right="31"/>
              <w:spacing w:after="0"/>
              <w:rPr>
                <w:sz w:val="20"/>
                <w:szCs w:val="20"/>
                <w:color w:val="auto"/>
              </w:rPr>
            </w:pPr>
            <w:r>
              <w:rPr>
                <w:rFonts w:ascii="Arial" w:cs="Arial" w:eastAsia="Arial" w:hAnsi="Arial"/>
                <w:sz w:val="14"/>
                <w:szCs w:val="14"/>
                <w:i w:val="1"/>
                <w:iCs w:val="1"/>
                <w:color w:val="auto"/>
                <w:w w:val="96"/>
              </w:rPr>
              <w:t>%</w:t>
            </w:r>
          </w:p>
        </w:tc>
        <w:tc>
          <w:tcPr>
            <w:tcW w:w="240" w:type="dxa"/>
            <w:vAlign w:val="bottom"/>
            <w:shd w:val="clear" w:color="auto" w:fill="CBC8C3"/>
          </w:tcPr>
          <w:p>
            <w:pPr>
              <w:spacing w:after="0"/>
              <w:rPr>
                <w:sz w:val="18"/>
                <w:szCs w:val="18"/>
                <w:color w:val="auto"/>
              </w:rPr>
            </w:pPr>
          </w:p>
        </w:tc>
        <w:tc>
          <w:tcPr>
            <w:tcW w:w="1420" w:type="dxa"/>
            <w:vAlign w:val="bottom"/>
            <w:shd w:val="clear" w:color="auto" w:fill="CBC8C3"/>
          </w:tcPr>
          <w:p>
            <w:pPr>
              <w:jc w:val="right"/>
              <w:ind w:right="11"/>
              <w:spacing w:after="0"/>
              <w:rPr>
                <w:sz w:val="20"/>
                <w:szCs w:val="20"/>
                <w:color w:val="auto"/>
              </w:rPr>
            </w:pPr>
            <w:r>
              <w:rPr>
                <w:rFonts w:ascii="Arial" w:cs="Arial" w:eastAsia="Arial" w:hAnsi="Arial"/>
                <w:sz w:val="14"/>
                <w:szCs w:val="14"/>
                <w:b w:val="1"/>
                <w:bCs w:val="1"/>
                <w:i w:val="1"/>
                <w:iCs w:val="1"/>
                <w:color w:val="auto"/>
              </w:rPr>
              <w:t>35</w:t>
            </w:r>
          </w:p>
        </w:tc>
        <w:tc>
          <w:tcPr>
            <w:tcW w:w="240" w:type="dxa"/>
            <w:vAlign w:val="bottom"/>
            <w:shd w:val="clear" w:color="auto" w:fill="CBC8C3"/>
          </w:tcPr>
          <w:p>
            <w:pPr>
              <w:jc w:val="right"/>
              <w:ind w:right="31"/>
              <w:spacing w:after="0"/>
              <w:rPr>
                <w:sz w:val="20"/>
                <w:szCs w:val="20"/>
                <w:color w:val="auto"/>
              </w:rPr>
            </w:pPr>
            <w:r>
              <w:rPr>
                <w:rFonts w:ascii="Arial" w:cs="Arial" w:eastAsia="Arial" w:hAnsi="Arial"/>
                <w:sz w:val="14"/>
                <w:szCs w:val="14"/>
                <w:i w:val="1"/>
                <w:iCs w:val="1"/>
                <w:color w:val="auto"/>
                <w:w w:val="96"/>
              </w:rPr>
              <w:t>%</w:t>
            </w:r>
          </w:p>
        </w:tc>
        <w:tc>
          <w:tcPr>
            <w:tcW w:w="200" w:type="dxa"/>
            <w:vAlign w:val="bottom"/>
            <w:shd w:val="clear" w:color="auto" w:fill="CBC8C3"/>
          </w:tcPr>
          <w:p>
            <w:pPr>
              <w:spacing w:after="0"/>
              <w:rPr>
                <w:sz w:val="18"/>
                <w:szCs w:val="18"/>
                <w:color w:val="auto"/>
              </w:rPr>
            </w:pPr>
          </w:p>
        </w:tc>
        <w:tc>
          <w:tcPr>
            <w:tcW w:w="146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35</w:t>
            </w:r>
          </w:p>
        </w:tc>
        <w:tc>
          <w:tcPr>
            <w:tcW w:w="160" w:type="dxa"/>
            <w:vAlign w:val="bottom"/>
            <w:gridSpan w:val="2"/>
            <w:shd w:val="clear" w:color="auto" w:fill="CBC8C3"/>
          </w:tcPr>
          <w:p>
            <w:pPr>
              <w:jc w:val="right"/>
              <w:spacing w:after="0"/>
              <w:rPr>
                <w:sz w:val="20"/>
                <w:szCs w:val="20"/>
                <w:color w:val="auto"/>
              </w:rPr>
            </w:pPr>
            <w:r>
              <w:rPr>
                <w:rFonts w:ascii="Arial" w:cs="Arial" w:eastAsia="Arial" w:hAnsi="Arial"/>
                <w:sz w:val="14"/>
                <w:szCs w:val="14"/>
                <w:i w:val="1"/>
                <w:iCs w:val="1"/>
                <w:color w:val="auto"/>
              </w:rPr>
              <w:t>%</w:t>
            </w:r>
          </w:p>
        </w:tc>
        <w:tc>
          <w:tcPr>
            <w:tcW w:w="100" w:type="dxa"/>
            <w:vAlign w:val="bottom"/>
            <w:shd w:val="clear" w:color="auto" w:fill="CBC8C3"/>
          </w:tcPr>
          <w:p>
            <w:pPr>
              <w:spacing w:after="0"/>
              <w:rPr>
                <w:sz w:val="18"/>
                <w:szCs w:val="18"/>
                <w:color w:val="auto"/>
              </w:rPr>
            </w:pPr>
          </w:p>
        </w:tc>
        <w:tc>
          <w:tcPr>
            <w:tcW w:w="0" w:type="dxa"/>
            <w:vAlign w:val="bottom"/>
          </w:tcPr>
          <w:p>
            <w:pPr>
              <w:spacing w:after="0"/>
              <w:rPr>
                <w:sz w:val="1"/>
                <w:szCs w:val="1"/>
                <w:color w:val="auto"/>
              </w:rPr>
            </w:pPr>
          </w:p>
        </w:tc>
      </w:tr>
      <w:tr>
        <w:trPr>
          <w:trHeight w:val="722"/>
        </w:trPr>
        <w:tc>
          <w:tcPr>
            <w:tcW w:w="100" w:type="dxa"/>
            <w:vAlign w:val="bottom"/>
          </w:tcPr>
          <w:p>
            <w:pPr>
              <w:spacing w:after="0"/>
              <w:rPr>
                <w:sz w:val="24"/>
                <w:szCs w:val="24"/>
                <w:color w:val="auto"/>
              </w:rPr>
            </w:pPr>
          </w:p>
        </w:tc>
        <w:tc>
          <w:tcPr>
            <w:tcW w:w="2880" w:type="dxa"/>
            <w:vAlign w:val="bottom"/>
            <w:tcBorders>
              <w:bottom w:val="single" w:sz="8" w:color="CBC8C3"/>
            </w:tcBorders>
            <w:gridSpan w:val="2"/>
          </w:tcPr>
          <w:p>
            <w:pPr>
              <w:spacing w:after="0"/>
              <w:rPr>
                <w:sz w:val="24"/>
                <w:szCs w:val="24"/>
                <w:color w:val="auto"/>
              </w:rPr>
            </w:pPr>
          </w:p>
        </w:tc>
        <w:tc>
          <w:tcPr>
            <w:tcW w:w="860" w:type="dxa"/>
            <w:vAlign w:val="bottom"/>
            <w:tcBorders>
              <w:bottom w:val="single" w:sz="8" w:color="CBC8C3"/>
            </w:tcBorders>
          </w:tcPr>
          <w:p>
            <w:pPr>
              <w:spacing w:after="0"/>
              <w:rPr>
                <w:sz w:val="24"/>
                <w:szCs w:val="24"/>
                <w:color w:val="auto"/>
              </w:rPr>
            </w:pPr>
          </w:p>
        </w:tc>
        <w:tc>
          <w:tcPr>
            <w:tcW w:w="260" w:type="dxa"/>
            <w:vAlign w:val="bottom"/>
            <w:tcBorders>
              <w:bottom w:val="single" w:sz="8" w:color="CBC8C3"/>
            </w:tcBorders>
          </w:tcPr>
          <w:p>
            <w:pPr>
              <w:spacing w:after="0"/>
              <w:rPr>
                <w:sz w:val="24"/>
                <w:szCs w:val="24"/>
                <w:color w:val="auto"/>
              </w:rPr>
            </w:pPr>
          </w:p>
        </w:tc>
        <w:tc>
          <w:tcPr>
            <w:tcW w:w="220" w:type="dxa"/>
            <w:vAlign w:val="bottom"/>
            <w:tcBorders>
              <w:bottom w:val="single" w:sz="8" w:color="CBC8C3"/>
            </w:tcBorders>
          </w:tcPr>
          <w:p>
            <w:pPr>
              <w:spacing w:after="0"/>
              <w:rPr>
                <w:sz w:val="24"/>
                <w:szCs w:val="24"/>
                <w:color w:val="auto"/>
              </w:rPr>
            </w:pPr>
          </w:p>
        </w:tc>
        <w:tc>
          <w:tcPr>
            <w:tcW w:w="640" w:type="dxa"/>
            <w:vAlign w:val="bottom"/>
            <w:tcBorders>
              <w:bottom w:val="single" w:sz="8" w:color="CBC8C3"/>
            </w:tcBorders>
          </w:tcPr>
          <w:p>
            <w:pPr>
              <w:spacing w:after="0"/>
              <w:rPr>
                <w:sz w:val="24"/>
                <w:szCs w:val="24"/>
                <w:color w:val="auto"/>
              </w:rPr>
            </w:pPr>
          </w:p>
        </w:tc>
        <w:tc>
          <w:tcPr>
            <w:tcW w:w="260" w:type="dxa"/>
            <w:vAlign w:val="bottom"/>
            <w:tcBorders>
              <w:bottom w:val="single" w:sz="8" w:color="CBC8C3"/>
            </w:tcBorders>
          </w:tcPr>
          <w:p>
            <w:pPr>
              <w:spacing w:after="0"/>
              <w:rPr>
                <w:sz w:val="24"/>
                <w:szCs w:val="24"/>
                <w:color w:val="auto"/>
              </w:rPr>
            </w:pPr>
          </w:p>
        </w:tc>
        <w:tc>
          <w:tcPr>
            <w:tcW w:w="820" w:type="dxa"/>
            <w:vAlign w:val="bottom"/>
            <w:tcBorders>
              <w:bottom w:val="single" w:sz="8" w:color="CBC8C3"/>
            </w:tcBorders>
          </w:tcPr>
          <w:p>
            <w:pPr>
              <w:spacing w:after="0"/>
              <w:rPr>
                <w:sz w:val="24"/>
                <w:szCs w:val="24"/>
                <w:color w:val="auto"/>
              </w:rPr>
            </w:pPr>
          </w:p>
        </w:tc>
        <w:tc>
          <w:tcPr>
            <w:tcW w:w="260" w:type="dxa"/>
            <w:vAlign w:val="bottom"/>
            <w:tcBorders>
              <w:bottom w:val="single" w:sz="8" w:color="CBC8C3"/>
            </w:tcBorders>
          </w:tcPr>
          <w:p>
            <w:pPr>
              <w:spacing w:after="0"/>
              <w:rPr>
                <w:sz w:val="24"/>
                <w:szCs w:val="24"/>
                <w:color w:val="auto"/>
              </w:rPr>
            </w:pPr>
          </w:p>
        </w:tc>
        <w:tc>
          <w:tcPr>
            <w:tcW w:w="220" w:type="dxa"/>
            <w:vAlign w:val="bottom"/>
            <w:tcBorders>
              <w:bottom w:val="single" w:sz="8" w:color="CBC8C3"/>
            </w:tcBorders>
          </w:tcPr>
          <w:p>
            <w:pPr>
              <w:spacing w:after="0"/>
              <w:rPr>
                <w:sz w:val="24"/>
                <w:szCs w:val="24"/>
                <w:color w:val="auto"/>
              </w:rPr>
            </w:pPr>
          </w:p>
        </w:tc>
        <w:tc>
          <w:tcPr>
            <w:tcW w:w="660" w:type="dxa"/>
            <w:vAlign w:val="bottom"/>
            <w:tcBorders>
              <w:bottom w:val="single" w:sz="8" w:color="CBC8C3"/>
            </w:tcBorders>
          </w:tcPr>
          <w:p>
            <w:pPr>
              <w:spacing w:after="0"/>
              <w:rPr>
                <w:sz w:val="24"/>
                <w:szCs w:val="24"/>
                <w:color w:val="auto"/>
              </w:rPr>
            </w:pPr>
          </w:p>
        </w:tc>
        <w:tc>
          <w:tcPr>
            <w:tcW w:w="240" w:type="dxa"/>
            <w:vAlign w:val="bottom"/>
            <w:tcBorders>
              <w:bottom w:val="single" w:sz="8" w:color="CBC8C3"/>
            </w:tcBorders>
          </w:tcPr>
          <w:p>
            <w:pPr>
              <w:spacing w:after="0"/>
              <w:rPr>
                <w:sz w:val="24"/>
                <w:szCs w:val="24"/>
                <w:color w:val="auto"/>
              </w:rPr>
            </w:pPr>
          </w:p>
        </w:tc>
        <w:tc>
          <w:tcPr>
            <w:tcW w:w="240" w:type="dxa"/>
            <w:vAlign w:val="bottom"/>
            <w:tcBorders>
              <w:bottom w:val="single" w:sz="8" w:color="CBC8C3"/>
            </w:tcBorders>
          </w:tcPr>
          <w:p>
            <w:pPr>
              <w:spacing w:after="0"/>
              <w:rPr>
                <w:sz w:val="24"/>
                <w:szCs w:val="24"/>
                <w:color w:val="auto"/>
              </w:rPr>
            </w:pPr>
          </w:p>
        </w:tc>
        <w:tc>
          <w:tcPr>
            <w:tcW w:w="1420" w:type="dxa"/>
            <w:vAlign w:val="bottom"/>
            <w:tcBorders>
              <w:bottom w:val="single" w:sz="8" w:color="CBC8C3"/>
            </w:tcBorders>
          </w:tcPr>
          <w:p>
            <w:pPr>
              <w:spacing w:after="0"/>
              <w:rPr>
                <w:sz w:val="24"/>
                <w:szCs w:val="24"/>
                <w:color w:val="auto"/>
              </w:rPr>
            </w:pPr>
          </w:p>
        </w:tc>
        <w:tc>
          <w:tcPr>
            <w:tcW w:w="240" w:type="dxa"/>
            <w:vAlign w:val="bottom"/>
            <w:tcBorders>
              <w:bottom w:val="single" w:sz="8" w:color="CBC8C3"/>
            </w:tcBorders>
          </w:tcPr>
          <w:p>
            <w:pPr>
              <w:spacing w:after="0"/>
              <w:rPr>
                <w:sz w:val="24"/>
                <w:szCs w:val="24"/>
                <w:color w:val="auto"/>
              </w:rPr>
            </w:pPr>
          </w:p>
        </w:tc>
        <w:tc>
          <w:tcPr>
            <w:tcW w:w="200" w:type="dxa"/>
            <w:vAlign w:val="bottom"/>
            <w:tcBorders>
              <w:bottom w:val="single" w:sz="8" w:color="CBC8C3"/>
            </w:tcBorders>
          </w:tcPr>
          <w:p>
            <w:pPr>
              <w:spacing w:after="0"/>
              <w:rPr>
                <w:sz w:val="24"/>
                <w:szCs w:val="24"/>
                <w:color w:val="auto"/>
              </w:rPr>
            </w:pPr>
          </w:p>
        </w:tc>
        <w:tc>
          <w:tcPr>
            <w:tcW w:w="1460" w:type="dxa"/>
            <w:vAlign w:val="bottom"/>
            <w:tcBorders>
              <w:bottom w:val="single" w:sz="8" w:color="CBC8C3"/>
            </w:tcBorders>
          </w:tcPr>
          <w:p>
            <w:pPr>
              <w:spacing w:after="0"/>
              <w:rPr>
                <w:sz w:val="24"/>
                <w:szCs w:val="24"/>
                <w:color w:val="auto"/>
              </w:rPr>
            </w:pPr>
          </w:p>
        </w:tc>
        <w:tc>
          <w:tcPr>
            <w:tcW w:w="160" w:type="dxa"/>
            <w:vAlign w:val="bottom"/>
            <w:tcBorders>
              <w:bottom w:val="single" w:sz="8" w:color="CBC8C3"/>
            </w:tcBorders>
            <w:gridSpan w:val="2"/>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2880" w:type="dxa"/>
            <w:vAlign w:val="bottom"/>
            <w:gridSpan w:val="2"/>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05314D"/>
                <w:w w:val="76"/>
              </w:rPr>
              <w:t>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28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30" w:name="page31"/>
    <w:bookmarkEnd w:id="30"/>
    <w:p>
      <w:pPr>
        <w:ind w:left="6080"/>
        <w:spacing w:after="0"/>
        <w:rPr>
          <w:sz w:val="20"/>
          <w:szCs w:val="20"/>
          <w:color w:val="auto"/>
        </w:rPr>
      </w:pPr>
      <w:r>
        <w:rPr>
          <w:rFonts w:ascii="Arial" w:cs="Arial" w:eastAsia="Arial" w:hAnsi="Arial"/>
          <w:sz w:val="13"/>
          <w:szCs w:val="13"/>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22860</wp:posOffset>
            </wp:positionV>
            <wp:extent cx="70072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180" w:type="dxa"/>
            <w:vAlign w:val="bottom"/>
            <w:gridSpan w:val="9"/>
          </w:tcPr>
          <w:p>
            <w:pPr>
              <w:jc w:val="right"/>
              <w:ind w:right="91"/>
              <w:spacing w:after="0"/>
              <w:rPr>
                <w:sz w:val="20"/>
                <w:szCs w:val="20"/>
                <w:color w:val="auto"/>
              </w:rPr>
            </w:pPr>
            <w:r>
              <w:rPr>
                <w:rFonts w:ascii="Arial" w:cs="Arial" w:eastAsia="Arial" w:hAnsi="Arial"/>
                <w:sz w:val="14"/>
                <w:szCs w:val="14"/>
                <w:b w:val="1"/>
                <w:bCs w:val="1"/>
                <w:color w:val="auto"/>
              </w:rPr>
              <w:t>Percent of Single-Family Conventional Business Volume at</w:t>
            </w:r>
          </w:p>
        </w:tc>
        <w:tc>
          <w:tcPr>
            <w:tcW w:w="140" w:type="dxa"/>
            <w:vAlign w:val="bottom"/>
          </w:tcPr>
          <w:p>
            <w:pPr>
              <w:spacing w:after="0"/>
              <w:rPr>
                <w:sz w:val="14"/>
                <w:szCs w:val="14"/>
                <w:color w:val="auto"/>
              </w:rPr>
            </w:pPr>
          </w:p>
        </w:tc>
      </w:tr>
      <w:tr>
        <w:trPr>
          <w:trHeight w:val="198"/>
        </w:trPr>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bottom w:val="single" w:sz="8" w:color="2C6937"/>
            </w:tcBorders>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760" w:type="dxa"/>
            <w:vAlign w:val="bottom"/>
            <w:tcBorders>
              <w:bottom w:val="single" w:sz="8" w:color="2C6937"/>
            </w:tcBorders>
            <w:gridSpan w:val="3"/>
          </w:tcPr>
          <w:p>
            <w:pPr>
              <w:jc w:val="right"/>
              <w:ind w:right="491"/>
              <w:spacing w:after="0"/>
              <w:rPr>
                <w:sz w:val="20"/>
                <w:szCs w:val="20"/>
                <w:color w:val="auto"/>
              </w:rPr>
            </w:pPr>
            <w:r>
              <w:rPr>
                <w:rFonts w:ascii="Arial" w:cs="Arial" w:eastAsia="Arial" w:hAnsi="Arial"/>
                <w:sz w:val="14"/>
                <w:szCs w:val="14"/>
                <w:b w:val="1"/>
                <w:bCs w:val="1"/>
                <w:color w:val="auto"/>
              </w:rPr>
              <w:t>Acquisition</w:t>
            </w:r>
            <w:r>
              <w:rPr>
                <w:rFonts w:ascii="Arial" w:cs="Arial" w:eastAsia="Arial" w:hAnsi="Arial"/>
                <w:sz w:val="8"/>
                <w:szCs w:val="8"/>
                <w:b w:val="1"/>
                <w:bCs w:val="1"/>
                <w:color w:val="auto"/>
              </w:rPr>
              <w:t>(2)</w:t>
            </w:r>
          </w:p>
        </w:tc>
        <w:tc>
          <w:tcPr>
            <w:tcW w:w="240" w:type="dxa"/>
            <w:vAlign w:val="bottom"/>
            <w:tcBorders>
              <w:bottom w:val="single" w:sz="8" w:color="2C6937"/>
            </w:tcBorders>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640" w:type="dxa"/>
            <w:vAlign w:val="bottom"/>
            <w:tcBorders>
              <w:bottom w:val="single" w:sz="8" w:color="2C6937"/>
            </w:tcBorders>
          </w:tcPr>
          <w:p>
            <w:pPr>
              <w:spacing w:after="0"/>
              <w:rPr>
                <w:sz w:val="17"/>
                <w:szCs w:val="17"/>
                <w:color w:val="auto"/>
              </w:rPr>
            </w:pPr>
          </w:p>
        </w:tc>
        <w:tc>
          <w:tcPr>
            <w:tcW w:w="140" w:type="dxa"/>
            <w:vAlign w:val="bottom"/>
          </w:tcPr>
          <w:p>
            <w:pPr>
              <w:spacing w:after="0"/>
              <w:rPr>
                <w:sz w:val="17"/>
                <w:szCs w:val="17"/>
                <w:color w:val="auto"/>
              </w:rPr>
            </w:pPr>
          </w:p>
        </w:tc>
      </w:tr>
      <w:tr>
        <w:trPr>
          <w:trHeight w:val="156"/>
        </w:trPr>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4"/>
          </w:tcPr>
          <w:p>
            <w:pPr>
              <w:jc w:val="center"/>
              <w:spacing w:after="0" w:line="156" w:lineRule="exact"/>
              <w:rPr>
                <w:sz w:val="20"/>
                <w:szCs w:val="20"/>
                <w:color w:val="auto"/>
              </w:rPr>
            </w:pPr>
            <w:r>
              <w:rPr>
                <w:rFonts w:ascii="Arial" w:cs="Arial" w:eastAsia="Arial" w:hAnsi="Arial"/>
                <w:sz w:val="14"/>
                <w:szCs w:val="14"/>
                <w:b w:val="1"/>
                <w:bCs w:val="1"/>
                <w:color w:val="auto"/>
                <w:w w:val="97"/>
              </w:rPr>
              <w:t>For the Three Months Ended</w:t>
            </w:r>
          </w:p>
        </w:tc>
        <w:tc>
          <w:tcPr>
            <w:tcW w:w="260" w:type="dxa"/>
            <w:vAlign w:val="bottom"/>
          </w:tcPr>
          <w:p>
            <w:pPr>
              <w:spacing w:after="0"/>
              <w:rPr>
                <w:sz w:val="13"/>
                <w:szCs w:val="13"/>
                <w:color w:val="auto"/>
              </w:rPr>
            </w:pPr>
          </w:p>
        </w:tc>
        <w:tc>
          <w:tcPr>
            <w:tcW w:w="1960" w:type="dxa"/>
            <w:vAlign w:val="bottom"/>
            <w:gridSpan w:val="4"/>
          </w:tcPr>
          <w:p>
            <w:pPr>
              <w:jc w:val="center"/>
              <w:spacing w:after="0" w:line="156" w:lineRule="exact"/>
              <w:rPr>
                <w:sz w:val="20"/>
                <w:szCs w:val="20"/>
                <w:color w:val="auto"/>
              </w:rPr>
            </w:pPr>
            <w:r>
              <w:rPr>
                <w:rFonts w:ascii="Arial" w:cs="Arial" w:eastAsia="Arial" w:hAnsi="Arial"/>
                <w:sz w:val="14"/>
                <w:szCs w:val="14"/>
                <w:b w:val="1"/>
                <w:bCs w:val="1"/>
                <w:color w:val="auto"/>
                <w:w w:val="98"/>
              </w:rPr>
              <w:t>For the Six Months Ended</w:t>
            </w:r>
          </w:p>
        </w:tc>
        <w:tc>
          <w:tcPr>
            <w:tcW w:w="140" w:type="dxa"/>
            <w:vAlign w:val="bottom"/>
          </w:tcPr>
          <w:p>
            <w:pPr>
              <w:spacing w:after="0"/>
              <w:rPr>
                <w:sz w:val="13"/>
                <w:szCs w:val="13"/>
                <w:color w:val="auto"/>
              </w:rPr>
            </w:pPr>
          </w:p>
        </w:tc>
      </w:tr>
      <w:tr>
        <w:trPr>
          <w:trHeight w:val="191"/>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center"/>
              <w:ind w:left="591"/>
              <w:spacing w:after="0"/>
              <w:rPr>
                <w:sz w:val="20"/>
                <w:szCs w:val="20"/>
                <w:color w:val="auto"/>
              </w:rPr>
            </w:pPr>
            <w:r>
              <w:rPr>
                <w:rFonts w:ascii="Arial" w:cs="Arial" w:eastAsia="Arial" w:hAnsi="Arial"/>
                <w:sz w:val="14"/>
                <w:szCs w:val="14"/>
                <w:b w:val="1"/>
                <w:bCs w:val="1"/>
                <w:color w:val="auto"/>
                <w:w w:val="96"/>
              </w:rPr>
              <w:t>June 30,</w:t>
            </w: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3"/>
          </w:tcPr>
          <w:p>
            <w:pPr>
              <w:jc w:val="center"/>
              <w:ind w:left="571"/>
              <w:spacing w:after="0"/>
              <w:rPr>
                <w:sz w:val="20"/>
                <w:szCs w:val="20"/>
                <w:color w:val="auto"/>
              </w:rPr>
            </w:pPr>
            <w:r>
              <w:rPr>
                <w:rFonts w:ascii="Arial" w:cs="Arial" w:eastAsia="Arial" w:hAnsi="Arial"/>
                <w:sz w:val="14"/>
                <w:szCs w:val="14"/>
                <w:b w:val="1"/>
                <w:bCs w:val="1"/>
                <w:color w:val="auto"/>
                <w:w w:val="99"/>
              </w:rPr>
              <w:t>June 30,</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5"/>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2C6937"/>
              <w:bottom w:val="single" w:sz="8" w:color="2C6937"/>
            </w:tcBorders>
          </w:tcPr>
          <w:p>
            <w:pPr>
              <w:jc w:val="right"/>
              <w:ind w:right="211"/>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2C6937"/>
            </w:tcBorders>
          </w:tcPr>
          <w:p>
            <w:pPr>
              <w:spacing w:after="0"/>
              <w:rPr>
                <w:sz w:val="16"/>
                <w:szCs w:val="16"/>
                <w:color w:val="auto"/>
              </w:rPr>
            </w:pPr>
          </w:p>
        </w:tc>
        <w:tc>
          <w:tcPr>
            <w:tcW w:w="200" w:type="dxa"/>
            <w:vAlign w:val="bottom"/>
            <w:tcBorders>
              <w:top w:val="single" w:sz="8" w:color="2C6937"/>
              <w:bottom w:val="single" w:sz="8" w:color="2C6937"/>
            </w:tcBorders>
          </w:tcPr>
          <w:p>
            <w:pPr>
              <w:spacing w:after="0"/>
              <w:rPr>
                <w:sz w:val="16"/>
                <w:szCs w:val="16"/>
                <w:color w:val="auto"/>
              </w:rPr>
            </w:pPr>
          </w:p>
        </w:tc>
        <w:tc>
          <w:tcPr>
            <w:tcW w:w="640" w:type="dxa"/>
            <w:vAlign w:val="bottom"/>
            <w:tcBorders>
              <w:top w:val="single" w:sz="8" w:color="2C6937"/>
              <w:bottom w:val="single" w:sz="8" w:color="2C6937"/>
            </w:tcBorders>
          </w:tcPr>
          <w:p>
            <w:pPr>
              <w:jc w:val="right"/>
              <w:ind w:right="19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860" w:type="dxa"/>
            <w:vAlign w:val="bottom"/>
            <w:tcBorders>
              <w:top w:val="single" w:sz="8" w:color="2C6937"/>
              <w:bottom w:val="single" w:sz="8" w:color="2C6937"/>
            </w:tcBorders>
          </w:tcPr>
          <w:p>
            <w:pPr>
              <w:jc w:val="right"/>
              <w:ind w:right="211"/>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216C2B"/>
            </w:tcBorders>
          </w:tcPr>
          <w:p>
            <w:pPr>
              <w:spacing w:after="0"/>
              <w:rPr>
                <w:sz w:val="16"/>
                <w:szCs w:val="16"/>
                <w:color w:val="auto"/>
              </w:rPr>
            </w:pPr>
          </w:p>
        </w:tc>
        <w:tc>
          <w:tcPr>
            <w:tcW w:w="220" w:type="dxa"/>
            <w:vAlign w:val="bottom"/>
            <w:tcBorders>
              <w:top w:val="single" w:sz="8" w:color="216C2B"/>
              <w:bottom w:val="single" w:sz="8" w:color="2C6937"/>
            </w:tcBorders>
          </w:tcPr>
          <w:p>
            <w:pPr>
              <w:spacing w:after="0"/>
              <w:rPr>
                <w:sz w:val="16"/>
                <w:szCs w:val="16"/>
                <w:color w:val="auto"/>
              </w:rPr>
            </w:pPr>
          </w:p>
        </w:tc>
        <w:tc>
          <w:tcPr>
            <w:tcW w:w="640" w:type="dxa"/>
            <w:vAlign w:val="bottom"/>
            <w:tcBorders>
              <w:top w:val="single" w:sz="8" w:color="216C2B"/>
              <w:bottom w:val="single" w:sz="8" w:color="2C6937"/>
            </w:tcBorders>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186"/>
        </w:trPr>
        <w:tc>
          <w:tcPr>
            <w:tcW w:w="2960" w:type="dxa"/>
            <w:vAlign w:val="bottom"/>
            <w:gridSpan w:val="2"/>
          </w:tcPr>
          <w:p>
            <w:pPr>
              <w:ind w:left="20"/>
              <w:spacing w:after="0"/>
              <w:rPr>
                <w:sz w:val="20"/>
                <w:szCs w:val="20"/>
                <w:color w:val="auto"/>
              </w:rPr>
            </w:pPr>
            <w:r>
              <w:rPr>
                <w:rFonts w:ascii="Arial" w:cs="Arial" w:eastAsia="Arial" w:hAnsi="Arial"/>
                <w:sz w:val="14"/>
                <w:szCs w:val="14"/>
                <w:b w:val="1"/>
                <w:bCs w:val="1"/>
                <w:color w:val="auto"/>
              </w:rPr>
              <w:t>Product type:</w:t>
            </w: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43"/>
        </w:trPr>
        <w:tc>
          <w:tcPr>
            <w:tcW w:w="2960" w:type="dxa"/>
            <w:vAlign w:val="bottom"/>
            <w:gridSpan w:val="2"/>
          </w:tcPr>
          <w:p>
            <w:pPr>
              <w:ind w:left="120"/>
              <w:spacing w:after="0"/>
              <w:rPr>
                <w:sz w:val="20"/>
                <w:szCs w:val="20"/>
                <w:color w:val="auto"/>
              </w:rPr>
            </w:pPr>
            <w:r>
              <w:rPr>
                <w:rFonts w:ascii="Arial" w:cs="Arial" w:eastAsia="Arial" w:hAnsi="Arial"/>
                <w:sz w:val="14"/>
                <w:szCs w:val="14"/>
                <w:color w:val="auto"/>
              </w:rPr>
              <w:t>Fixed-rate:</w:t>
            </w:r>
            <w:r>
              <w:rPr>
                <w:rFonts w:ascii="Arial" w:cs="Arial" w:eastAsia="Arial" w:hAnsi="Arial"/>
                <w:sz w:val="17"/>
                <w:szCs w:val="17"/>
                <w:color w:val="auto"/>
                <w:vertAlign w:val="superscript"/>
              </w:rPr>
              <w:t>(8)</w:t>
            </w: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2960" w:type="dxa"/>
            <w:vAlign w:val="bottom"/>
            <w:gridSpan w:val="2"/>
          </w:tcPr>
          <w:p>
            <w:pPr>
              <w:ind w:left="220"/>
              <w:spacing w:after="0"/>
              <w:rPr>
                <w:sz w:val="20"/>
                <w:szCs w:val="20"/>
                <w:color w:val="auto"/>
              </w:rPr>
            </w:pPr>
            <w:r>
              <w:rPr>
                <w:rFonts w:ascii="Arial" w:cs="Arial" w:eastAsia="Arial" w:hAnsi="Arial"/>
                <w:sz w:val="14"/>
                <w:szCs w:val="14"/>
                <w:color w:val="auto"/>
              </w:rPr>
              <w:t>Long-term</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95</w:t>
            </w:r>
          </w:p>
        </w:tc>
        <w:tc>
          <w:tcPr>
            <w:tcW w:w="26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91</w:t>
            </w:r>
          </w:p>
        </w:tc>
        <w:tc>
          <w:tcPr>
            <w:tcW w:w="260" w:type="dxa"/>
            <w:vAlign w:val="bottom"/>
          </w:tcPr>
          <w:p>
            <w:pPr>
              <w:ind w:left="2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95</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88</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12"/>
        </w:trPr>
        <w:tc>
          <w:tcPr>
            <w:tcW w:w="286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Intermediate-term</w:t>
            </w:r>
          </w:p>
        </w:tc>
        <w:tc>
          <w:tcPr>
            <w:tcW w:w="100" w:type="dxa"/>
            <w:vAlign w:val="bottom"/>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w:t>
            </w:r>
          </w:p>
        </w:tc>
        <w:tc>
          <w:tcPr>
            <w:tcW w:w="26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w:t>
            </w:r>
          </w:p>
        </w:tc>
        <w:tc>
          <w:tcPr>
            <w:tcW w:w="260" w:type="dxa"/>
            <w:vAlign w:val="bottom"/>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18"/>
                <w:szCs w:val="18"/>
                <w:color w:val="auto"/>
              </w:rPr>
            </w:pPr>
          </w:p>
        </w:tc>
      </w:tr>
      <w:tr>
        <w:trPr>
          <w:trHeight w:val="200"/>
        </w:trPr>
        <w:tc>
          <w:tcPr>
            <w:tcW w:w="286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fixed-rate</w:t>
            </w:r>
          </w:p>
        </w:tc>
        <w:tc>
          <w:tcPr>
            <w:tcW w:w="100" w:type="dxa"/>
            <w:vAlign w:val="bottom"/>
          </w:tcPr>
          <w:p>
            <w:pPr>
              <w:spacing w:after="0"/>
              <w:rPr>
                <w:sz w:val="17"/>
                <w:szCs w:val="17"/>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99</w:t>
            </w:r>
          </w:p>
        </w:tc>
        <w:tc>
          <w:tcPr>
            <w:tcW w:w="26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99</w:t>
            </w:r>
          </w:p>
        </w:tc>
        <w:tc>
          <w:tcPr>
            <w:tcW w:w="260" w:type="dxa"/>
            <w:vAlign w:val="bottom"/>
          </w:tcPr>
          <w:p>
            <w:pPr>
              <w:spacing w:after="0"/>
              <w:rPr>
                <w:sz w:val="17"/>
                <w:szCs w:val="17"/>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99</w:t>
            </w:r>
          </w:p>
        </w:tc>
        <w:tc>
          <w:tcPr>
            <w:tcW w:w="240" w:type="dxa"/>
            <w:vAlign w:val="bottom"/>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99</w:t>
            </w:r>
          </w:p>
        </w:tc>
        <w:tc>
          <w:tcPr>
            <w:tcW w:w="140" w:type="dxa"/>
            <w:vAlign w:val="bottom"/>
          </w:tcPr>
          <w:p>
            <w:pPr>
              <w:spacing w:after="0"/>
              <w:rPr>
                <w:sz w:val="17"/>
                <w:szCs w:val="17"/>
                <w:color w:val="auto"/>
              </w:rPr>
            </w:pPr>
          </w:p>
        </w:tc>
      </w:tr>
      <w:tr>
        <w:trPr>
          <w:trHeight w:val="211"/>
        </w:trPr>
        <w:tc>
          <w:tcPr>
            <w:tcW w:w="286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Adjustable-rate</w:t>
            </w:r>
          </w:p>
        </w:tc>
        <w:tc>
          <w:tcPr>
            <w:tcW w:w="100" w:type="dxa"/>
            <w:vAlign w:val="bottom"/>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w:t>
            </w:r>
          </w:p>
        </w:tc>
        <w:tc>
          <w:tcPr>
            <w:tcW w:w="26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8"/>
                <w:szCs w:val="18"/>
                <w:color w:val="auto"/>
              </w:rPr>
            </w:pPr>
          </w:p>
        </w:tc>
      </w:tr>
      <w:tr>
        <w:trPr>
          <w:trHeight w:val="213"/>
        </w:trPr>
        <w:tc>
          <w:tcPr>
            <w:tcW w:w="286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ind w:left="20"/>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22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
        </w:trPr>
        <w:tc>
          <w:tcPr>
            <w:tcW w:w="28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2C6937"/>
            </w:tcBorders>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29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 of property units:</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2"/>
        </w:trPr>
        <w:tc>
          <w:tcPr>
            <w:tcW w:w="2960" w:type="dxa"/>
            <w:vAlign w:val="bottom"/>
            <w:gridSpan w:val="2"/>
          </w:tcPr>
          <w:p>
            <w:pPr>
              <w:ind w:left="120"/>
              <w:spacing w:after="0"/>
              <w:rPr>
                <w:sz w:val="20"/>
                <w:szCs w:val="20"/>
                <w:color w:val="auto"/>
              </w:rPr>
            </w:pPr>
            <w:r>
              <w:rPr>
                <w:rFonts w:ascii="Arial" w:cs="Arial" w:eastAsia="Arial" w:hAnsi="Arial"/>
                <w:sz w:val="14"/>
                <w:szCs w:val="14"/>
                <w:color w:val="auto"/>
              </w:rPr>
              <w:t>1 unit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98</w:t>
            </w:r>
          </w:p>
        </w:tc>
        <w:tc>
          <w:tcPr>
            <w:tcW w:w="26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98</w:t>
            </w:r>
          </w:p>
        </w:tc>
        <w:tc>
          <w:tcPr>
            <w:tcW w:w="260" w:type="dxa"/>
            <w:vAlign w:val="bottom"/>
          </w:tcPr>
          <w:p>
            <w:pPr>
              <w:ind w:left="2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98</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98</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8"/>
        </w:trPr>
        <w:tc>
          <w:tcPr>
            <w:tcW w:w="286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2-4 units</w:t>
            </w:r>
          </w:p>
        </w:tc>
        <w:tc>
          <w:tcPr>
            <w:tcW w:w="100" w:type="dxa"/>
            <w:vAlign w:val="bottom"/>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w:t>
            </w:r>
          </w:p>
        </w:tc>
        <w:tc>
          <w:tcPr>
            <w:tcW w:w="26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8"/>
                <w:szCs w:val="18"/>
                <w:color w:val="auto"/>
              </w:rPr>
            </w:pPr>
          </w:p>
        </w:tc>
      </w:tr>
      <w:tr>
        <w:trPr>
          <w:trHeight w:val="212"/>
        </w:trPr>
        <w:tc>
          <w:tcPr>
            <w:tcW w:w="286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ind w:left="20"/>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22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
        </w:trPr>
        <w:tc>
          <w:tcPr>
            <w:tcW w:w="28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2C6937"/>
            </w:tcBorders>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2960" w:type="dxa"/>
            <w:vAlign w:val="bottom"/>
            <w:gridSpan w:val="2"/>
          </w:tcPr>
          <w:p>
            <w:pPr>
              <w:ind w:left="20"/>
              <w:spacing w:after="0"/>
              <w:rPr>
                <w:sz w:val="20"/>
                <w:szCs w:val="20"/>
                <w:color w:val="auto"/>
              </w:rPr>
            </w:pPr>
            <w:r>
              <w:rPr>
                <w:rFonts w:ascii="Arial" w:cs="Arial" w:eastAsia="Arial" w:hAnsi="Arial"/>
                <w:sz w:val="14"/>
                <w:szCs w:val="14"/>
                <w:b w:val="1"/>
                <w:bCs w:val="1"/>
                <w:color w:val="auto"/>
              </w:rPr>
              <w:t>Property type:</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40"/>
        </w:trPr>
        <w:tc>
          <w:tcPr>
            <w:tcW w:w="2960" w:type="dxa"/>
            <w:vAlign w:val="bottom"/>
            <w:gridSpan w:val="2"/>
          </w:tcPr>
          <w:p>
            <w:pPr>
              <w:ind w:left="120"/>
              <w:spacing w:after="0"/>
              <w:rPr>
                <w:sz w:val="20"/>
                <w:szCs w:val="20"/>
                <w:color w:val="auto"/>
              </w:rPr>
            </w:pPr>
            <w:r>
              <w:rPr>
                <w:rFonts w:ascii="Arial" w:cs="Arial" w:eastAsia="Arial" w:hAnsi="Arial"/>
                <w:sz w:val="14"/>
                <w:szCs w:val="14"/>
                <w:color w:val="auto"/>
              </w:rPr>
              <w:t>Single-family homes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91</w:t>
            </w:r>
          </w:p>
        </w:tc>
        <w:tc>
          <w:tcPr>
            <w:tcW w:w="26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91</w:t>
            </w:r>
          </w:p>
        </w:tc>
        <w:tc>
          <w:tcPr>
            <w:tcW w:w="260" w:type="dxa"/>
            <w:vAlign w:val="bottom"/>
          </w:tcPr>
          <w:p>
            <w:pPr>
              <w:ind w:left="2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91</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91</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0"/>
        </w:trPr>
        <w:tc>
          <w:tcPr>
            <w:tcW w:w="286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Condo/Co-op</w:t>
            </w:r>
          </w:p>
        </w:tc>
        <w:tc>
          <w:tcPr>
            <w:tcW w:w="100" w:type="dxa"/>
            <w:vAlign w:val="bottom"/>
          </w:tcPr>
          <w:p>
            <w:pPr>
              <w:spacing w:after="0"/>
              <w:rPr>
                <w:sz w:val="17"/>
                <w:szCs w:val="17"/>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w:t>
            </w:r>
          </w:p>
        </w:tc>
        <w:tc>
          <w:tcPr>
            <w:tcW w:w="26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w:t>
            </w:r>
          </w:p>
        </w:tc>
        <w:tc>
          <w:tcPr>
            <w:tcW w:w="260" w:type="dxa"/>
            <w:vAlign w:val="bottom"/>
          </w:tcPr>
          <w:p>
            <w:pPr>
              <w:spacing w:after="0"/>
              <w:rPr>
                <w:sz w:val="17"/>
                <w:szCs w:val="17"/>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7"/>
                <w:szCs w:val="17"/>
                <w:color w:val="auto"/>
              </w:rPr>
            </w:pPr>
          </w:p>
        </w:tc>
      </w:tr>
      <w:tr>
        <w:trPr>
          <w:trHeight w:val="212"/>
        </w:trPr>
        <w:tc>
          <w:tcPr>
            <w:tcW w:w="286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ind w:left="20"/>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22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
        </w:trPr>
        <w:tc>
          <w:tcPr>
            <w:tcW w:w="28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2C6937"/>
            </w:tcBorders>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2960" w:type="dxa"/>
            <w:vAlign w:val="bottom"/>
            <w:gridSpan w:val="2"/>
          </w:tcPr>
          <w:p>
            <w:pPr>
              <w:ind w:left="20"/>
              <w:spacing w:after="0"/>
              <w:rPr>
                <w:sz w:val="20"/>
                <w:szCs w:val="20"/>
                <w:color w:val="auto"/>
              </w:rPr>
            </w:pPr>
            <w:r>
              <w:rPr>
                <w:rFonts w:ascii="Arial" w:cs="Arial" w:eastAsia="Arial" w:hAnsi="Arial"/>
                <w:sz w:val="14"/>
                <w:szCs w:val="14"/>
                <w:b w:val="1"/>
                <w:bCs w:val="1"/>
                <w:color w:val="auto"/>
              </w:rPr>
              <w:t>Occupancy type:</w:t>
            </w: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19"/>
        </w:trPr>
        <w:tc>
          <w:tcPr>
            <w:tcW w:w="2960" w:type="dxa"/>
            <w:vAlign w:val="bottom"/>
            <w:gridSpan w:val="2"/>
          </w:tcPr>
          <w:p>
            <w:pPr>
              <w:ind w:left="120"/>
              <w:spacing w:after="0"/>
              <w:rPr>
                <w:sz w:val="20"/>
                <w:szCs w:val="20"/>
                <w:color w:val="auto"/>
              </w:rPr>
            </w:pPr>
            <w:r>
              <w:rPr>
                <w:rFonts w:ascii="Arial" w:cs="Arial" w:eastAsia="Arial" w:hAnsi="Arial"/>
                <w:sz w:val="14"/>
                <w:szCs w:val="14"/>
                <w:color w:val="auto"/>
              </w:rPr>
              <w:t>Primary residence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92</w:t>
            </w:r>
          </w:p>
        </w:tc>
        <w:tc>
          <w:tcPr>
            <w:tcW w:w="2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91</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92</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91</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19"/>
        </w:trPr>
        <w:tc>
          <w:tcPr>
            <w:tcW w:w="2960" w:type="dxa"/>
            <w:vAlign w:val="bottom"/>
            <w:gridSpan w:val="2"/>
          </w:tcPr>
          <w:p>
            <w:pPr>
              <w:ind w:left="120"/>
              <w:spacing w:after="0"/>
              <w:rPr>
                <w:sz w:val="20"/>
                <w:szCs w:val="20"/>
                <w:color w:val="auto"/>
              </w:rPr>
            </w:pPr>
            <w:r>
              <w:rPr>
                <w:rFonts w:ascii="Arial" w:cs="Arial" w:eastAsia="Arial" w:hAnsi="Arial"/>
                <w:sz w:val="14"/>
                <w:szCs w:val="14"/>
                <w:color w:val="auto"/>
              </w:rPr>
              <w:t>Second/vacation home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9"/>
                <w:szCs w:val="19"/>
                <w:color w:val="auto"/>
              </w:rPr>
            </w:pPr>
          </w:p>
        </w:tc>
      </w:tr>
      <w:tr>
        <w:trPr>
          <w:trHeight w:val="208"/>
        </w:trPr>
        <w:tc>
          <w:tcPr>
            <w:tcW w:w="286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Investor</w:t>
            </w:r>
          </w:p>
        </w:tc>
        <w:tc>
          <w:tcPr>
            <w:tcW w:w="100" w:type="dxa"/>
            <w:vAlign w:val="bottom"/>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w:t>
            </w:r>
          </w:p>
        </w:tc>
        <w:tc>
          <w:tcPr>
            <w:tcW w:w="26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w:t>
            </w:r>
          </w:p>
        </w:tc>
        <w:tc>
          <w:tcPr>
            <w:tcW w:w="260" w:type="dxa"/>
            <w:vAlign w:val="bottom"/>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w:t>
            </w:r>
          </w:p>
        </w:tc>
        <w:tc>
          <w:tcPr>
            <w:tcW w:w="24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8"/>
                <w:szCs w:val="18"/>
                <w:color w:val="auto"/>
              </w:rPr>
            </w:pPr>
          </w:p>
        </w:tc>
      </w:tr>
      <w:tr>
        <w:trPr>
          <w:trHeight w:val="212"/>
        </w:trPr>
        <w:tc>
          <w:tcPr>
            <w:tcW w:w="286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22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
        </w:trPr>
        <w:tc>
          <w:tcPr>
            <w:tcW w:w="28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2C6937"/>
            </w:tcBorders>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2960" w:type="dxa"/>
            <w:vAlign w:val="bottom"/>
            <w:gridSpan w:val="2"/>
          </w:tcPr>
          <w:p>
            <w:pPr>
              <w:ind w:left="20"/>
              <w:spacing w:after="0"/>
              <w:rPr>
                <w:sz w:val="20"/>
                <w:szCs w:val="20"/>
                <w:color w:val="auto"/>
              </w:rPr>
            </w:pPr>
            <w:r>
              <w:rPr>
                <w:rFonts w:ascii="Arial" w:cs="Arial" w:eastAsia="Arial" w:hAnsi="Arial"/>
                <w:sz w:val="14"/>
                <w:szCs w:val="14"/>
                <w:b w:val="1"/>
                <w:bCs w:val="1"/>
                <w:color w:val="auto"/>
              </w:rPr>
              <w:t>Loan purpose:</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2"/>
        </w:trPr>
        <w:tc>
          <w:tcPr>
            <w:tcW w:w="2960" w:type="dxa"/>
            <w:vAlign w:val="bottom"/>
            <w:gridSpan w:val="2"/>
          </w:tcPr>
          <w:p>
            <w:pPr>
              <w:ind w:left="120"/>
              <w:spacing w:after="0"/>
              <w:rPr>
                <w:sz w:val="20"/>
                <w:szCs w:val="20"/>
                <w:color w:val="auto"/>
              </w:rPr>
            </w:pPr>
            <w:r>
              <w:rPr>
                <w:rFonts w:ascii="Arial" w:cs="Arial" w:eastAsia="Arial" w:hAnsi="Arial"/>
                <w:sz w:val="14"/>
                <w:szCs w:val="14"/>
                <w:color w:val="auto"/>
              </w:rPr>
              <w:t>Purchase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86</w:t>
            </w:r>
          </w:p>
        </w:tc>
        <w:tc>
          <w:tcPr>
            <w:tcW w:w="2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64</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85</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52</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19"/>
        </w:trPr>
        <w:tc>
          <w:tcPr>
            <w:tcW w:w="2960" w:type="dxa"/>
            <w:vAlign w:val="bottom"/>
            <w:gridSpan w:val="2"/>
          </w:tcPr>
          <w:p>
            <w:pPr>
              <w:ind w:left="120"/>
              <w:spacing w:after="0"/>
              <w:rPr>
                <w:sz w:val="20"/>
                <w:szCs w:val="20"/>
                <w:color w:val="auto"/>
              </w:rPr>
            </w:pPr>
            <w:r>
              <w:rPr>
                <w:rFonts w:ascii="Arial" w:cs="Arial" w:eastAsia="Arial" w:hAnsi="Arial"/>
                <w:sz w:val="14"/>
                <w:szCs w:val="14"/>
                <w:color w:val="auto"/>
              </w:rPr>
              <w:t>Cash-out refinance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w:t>
            </w:r>
          </w:p>
        </w:tc>
        <w:tc>
          <w:tcPr>
            <w:tcW w:w="140" w:type="dxa"/>
            <w:vAlign w:val="bottom"/>
          </w:tcPr>
          <w:p>
            <w:pPr>
              <w:spacing w:after="0"/>
              <w:rPr>
                <w:sz w:val="19"/>
                <w:szCs w:val="19"/>
                <w:color w:val="auto"/>
              </w:rPr>
            </w:pPr>
          </w:p>
        </w:tc>
      </w:tr>
      <w:tr>
        <w:trPr>
          <w:trHeight w:val="208"/>
        </w:trPr>
        <w:tc>
          <w:tcPr>
            <w:tcW w:w="286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Other refinance</w:t>
            </w:r>
          </w:p>
        </w:tc>
        <w:tc>
          <w:tcPr>
            <w:tcW w:w="100" w:type="dxa"/>
            <w:vAlign w:val="bottom"/>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w:t>
            </w:r>
          </w:p>
        </w:tc>
        <w:tc>
          <w:tcPr>
            <w:tcW w:w="26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w:t>
            </w:r>
          </w:p>
        </w:tc>
        <w:tc>
          <w:tcPr>
            <w:tcW w:w="260" w:type="dxa"/>
            <w:vAlign w:val="bottom"/>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w:t>
            </w:r>
          </w:p>
        </w:tc>
        <w:tc>
          <w:tcPr>
            <w:tcW w:w="24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18</w:t>
            </w:r>
          </w:p>
        </w:tc>
        <w:tc>
          <w:tcPr>
            <w:tcW w:w="140" w:type="dxa"/>
            <w:vAlign w:val="bottom"/>
          </w:tcPr>
          <w:p>
            <w:pPr>
              <w:spacing w:after="0"/>
              <w:rPr>
                <w:sz w:val="18"/>
                <w:szCs w:val="18"/>
                <w:color w:val="auto"/>
              </w:rPr>
            </w:pPr>
          </w:p>
        </w:tc>
      </w:tr>
      <w:tr>
        <w:trPr>
          <w:trHeight w:val="212"/>
        </w:trPr>
        <w:tc>
          <w:tcPr>
            <w:tcW w:w="286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22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
        </w:trPr>
        <w:tc>
          <w:tcPr>
            <w:tcW w:w="28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2C6937"/>
            </w:tcBorders>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1"/>
        </w:trPr>
        <w:tc>
          <w:tcPr>
            <w:tcW w:w="2960" w:type="dxa"/>
            <w:vAlign w:val="bottom"/>
            <w:gridSpan w:val="2"/>
          </w:tcPr>
          <w:p>
            <w:pPr>
              <w:ind w:left="20"/>
              <w:spacing w:after="0"/>
              <w:rPr>
                <w:sz w:val="20"/>
                <w:szCs w:val="20"/>
                <w:color w:val="auto"/>
              </w:rPr>
            </w:pPr>
            <w:r>
              <w:rPr>
                <w:rFonts w:ascii="Arial" w:cs="Arial" w:eastAsia="Arial" w:hAnsi="Arial"/>
                <w:sz w:val="14"/>
                <w:szCs w:val="14"/>
                <w:b w:val="1"/>
                <w:bCs w:val="1"/>
                <w:color w:val="auto"/>
              </w:rPr>
              <w:t>Geographic concentration:</w:t>
            </w:r>
            <w:r>
              <w:rPr>
                <w:rFonts w:ascii="Arial" w:cs="Arial" w:eastAsia="Arial" w:hAnsi="Arial"/>
                <w:sz w:val="17"/>
                <w:szCs w:val="17"/>
                <w:b w:val="1"/>
                <w:bCs w:val="1"/>
                <w:color w:val="auto"/>
                <w:vertAlign w:val="superscript"/>
              </w:rPr>
              <w:t>(9)</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97"/>
        </w:trPr>
        <w:tc>
          <w:tcPr>
            <w:tcW w:w="2960" w:type="dxa"/>
            <w:vAlign w:val="bottom"/>
            <w:gridSpan w:val="2"/>
          </w:tcPr>
          <w:p>
            <w:pPr>
              <w:ind w:left="120"/>
              <w:spacing w:after="0"/>
              <w:rPr>
                <w:sz w:val="20"/>
                <w:szCs w:val="20"/>
                <w:color w:val="auto"/>
              </w:rPr>
            </w:pPr>
            <w:r>
              <w:rPr>
                <w:rFonts w:ascii="Arial" w:cs="Arial" w:eastAsia="Arial" w:hAnsi="Arial"/>
                <w:sz w:val="14"/>
                <w:szCs w:val="14"/>
                <w:color w:val="auto"/>
              </w:rPr>
              <w:t>Midwest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2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19"/>
        </w:trPr>
        <w:tc>
          <w:tcPr>
            <w:tcW w:w="2960" w:type="dxa"/>
            <w:vAlign w:val="bottom"/>
            <w:gridSpan w:val="2"/>
          </w:tcPr>
          <w:p>
            <w:pPr>
              <w:ind w:left="120"/>
              <w:spacing w:after="0"/>
              <w:rPr>
                <w:sz w:val="20"/>
                <w:szCs w:val="20"/>
                <w:color w:val="auto"/>
              </w:rPr>
            </w:pPr>
            <w:r>
              <w:rPr>
                <w:rFonts w:ascii="Arial" w:cs="Arial" w:eastAsia="Arial" w:hAnsi="Arial"/>
                <w:sz w:val="14"/>
                <w:szCs w:val="14"/>
                <w:color w:val="auto"/>
              </w:rPr>
              <w:t>Northeast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w:t>
            </w:r>
          </w:p>
        </w:tc>
        <w:tc>
          <w:tcPr>
            <w:tcW w:w="140" w:type="dxa"/>
            <w:vAlign w:val="bottom"/>
          </w:tcPr>
          <w:p>
            <w:pPr>
              <w:spacing w:after="0"/>
              <w:rPr>
                <w:sz w:val="19"/>
                <w:szCs w:val="19"/>
                <w:color w:val="auto"/>
              </w:rPr>
            </w:pPr>
          </w:p>
        </w:tc>
      </w:tr>
      <w:tr>
        <w:trPr>
          <w:trHeight w:val="219"/>
        </w:trPr>
        <w:tc>
          <w:tcPr>
            <w:tcW w:w="2960" w:type="dxa"/>
            <w:vAlign w:val="bottom"/>
            <w:gridSpan w:val="2"/>
          </w:tcPr>
          <w:p>
            <w:pPr>
              <w:ind w:left="120"/>
              <w:spacing w:after="0"/>
              <w:rPr>
                <w:sz w:val="20"/>
                <w:szCs w:val="20"/>
                <w:color w:val="auto"/>
              </w:rPr>
            </w:pPr>
            <w:r>
              <w:rPr>
                <w:rFonts w:ascii="Arial" w:cs="Arial" w:eastAsia="Arial" w:hAnsi="Arial"/>
                <w:sz w:val="14"/>
                <w:szCs w:val="14"/>
                <w:color w:val="auto"/>
              </w:rPr>
              <w:t>Southeast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w:t>
            </w:r>
          </w:p>
        </w:tc>
        <w:tc>
          <w:tcPr>
            <w:tcW w:w="140" w:type="dxa"/>
            <w:vAlign w:val="bottom"/>
          </w:tcPr>
          <w:p>
            <w:pPr>
              <w:spacing w:after="0"/>
              <w:rPr>
                <w:sz w:val="19"/>
                <w:szCs w:val="19"/>
                <w:color w:val="auto"/>
              </w:rPr>
            </w:pPr>
          </w:p>
        </w:tc>
      </w:tr>
      <w:tr>
        <w:trPr>
          <w:trHeight w:val="206"/>
        </w:trPr>
        <w:tc>
          <w:tcPr>
            <w:tcW w:w="2960" w:type="dxa"/>
            <w:vAlign w:val="bottom"/>
            <w:gridSpan w:val="2"/>
          </w:tcPr>
          <w:p>
            <w:pPr>
              <w:ind w:left="120"/>
              <w:spacing w:after="0"/>
              <w:rPr>
                <w:sz w:val="20"/>
                <w:szCs w:val="20"/>
                <w:color w:val="auto"/>
              </w:rPr>
            </w:pPr>
            <w:r>
              <w:rPr>
                <w:rFonts w:ascii="Arial" w:cs="Arial" w:eastAsia="Arial" w:hAnsi="Arial"/>
                <w:sz w:val="14"/>
                <w:szCs w:val="14"/>
                <w:color w:val="auto"/>
              </w:rPr>
              <w:t>Southwest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w:t>
            </w:r>
          </w:p>
        </w:tc>
        <w:tc>
          <w:tcPr>
            <w:tcW w:w="140" w:type="dxa"/>
            <w:vAlign w:val="bottom"/>
          </w:tcPr>
          <w:p>
            <w:pPr>
              <w:spacing w:after="0"/>
              <w:rPr>
                <w:sz w:val="17"/>
                <w:szCs w:val="17"/>
                <w:color w:val="auto"/>
              </w:rPr>
            </w:pPr>
          </w:p>
        </w:tc>
      </w:tr>
      <w:tr>
        <w:trPr>
          <w:trHeight w:val="220"/>
        </w:trPr>
        <w:tc>
          <w:tcPr>
            <w:tcW w:w="286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West</w:t>
            </w:r>
          </w:p>
        </w:tc>
        <w:tc>
          <w:tcPr>
            <w:tcW w:w="100" w:type="dxa"/>
            <w:vAlign w:val="bottom"/>
          </w:tcPr>
          <w:p>
            <w:pPr>
              <w:spacing w:after="0"/>
              <w:rPr>
                <w:sz w:val="19"/>
                <w:szCs w:val="19"/>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20</w:t>
            </w:r>
          </w:p>
        </w:tc>
        <w:tc>
          <w:tcPr>
            <w:tcW w:w="26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24</w:t>
            </w:r>
          </w:p>
        </w:tc>
        <w:tc>
          <w:tcPr>
            <w:tcW w:w="260" w:type="dxa"/>
            <w:vAlign w:val="bottom"/>
          </w:tcPr>
          <w:p>
            <w:pPr>
              <w:spacing w:after="0"/>
              <w:rPr>
                <w:sz w:val="19"/>
                <w:szCs w:val="19"/>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21</w:t>
            </w:r>
          </w:p>
        </w:tc>
        <w:tc>
          <w:tcPr>
            <w:tcW w:w="240" w:type="dxa"/>
            <w:vAlign w:val="bottom"/>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27</w:t>
            </w:r>
          </w:p>
        </w:tc>
        <w:tc>
          <w:tcPr>
            <w:tcW w:w="140" w:type="dxa"/>
            <w:vAlign w:val="bottom"/>
          </w:tcPr>
          <w:p>
            <w:pPr>
              <w:spacing w:after="0"/>
              <w:rPr>
                <w:sz w:val="19"/>
                <w:szCs w:val="19"/>
                <w:color w:val="auto"/>
              </w:rPr>
            </w:pPr>
          </w:p>
        </w:tc>
      </w:tr>
      <w:tr>
        <w:trPr>
          <w:trHeight w:val="213"/>
        </w:trPr>
        <w:tc>
          <w:tcPr>
            <w:tcW w:w="286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22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
        </w:trPr>
        <w:tc>
          <w:tcPr>
            <w:tcW w:w="28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2C6937"/>
            </w:tcBorders>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2960" w:type="dxa"/>
            <w:vAlign w:val="bottom"/>
            <w:gridSpan w:val="2"/>
          </w:tcPr>
          <w:p>
            <w:pPr>
              <w:ind w:left="20"/>
              <w:spacing w:after="0"/>
              <w:rPr>
                <w:sz w:val="20"/>
                <w:szCs w:val="20"/>
                <w:color w:val="auto"/>
              </w:rPr>
            </w:pPr>
            <w:r>
              <w:rPr>
                <w:rFonts w:ascii="Arial" w:cs="Arial" w:eastAsia="Arial" w:hAnsi="Arial"/>
                <w:sz w:val="14"/>
                <w:szCs w:val="14"/>
                <w:b w:val="1"/>
                <w:bCs w:val="1"/>
                <w:color w:val="auto"/>
              </w:rPr>
              <w:t>Origination year:</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2960" w:type="dxa"/>
            <w:vAlign w:val="bottom"/>
            <w:gridSpan w:val="2"/>
          </w:tcPr>
          <w:p>
            <w:pPr>
              <w:ind w:left="120"/>
              <w:spacing w:after="0"/>
              <w:rPr>
                <w:sz w:val="20"/>
                <w:szCs w:val="20"/>
                <w:color w:val="auto"/>
              </w:rPr>
            </w:pPr>
            <w:r>
              <w:rPr>
                <w:rFonts w:ascii="Arial" w:cs="Arial" w:eastAsia="Arial" w:hAnsi="Arial"/>
                <w:sz w:val="14"/>
                <w:szCs w:val="14"/>
                <w:color w:val="auto"/>
              </w:rPr>
              <w:t>2017 and prior</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2018</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2019</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2020</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2021</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2022</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18091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18091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8091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48895</wp:posOffset>
            </wp:positionV>
            <wp:extent cx="18091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pacing w:after="0" w:line="193" w:lineRule="exact"/>
        <w:rPr>
          <w:sz w:val="20"/>
          <w:szCs w:val="20"/>
          <w:color w:val="auto"/>
        </w:rPr>
      </w:pPr>
    </w:p>
    <w:p>
      <w:pPr>
        <w:ind w:left="200" w:hanging="197"/>
        <w:spacing w:after="0"/>
        <w:tabs>
          <w:tab w:leader="none" w:pos="2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less than 0.5% of single-family conventional business volume or guaranty book of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Percent of Single-Family Conventional</w:t>
      </w:r>
    </w:p>
    <w:p>
      <w:pPr>
        <w:ind w:left="960"/>
        <w:spacing w:after="0" w:line="186" w:lineRule="auto"/>
        <w:rPr>
          <w:sz w:val="20"/>
          <w:szCs w:val="20"/>
          <w:color w:val="auto"/>
        </w:rPr>
      </w:pPr>
      <w:r>
        <w:rPr>
          <w:rFonts w:ascii="Arial" w:cs="Arial" w:eastAsia="Arial" w:hAnsi="Arial"/>
          <w:sz w:val="14"/>
          <w:szCs w:val="14"/>
          <w:b w:val="1"/>
          <w:bCs w:val="1"/>
          <w:color w:val="auto"/>
        </w:rPr>
        <w:t>Guaranty Book of Business</w:t>
      </w:r>
      <w:r>
        <w:rPr>
          <w:rFonts w:ascii="Arial" w:cs="Arial" w:eastAsia="Arial" w:hAnsi="Arial"/>
          <w:sz w:val="17"/>
          <w:szCs w:val="17"/>
          <w:b w:val="1"/>
          <w:bCs w:val="1"/>
          <w:color w:val="auto"/>
          <w:vertAlign w:val="superscript"/>
        </w:rPr>
        <w:t>(3)</w:t>
      </w:r>
    </w:p>
    <w:p>
      <w:pPr>
        <w:jc w:val="center"/>
        <w:spacing w:after="0"/>
        <w:rPr>
          <w:sz w:val="20"/>
          <w:szCs w:val="20"/>
          <w:color w:val="auto"/>
        </w:rPr>
      </w:pPr>
      <w:r>
        <w:rPr>
          <w:rFonts w:ascii="Arial" w:cs="Arial" w:eastAsia="Arial" w:hAnsi="Arial"/>
          <w:sz w:val="14"/>
          <w:szCs w:val="14"/>
          <w:b w:val="1"/>
          <w:bCs w:val="1"/>
          <w:color w:val="auto"/>
        </w:rPr>
        <w:t>As of</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60" w:type="dxa"/>
            <w:vAlign w:val="bottom"/>
            <w:tcBorders>
              <w:top w:val="single" w:sz="8" w:color="2C6937"/>
              <w:bottom w:val="single" w:sz="8" w:color="2C6937"/>
            </w:tcBorders>
          </w:tcPr>
          <w:p>
            <w:pPr>
              <w:jc w:val="right"/>
              <w:ind w:right="311"/>
              <w:spacing w:after="0"/>
              <w:rPr>
                <w:sz w:val="20"/>
                <w:szCs w:val="20"/>
                <w:color w:val="auto"/>
              </w:rPr>
            </w:pPr>
            <w:r>
              <w:rPr>
                <w:rFonts w:ascii="Arial" w:cs="Arial" w:eastAsia="Arial" w:hAnsi="Arial"/>
                <w:sz w:val="14"/>
                <w:szCs w:val="14"/>
                <w:b w:val="1"/>
                <w:bCs w:val="1"/>
                <w:color w:val="auto"/>
              </w:rPr>
              <w:t>June 30, 2023</w:t>
            </w:r>
          </w:p>
        </w:tc>
        <w:tc>
          <w:tcPr>
            <w:tcW w:w="260" w:type="dxa"/>
            <w:vAlign w:val="bottom"/>
            <w:tcBorders>
              <w:top w:val="single" w:sz="8" w:color="2C6937"/>
            </w:tcBorders>
          </w:tcPr>
          <w:p>
            <w:pPr>
              <w:spacing w:after="0"/>
              <w:rPr>
                <w:sz w:val="16"/>
                <w:szCs w:val="16"/>
                <w:color w:val="auto"/>
              </w:rPr>
            </w:pPr>
          </w:p>
        </w:tc>
        <w:tc>
          <w:tcPr>
            <w:tcW w:w="1660" w:type="dxa"/>
            <w:vAlign w:val="bottom"/>
            <w:tcBorders>
              <w:top w:val="single" w:sz="8" w:color="2C6937"/>
              <w:bottom w:val="single" w:sz="8" w:color="2C6937"/>
            </w:tcBorders>
          </w:tcPr>
          <w:p>
            <w:pPr>
              <w:jc w:val="right"/>
              <w:ind w:right="151"/>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Pr>
          <w:p>
            <w:pPr>
              <w:spacing w:after="0"/>
              <w:rPr>
                <w:sz w:val="16"/>
                <w:szCs w:val="16"/>
                <w:color w:val="auto"/>
              </w:rPr>
            </w:pPr>
          </w:p>
        </w:tc>
      </w:tr>
      <w:tr>
        <w:trPr>
          <w:trHeight w:val="636"/>
        </w:trPr>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87</w:t>
            </w:r>
          </w:p>
        </w:tc>
        <w:tc>
          <w:tcPr>
            <w:tcW w:w="26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86</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1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12</w:t>
            </w:r>
          </w:p>
        </w:tc>
        <w:tc>
          <w:tcPr>
            <w:tcW w:w="260" w:type="dxa"/>
            <w:vAlign w:val="bottom"/>
          </w:tcPr>
          <w:p>
            <w:pPr>
              <w:spacing w:after="0"/>
              <w:rPr>
                <w:sz w:val="19"/>
                <w:szCs w:val="19"/>
                <w:color w:val="auto"/>
              </w:rPr>
            </w:pPr>
          </w:p>
        </w:tc>
        <w:tc>
          <w:tcPr>
            <w:tcW w:w="1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w:t>
            </w:r>
          </w:p>
        </w:tc>
        <w:tc>
          <w:tcPr>
            <w:tcW w:w="160" w:type="dxa"/>
            <w:vAlign w:val="bottom"/>
          </w:tcPr>
          <w:p>
            <w:pPr>
              <w:spacing w:after="0"/>
              <w:rPr>
                <w:sz w:val="19"/>
                <w:szCs w:val="19"/>
                <w:color w:val="auto"/>
              </w:rPr>
            </w:pPr>
          </w:p>
        </w:tc>
      </w:tr>
      <w:tr>
        <w:trPr>
          <w:trHeight w:val="200"/>
        </w:trPr>
        <w:tc>
          <w:tcPr>
            <w:tcW w:w="1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99</w:t>
            </w:r>
          </w:p>
        </w:tc>
        <w:tc>
          <w:tcPr>
            <w:tcW w:w="260" w:type="dxa"/>
            <w:vAlign w:val="bottom"/>
          </w:tcPr>
          <w:p>
            <w:pPr>
              <w:spacing w:after="0"/>
              <w:rPr>
                <w:sz w:val="17"/>
                <w:szCs w:val="17"/>
                <w:color w:val="auto"/>
              </w:rPr>
            </w:pPr>
          </w:p>
        </w:tc>
        <w:tc>
          <w:tcPr>
            <w:tcW w:w="1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99</w:t>
            </w:r>
          </w:p>
        </w:tc>
        <w:tc>
          <w:tcPr>
            <w:tcW w:w="160" w:type="dxa"/>
            <w:vAlign w:val="bottom"/>
          </w:tcPr>
          <w:p>
            <w:pPr>
              <w:spacing w:after="0"/>
              <w:rPr>
                <w:sz w:val="17"/>
                <w:szCs w:val="17"/>
                <w:color w:val="auto"/>
              </w:rPr>
            </w:pPr>
          </w:p>
        </w:tc>
      </w:tr>
      <w:tr>
        <w:trPr>
          <w:trHeight w:val="211"/>
        </w:trPr>
        <w:tc>
          <w:tcPr>
            <w:tcW w:w="1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w:t>
            </w:r>
          </w:p>
        </w:tc>
        <w:tc>
          <w:tcPr>
            <w:tcW w:w="260" w:type="dxa"/>
            <w:vAlign w:val="bottom"/>
          </w:tcPr>
          <w:p>
            <w:pPr>
              <w:spacing w:after="0"/>
              <w:rPr>
                <w:sz w:val="18"/>
                <w:szCs w:val="18"/>
                <w:color w:val="auto"/>
              </w:rPr>
            </w:pPr>
          </w:p>
        </w:tc>
        <w:tc>
          <w:tcPr>
            <w:tcW w:w="1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8"/>
                <w:szCs w:val="18"/>
                <w:color w:val="auto"/>
              </w:rPr>
            </w:pPr>
          </w:p>
        </w:tc>
      </w:tr>
      <w:tr>
        <w:trPr>
          <w:trHeight w:val="213"/>
        </w:trPr>
        <w:tc>
          <w:tcPr>
            <w:tcW w:w="1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w:t>
            </w:r>
          </w:p>
        </w:tc>
        <w:tc>
          <w:tcPr>
            <w:tcW w:w="1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66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Borders>
              <w:bottom w:val="single" w:sz="8" w:color="2C6937"/>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8"/>
        </w:trPr>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98</w:t>
            </w:r>
          </w:p>
        </w:tc>
        <w:tc>
          <w:tcPr>
            <w:tcW w:w="26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98</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1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w:t>
            </w:r>
          </w:p>
        </w:tc>
        <w:tc>
          <w:tcPr>
            <w:tcW w:w="260" w:type="dxa"/>
            <w:vAlign w:val="bottom"/>
          </w:tcPr>
          <w:p>
            <w:pPr>
              <w:spacing w:after="0"/>
              <w:rPr>
                <w:sz w:val="18"/>
                <w:szCs w:val="18"/>
                <w:color w:val="auto"/>
              </w:rPr>
            </w:pPr>
          </w:p>
        </w:tc>
        <w:tc>
          <w:tcPr>
            <w:tcW w:w="1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8"/>
                <w:szCs w:val="18"/>
                <w:color w:val="auto"/>
              </w:rPr>
            </w:pPr>
          </w:p>
        </w:tc>
      </w:tr>
      <w:tr>
        <w:trPr>
          <w:trHeight w:val="212"/>
        </w:trPr>
        <w:tc>
          <w:tcPr>
            <w:tcW w:w="1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w:t>
            </w:r>
          </w:p>
        </w:tc>
        <w:tc>
          <w:tcPr>
            <w:tcW w:w="1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66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Borders>
              <w:bottom w:val="single" w:sz="8" w:color="2C6937"/>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8"/>
        </w:trPr>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91</w:t>
            </w:r>
          </w:p>
        </w:tc>
        <w:tc>
          <w:tcPr>
            <w:tcW w:w="26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91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1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w:t>
            </w:r>
          </w:p>
        </w:tc>
        <w:tc>
          <w:tcPr>
            <w:tcW w:w="260" w:type="dxa"/>
            <w:vAlign w:val="bottom"/>
          </w:tcPr>
          <w:p>
            <w:pPr>
              <w:spacing w:after="0"/>
              <w:rPr>
                <w:sz w:val="18"/>
                <w:szCs w:val="18"/>
                <w:color w:val="auto"/>
              </w:rPr>
            </w:pPr>
          </w:p>
        </w:tc>
        <w:tc>
          <w:tcPr>
            <w:tcW w:w="1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w:t>
            </w:r>
          </w:p>
        </w:tc>
        <w:tc>
          <w:tcPr>
            <w:tcW w:w="160" w:type="dxa"/>
            <w:vAlign w:val="bottom"/>
          </w:tcPr>
          <w:p>
            <w:pPr>
              <w:spacing w:after="0"/>
              <w:rPr>
                <w:sz w:val="18"/>
                <w:szCs w:val="18"/>
                <w:color w:val="auto"/>
              </w:rPr>
            </w:pPr>
          </w:p>
        </w:tc>
      </w:tr>
      <w:tr>
        <w:trPr>
          <w:trHeight w:val="212"/>
        </w:trPr>
        <w:tc>
          <w:tcPr>
            <w:tcW w:w="1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w:t>
            </w:r>
          </w:p>
        </w:tc>
        <w:tc>
          <w:tcPr>
            <w:tcW w:w="1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66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Borders>
              <w:bottom w:val="single" w:sz="8" w:color="2C6937"/>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03"/>
        </w:trPr>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91</w:t>
            </w:r>
          </w:p>
        </w:tc>
        <w:tc>
          <w:tcPr>
            <w:tcW w:w="26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91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9"/>
                <w:szCs w:val="19"/>
                <w:color w:val="auto"/>
              </w:rPr>
            </w:pPr>
          </w:p>
        </w:tc>
      </w:tr>
      <w:tr>
        <w:trPr>
          <w:trHeight w:val="208"/>
        </w:trPr>
        <w:tc>
          <w:tcPr>
            <w:tcW w:w="1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w:t>
            </w:r>
          </w:p>
        </w:tc>
        <w:tc>
          <w:tcPr>
            <w:tcW w:w="260" w:type="dxa"/>
            <w:vAlign w:val="bottom"/>
          </w:tcPr>
          <w:p>
            <w:pPr>
              <w:spacing w:after="0"/>
              <w:rPr>
                <w:sz w:val="18"/>
                <w:szCs w:val="18"/>
                <w:color w:val="auto"/>
              </w:rPr>
            </w:pPr>
          </w:p>
        </w:tc>
        <w:tc>
          <w:tcPr>
            <w:tcW w:w="1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18"/>
                <w:szCs w:val="18"/>
                <w:color w:val="auto"/>
              </w:rPr>
            </w:pPr>
          </w:p>
        </w:tc>
      </w:tr>
      <w:tr>
        <w:trPr>
          <w:trHeight w:val="212"/>
        </w:trPr>
        <w:tc>
          <w:tcPr>
            <w:tcW w:w="1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w:t>
            </w:r>
          </w:p>
        </w:tc>
        <w:tc>
          <w:tcPr>
            <w:tcW w:w="1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66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Borders>
              <w:bottom w:val="single" w:sz="8" w:color="2C6937"/>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8"/>
        </w:trPr>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26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40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22</w:t>
            </w:r>
          </w:p>
        </w:tc>
        <w:tc>
          <w:tcPr>
            <w:tcW w:w="160" w:type="dxa"/>
            <w:vAlign w:val="bottom"/>
          </w:tcPr>
          <w:p>
            <w:pPr>
              <w:spacing w:after="0"/>
              <w:rPr>
                <w:sz w:val="19"/>
                <w:szCs w:val="19"/>
                <w:color w:val="auto"/>
              </w:rPr>
            </w:pPr>
          </w:p>
        </w:tc>
      </w:tr>
      <w:tr>
        <w:trPr>
          <w:trHeight w:val="208"/>
        </w:trPr>
        <w:tc>
          <w:tcPr>
            <w:tcW w:w="1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37</w:t>
            </w:r>
          </w:p>
        </w:tc>
        <w:tc>
          <w:tcPr>
            <w:tcW w:w="260" w:type="dxa"/>
            <w:vAlign w:val="bottom"/>
          </w:tcPr>
          <w:p>
            <w:pPr>
              <w:spacing w:after="0"/>
              <w:rPr>
                <w:sz w:val="18"/>
                <w:szCs w:val="18"/>
                <w:color w:val="auto"/>
              </w:rPr>
            </w:pPr>
          </w:p>
        </w:tc>
        <w:tc>
          <w:tcPr>
            <w:tcW w:w="1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38</w:t>
            </w:r>
          </w:p>
        </w:tc>
        <w:tc>
          <w:tcPr>
            <w:tcW w:w="160" w:type="dxa"/>
            <w:vAlign w:val="bottom"/>
          </w:tcPr>
          <w:p>
            <w:pPr>
              <w:spacing w:after="0"/>
              <w:rPr>
                <w:sz w:val="18"/>
                <w:szCs w:val="18"/>
                <w:color w:val="auto"/>
              </w:rPr>
            </w:pPr>
          </w:p>
        </w:tc>
      </w:tr>
      <w:tr>
        <w:trPr>
          <w:trHeight w:val="212"/>
        </w:trPr>
        <w:tc>
          <w:tcPr>
            <w:tcW w:w="1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w:t>
            </w:r>
          </w:p>
        </w:tc>
        <w:tc>
          <w:tcPr>
            <w:tcW w:w="1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66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Borders>
              <w:bottom w:val="single" w:sz="8" w:color="2C6937"/>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8"/>
        </w:trPr>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26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14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16</w:t>
            </w:r>
          </w:p>
        </w:tc>
        <w:tc>
          <w:tcPr>
            <w:tcW w:w="160" w:type="dxa"/>
            <w:vAlign w:val="bottom"/>
          </w:tcPr>
          <w:p>
            <w:pPr>
              <w:spacing w:after="0"/>
              <w:rPr>
                <w:sz w:val="19"/>
                <w:szCs w:val="19"/>
                <w:color w:val="auto"/>
              </w:rPr>
            </w:pPr>
          </w:p>
        </w:tc>
      </w:tr>
      <w:tr>
        <w:trPr>
          <w:trHeight w:val="219"/>
        </w:trPr>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23</w:t>
            </w:r>
          </w:p>
        </w:tc>
        <w:tc>
          <w:tcPr>
            <w:tcW w:w="160" w:type="dxa"/>
            <w:vAlign w:val="bottom"/>
          </w:tcPr>
          <w:p>
            <w:pPr>
              <w:spacing w:after="0"/>
              <w:rPr>
                <w:sz w:val="19"/>
                <w:szCs w:val="19"/>
                <w:color w:val="auto"/>
              </w:rPr>
            </w:pPr>
          </w:p>
        </w:tc>
      </w:tr>
      <w:tr>
        <w:trPr>
          <w:trHeight w:val="206"/>
        </w:trPr>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2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19</w:t>
            </w:r>
          </w:p>
        </w:tc>
        <w:tc>
          <w:tcPr>
            <w:tcW w:w="160" w:type="dxa"/>
            <w:vAlign w:val="bottom"/>
          </w:tcPr>
          <w:p>
            <w:pPr>
              <w:spacing w:after="0"/>
              <w:rPr>
                <w:sz w:val="17"/>
                <w:szCs w:val="17"/>
                <w:color w:val="auto"/>
              </w:rPr>
            </w:pPr>
          </w:p>
        </w:tc>
      </w:tr>
      <w:tr>
        <w:trPr>
          <w:trHeight w:val="220"/>
        </w:trPr>
        <w:tc>
          <w:tcPr>
            <w:tcW w:w="1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28</w:t>
            </w:r>
          </w:p>
        </w:tc>
        <w:tc>
          <w:tcPr>
            <w:tcW w:w="260" w:type="dxa"/>
            <w:vAlign w:val="bottom"/>
          </w:tcPr>
          <w:p>
            <w:pPr>
              <w:spacing w:after="0"/>
              <w:rPr>
                <w:sz w:val="19"/>
                <w:szCs w:val="19"/>
                <w:color w:val="auto"/>
              </w:rPr>
            </w:pPr>
          </w:p>
        </w:tc>
        <w:tc>
          <w:tcPr>
            <w:tcW w:w="1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28</w:t>
            </w:r>
          </w:p>
        </w:tc>
        <w:tc>
          <w:tcPr>
            <w:tcW w:w="160" w:type="dxa"/>
            <w:vAlign w:val="bottom"/>
          </w:tcPr>
          <w:p>
            <w:pPr>
              <w:spacing w:after="0"/>
              <w:rPr>
                <w:sz w:val="19"/>
                <w:szCs w:val="19"/>
                <w:color w:val="auto"/>
              </w:rPr>
            </w:pPr>
          </w:p>
        </w:tc>
      </w:tr>
      <w:tr>
        <w:trPr>
          <w:trHeight w:val="213"/>
        </w:trPr>
        <w:tc>
          <w:tcPr>
            <w:tcW w:w="1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w:t>
            </w:r>
          </w:p>
        </w:tc>
        <w:tc>
          <w:tcPr>
            <w:tcW w:w="1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66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Borders>
              <w:bottom w:val="single" w:sz="8" w:color="2C6937"/>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8"/>
        </w:trPr>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26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22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7"/>
                <w:szCs w:val="17"/>
                <w:color w:val="auto"/>
              </w:rPr>
            </w:pPr>
          </w:p>
        </w:tc>
      </w:tr>
      <w:tr>
        <w:trPr>
          <w:trHeight w:val="219"/>
        </w:trPr>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9"/>
                <w:szCs w:val="19"/>
                <w:color w:val="auto"/>
              </w:rPr>
            </w:pPr>
          </w:p>
        </w:tc>
      </w:tr>
      <w:tr>
        <w:trPr>
          <w:trHeight w:val="219"/>
        </w:trPr>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25</w:t>
            </w:r>
          </w:p>
        </w:tc>
        <w:tc>
          <w:tcPr>
            <w:tcW w:w="160" w:type="dxa"/>
            <w:vAlign w:val="bottom"/>
          </w:tcPr>
          <w:p>
            <w:pPr>
              <w:spacing w:after="0"/>
              <w:rPr>
                <w:sz w:val="19"/>
                <w:szCs w:val="19"/>
                <w:color w:val="auto"/>
              </w:rPr>
            </w:pPr>
          </w:p>
        </w:tc>
      </w:tr>
      <w:tr>
        <w:trPr>
          <w:trHeight w:val="219"/>
        </w:trPr>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32</w:t>
            </w:r>
          </w:p>
        </w:tc>
        <w:tc>
          <w:tcPr>
            <w:tcW w:w="160" w:type="dxa"/>
            <w:vAlign w:val="bottom"/>
          </w:tcPr>
          <w:p>
            <w:pPr>
              <w:spacing w:after="0"/>
              <w:rPr>
                <w:sz w:val="19"/>
                <w:szCs w:val="19"/>
                <w:color w:val="auto"/>
              </w:rPr>
            </w:pPr>
          </w:p>
        </w:tc>
      </w:tr>
      <w:tr>
        <w:trPr>
          <w:trHeight w:val="219"/>
        </w:trPr>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14</w:t>
            </w:r>
          </w:p>
        </w:tc>
        <w:tc>
          <w:tcPr>
            <w:tcW w:w="160" w:type="dxa"/>
            <w:vAlign w:val="bottom"/>
          </w:tcPr>
          <w:p>
            <w:pPr>
              <w:spacing w:after="0"/>
              <w:rPr>
                <w:sz w:val="19"/>
                <w:szCs w:val="19"/>
                <w:color w:val="auto"/>
              </w:rPr>
            </w:pPr>
          </w:p>
        </w:tc>
      </w:tr>
      <w:tr>
        <w:trPr>
          <w:trHeight w:val="207"/>
        </w:trPr>
        <w:tc>
          <w:tcPr>
            <w:tcW w:w="1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w:t>
            </w:r>
          </w:p>
        </w:tc>
        <w:tc>
          <w:tcPr>
            <w:tcW w:w="260" w:type="dxa"/>
            <w:vAlign w:val="bottom"/>
          </w:tcPr>
          <w:p>
            <w:pPr>
              <w:spacing w:after="0"/>
              <w:rPr>
                <w:sz w:val="18"/>
                <w:szCs w:val="18"/>
                <w:color w:val="auto"/>
              </w:rPr>
            </w:pPr>
          </w:p>
        </w:tc>
        <w:tc>
          <w:tcPr>
            <w:tcW w:w="1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r>
      <w:tr>
        <w:trPr>
          <w:trHeight w:val="213"/>
        </w:trPr>
        <w:tc>
          <w:tcPr>
            <w:tcW w:w="1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w:t>
            </w:r>
          </w:p>
        </w:tc>
        <w:tc>
          <w:tcPr>
            <w:tcW w:w="1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66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Borders>
              <w:bottom w:val="single" w:sz="8" w:color="2C6937"/>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484" w:lineRule="exact"/>
        <w:rPr>
          <w:sz w:val="20"/>
          <w:szCs w:val="20"/>
          <w:color w:val="auto"/>
        </w:rPr>
      </w:pPr>
    </w:p>
    <w:p>
      <w:pPr>
        <w:sectPr>
          <w:pgSz w:w="11900" w:h="16838" w:orient="portrait"/>
          <w:cols w:equalWidth="0" w:num="2">
            <w:col w:w="7280" w:space="120"/>
            <w:col w:w="3840"/>
          </w:cols>
          <w:pgMar w:left="320" w:top="250" w:right="339"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28</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type w:val="continuous"/>
        </w:sectPr>
      </w:pPr>
    </w:p>
    <w:bookmarkStart w:id="31" w:name="page32"/>
    <w:bookmarkEnd w:id="31"/>
    <w:p>
      <w:pPr>
        <w:ind w:left="608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40" w:hanging="237"/>
        <w:spacing w:after="0"/>
        <w:tabs>
          <w:tab w:leader="none" w:pos="24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Second-lien mortgage loans held by third parties are not reflected in the original LTV or the estimated mark-to-market LTV ratios in this table.</w:t>
      </w:r>
    </w:p>
    <w:p>
      <w:pPr>
        <w:spacing w:after="0" w:line="41" w:lineRule="exact"/>
        <w:rPr>
          <w:rFonts w:ascii="Arial" w:cs="Arial" w:eastAsia="Arial" w:hAnsi="Arial"/>
          <w:sz w:val="18"/>
          <w:szCs w:val="18"/>
          <w:color w:val="auto"/>
          <w:vertAlign w:val="superscript"/>
        </w:rPr>
      </w:pPr>
    </w:p>
    <w:p>
      <w:pPr>
        <w:ind w:left="240" w:hanging="237"/>
        <w:spacing w:after="0" w:line="190" w:lineRule="auto"/>
        <w:tabs>
          <w:tab w:leader="none" w:pos="24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unpaid principal balance of single-family loans for each category at time of acquisition.</w:t>
      </w:r>
    </w:p>
    <w:p>
      <w:pPr>
        <w:spacing w:after="0" w:line="42" w:lineRule="exact"/>
        <w:rPr>
          <w:rFonts w:ascii="Arial" w:cs="Arial" w:eastAsia="Arial" w:hAnsi="Arial"/>
          <w:sz w:val="18"/>
          <w:szCs w:val="18"/>
          <w:color w:val="auto"/>
          <w:vertAlign w:val="superscript"/>
        </w:rPr>
      </w:pPr>
    </w:p>
    <w:p>
      <w:pPr>
        <w:ind w:left="240" w:right="160" w:hanging="237"/>
        <w:spacing w:after="0" w:line="216" w:lineRule="auto"/>
        <w:tabs>
          <w:tab w:leader="none" w:pos="24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aggregate unpaid principal balance of single-family loans for each category divided by the aggregate unpaid principal balance of loans in our single-family conventional guaranty book of business as of the end of each period.</w:t>
      </w:r>
    </w:p>
    <w:p>
      <w:pPr>
        <w:spacing w:after="0" w:line="19" w:lineRule="exact"/>
        <w:rPr>
          <w:rFonts w:ascii="Arial" w:cs="Arial" w:eastAsia="Arial" w:hAnsi="Arial"/>
          <w:sz w:val="18"/>
          <w:szCs w:val="18"/>
          <w:color w:val="auto"/>
          <w:vertAlign w:val="superscript"/>
        </w:rPr>
      </w:pPr>
    </w:p>
    <w:p>
      <w:pPr>
        <w:ind w:left="240" w:right="240" w:hanging="237"/>
        <w:spacing w:after="0" w:line="269" w:lineRule="auto"/>
        <w:tabs>
          <w:tab w:leader="none" w:pos="240" w:val="left"/>
        </w:tabs>
        <w:numPr>
          <w:ilvl w:val="0"/>
          <w:numId w:val="35"/>
        </w:numPr>
        <w:rPr>
          <w:rFonts w:ascii="Arial" w:cs="Arial" w:eastAsia="Arial" w:hAnsi="Arial"/>
          <w:sz w:val="9"/>
          <w:szCs w:val="9"/>
          <w:color w:val="auto"/>
        </w:rPr>
      </w:pPr>
      <w:r>
        <w:rPr>
          <w:rFonts w:ascii="Arial" w:cs="Arial" w:eastAsia="Arial" w:hAnsi="Arial"/>
          <w:sz w:val="14"/>
          <w:szCs w:val="14"/>
          <w:color w:val="auto"/>
        </w:rPr>
        <w:t>The original LTV ratio generally is based on the original unpaid principal balance of the loan divided by the appraised property value reported to us at the time of acquisition of the loan. Excludes loans for which this information is not readily available.</w:t>
      </w:r>
    </w:p>
    <w:p>
      <w:pPr>
        <w:spacing w:after="0" w:line="12" w:lineRule="exact"/>
        <w:rPr>
          <w:rFonts w:ascii="Arial" w:cs="Arial" w:eastAsia="Arial" w:hAnsi="Arial"/>
          <w:sz w:val="9"/>
          <w:szCs w:val="9"/>
          <w:color w:val="auto"/>
        </w:rPr>
      </w:pPr>
    </w:p>
    <w:p>
      <w:pPr>
        <w:ind w:left="240" w:right="20" w:hanging="237"/>
        <w:spacing w:after="0" w:line="237" w:lineRule="auto"/>
        <w:tabs>
          <w:tab w:leader="none" w:pos="240" w:val="left"/>
        </w:tabs>
        <w:numPr>
          <w:ilvl w:val="0"/>
          <w:numId w:val="35"/>
        </w:numPr>
        <w:rPr>
          <w:rFonts w:ascii="Arial" w:cs="Arial" w:eastAsia="Arial" w:hAnsi="Arial"/>
          <w:sz w:val="17"/>
          <w:szCs w:val="17"/>
          <w:color w:val="auto"/>
          <w:vertAlign w:val="superscript"/>
        </w:rPr>
      </w:pPr>
      <w:r>
        <w:rPr>
          <w:rFonts w:ascii="Arial" w:cs="Arial" w:eastAsia="Arial" w:hAnsi="Arial"/>
          <w:sz w:val="13"/>
          <w:szCs w:val="13"/>
          <w:color w:val="auto"/>
        </w:rPr>
        <w:t>The aggregate estimated mark-to-market LTV ratio is based on the unpaid principal balance of the loan as of the end of each reported period divided by the estimated current value of the property, which we calculate using an internal valuation model that estimates periodic changes in home value. Excludes loans for which this information is not readily available.</w:t>
      </w:r>
    </w:p>
    <w:p>
      <w:pPr>
        <w:spacing w:after="0" w:line="33" w:lineRule="exact"/>
        <w:rPr>
          <w:rFonts w:ascii="Arial" w:cs="Arial" w:eastAsia="Arial" w:hAnsi="Arial"/>
          <w:sz w:val="17"/>
          <w:szCs w:val="17"/>
          <w:color w:val="auto"/>
          <w:vertAlign w:val="superscript"/>
        </w:rPr>
      </w:pPr>
    </w:p>
    <w:p>
      <w:pPr>
        <w:ind w:left="240" w:right="240" w:hanging="237"/>
        <w:spacing w:after="0" w:line="214" w:lineRule="auto"/>
        <w:tabs>
          <w:tab w:leader="none" w:pos="24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Loans with unavailable FICO credit scores represent less than 0.5% of single-family conventional business volume or guaranty book of business, and therefore are not presented separately in this table.</w:t>
      </w:r>
    </w:p>
    <w:p>
      <w:pPr>
        <w:spacing w:after="0" w:line="32" w:lineRule="exact"/>
        <w:rPr>
          <w:rFonts w:ascii="Arial" w:cs="Arial" w:eastAsia="Arial" w:hAnsi="Arial"/>
          <w:sz w:val="18"/>
          <w:szCs w:val="18"/>
          <w:color w:val="auto"/>
          <w:vertAlign w:val="superscript"/>
        </w:rPr>
      </w:pPr>
    </w:p>
    <w:p>
      <w:pPr>
        <w:ind w:left="240" w:hanging="237"/>
        <w:spacing w:after="0"/>
        <w:tabs>
          <w:tab w:leader="none" w:pos="240" w:val="left"/>
        </w:tabs>
        <w:numPr>
          <w:ilvl w:val="0"/>
          <w:numId w:val="35"/>
        </w:numPr>
        <w:rPr>
          <w:rFonts w:ascii="Arial" w:cs="Arial" w:eastAsia="Arial" w:hAnsi="Arial"/>
          <w:sz w:val="9"/>
          <w:szCs w:val="9"/>
          <w:color w:val="auto"/>
        </w:rPr>
      </w:pPr>
      <w:r>
        <w:rPr>
          <w:rFonts w:ascii="Arial" w:cs="Arial" w:eastAsia="Arial" w:hAnsi="Arial"/>
          <w:sz w:val="14"/>
          <w:szCs w:val="14"/>
          <w:color w:val="auto"/>
        </w:rPr>
        <w:t>Excludes loans for which this information is not readily available.</w:t>
      </w:r>
    </w:p>
    <w:p>
      <w:pPr>
        <w:spacing w:after="0" w:line="13" w:lineRule="exact"/>
        <w:rPr>
          <w:rFonts w:ascii="Arial" w:cs="Arial" w:eastAsia="Arial" w:hAnsi="Arial"/>
          <w:sz w:val="9"/>
          <w:szCs w:val="9"/>
          <w:color w:val="auto"/>
        </w:rPr>
      </w:pPr>
    </w:p>
    <w:p>
      <w:pPr>
        <w:ind w:left="240" w:hanging="237"/>
        <w:spacing w:after="0"/>
        <w:tabs>
          <w:tab w:leader="none" w:pos="24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Long-term fixed-rate consists of mortgage loans with maturities greater than 15 years, while intermediate-term fixed-rate loans have maturities equal to or less than 15 years.</w:t>
      </w:r>
    </w:p>
    <w:p>
      <w:pPr>
        <w:spacing w:after="0" w:line="33" w:lineRule="exact"/>
        <w:rPr>
          <w:rFonts w:ascii="Arial" w:cs="Arial" w:eastAsia="Arial" w:hAnsi="Arial"/>
          <w:sz w:val="18"/>
          <w:szCs w:val="18"/>
          <w:color w:val="auto"/>
          <w:vertAlign w:val="superscript"/>
        </w:rPr>
      </w:pPr>
    </w:p>
    <w:p>
      <w:pPr>
        <w:ind w:left="240" w:right="180" w:hanging="237"/>
        <w:spacing w:after="0" w:line="236" w:lineRule="auto"/>
        <w:tabs>
          <w:tab w:leader="none" w:pos="240" w:val="left"/>
        </w:tabs>
        <w:numPr>
          <w:ilvl w:val="0"/>
          <w:numId w:val="35"/>
        </w:numPr>
        <w:rPr>
          <w:rFonts w:ascii="Arial" w:cs="Arial" w:eastAsia="Arial" w:hAnsi="Arial"/>
          <w:sz w:val="17"/>
          <w:szCs w:val="17"/>
          <w:color w:val="auto"/>
          <w:vertAlign w:val="superscript"/>
        </w:rPr>
      </w:pPr>
      <w:r>
        <w:rPr>
          <w:rFonts w:ascii="Arial" w:cs="Arial" w:eastAsia="Arial" w:hAnsi="Arial"/>
          <w:sz w:val="13"/>
          <w:szCs w:val="13"/>
          <w:color w:val="auto"/>
        </w:rPr>
        <w:t>Midwest consists of IL, IN, IA, MI, MN, NE, ND, OH, SD and WI. Northeast consists of CT, DE, ME, MA, NH, NJ, NY, PA, PR, RI, VT and VI. Southeast consists of AL, DC, FL, GA, KY, MD, MS, NC, SC, TN, VA and WV. Southwest consists of AZ, AR, CO, KS, LA, MO, NM, OK, TX and UT. West consists of AK, CA, GU, HI, ID, MT, NV, OR, WA and WY.</w:t>
      </w:r>
    </w:p>
    <w:p>
      <w:pPr>
        <w:spacing w:after="0" w:line="86" w:lineRule="exact"/>
        <w:rPr>
          <w:sz w:val="20"/>
          <w:szCs w:val="20"/>
          <w:color w:val="auto"/>
        </w:rPr>
      </w:pPr>
    </w:p>
    <w:p>
      <w:pPr>
        <w:spacing w:after="0"/>
        <w:rPr>
          <w:sz w:val="20"/>
          <w:szCs w:val="20"/>
          <w:color w:val="auto"/>
        </w:rPr>
      </w:pPr>
      <w:r>
        <w:rPr>
          <w:rFonts w:ascii="Arial" w:cs="Arial" w:eastAsia="Arial" w:hAnsi="Arial"/>
          <w:sz w:val="19"/>
          <w:szCs w:val="19"/>
          <w:i w:val="1"/>
          <w:iCs w:val="1"/>
          <w:color w:val="05314D"/>
        </w:rPr>
        <w:t>Characteristics of our New Single-Family Loan Acquisitions</w:t>
      </w:r>
    </w:p>
    <w:p>
      <w:pPr>
        <w:spacing w:after="0" w:line="77"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Refinancing activity was significantly lower in the second quarter of 2023 compared with the second quarter of 2022 as the sharp rise in interest rates over the last year resulted in fewer borrowers who could benefit from refinancing. Accordingly, the share of our single-family loan acquisitions consisting of refinance loans (versus home purchase loans) decreased to 14% in the second quarter of 2023 compared with 36% in the second quarter of 2022. Typically, home purchase loans have higher LTV ratios than refinance loans. This trend contributed to an increase in the percentage of our single-family loan acquisitions with LTV ratios over 80%, from 34% in the second quarter of 2022 to 41% in the second quarter of 2023.</w:t>
      </w:r>
    </w:p>
    <w:p>
      <w:pPr>
        <w:spacing w:after="0" w:line="45" w:lineRule="exact"/>
        <w:rPr>
          <w:sz w:val="20"/>
          <w:szCs w:val="20"/>
          <w:color w:val="auto"/>
        </w:rPr>
      </w:pPr>
    </w:p>
    <w:p>
      <w:pPr>
        <w:ind w:right="160"/>
        <w:spacing w:after="0" w:line="267" w:lineRule="auto"/>
        <w:rPr>
          <w:sz w:val="20"/>
          <w:szCs w:val="20"/>
          <w:color w:val="auto"/>
        </w:rPr>
      </w:pPr>
      <w:r>
        <w:rPr>
          <w:rFonts w:ascii="Arial" w:cs="Arial" w:eastAsia="Arial" w:hAnsi="Arial"/>
          <w:sz w:val="16"/>
          <w:szCs w:val="16"/>
          <w:color w:val="auto"/>
        </w:rPr>
        <w:t>Our share of acquisitions of loans with DTI ratios above 45% increased to 24% in the second quarter of 2023 compared with 22% in the second quarter of 2022. This increase was also driven by the higher share of home purchase acquisitions, which tend to have higher DTI ratios than refinance loan acquisitions. It also reflects the impact of higher interest rates and inflation on borrowers’ monthly obligations.</w:t>
      </w:r>
    </w:p>
    <w:p>
      <w:pPr>
        <w:spacing w:after="0" w:line="56"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For a discussion of factors that may impact the volume and credit characteristics of loans we acquire in the future, see “MD&amp;A—Single-Family Business— Single-Family Mortgage Credit Risk Management—Single-Family Portfolio Diversification and Monitoring” in our 2022 Form 10-K. In this section of our 2022 Form 10-K, we also provide more information on the credit characteristics of loans in our single-family conventional guaranty book of business, including high-balance loans and adjustable-rate mortgages.</w:t>
      </w:r>
    </w:p>
    <w:p>
      <w:pPr>
        <w:spacing w:after="0" w:line="8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Single-Family Credit Enhancement and Transfer of Mortgage Credit Risk</w:t>
      </w:r>
    </w:p>
    <w:p>
      <w:pPr>
        <w:spacing w:after="0" w:line="84" w:lineRule="exact"/>
        <w:rPr>
          <w:sz w:val="20"/>
          <w:szCs w:val="20"/>
          <w:color w:val="auto"/>
        </w:rPr>
      </w:pPr>
    </w:p>
    <w:p>
      <w:pPr>
        <w:ind w:right="120"/>
        <w:spacing w:after="0" w:line="267" w:lineRule="auto"/>
        <w:rPr>
          <w:sz w:val="20"/>
          <w:szCs w:val="20"/>
          <w:color w:val="auto"/>
        </w:rPr>
      </w:pPr>
      <w:r>
        <w:rPr>
          <w:rFonts w:ascii="Arial" w:cs="Arial" w:eastAsia="Arial" w:hAnsi="Arial"/>
          <w:sz w:val="16"/>
          <w:szCs w:val="16"/>
          <w:color w:val="auto"/>
        </w:rPr>
        <w:t>Our charter generally requires credit enhancement on any single-family conventional mortgage loan that we purchase or securitize if it has an LTV ratio over 80% at the time of purchase. We generally achieve this through primary mortgage insurance. We also enter into various other types of transactions in which we transfer mortgage credit risk to third parties.</w:t>
      </w:r>
    </w:p>
    <w:p>
      <w:pPr>
        <w:spacing w:after="0" w:line="69" w:lineRule="exact"/>
        <w:rPr>
          <w:sz w:val="20"/>
          <w:szCs w:val="20"/>
          <w:color w:val="auto"/>
        </w:rPr>
      </w:pPr>
    </w:p>
    <w:p>
      <w:pPr>
        <w:jc w:val="both"/>
        <w:ind w:right="80"/>
        <w:spacing w:after="0" w:line="268" w:lineRule="auto"/>
        <w:rPr>
          <w:sz w:val="20"/>
          <w:szCs w:val="20"/>
          <w:color w:val="auto"/>
        </w:rPr>
      </w:pPr>
      <w:r>
        <w:rPr>
          <w:rFonts w:ascii="Arial" w:cs="Arial" w:eastAsia="Arial" w:hAnsi="Arial"/>
          <w:sz w:val="16"/>
          <w:szCs w:val="16"/>
          <w:color w:val="auto"/>
        </w:rPr>
        <w:t>Our approved monoline mortgage insurers’ financial ability and willingness to pay claims is an important determinant of our overall credit risk exposure. For a discussion of our exposure to and management of the counterparty credit risk associated with the providers of these credit enhancements, see “MD&amp;A— Risk Management—Institutional Counterparty Credit Risk Management” and “Note 13, Concentrations of Credit Risk” in our 2022 Form 10-K and “Note 10, Concentrations of Credit Risk” in this report. Also see “Risk Factors” in our 2022 Form 10-K.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29</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32" w:name="page33"/>
    <w:bookmarkEnd w:id="32"/>
    <w:p>
      <w:pPr>
        <w:ind w:left="608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The table below displays information about loans in our single-family conventional guaranty book of business covered by one or more forms of credit enhancement, including mortgage insurance or a credit risk transfer transaction. For a description of primary mortgage insurance and the other types of credit enhancements specified in the table, see “MD&amp;A—Single-Family Business—Single-Family Mortgage Credit Risk Management—Single-Family Credit Enhancement and Transfer of Mortgage Credit Risk” in our 2022 Form 10-K.</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Single-Family Loans with Credit Enhancement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38670" cy="16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54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40" w:type="dxa"/>
            <w:vAlign w:val="bottom"/>
            <w:tcBorders>
              <w:bottom w:val="single" w:sz="8" w:color="2C6937"/>
            </w:tcBorders>
            <w:gridSpan w:val="3"/>
          </w:tcPr>
          <w:p>
            <w:pPr>
              <w:jc w:val="right"/>
              <w:ind w:right="120"/>
              <w:spacing w:after="0"/>
              <w:rPr>
                <w:sz w:val="20"/>
                <w:szCs w:val="20"/>
                <w:color w:val="auto"/>
              </w:rPr>
            </w:pPr>
            <w:r>
              <w:rPr>
                <w:rFonts w:ascii="Arial" w:cs="Arial" w:eastAsia="Arial" w:hAnsi="Arial"/>
                <w:sz w:val="14"/>
                <w:szCs w:val="14"/>
                <w:b w:val="1"/>
                <w:bCs w:val="1"/>
                <w:color w:val="auto"/>
              </w:rPr>
              <w:t>As of</w:t>
            </w:r>
          </w:p>
        </w:tc>
        <w:tc>
          <w:tcPr>
            <w:tcW w:w="88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560" w:type="dxa"/>
            <w:vAlign w:val="bottom"/>
            <w:tcBorders>
              <w:bottom w:val="single" w:sz="8" w:color="2C6937"/>
            </w:tcBorders>
          </w:tcPr>
          <w:p>
            <w:pPr>
              <w:spacing w:after="0"/>
              <w:rPr>
                <w:sz w:val="17"/>
                <w:szCs w:val="17"/>
                <w:color w:val="auto"/>
              </w:rPr>
            </w:pPr>
          </w:p>
        </w:tc>
      </w:tr>
      <w:tr>
        <w:trPr>
          <w:trHeight w:val="193"/>
        </w:trPr>
        <w:tc>
          <w:tcPr>
            <w:tcW w:w="5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2540" w:type="dxa"/>
            <w:vAlign w:val="bottom"/>
            <w:tcBorders>
              <w:bottom w:val="single" w:sz="8" w:color="2C6937"/>
            </w:tcBorders>
            <w:gridSpan w:val="3"/>
          </w:tcPr>
          <w:p>
            <w:pPr>
              <w:jc w:val="right"/>
              <w:ind w:right="828"/>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2560" w:type="dxa"/>
            <w:vAlign w:val="bottom"/>
            <w:tcBorders>
              <w:bottom w:val="single" w:sz="8" w:color="2C6937"/>
            </w:tcBorders>
            <w:gridSpan w:val="3"/>
          </w:tcPr>
          <w:p>
            <w:pPr>
              <w:jc w:val="right"/>
              <w:ind w:right="669"/>
              <w:spacing w:after="0"/>
              <w:rPr>
                <w:sz w:val="20"/>
                <w:szCs w:val="20"/>
                <w:color w:val="auto"/>
              </w:rPr>
            </w:pPr>
            <w:r>
              <w:rPr>
                <w:rFonts w:ascii="Arial" w:cs="Arial" w:eastAsia="Arial" w:hAnsi="Arial"/>
                <w:sz w:val="14"/>
                <w:szCs w:val="14"/>
                <w:b w:val="1"/>
                <w:bCs w:val="1"/>
                <w:color w:val="auto"/>
              </w:rPr>
              <w:t>December 31, 2022</w:t>
            </w:r>
          </w:p>
        </w:tc>
      </w:tr>
      <w:tr>
        <w:trPr>
          <w:trHeight w:val="176"/>
        </w:trPr>
        <w:tc>
          <w:tcPr>
            <w:tcW w:w="5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7"/>
              </w:rPr>
              <w:t>Percentage of Single-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7"/>
              </w:rPr>
              <w:t>Percentage of Single-</w:t>
            </w:r>
          </w:p>
        </w:tc>
      </w:tr>
      <w:tr>
        <w:trPr>
          <w:trHeight w:val="155"/>
        </w:trPr>
        <w:tc>
          <w:tcPr>
            <w:tcW w:w="5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center"/>
              <w:ind w:right="104"/>
              <w:spacing w:after="0" w:line="155" w:lineRule="exact"/>
              <w:rPr>
                <w:sz w:val="20"/>
                <w:szCs w:val="20"/>
                <w:color w:val="auto"/>
              </w:rPr>
            </w:pPr>
            <w:r>
              <w:rPr>
                <w:rFonts w:ascii="Arial" w:cs="Arial" w:eastAsia="Arial" w:hAnsi="Arial"/>
                <w:sz w:val="14"/>
                <w:szCs w:val="14"/>
                <w:b w:val="1"/>
                <w:bCs w:val="1"/>
                <w:color w:val="auto"/>
                <w:w w:val="96"/>
              </w:rPr>
              <w:t>Unpaid</w:t>
            </w:r>
          </w:p>
        </w:tc>
        <w:tc>
          <w:tcPr>
            <w:tcW w:w="100" w:type="dxa"/>
            <w:vAlign w:val="bottom"/>
          </w:tcPr>
          <w:p>
            <w:pPr>
              <w:spacing w:after="0"/>
              <w:rPr>
                <w:sz w:val="13"/>
                <w:szCs w:val="13"/>
                <w:color w:val="auto"/>
              </w:rPr>
            </w:pPr>
          </w:p>
        </w:tc>
        <w:tc>
          <w:tcPr>
            <w:tcW w:w="15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7"/>
              </w:rPr>
              <w:t>Family Conventional</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64"/>
              <w:spacing w:after="0" w:line="155" w:lineRule="exact"/>
              <w:rPr>
                <w:sz w:val="20"/>
                <w:szCs w:val="20"/>
                <w:color w:val="auto"/>
              </w:rPr>
            </w:pPr>
            <w:r>
              <w:rPr>
                <w:rFonts w:ascii="Arial" w:cs="Arial" w:eastAsia="Arial" w:hAnsi="Arial"/>
                <w:sz w:val="14"/>
                <w:szCs w:val="14"/>
                <w:b w:val="1"/>
                <w:bCs w:val="1"/>
                <w:color w:val="auto"/>
                <w:w w:val="96"/>
              </w:rPr>
              <w:t>Unpaid</w:t>
            </w:r>
          </w:p>
        </w:tc>
        <w:tc>
          <w:tcPr>
            <w:tcW w:w="120" w:type="dxa"/>
            <w:vAlign w:val="bottom"/>
          </w:tcPr>
          <w:p>
            <w:pPr>
              <w:spacing w:after="0"/>
              <w:rPr>
                <w:sz w:val="13"/>
                <w:szCs w:val="13"/>
                <w:color w:val="auto"/>
              </w:rPr>
            </w:pPr>
          </w:p>
        </w:tc>
        <w:tc>
          <w:tcPr>
            <w:tcW w:w="15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7"/>
              </w:rPr>
              <w:t>Family Conventional</w:t>
            </w:r>
          </w:p>
        </w:tc>
      </w:tr>
      <w:tr>
        <w:trPr>
          <w:trHeight w:val="168"/>
        </w:trPr>
        <w:tc>
          <w:tcPr>
            <w:tcW w:w="5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104"/>
              <w:spacing w:after="0"/>
              <w:rPr>
                <w:sz w:val="20"/>
                <w:szCs w:val="20"/>
                <w:color w:val="auto"/>
              </w:rPr>
            </w:pPr>
            <w:r>
              <w:rPr>
                <w:rFonts w:ascii="Arial" w:cs="Arial" w:eastAsia="Arial" w:hAnsi="Arial"/>
                <w:sz w:val="14"/>
                <w:szCs w:val="14"/>
                <w:b w:val="1"/>
                <w:bCs w:val="1"/>
                <w:color w:val="auto"/>
                <w:w w:val="97"/>
              </w:rPr>
              <w:t>Principal</w:t>
            </w: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8"/>
              </w:rPr>
              <w:t>Guaranty Book of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64"/>
              <w:spacing w:after="0"/>
              <w:rPr>
                <w:sz w:val="20"/>
                <w:szCs w:val="20"/>
                <w:color w:val="auto"/>
              </w:rPr>
            </w:pPr>
            <w:r>
              <w:rPr>
                <w:rFonts w:ascii="Arial" w:cs="Arial" w:eastAsia="Arial" w:hAnsi="Arial"/>
                <w:sz w:val="14"/>
                <w:szCs w:val="14"/>
                <w:b w:val="1"/>
                <w:bCs w:val="1"/>
                <w:color w:val="auto"/>
                <w:w w:val="97"/>
              </w:rPr>
              <w:t>Principal</w:t>
            </w: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8"/>
              </w:rPr>
              <w:t>Guaranty Book of</w:t>
            </w:r>
          </w:p>
        </w:tc>
      </w:tr>
      <w:tr>
        <w:trPr>
          <w:trHeight w:val="198"/>
        </w:trPr>
        <w:tc>
          <w:tcPr>
            <w:tcW w:w="5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center"/>
              <w:ind w:right="104"/>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7"/>
                <w:szCs w:val="17"/>
                <w:color w:val="auto"/>
              </w:rPr>
            </w:pPr>
          </w:p>
        </w:tc>
        <w:tc>
          <w:tcPr>
            <w:tcW w:w="15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Business</w:t>
            </w:r>
          </w:p>
        </w:tc>
        <w:tc>
          <w:tcPr>
            <w:tcW w:w="12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center"/>
              <w:ind w:right="84"/>
              <w:spacing w:after="0"/>
              <w:rPr>
                <w:sz w:val="20"/>
                <w:szCs w:val="20"/>
                <w:color w:val="auto"/>
              </w:rPr>
            </w:pPr>
            <w:r>
              <w:rPr>
                <w:rFonts w:ascii="Arial" w:cs="Arial" w:eastAsia="Arial" w:hAnsi="Arial"/>
                <w:sz w:val="14"/>
                <w:szCs w:val="14"/>
                <w:b w:val="1"/>
                <w:bCs w:val="1"/>
                <w:color w:val="auto"/>
                <w:w w:val="96"/>
              </w:rPr>
              <w:t>Balance</w:t>
            </w:r>
          </w:p>
        </w:tc>
        <w:tc>
          <w:tcPr>
            <w:tcW w:w="120" w:type="dxa"/>
            <w:vAlign w:val="bottom"/>
          </w:tcPr>
          <w:p>
            <w:pPr>
              <w:spacing w:after="0"/>
              <w:rPr>
                <w:sz w:val="17"/>
                <w:szCs w:val="17"/>
                <w:color w:val="auto"/>
              </w:rPr>
            </w:pPr>
          </w:p>
        </w:tc>
        <w:tc>
          <w:tcPr>
            <w:tcW w:w="15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Business</w:t>
            </w:r>
          </w:p>
        </w:tc>
      </w:tr>
      <w:tr>
        <w:trPr>
          <w:trHeight w:val="205"/>
        </w:trPr>
        <w:tc>
          <w:tcPr>
            <w:tcW w:w="5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gridSpan w:val="4"/>
          </w:tcPr>
          <w:p>
            <w:pPr>
              <w:jc w:val="right"/>
              <w:ind w:right="464"/>
              <w:spacing w:after="0"/>
              <w:rPr>
                <w:sz w:val="20"/>
                <w:szCs w:val="20"/>
                <w:color w:val="auto"/>
              </w:rPr>
            </w:pPr>
            <w:r>
              <w:rPr>
                <w:rFonts w:ascii="Arial" w:cs="Arial" w:eastAsia="Arial" w:hAnsi="Arial"/>
                <w:sz w:val="14"/>
                <w:szCs w:val="14"/>
                <w:b w:val="1"/>
                <w:bCs w:val="1"/>
                <w:color w:val="auto"/>
              </w:rPr>
              <w:t>(Dollars in billions)</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55"/>
        </w:trPr>
        <w:tc>
          <w:tcPr>
            <w:tcW w:w="5540" w:type="dxa"/>
            <w:vAlign w:val="bottom"/>
          </w:tcPr>
          <w:p>
            <w:pPr>
              <w:ind w:left="20"/>
              <w:spacing w:after="0"/>
              <w:rPr>
                <w:sz w:val="20"/>
                <w:szCs w:val="20"/>
                <w:color w:val="auto"/>
              </w:rPr>
            </w:pPr>
            <w:r>
              <w:rPr>
                <w:rFonts w:ascii="Arial" w:cs="Arial" w:eastAsia="Arial" w:hAnsi="Arial"/>
                <w:sz w:val="15"/>
                <w:szCs w:val="15"/>
                <w:color w:val="auto"/>
              </w:rPr>
              <w:t>Primary mortgage insurance and other</w:t>
            </w:r>
          </w:p>
        </w:tc>
        <w:tc>
          <w:tcPr>
            <w:tcW w:w="3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
              <w:spacing w:after="0"/>
              <w:rPr>
                <w:sz w:val="20"/>
                <w:szCs w:val="20"/>
                <w:color w:val="auto"/>
              </w:rPr>
            </w:pPr>
            <w:r>
              <w:rPr>
                <w:rFonts w:ascii="Arial" w:cs="Arial" w:eastAsia="Arial" w:hAnsi="Arial"/>
                <w:sz w:val="16"/>
                <w:szCs w:val="16"/>
                <w:b w:val="1"/>
                <w:bCs w:val="1"/>
                <w:color w:val="auto"/>
              </w:rPr>
              <w:t>759</w:t>
            </w:r>
          </w:p>
        </w:tc>
        <w:tc>
          <w:tcPr>
            <w:tcW w:w="1660" w:type="dxa"/>
            <w:vAlign w:val="bottom"/>
            <w:gridSpan w:val="2"/>
          </w:tcPr>
          <w:p>
            <w:pPr>
              <w:jc w:val="right"/>
              <w:spacing w:after="0"/>
              <w:rPr>
                <w:sz w:val="20"/>
                <w:szCs w:val="20"/>
                <w:color w:val="auto"/>
              </w:rPr>
            </w:pPr>
            <w:r>
              <w:rPr>
                <w:rFonts w:ascii="Arial" w:cs="Arial" w:eastAsia="Arial" w:hAnsi="Arial"/>
                <w:sz w:val="16"/>
                <w:szCs w:val="16"/>
                <w:b w:val="1"/>
                <w:bCs w:val="1"/>
                <w:color w:val="auto"/>
              </w:rPr>
              <w:t>21 %</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754</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21 %</w:t>
            </w:r>
          </w:p>
        </w:tc>
      </w:tr>
      <w:tr>
        <w:trPr>
          <w:trHeight w:val="232"/>
        </w:trPr>
        <w:tc>
          <w:tcPr>
            <w:tcW w:w="5540" w:type="dxa"/>
            <w:vAlign w:val="bottom"/>
          </w:tcPr>
          <w:p>
            <w:pPr>
              <w:ind w:left="20"/>
              <w:spacing w:after="0"/>
              <w:rPr>
                <w:sz w:val="20"/>
                <w:szCs w:val="20"/>
                <w:color w:val="auto"/>
              </w:rPr>
            </w:pPr>
            <w:r>
              <w:rPr>
                <w:rFonts w:ascii="Arial" w:cs="Arial" w:eastAsia="Arial" w:hAnsi="Arial"/>
                <w:sz w:val="15"/>
                <w:szCs w:val="15"/>
                <w:color w:val="auto"/>
              </w:rPr>
              <w:t>Connecticut Avenue Securities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b w:val="1"/>
                <w:bCs w:val="1"/>
                <w:color w:val="auto"/>
              </w:rPr>
              <w:t>796</w:t>
            </w:r>
          </w:p>
        </w:tc>
        <w:tc>
          <w:tcPr>
            <w:tcW w:w="1660" w:type="dxa"/>
            <w:vAlign w:val="bottom"/>
            <w:gridSpan w:val="2"/>
          </w:tcPr>
          <w:p>
            <w:pPr>
              <w:jc w:val="right"/>
              <w:ind w:right="128"/>
              <w:spacing w:after="0"/>
              <w:rPr>
                <w:sz w:val="20"/>
                <w:szCs w:val="20"/>
                <w:color w:val="auto"/>
              </w:rPr>
            </w:pPr>
            <w:r>
              <w:rPr>
                <w:rFonts w:ascii="Arial" w:cs="Arial" w:eastAsia="Arial" w:hAnsi="Arial"/>
                <w:sz w:val="16"/>
                <w:szCs w:val="16"/>
                <w:b w:val="1"/>
                <w:bCs w:val="1"/>
                <w:color w:val="auto"/>
              </w:rPr>
              <w:t>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726</w:t>
            </w:r>
          </w:p>
        </w:tc>
        <w:tc>
          <w:tcPr>
            <w:tcW w:w="1680" w:type="dxa"/>
            <w:vAlign w:val="bottom"/>
            <w:gridSpan w:val="2"/>
          </w:tcPr>
          <w:p>
            <w:pPr>
              <w:jc w:val="right"/>
              <w:ind w:right="129"/>
              <w:spacing w:after="0"/>
              <w:rPr>
                <w:sz w:val="20"/>
                <w:szCs w:val="20"/>
                <w:color w:val="auto"/>
              </w:rPr>
            </w:pPr>
            <w:r>
              <w:rPr>
                <w:rFonts w:ascii="Arial" w:cs="Arial" w:eastAsia="Arial" w:hAnsi="Arial"/>
                <w:sz w:val="16"/>
                <w:szCs w:val="16"/>
                <w:color w:val="auto"/>
              </w:rPr>
              <w:t>20</w:t>
            </w:r>
          </w:p>
        </w:tc>
      </w:tr>
      <w:tr>
        <w:trPr>
          <w:trHeight w:val="232"/>
        </w:trPr>
        <w:tc>
          <w:tcPr>
            <w:tcW w:w="5540" w:type="dxa"/>
            <w:vAlign w:val="bottom"/>
          </w:tcPr>
          <w:p>
            <w:pPr>
              <w:ind w:left="20"/>
              <w:spacing w:after="0"/>
              <w:rPr>
                <w:sz w:val="20"/>
                <w:szCs w:val="20"/>
                <w:color w:val="auto"/>
              </w:rPr>
            </w:pPr>
            <w:r>
              <w:rPr>
                <w:rFonts w:ascii="Arial" w:cs="Arial" w:eastAsia="Arial" w:hAnsi="Arial"/>
                <w:sz w:val="15"/>
                <w:szCs w:val="15"/>
                <w:color w:val="auto"/>
              </w:rPr>
              <w:t>Credit Insurance Risk Transfer</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b w:val="1"/>
                <w:bCs w:val="1"/>
                <w:color w:val="auto"/>
              </w:rPr>
              <w:t>406</w:t>
            </w:r>
          </w:p>
        </w:tc>
        <w:tc>
          <w:tcPr>
            <w:tcW w:w="1660" w:type="dxa"/>
            <w:vAlign w:val="bottom"/>
            <w:gridSpan w:val="2"/>
          </w:tcPr>
          <w:p>
            <w:pPr>
              <w:jc w:val="right"/>
              <w:ind w:right="128"/>
              <w:spacing w:after="0"/>
              <w:rPr>
                <w:sz w:val="20"/>
                <w:szCs w:val="20"/>
                <w:color w:val="auto"/>
              </w:rPr>
            </w:pPr>
            <w:r>
              <w:rPr>
                <w:rFonts w:ascii="Arial" w:cs="Arial" w:eastAsia="Arial" w:hAnsi="Arial"/>
                <w:sz w:val="16"/>
                <w:szCs w:val="16"/>
                <w:b w:val="1"/>
                <w:bCs w:val="1"/>
                <w:color w:val="auto"/>
              </w:rPr>
              <w:t>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323</w:t>
            </w:r>
          </w:p>
        </w:tc>
        <w:tc>
          <w:tcPr>
            <w:tcW w:w="1680" w:type="dxa"/>
            <w:vAlign w:val="bottom"/>
            <w:gridSpan w:val="2"/>
          </w:tcPr>
          <w:p>
            <w:pPr>
              <w:jc w:val="right"/>
              <w:ind w:right="129"/>
              <w:spacing w:after="0"/>
              <w:rPr>
                <w:sz w:val="20"/>
                <w:szCs w:val="20"/>
                <w:color w:val="auto"/>
              </w:rPr>
            </w:pPr>
            <w:r>
              <w:rPr>
                <w:rFonts w:ascii="Arial" w:cs="Arial" w:eastAsia="Arial" w:hAnsi="Arial"/>
                <w:sz w:val="16"/>
                <w:szCs w:val="16"/>
                <w:color w:val="auto"/>
              </w:rPr>
              <w:t>9</w:t>
            </w:r>
          </w:p>
        </w:tc>
      </w:tr>
      <w:tr>
        <w:trPr>
          <w:trHeight w:val="245"/>
        </w:trPr>
        <w:tc>
          <w:tcPr>
            <w:tcW w:w="5540" w:type="dxa"/>
            <w:vAlign w:val="bottom"/>
          </w:tcPr>
          <w:p>
            <w:pPr>
              <w:ind w:left="20"/>
              <w:spacing w:after="0"/>
              <w:rPr>
                <w:sz w:val="20"/>
                <w:szCs w:val="20"/>
                <w:color w:val="auto"/>
              </w:rPr>
            </w:pPr>
            <w:r>
              <w:rPr>
                <w:rFonts w:ascii="Arial" w:cs="Arial" w:eastAsia="Arial" w:hAnsi="Arial"/>
                <w:sz w:val="15"/>
                <w:szCs w:val="15"/>
                <w:color w:val="auto"/>
              </w:rPr>
              <w:t>Lender risk-sharing</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b w:val="1"/>
                <w:bCs w:val="1"/>
                <w:color w:val="auto"/>
              </w:rPr>
              <w:t>55</w:t>
            </w:r>
          </w:p>
        </w:tc>
        <w:tc>
          <w:tcPr>
            <w:tcW w:w="1660" w:type="dxa"/>
            <w:vAlign w:val="bottom"/>
            <w:gridSpan w:val="2"/>
          </w:tcPr>
          <w:p>
            <w:pPr>
              <w:jc w:val="right"/>
              <w:ind w:right="128"/>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w:t>
            </w:r>
          </w:p>
        </w:tc>
        <w:tc>
          <w:tcPr>
            <w:tcW w:w="1680" w:type="dxa"/>
            <w:vAlign w:val="bottom"/>
            <w:gridSpan w:val="2"/>
          </w:tcPr>
          <w:p>
            <w:pPr>
              <w:jc w:val="right"/>
              <w:ind w:right="129"/>
              <w:spacing w:after="0"/>
              <w:rPr>
                <w:sz w:val="20"/>
                <w:szCs w:val="20"/>
                <w:color w:val="auto"/>
              </w:rPr>
            </w:pPr>
            <w:r>
              <w:rPr>
                <w:rFonts w:ascii="Arial" w:cs="Arial" w:eastAsia="Arial" w:hAnsi="Arial"/>
                <w:sz w:val="16"/>
                <w:szCs w:val="16"/>
                <w:color w:val="auto"/>
              </w:rPr>
              <w:t>2</w:t>
            </w:r>
          </w:p>
        </w:tc>
      </w:tr>
      <w:tr>
        <w:trPr>
          <w:trHeight w:val="234"/>
        </w:trPr>
        <w:tc>
          <w:tcPr>
            <w:tcW w:w="554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Less: Loans covered by multiple credit enhancements</w:t>
            </w:r>
          </w:p>
        </w:tc>
        <w:tc>
          <w:tcPr>
            <w:tcW w:w="14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(410)</w:t>
            </w:r>
          </w:p>
        </w:tc>
        <w:tc>
          <w:tcPr>
            <w:tcW w:w="100" w:type="dxa"/>
            <w:vAlign w:val="bottom"/>
          </w:tcPr>
          <w:p>
            <w:pPr>
              <w:spacing w:after="0"/>
              <w:rPr>
                <w:sz w:val="20"/>
                <w:szCs w:val="20"/>
                <w:color w:val="auto"/>
              </w:rPr>
            </w:pPr>
          </w:p>
        </w:tc>
        <w:tc>
          <w:tcPr>
            <w:tcW w:w="1560" w:type="dxa"/>
            <w:vAlign w:val="bottom"/>
            <w:tcBorders>
              <w:bottom w:val="single" w:sz="8" w:color="2C6937"/>
            </w:tcBorders>
          </w:tcPr>
          <w:p>
            <w:pPr>
              <w:jc w:val="right"/>
              <w:ind w:right="88"/>
              <w:spacing w:after="0"/>
              <w:rPr>
                <w:sz w:val="20"/>
                <w:szCs w:val="20"/>
                <w:color w:val="auto"/>
              </w:rPr>
            </w:pPr>
            <w:r>
              <w:rPr>
                <w:rFonts w:ascii="Arial" w:cs="Arial" w:eastAsia="Arial" w:hAnsi="Arial"/>
                <w:sz w:val="16"/>
                <w:szCs w:val="16"/>
                <w:b w:val="1"/>
                <w:bCs w:val="1"/>
                <w:color w:val="auto"/>
              </w:rPr>
              <w:t>(11)</w:t>
            </w:r>
          </w:p>
        </w:tc>
        <w:tc>
          <w:tcPr>
            <w:tcW w:w="12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(351)</w:t>
            </w:r>
          </w:p>
        </w:tc>
        <w:tc>
          <w:tcPr>
            <w:tcW w:w="120" w:type="dxa"/>
            <w:vAlign w:val="bottom"/>
          </w:tcPr>
          <w:p>
            <w:pPr>
              <w:spacing w:after="0"/>
              <w:rPr>
                <w:sz w:val="20"/>
                <w:szCs w:val="20"/>
                <w:color w:val="auto"/>
              </w:rPr>
            </w:pPr>
          </w:p>
        </w:tc>
        <w:tc>
          <w:tcPr>
            <w:tcW w:w="1560" w:type="dxa"/>
            <w:vAlign w:val="bottom"/>
            <w:tcBorders>
              <w:bottom w:val="single" w:sz="8" w:color="2C6937"/>
            </w:tcBorders>
          </w:tcPr>
          <w:p>
            <w:pPr>
              <w:jc w:val="right"/>
              <w:ind w:right="89"/>
              <w:spacing w:after="0"/>
              <w:rPr>
                <w:sz w:val="20"/>
                <w:szCs w:val="20"/>
                <w:color w:val="auto"/>
              </w:rPr>
            </w:pPr>
            <w:r>
              <w:rPr>
                <w:rFonts w:ascii="Arial" w:cs="Arial" w:eastAsia="Arial" w:hAnsi="Arial"/>
                <w:sz w:val="16"/>
                <w:szCs w:val="16"/>
                <w:color w:val="auto"/>
              </w:rPr>
              <w:t>(10)</w:t>
            </w:r>
          </w:p>
        </w:tc>
      </w:tr>
      <w:tr>
        <w:trPr>
          <w:trHeight w:val="225"/>
        </w:trPr>
        <w:tc>
          <w:tcPr>
            <w:tcW w:w="5540" w:type="dxa"/>
            <w:vAlign w:val="bottom"/>
          </w:tcPr>
          <w:p>
            <w:pPr>
              <w:ind w:left="220"/>
              <w:spacing w:after="0"/>
              <w:rPr>
                <w:sz w:val="20"/>
                <w:szCs w:val="20"/>
                <w:color w:val="auto"/>
              </w:rPr>
            </w:pPr>
            <w:r>
              <w:rPr>
                <w:rFonts w:ascii="Arial" w:cs="Arial" w:eastAsia="Arial" w:hAnsi="Arial"/>
                <w:sz w:val="15"/>
                <w:szCs w:val="15"/>
                <w:color w:val="auto"/>
              </w:rPr>
              <w:t>Total single-family loans with credit enhancement</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4"/>
              <w:spacing w:after="0"/>
              <w:rPr>
                <w:sz w:val="20"/>
                <w:szCs w:val="20"/>
                <w:color w:val="auto"/>
              </w:rPr>
            </w:pPr>
            <w:r>
              <w:rPr>
                <w:rFonts w:ascii="Arial" w:cs="Arial" w:eastAsia="Arial" w:hAnsi="Arial"/>
                <w:sz w:val="16"/>
                <w:szCs w:val="16"/>
                <w:b w:val="1"/>
                <w:bCs w:val="1"/>
                <w:color w:val="auto"/>
              </w:rPr>
              <w:t>1,606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44 %</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1,509</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42 %</w:t>
            </w:r>
          </w:p>
        </w:tc>
      </w:tr>
      <w:tr>
        <w:trPr>
          <w:trHeight w:val="21"/>
        </w:trPr>
        <w:tc>
          <w:tcPr>
            <w:tcW w:w="55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2C6937"/>
              <w:bottom w:val="single" w:sz="8" w:color="2C6937"/>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9"/>
          <w:szCs w:val="19"/>
          <w:i w:val="1"/>
          <w:iCs w:val="1"/>
          <w:color w:val="05314D"/>
        </w:rPr>
        <w:t>Transfer of Mortgage Credit Risk</w:t>
      </w:r>
    </w:p>
    <w:p>
      <w:pPr>
        <w:spacing w:after="0" w:line="77"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In addition to primary mortgage insurance, our Single-Family business has developed other risk-sharing capabilities to transfer portions of our single-family mortgage credit risk to the private market. Our credit risk transfer transactions are designed to transfer a portion of the losses we expect would be incurred in an economic downturn or a stressed credit environment. Generally, loss reimbursement payments are received after the underlying property has been liquidated and all applicable proceeds, including private mortgage insurance benefits, have been applied to reduce the loss. As described in “MD&amp;A— Single-Family Business—Single-Family Mortgage Credit Risk Management—Single-Family Credit Enhancement and Transfer of Mortgage Credit Risk— Credit Risk Transfer Transactions” in our 2022 Form 10-K, we have used primarily three single-family credit risk transfer programs: Connecticut Avenue Securities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(“CAS”), Credit Insurance Risk Transfer™ (“CIRT</w:t>
      </w:r>
      <w:r>
        <w:rPr>
          <w:rFonts w:ascii="Arial" w:cs="Arial" w:eastAsia="Arial" w:hAnsi="Arial"/>
          <w:sz w:val="21"/>
          <w:szCs w:val="21"/>
          <w:color w:val="auto"/>
          <w:vertAlign w:val="superscript"/>
        </w:rPr>
        <w:t>TM</w:t>
      </w:r>
      <w:r>
        <w:rPr>
          <w:rFonts w:ascii="Arial" w:cs="Arial" w:eastAsia="Arial" w:hAnsi="Arial"/>
          <w:sz w:val="16"/>
          <w:szCs w:val="16"/>
          <w:color w:val="auto"/>
        </w:rPr>
        <w:t>”), and lender risk-sharing.</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In the first half of 2023, we transferred a portion of the mortgage credit risk on single-family mortgage loans with an unpaid principal balance of</w:t>
      </w:r>
    </w:p>
    <w:p>
      <w:pPr>
        <w:spacing w:after="0" w:line="21"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$202.8 billion at the time of the transactions; substantially all of the loans in these credit risk transfer transactions were acquired in 2022. Macroeconomic and housing market uncertainty negatively impacted investor demand for our credit risk transfer transactions in the first half of the year, although that demand has improved recently. As a result, investors have required increased premiums in our more recent credit risk transfer transactions. Taking into account the cost of these transactions, the resulting capital relief, and the credit risk transfer market capacity, we have generally chosen to increase the first loss position retained by Fannie Mae compared with similar transactions in the first half of 2022.</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30</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33" w:name="page34"/>
    <w:bookmarkEnd w:id="33"/>
    <w:p>
      <w:pPr>
        <w:ind w:left="608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right="180"/>
        <w:spacing w:after="0" w:line="267" w:lineRule="auto"/>
        <w:rPr>
          <w:sz w:val="20"/>
          <w:szCs w:val="20"/>
          <w:color w:val="auto"/>
        </w:rPr>
      </w:pPr>
      <w:r>
        <w:rPr>
          <w:rFonts w:ascii="Arial" w:cs="Arial" w:eastAsia="Arial" w:hAnsi="Arial"/>
          <w:sz w:val="16"/>
          <w:szCs w:val="16"/>
          <w:color w:val="auto"/>
        </w:rPr>
        <w:t>The following table displays the aggregate mortgage credit risk transferred to third parties and retained by Fannie Mae pursuant to our single-family credit risk transfer transactions. The table does not include the credit risk transferred on single-family transactions that were cancelled or terminated as of June 30, 2023. The following table also excludes coverage obtained through primary mortgage insurance.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Outstanding as of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34290</wp:posOffset>
            </wp:positionV>
            <wp:extent cx="708914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(Dollars in billions)</w:t>
      </w:r>
    </w:p>
    <w:p>
      <w:pPr>
        <w:spacing w:after="0" w:line="47" w:lineRule="exact"/>
        <w:rPr>
          <w:sz w:val="20"/>
          <w:szCs w:val="20"/>
          <w:color w:val="auto"/>
        </w:rPr>
      </w:pPr>
    </w:p>
    <w:tbl>
      <w:tblPr>
        <w:tblLayout w:type="fixed"/>
        <w:tblInd w:w="2010" w:type="dxa"/>
        <w:tblCellMar>
          <w:top w:w="0" w:type="dxa"/>
          <w:left w:w="0" w:type="dxa"/>
          <w:bottom w:w="0" w:type="dxa"/>
          <w:right w:w="0" w:type="dxa"/>
        </w:tblCellMar>
      </w:tblPr>
      <w:tr>
        <w:trPr>
          <w:trHeight w:val="314"/>
        </w:trPr>
        <w:tc>
          <w:tcPr>
            <w:tcW w:w="15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rPr>
              <w:t>Senior</w:t>
            </w:r>
          </w:p>
        </w:tc>
        <w:tc>
          <w:tcPr>
            <w:tcW w:w="100" w:type="dxa"/>
            <w:vAlign w:val="bottom"/>
            <w:tcBorders>
              <w:right w:val="single" w:sz="8" w:color="auto"/>
            </w:tcBorders>
          </w:tcPr>
          <w:p>
            <w:pPr>
              <w:spacing w:after="0"/>
              <w:rPr>
                <w:sz w:val="24"/>
                <w:szCs w:val="24"/>
                <w:color w:val="auto"/>
              </w:rPr>
            </w:pPr>
          </w:p>
        </w:tc>
        <w:tc>
          <w:tcPr>
            <w:tcW w:w="1240" w:type="dxa"/>
            <w:vAlign w:val="bottom"/>
            <w:tcBorders>
              <w:top w:val="single" w:sz="8" w:color="auto"/>
            </w:tcBorders>
            <w:shd w:val="clear" w:color="auto" w:fill="D9D7DC"/>
          </w:tcPr>
          <w:p>
            <w:pPr>
              <w:spacing w:after="0"/>
              <w:rPr>
                <w:sz w:val="24"/>
                <w:szCs w:val="24"/>
                <w:color w:val="auto"/>
              </w:rPr>
            </w:pPr>
          </w:p>
        </w:tc>
        <w:tc>
          <w:tcPr>
            <w:tcW w:w="180" w:type="dxa"/>
            <w:vAlign w:val="bottom"/>
            <w:tcBorders>
              <w:top w:val="single" w:sz="8" w:color="auto"/>
              <w:right w:val="single" w:sz="8" w:color="D9D7DC"/>
            </w:tcBorders>
            <w:shd w:val="clear" w:color="auto" w:fill="D9D7DC"/>
          </w:tcPr>
          <w:p>
            <w:pPr>
              <w:spacing w:after="0"/>
              <w:rPr>
                <w:sz w:val="24"/>
                <w:szCs w:val="24"/>
                <w:color w:val="auto"/>
              </w:rPr>
            </w:pPr>
          </w:p>
        </w:tc>
        <w:tc>
          <w:tcPr>
            <w:tcW w:w="120" w:type="dxa"/>
            <w:vAlign w:val="bottom"/>
            <w:tcBorders>
              <w:top w:val="single" w:sz="8" w:color="auto"/>
              <w:right w:val="single" w:sz="8" w:color="D9D7DC"/>
            </w:tcBorders>
            <w:shd w:val="clear" w:color="auto" w:fill="D9D7DC"/>
          </w:tcPr>
          <w:p>
            <w:pPr>
              <w:spacing w:after="0"/>
              <w:rPr>
                <w:sz w:val="24"/>
                <w:szCs w:val="24"/>
                <w:color w:val="auto"/>
              </w:rPr>
            </w:pPr>
          </w:p>
        </w:tc>
        <w:tc>
          <w:tcPr>
            <w:tcW w:w="980" w:type="dxa"/>
            <w:vAlign w:val="bottom"/>
            <w:tcBorders>
              <w:top w:val="single" w:sz="8" w:color="auto"/>
            </w:tcBorders>
            <w:shd w:val="clear" w:color="auto" w:fill="D9D7DC"/>
          </w:tcPr>
          <w:p>
            <w:pPr>
              <w:spacing w:after="0"/>
              <w:rPr>
                <w:sz w:val="24"/>
                <w:szCs w:val="24"/>
                <w:color w:val="auto"/>
              </w:rPr>
            </w:pPr>
          </w:p>
        </w:tc>
        <w:tc>
          <w:tcPr>
            <w:tcW w:w="1940" w:type="dxa"/>
            <w:vAlign w:val="bottom"/>
            <w:tcBorders>
              <w:top w:val="single" w:sz="8" w:color="auto"/>
              <w:right w:val="single" w:sz="8" w:color="D9D7DC"/>
            </w:tcBorders>
            <w:gridSpan w:val="3"/>
            <w:shd w:val="clear" w:color="auto" w:fill="D9D7DC"/>
          </w:tcPr>
          <w:p>
            <w:pPr>
              <w:jc w:val="center"/>
              <w:ind w:right="932"/>
              <w:spacing w:after="0"/>
              <w:rPr>
                <w:sz w:val="20"/>
                <w:szCs w:val="20"/>
                <w:color w:val="auto"/>
              </w:rPr>
            </w:pPr>
            <w:r>
              <w:rPr>
                <w:rFonts w:ascii="Arial" w:cs="Arial" w:eastAsia="Arial" w:hAnsi="Arial"/>
                <w:sz w:val="15"/>
                <w:szCs w:val="15"/>
                <w:color w:val="auto"/>
                <w:w w:val="98"/>
              </w:rPr>
              <w:t>Fannie Mae</w:t>
            </w:r>
            <w:r>
              <w:rPr>
                <w:rFonts w:ascii="Arial" w:cs="Arial" w:eastAsia="Arial" w:hAnsi="Arial"/>
                <w:sz w:val="20"/>
                <w:szCs w:val="20"/>
                <w:color w:val="auto"/>
                <w:w w:val="98"/>
                <w:vertAlign w:val="superscript"/>
              </w:rPr>
              <w:t>(1)</w:t>
            </w:r>
          </w:p>
        </w:tc>
        <w:tc>
          <w:tcPr>
            <w:tcW w:w="100" w:type="dxa"/>
            <w:vAlign w:val="bottom"/>
            <w:tcBorders>
              <w:top w:val="single" w:sz="8" w:color="auto"/>
              <w:right w:val="single" w:sz="8" w:color="D9D7DC"/>
            </w:tcBorders>
            <w:shd w:val="clear" w:color="auto" w:fill="D9D7DC"/>
          </w:tcPr>
          <w:p>
            <w:pPr>
              <w:spacing w:after="0"/>
              <w:rPr>
                <w:sz w:val="24"/>
                <w:szCs w:val="24"/>
                <w:color w:val="auto"/>
              </w:rPr>
            </w:pPr>
          </w:p>
        </w:tc>
        <w:tc>
          <w:tcPr>
            <w:tcW w:w="1460" w:type="dxa"/>
            <w:vAlign w:val="bottom"/>
            <w:tcBorders>
              <w:top w:val="single" w:sz="8" w:color="auto"/>
              <w:right w:val="single" w:sz="8" w:color="auto"/>
            </w:tcBorders>
            <w:shd w:val="clear" w:color="auto" w:fill="D9D7DC"/>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460" w:type="dxa"/>
            <w:vAlign w:val="bottom"/>
            <w:tcBorders>
              <w:top w:val="single" w:sz="8" w:color="auto"/>
              <w:right w:val="single" w:sz="8" w:color="auto"/>
            </w:tcBorders>
            <w:shd w:val="clear" w:color="auto" w:fill="000F2B"/>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1540" w:type="dxa"/>
            <w:vAlign w:val="bottom"/>
            <w:tcBorders>
              <w:left w:val="single" w:sz="8" w:color="auto"/>
              <w:right w:val="single" w:sz="8" w:color="auto"/>
            </w:tcBorders>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240" w:type="dxa"/>
            <w:vAlign w:val="bottom"/>
            <w:shd w:val="clear" w:color="auto" w:fill="D9D7DC"/>
          </w:tcPr>
          <w:p>
            <w:pPr>
              <w:spacing w:after="0"/>
              <w:rPr>
                <w:sz w:val="9"/>
                <w:szCs w:val="9"/>
                <w:color w:val="auto"/>
              </w:rPr>
            </w:pPr>
          </w:p>
        </w:tc>
        <w:tc>
          <w:tcPr>
            <w:tcW w:w="180" w:type="dxa"/>
            <w:vAlign w:val="bottom"/>
            <w:tcBorders>
              <w:right w:val="single" w:sz="8" w:color="D9D7DC"/>
            </w:tcBorders>
            <w:shd w:val="clear" w:color="auto" w:fill="D9D7DC"/>
          </w:tcPr>
          <w:p>
            <w:pPr>
              <w:spacing w:after="0"/>
              <w:rPr>
                <w:sz w:val="9"/>
                <w:szCs w:val="9"/>
                <w:color w:val="auto"/>
              </w:rPr>
            </w:pPr>
          </w:p>
        </w:tc>
        <w:tc>
          <w:tcPr>
            <w:tcW w:w="120" w:type="dxa"/>
            <w:vAlign w:val="bottom"/>
            <w:tcBorders>
              <w:right w:val="single" w:sz="8" w:color="D9D7DC"/>
            </w:tcBorders>
            <w:shd w:val="clear" w:color="auto" w:fill="D9D7DC"/>
          </w:tcPr>
          <w:p>
            <w:pPr>
              <w:spacing w:after="0"/>
              <w:rPr>
                <w:sz w:val="9"/>
                <w:szCs w:val="9"/>
                <w:color w:val="auto"/>
              </w:rPr>
            </w:pPr>
          </w:p>
        </w:tc>
        <w:tc>
          <w:tcPr>
            <w:tcW w:w="980" w:type="dxa"/>
            <w:vAlign w:val="bottom"/>
            <w:shd w:val="clear" w:color="auto" w:fill="D9D7DC"/>
          </w:tcPr>
          <w:p>
            <w:pPr>
              <w:spacing w:after="0"/>
              <w:rPr>
                <w:sz w:val="9"/>
                <w:szCs w:val="9"/>
                <w:color w:val="auto"/>
              </w:rPr>
            </w:pPr>
          </w:p>
        </w:tc>
        <w:tc>
          <w:tcPr>
            <w:tcW w:w="1940" w:type="dxa"/>
            <w:vAlign w:val="bottom"/>
            <w:tcBorders>
              <w:right w:val="single" w:sz="8" w:color="D9D7DC"/>
            </w:tcBorders>
            <w:gridSpan w:val="3"/>
            <w:vMerge w:val="restart"/>
            <w:shd w:val="clear" w:color="auto" w:fill="D9D7DC"/>
          </w:tcPr>
          <w:p>
            <w:pPr>
              <w:jc w:val="right"/>
              <w:ind w:right="1152"/>
              <w:spacing w:after="0"/>
              <w:rPr>
                <w:sz w:val="20"/>
                <w:szCs w:val="20"/>
                <w:color w:val="auto"/>
              </w:rPr>
            </w:pPr>
            <w:r>
              <w:rPr>
                <w:rFonts w:ascii="Arial" w:cs="Arial" w:eastAsia="Arial" w:hAnsi="Arial"/>
                <w:sz w:val="15"/>
                <w:szCs w:val="15"/>
                <w:color w:val="auto"/>
              </w:rPr>
              <w:t>$1,204</w:t>
            </w:r>
          </w:p>
        </w:tc>
        <w:tc>
          <w:tcPr>
            <w:tcW w:w="100" w:type="dxa"/>
            <w:vAlign w:val="bottom"/>
            <w:tcBorders>
              <w:right w:val="single" w:sz="8" w:color="D9D7DC"/>
            </w:tcBorders>
            <w:shd w:val="clear" w:color="auto" w:fill="D9D7DC"/>
          </w:tcPr>
          <w:p>
            <w:pPr>
              <w:spacing w:after="0"/>
              <w:rPr>
                <w:sz w:val="9"/>
                <w:szCs w:val="9"/>
                <w:color w:val="auto"/>
              </w:rPr>
            </w:pPr>
          </w:p>
        </w:tc>
        <w:tc>
          <w:tcPr>
            <w:tcW w:w="1460" w:type="dxa"/>
            <w:vAlign w:val="bottom"/>
            <w:tcBorders>
              <w:right w:val="single" w:sz="8" w:color="auto"/>
            </w:tcBorders>
            <w:shd w:val="clear" w:color="auto" w:fill="D9D7DC"/>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460" w:type="dxa"/>
            <w:vAlign w:val="bottom"/>
            <w:tcBorders>
              <w:right w:val="single" w:sz="8" w:color="auto"/>
            </w:tcBorders>
            <w:shd w:val="clear" w:color="auto" w:fill="000F2B"/>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240" w:type="dxa"/>
            <w:vAlign w:val="bottom"/>
            <w:shd w:val="clear" w:color="auto" w:fill="D9D7DC"/>
          </w:tcPr>
          <w:p>
            <w:pPr>
              <w:spacing w:after="0"/>
              <w:rPr>
                <w:sz w:val="7"/>
                <w:szCs w:val="7"/>
                <w:color w:val="auto"/>
              </w:rPr>
            </w:pPr>
          </w:p>
        </w:tc>
        <w:tc>
          <w:tcPr>
            <w:tcW w:w="180" w:type="dxa"/>
            <w:vAlign w:val="bottom"/>
            <w:tcBorders>
              <w:right w:val="single" w:sz="8" w:color="D9D7DC"/>
            </w:tcBorders>
            <w:shd w:val="clear" w:color="auto" w:fill="D9D7DC"/>
          </w:tcPr>
          <w:p>
            <w:pPr>
              <w:spacing w:after="0"/>
              <w:rPr>
                <w:sz w:val="7"/>
                <w:szCs w:val="7"/>
                <w:color w:val="auto"/>
              </w:rPr>
            </w:pPr>
          </w:p>
        </w:tc>
        <w:tc>
          <w:tcPr>
            <w:tcW w:w="120" w:type="dxa"/>
            <w:vAlign w:val="bottom"/>
            <w:tcBorders>
              <w:right w:val="single" w:sz="8" w:color="D9D7DC"/>
            </w:tcBorders>
            <w:shd w:val="clear" w:color="auto" w:fill="D9D7DC"/>
          </w:tcPr>
          <w:p>
            <w:pPr>
              <w:spacing w:after="0"/>
              <w:rPr>
                <w:sz w:val="7"/>
                <w:szCs w:val="7"/>
                <w:color w:val="auto"/>
              </w:rPr>
            </w:pPr>
          </w:p>
        </w:tc>
        <w:tc>
          <w:tcPr>
            <w:tcW w:w="980" w:type="dxa"/>
            <w:vAlign w:val="bottom"/>
            <w:shd w:val="clear" w:color="auto" w:fill="D9D7DC"/>
          </w:tcPr>
          <w:p>
            <w:pPr>
              <w:spacing w:after="0"/>
              <w:rPr>
                <w:sz w:val="7"/>
                <w:szCs w:val="7"/>
                <w:color w:val="auto"/>
              </w:rPr>
            </w:pPr>
          </w:p>
        </w:tc>
        <w:tc>
          <w:tcPr>
            <w:tcW w:w="1940" w:type="dxa"/>
            <w:vAlign w:val="bottom"/>
            <w:tcBorders>
              <w:right w:val="single" w:sz="8" w:color="D9D7DC"/>
            </w:tcBorders>
            <w:gridSpan w:val="3"/>
            <w:vMerge w:val="continue"/>
            <w:shd w:val="clear" w:color="auto" w:fill="D9D7DC"/>
          </w:tcPr>
          <w:p>
            <w:pPr>
              <w:spacing w:after="0"/>
              <w:rPr>
                <w:sz w:val="7"/>
                <w:szCs w:val="7"/>
                <w:color w:val="auto"/>
              </w:rPr>
            </w:pPr>
          </w:p>
        </w:tc>
        <w:tc>
          <w:tcPr>
            <w:tcW w:w="100" w:type="dxa"/>
            <w:vAlign w:val="bottom"/>
            <w:tcBorders>
              <w:right w:val="single" w:sz="8" w:color="D9D7DC"/>
            </w:tcBorders>
            <w:shd w:val="clear" w:color="auto" w:fill="D9D7DC"/>
          </w:tcPr>
          <w:p>
            <w:pPr>
              <w:spacing w:after="0"/>
              <w:rPr>
                <w:sz w:val="7"/>
                <w:szCs w:val="7"/>
                <w:color w:val="auto"/>
              </w:rPr>
            </w:pPr>
          </w:p>
        </w:tc>
        <w:tc>
          <w:tcPr>
            <w:tcW w:w="1460" w:type="dxa"/>
            <w:vAlign w:val="bottom"/>
            <w:tcBorders>
              <w:right w:val="single" w:sz="8" w:color="auto"/>
            </w:tcBorders>
            <w:shd w:val="clear" w:color="auto" w:fill="D9D7DC"/>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460" w:type="dxa"/>
            <w:vAlign w:val="bottom"/>
            <w:tcBorders>
              <w:right w:val="single" w:sz="8" w:color="auto"/>
            </w:tcBorders>
            <w:shd w:val="clear" w:color="auto" w:fill="000F2B"/>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54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240" w:type="dxa"/>
            <w:vAlign w:val="bottom"/>
            <w:tcBorders>
              <w:bottom w:val="single" w:sz="8" w:color="auto"/>
            </w:tcBorders>
            <w:shd w:val="clear" w:color="auto" w:fill="D9D7DC"/>
          </w:tcPr>
          <w:p>
            <w:pPr>
              <w:spacing w:after="0"/>
              <w:rPr>
                <w:sz w:val="9"/>
                <w:szCs w:val="9"/>
                <w:color w:val="auto"/>
              </w:rPr>
            </w:pPr>
          </w:p>
        </w:tc>
        <w:tc>
          <w:tcPr>
            <w:tcW w:w="180" w:type="dxa"/>
            <w:vAlign w:val="bottom"/>
            <w:tcBorders>
              <w:bottom w:val="single" w:sz="8" w:color="auto"/>
              <w:right w:val="single" w:sz="8" w:color="D9D7DC"/>
            </w:tcBorders>
            <w:shd w:val="clear" w:color="auto" w:fill="D9D7DC"/>
          </w:tcPr>
          <w:p>
            <w:pPr>
              <w:spacing w:after="0"/>
              <w:rPr>
                <w:sz w:val="9"/>
                <w:szCs w:val="9"/>
                <w:color w:val="auto"/>
              </w:rPr>
            </w:pPr>
          </w:p>
        </w:tc>
        <w:tc>
          <w:tcPr>
            <w:tcW w:w="120" w:type="dxa"/>
            <w:vAlign w:val="bottom"/>
            <w:tcBorders>
              <w:bottom w:val="single" w:sz="8" w:color="auto"/>
              <w:right w:val="single" w:sz="8" w:color="D9D7DC"/>
            </w:tcBorders>
            <w:shd w:val="clear" w:color="auto" w:fill="D9D7DC"/>
          </w:tcPr>
          <w:p>
            <w:pPr>
              <w:spacing w:after="0"/>
              <w:rPr>
                <w:sz w:val="9"/>
                <w:szCs w:val="9"/>
                <w:color w:val="auto"/>
              </w:rPr>
            </w:pPr>
          </w:p>
        </w:tc>
        <w:tc>
          <w:tcPr>
            <w:tcW w:w="980" w:type="dxa"/>
            <w:vAlign w:val="bottom"/>
            <w:tcBorders>
              <w:bottom w:val="single" w:sz="8" w:color="auto"/>
            </w:tcBorders>
            <w:shd w:val="clear" w:color="auto" w:fill="D9D7DC"/>
          </w:tcPr>
          <w:p>
            <w:pPr>
              <w:spacing w:after="0"/>
              <w:rPr>
                <w:sz w:val="9"/>
                <w:szCs w:val="9"/>
                <w:color w:val="auto"/>
              </w:rPr>
            </w:pPr>
          </w:p>
        </w:tc>
        <w:tc>
          <w:tcPr>
            <w:tcW w:w="420" w:type="dxa"/>
            <w:vAlign w:val="bottom"/>
            <w:tcBorders>
              <w:bottom w:val="single" w:sz="8" w:color="auto"/>
              <w:right w:val="single" w:sz="8" w:color="D9D7DC"/>
            </w:tcBorders>
            <w:shd w:val="clear" w:color="auto" w:fill="D9D7DC"/>
          </w:tcPr>
          <w:p>
            <w:pPr>
              <w:spacing w:after="0"/>
              <w:rPr>
                <w:sz w:val="9"/>
                <w:szCs w:val="9"/>
                <w:color w:val="auto"/>
              </w:rPr>
            </w:pPr>
          </w:p>
        </w:tc>
        <w:tc>
          <w:tcPr>
            <w:tcW w:w="100" w:type="dxa"/>
            <w:vAlign w:val="bottom"/>
            <w:tcBorders>
              <w:bottom w:val="single" w:sz="8" w:color="auto"/>
              <w:right w:val="single" w:sz="8" w:color="D9D7DC"/>
            </w:tcBorders>
            <w:shd w:val="clear" w:color="auto" w:fill="D9D7DC"/>
          </w:tcPr>
          <w:p>
            <w:pPr>
              <w:spacing w:after="0"/>
              <w:rPr>
                <w:sz w:val="9"/>
                <w:szCs w:val="9"/>
                <w:color w:val="auto"/>
              </w:rPr>
            </w:pPr>
          </w:p>
        </w:tc>
        <w:tc>
          <w:tcPr>
            <w:tcW w:w="1420" w:type="dxa"/>
            <w:vAlign w:val="bottom"/>
            <w:tcBorders>
              <w:bottom w:val="single" w:sz="8" w:color="auto"/>
              <w:right w:val="single" w:sz="8" w:color="D9D7DC"/>
            </w:tcBorders>
            <w:shd w:val="clear" w:color="auto" w:fill="D9D7DC"/>
          </w:tcPr>
          <w:p>
            <w:pPr>
              <w:spacing w:after="0"/>
              <w:rPr>
                <w:sz w:val="9"/>
                <w:szCs w:val="9"/>
                <w:color w:val="auto"/>
              </w:rPr>
            </w:pPr>
          </w:p>
        </w:tc>
        <w:tc>
          <w:tcPr>
            <w:tcW w:w="100" w:type="dxa"/>
            <w:vAlign w:val="bottom"/>
            <w:tcBorders>
              <w:bottom w:val="single" w:sz="8" w:color="auto"/>
              <w:right w:val="single" w:sz="8" w:color="D9D7DC"/>
            </w:tcBorders>
            <w:shd w:val="clear" w:color="auto" w:fill="D9D7DC"/>
          </w:tcPr>
          <w:p>
            <w:pPr>
              <w:spacing w:after="0"/>
              <w:rPr>
                <w:sz w:val="9"/>
                <w:szCs w:val="9"/>
                <w:color w:val="auto"/>
              </w:rPr>
            </w:pPr>
          </w:p>
        </w:tc>
        <w:tc>
          <w:tcPr>
            <w:tcW w:w="1460" w:type="dxa"/>
            <w:vAlign w:val="bottom"/>
            <w:tcBorders>
              <w:bottom w:val="single" w:sz="8" w:color="auto"/>
              <w:right w:val="single" w:sz="8" w:color="auto"/>
            </w:tcBorders>
            <w:shd w:val="clear" w:color="auto" w:fill="D9D7DC"/>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460" w:type="dxa"/>
            <w:vAlign w:val="bottom"/>
            <w:tcBorders>
              <w:bottom w:val="single" w:sz="8" w:color="000F2B"/>
              <w:right w:val="single" w:sz="8" w:color="auto"/>
            </w:tcBorders>
            <w:vMerge w:val="restart"/>
            <w:shd w:val="clear" w:color="auto" w:fill="000F2B"/>
          </w:tcPr>
          <w:p>
            <w:pPr>
              <w:jc w:val="center"/>
              <w:spacing w:after="0"/>
              <w:rPr>
                <w:sz w:val="20"/>
                <w:szCs w:val="20"/>
                <w:color w:val="auto"/>
              </w:rPr>
            </w:pPr>
            <w:r>
              <w:rPr>
                <w:rFonts w:ascii="Arial" w:cs="Arial" w:eastAsia="Arial" w:hAnsi="Arial"/>
                <w:sz w:val="15"/>
                <w:szCs w:val="15"/>
                <w:color w:val="FFFFFF"/>
              </w:rPr>
              <w:t>Outstanding</w:t>
            </w:r>
          </w:p>
        </w:tc>
        <w:tc>
          <w:tcPr>
            <w:tcW w:w="0" w:type="dxa"/>
            <w:vAlign w:val="bottom"/>
          </w:tcPr>
          <w:p>
            <w:pPr>
              <w:spacing w:after="0"/>
              <w:rPr>
                <w:sz w:val="1"/>
                <w:szCs w:val="1"/>
                <w:color w:val="auto"/>
              </w:rPr>
            </w:pPr>
          </w:p>
        </w:tc>
      </w:tr>
      <w:tr>
        <w:trPr>
          <w:trHeight w:val="109"/>
        </w:trPr>
        <w:tc>
          <w:tcPr>
            <w:tcW w:w="1540" w:type="dxa"/>
            <w:vAlign w:val="bottom"/>
            <w:tcBorders>
              <w:left w:val="single" w:sz="8" w:color="auto"/>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460" w:type="dxa"/>
            <w:vAlign w:val="bottom"/>
            <w:tcBorders>
              <w:bottom w:val="single" w:sz="8" w:color="000F2B"/>
              <w:right w:val="single" w:sz="8" w:color="auto"/>
            </w:tcBorders>
            <w:vMerge w:val="continue"/>
            <w:shd w:val="clear" w:color="auto" w:fill="000F2B"/>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1540" w:type="dxa"/>
            <w:vAlign w:val="bottom"/>
            <w:tcBorders>
              <w:left w:val="single" w:sz="8" w:color="auto"/>
              <w:right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240" w:type="dxa"/>
            <w:vAlign w:val="bottom"/>
            <w:shd w:val="clear" w:color="auto" w:fill="D9D7DC"/>
          </w:tcPr>
          <w:p>
            <w:pPr>
              <w:spacing w:after="0"/>
              <w:rPr>
                <w:sz w:val="13"/>
                <w:szCs w:val="13"/>
                <w:color w:val="auto"/>
              </w:rPr>
            </w:pPr>
          </w:p>
        </w:tc>
        <w:tc>
          <w:tcPr>
            <w:tcW w:w="180" w:type="dxa"/>
            <w:vAlign w:val="bottom"/>
            <w:tcBorders>
              <w:right w:val="single" w:sz="8" w:color="auto"/>
            </w:tcBorders>
            <w:shd w:val="clear" w:color="auto" w:fill="D9D7DC"/>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980" w:type="dxa"/>
            <w:vAlign w:val="bottom"/>
            <w:shd w:val="clear" w:color="auto" w:fill="216C2B"/>
          </w:tcPr>
          <w:p>
            <w:pPr>
              <w:spacing w:after="0"/>
              <w:rPr>
                <w:sz w:val="13"/>
                <w:szCs w:val="13"/>
                <w:color w:val="auto"/>
              </w:rPr>
            </w:pPr>
          </w:p>
        </w:tc>
        <w:tc>
          <w:tcPr>
            <w:tcW w:w="420" w:type="dxa"/>
            <w:vAlign w:val="bottom"/>
            <w:tcBorders>
              <w:right w:val="single" w:sz="8" w:color="auto"/>
            </w:tcBorders>
            <w:shd w:val="clear" w:color="auto" w:fill="216C2B"/>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shd w:val="clear" w:color="auto" w:fill="911A5B"/>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shd w:val="clear" w:color="auto" w:fill="5587A6"/>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vMerge w:val="continue"/>
            <w:shd w:val="clear" w:color="auto" w:fill="000F2B"/>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54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40" w:type="dxa"/>
            <w:vAlign w:val="bottom"/>
            <w:shd w:val="clear" w:color="auto" w:fill="D9D7DC"/>
          </w:tcPr>
          <w:p>
            <w:pPr>
              <w:spacing w:after="0"/>
              <w:rPr>
                <w:sz w:val="16"/>
                <w:szCs w:val="16"/>
                <w:color w:val="auto"/>
              </w:rPr>
            </w:pPr>
          </w:p>
        </w:tc>
        <w:tc>
          <w:tcPr>
            <w:tcW w:w="180" w:type="dxa"/>
            <w:vAlign w:val="bottom"/>
            <w:tcBorders>
              <w:right w:val="single" w:sz="8" w:color="auto"/>
            </w:tcBorders>
            <w:shd w:val="clear" w:color="auto" w:fill="D9D7DC"/>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80" w:type="dxa"/>
            <w:vAlign w:val="bottom"/>
            <w:shd w:val="clear" w:color="auto" w:fill="216C2B"/>
          </w:tcPr>
          <w:p>
            <w:pPr>
              <w:spacing w:after="0"/>
              <w:rPr>
                <w:sz w:val="16"/>
                <w:szCs w:val="16"/>
                <w:color w:val="auto"/>
              </w:rPr>
            </w:pPr>
          </w:p>
        </w:tc>
        <w:tc>
          <w:tcPr>
            <w:tcW w:w="420" w:type="dxa"/>
            <w:vAlign w:val="bottom"/>
            <w:tcBorders>
              <w:right w:val="single" w:sz="8" w:color="auto"/>
            </w:tcBorders>
            <w:shd w:val="clear" w:color="auto" w:fill="216C2B"/>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shd w:val="clear" w:color="auto" w:fill="911A5B"/>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shd w:val="clear" w:color="auto" w:fill="5587A6"/>
          </w:tcPr>
          <w:p>
            <w:pPr>
              <w:jc w:val="center"/>
              <w:spacing w:after="0"/>
              <w:rPr>
                <w:sz w:val="20"/>
                <w:szCs w:val="20"/>
                <w:color w:val="auto"/>
              </w:rPr>
            </w:pPr>
            <w:r>
              <w:rPr>
                <w:rFonts w:ascii="Arial" w:cs="Arial" w:eastAsia="Arial" w:hAnsi="Arial"/>
                <w:sz w:val="15"/>
                <w:szCs w:val="15"/>
                <w:color w:val="FFFFFF"/>
              </w:rPr>
              <w:t>Lender Risk-</w:t>
            </w:r>
          </w:p>
        </w:tc>
        <w:tc>
          <w:tcPr>
            <w:tcW w:w="1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shd w:val="clear" w:color="auto" w:fill="000F2B"/>
          </w:tcPr>
          <w:p>
            <w:pPr>
              <w:jc w:val="center"/>
              <w:spacing w:after="0" w:line="188" w:lineRule="exact"/>
              <w:rPr>
                <w:sz w:val="20"/>
                <w:szCs w:val="20"/>
                <w:color w:val="auto"/>
              </w:rPr>
            </w:pPr>
            <w:r>
              <w:rPr>
                <w:rFonts w:ascii="Arial" w:cs="Arial" w:eastAsia="Arial" w:hAnsi="Arial"/>
                <w:sz w:val="15"/>
                <w:szCs w:val="15"/>
                <w:color w:val="FFFFFF"/>
                <w:w w:val="97"/>
              </w:rPr>
              <w:t>Reference Pool</w:t>
            </w:r>
            <w:r>
              <w:rPr>
                <w:rFonts w:ascii="Arial" w:cs="Arial" w:eastAsia="Arial" w:hAnsi="Arial"/>
                <w:sz w:val="20"/>
                <w:szCs w:val="20"/>
                <w:color w:val="FFFFFF"/>
                <w:w w:val="97"/>
                <w:vertAlign w:val="superscript"/>
              </w:rPr>
              <w:t>(4)(6)</w:t>
            </w:r>
          </w:p>
        </w:tc>
        <w:tc>
          <w:tcPr>
            <w:tcW w:w="0" w:type="dxa"/>
            <w:vAlign w:val="bottom"/>
          </w:tcPr>
          <w:p>
            <w:pPr>
              <w:spacing w:after="0"/>
              <w:rPr>
                <w:sz w:val="1"/>
                <w:szCs w:val="1"/>
                <w:color w:val="auto"/>
              </w:rPr>
            </w:pPr>
          </w:p>
        </w:tc>
      </w:tr>
      <w:tr>
        <w:trPr>
          <w:trHeight w:val="224"/>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Mezzanine</w:t>
            </w:r>
          </w:p>
        </w:tc>
        <w:tc>
          <w:tcPr>
            <w:tcW w:w="100" w:type="dxa"/>
            <w:vAlign w:val="bottom"/>
            <w:tcBorders>
              <w:right w:val="single" w:sz="8" w:color="auto"/>
            </w:tcBorders>
          </w:tcPr>
          <w:p>
            <w:pPr>
              <w:spacing w:after="0"/>
              <w:rPr>
                <w:sz w:val="19"/>
                <w:szCs w:val="19"/>
                <w:color w:val="auto"/>
              </w:rPr>
            </w:pPr>
          </w:p>
        </w:tc>
        <w:tc>
          <w:tcPr>
            <w:tcW w:w="1240" w:type="dxa"/>
            <w:vAlign w:val="bottom"/>
            <w:shd w:val="clear" w:color="auto" w:fill="D9D7DC"/>
          </w:tcPr>
          <w:p>
            <w:pPr>
              <w:jc w:val="center"/>
              <w:ind w:left="103"/>
              <w:spacing w:after="0" w:line="224" w:lineRule="exact"/>
              <w:rPr>
                <w:sz w:val="20"/>
                <w:szCs w:val="20"/>
                <w:color w:val="auto"/>
              </w:rPr>
            </w:pPr>
            <w:r>
              <w:rPr>
                <w:rFonts w:ascii="Arial" w:cs="Arial" w:eastAsia="Arial" w:hAnsi="Arial"/>
                <w:sz w:val="15"/>
                <w:szCs w:val="15"/>
                <w:color w:val="auto"/>
                <w:w w:val="98"/>
              </w:rPr>
              <w:t>Fannie Mae</w:t>
            </w:r>
            <w:r>
              <w:rPr>
                <w:rFonts w:ascii="Arial" w:cs="Arial" w:eastAsia="Arial" w:hAnsi="Arial"/>
                <w:sz w:val="20"/>
                <w:szCs w:val="20"/>
                <w:color w:val="auto"/>
                <w:w w:val="98"/>
                <w:vertAlign w:val="superscript"/>
              </w:rPr>
              <w:t>(1)</w:t>
            </w:r>
          </w:p>
        </w:tc>
        <w:tc>
          <w:tcPr>
            <w:tcW w:w="180" w:type="dxa"/>
            <w:vAlign w:val="bottom"/>
            <w:tcBorders>
              <w:right w:val="single" w:sz="8" w:color="auto"/>
            </w:tcBorders>
            <w:shd w:val="clear" w:color="auto" w:fill="D9D7DC"/>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80" w:type="dxa"/>
            <w:vAlign w:val="bottom"/>
            <w:shd w:val="clear" w:color="auto" w:fill="216C2B"/>
          </w:tcPr>
          <w:p>
            <w:pPr>
              <w:jc w:val="center"/>
              <w:ind w:left="318"/>
              <w:spacing w:after="0" w:line="223" w:lineRule="exact"/>
              <w:rPr>
                <w:sz w:val="20"/>
                <w:szCs w:val="20"/>
                <w:color w:val="auto"/>
              </w:rPr>
            </w:pPr>
            <w:r>
              <w:rPr>
                <w:rFonts w:ascii="Arial" w:cs="Arial" w:eastAsia="Arial" w:hAnsi="Arial"/>
                <w:sz w:val="25"/>
                <w:szCs w:val="25"/>
                <w:color w:val="FFFFFF"/>
                <w:w w:val="98"/>
                <w:vertAlign w:val="subscript"/>
              </w:rPr>
              <w:t>CIRT</w:t>
            </w:r>
            <w:r>
              <w:rPr>
                <w:rFonts w:ascii="Arial" w:cs="Arial" w:eastAsia="Arial" w:hAnsi="Arial"/>
                <w:sz w:val="9"/>
                <w:szCs w:val="9"/>
                <w:color w:val="FFFFFF"/>
                <w:w w:val="98"/>
              </w:rPr>
              <w:t>(2)(3)</w:t>
            </w:r>
          </w:p>
        </w:tc>
        <w:tc>
          <w:tcPr>
            <w:tcW w:w="420" w:type="dxa"/>
            <w:vAlign w:val="bottom"/>
            <w:tcBorders>
              <w:right w:val="single" w:sz="8" w:color="auto"/>
            </w:tcBorders>
            <w:shd w:val="clear" w:color="auto" w:fill="216C2B"/>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shd w:val="clear" w:color="auto" w:fill="911A5B"/>
          </w:tcPr>
          <w:p>
            <w:pPr>
              <w:jc w:val="center"/>
              <w:spacing w:after="0" w:line="224" w:lineRule="exact"/>
              <w:rPr>
                <w:sz w:val="20"/>
                <w:szCs w:val="20"/>
                <w:color w:val="auto"/>
              </w:rPr>
            </w:pPr>
            <w:r>
              <w:rPr>
                <w:rFonts w:ascii="Arial" w:cs="Arial" w:eastAsia="Arial" w:hAnsi="Arial"/>
                <w:sz w:val="15"/>
                <w:szCs w:val="15"/>
                <w:color w:val="FFFFFF"/>
                <w:w w:val="93"/>
              </w:rPr>
              <w:t>CAS</w:t>
            </w:r>
            <w:r>
              <w:rPr>
                <w:rFonts w:ascii="Arial" w:cs="Arial" w:eastAsia="Arial" w:hAnsi="Arial"/>
                <w:sz w:val="20"/>
                <w:szCs w:val="20"/>
                <w:color w:val="FFFFFF"/>
                <w:w w:val="93"/>
                <w:vertAlign w:val="superscript"/>
              </w:rPr>
              <w:t>(2)</w:t>
            </w:r>
          </w:p>
        </w:tc>
        <w:tc>
          <w:tcPr>
            <w:tcW w:w="10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shd w:val="clear" w:color="auto" w:fill="5587A6"/>
          </w:tcPr>
          <w:p>
            <w:pPr>
              <w:jc w:val="center"/>
              <w:spacing w:after="0" w:line="224" w:lineRule="exact"/>
              <w:rPr>
                <w:sz w:val="20"/>
                <w:szCs w:val="20"/>
                <w:color w:val="auto"/>
              </w:rPr>
            </w:pPr>
            <w:r>
              <w:rPr>
                <w:rFonts w:ascii="Arial" w:cs="Arial" w:eastAsia="Arial" w:hAnsi="Arial"/>
                <w:sz w:val="15"/>
                <w:szCs w:val="15"/>
                <w:color w:val="FFFFFF"/>
                <w:w w:val="97"/>
              </w:rPr>
              <w:t>Sharing</w:t>
            </w:r>
            <w:r>
              <w:rPr>
                <w:rFonts w:ascii="Arial" w:cs="Arial" w:eastAsia="Arial" w:hAnsi="Arial"/>
                <w:sz w:val="20"/>
                <w:szCs w:val="20"/>
                <w:color w:val="FFFFFF"/>
                <w:w w:val="97"/>
                <w:vertAlign w:val="superscript"/>
              </w:rPr>
              <w:t>(2)</w:t>
            </w:r>
          </w:p>
        </w:tc>
        <w:tc>
          <w:tcPr>
            <w:tcW w:w="10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shd w:val="clear" w:color="auto" w:fill="000F2B"/>
          </w:tcPr>
          <w:p>
            <w:pPr>
              <w:jc w:val="center"/>
              <w:spacing w:after="0"/>
              <w:rPr>
                <w:sz w:val="20"/>
                <w:szCs w:val="20"/>
                <w:color w:val="auto"/>
              </w:rPr>
            </w:pPr>
            <w:r>
              <w:rPr>
                <w:rFonts w:ascii="Arial" w:cs="Arial" w:eastAsia="Arial" w:hAnsi="Arial"/>
                <w:sz w:val="15"/>
                <w:szCs w:val="15"/>
                <w:color w:val="FFFFFF"/>
              </w:rPr>
              <w:t>$1,267</w:t>
            </w:r>
          </w:p>
        </w:tc>
        <w:tc>
          <w:tcPr>
            <w:tcW w:w="0" w:type="dxa"/>
            <w:vAlign w:val="bottom"/>
          </w:tcPr>
          <w:p>
            <w:pPr>
              <w:spacing w:after="0"/>
              <w:rPr>
                <w:sz w:val="1"/>
                <w:szCs w:val="1"/>
                <w:color w:val="auto"/>
              </w:rPr>
            </w:pPr>
          </w:p>
        </w:tc>
      </w:tr>
      <w:tr>
        <w:trPr>
          <w:trHeight w:val="196"/>
        </w:trPr>
        <w:tc>
          <w:tcPr>
            <w:tcW w:w="1540" w:type="dxa"/>
            <w:vAlign w:val="bottom"/>
            <w:tcBorders>
              <w:left w:val="single" w:sz="8" w:color="auto"/>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40" w:type="dxa"/>
            <w:vAlign w:val="bottom"/>
            <w:shd w:val="clear" w:color="auto" w:fill="D9D7DC"/>
          </w:tcPr>
          <w:p>
            <w:pPr>
              <w:jc w:val="right"/>
              <w:ind w:right="383"/>
              <w:spacing w:after="0"/>
              <w:rPr>
                <w:sz w:val="20"/>
                <w:szCs w:val="20"/>
                <w:color w:val="auto"/>
              </w:rPr>
            </w:pPr>
            <w:r>
              <w:rPr>
                <w:rFonts w:ascii="Arial" w:cs="Arial" w:eastAsia="Arial" w:hAnsi="Arial"/>
                <w:sz w:val="15"/>
                <w:szCs w:val="15"/>
                <w:color w:val="auto"/>
              </w:rPr>
              <w:t>$6</w:t>
            </w:r>
          </w:p>
        </w:tc>
        <w:tc>
          <w:tcPr>
            <w:tcW w:w="180" w:type="dxa"/>
            <w:vAlign w:val="bottom"/>
            <w:tcBorders>
              <w:right w:val="single" w:sz="8" w:color="auto"/>
            </w:tcBorders>
            <w:shd w:val="clear" w:color="auto" w:fill="D9D7DC"/>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980" w:type="dxa"/>
            <w:vAlign w:val="bottom"/>
            <w:shd w:val="clear" w:color="auto" w:fill="216C2B"/>
          </w:tcPr>
          <w:p>
            <w:pPr>
              <w:jc w:val="right"/>
              <w:ind w:right="118"/>
              <w:spacing w:after="0"/>
              <w:rPr>
                <w:sz w:val="20"/>
                <w:szCs w:val="20"/>
                <w:color w:val="auto"/>
              </w:rPr>
            </w:pPr>
            <w:r>
              <w:rPr>
                <w:rFonts w:ascii="Arial" w:cs="Arial" w:eastAsia="Arial" w:hAnsi="Arial"/>
                <w:sz w:val="15"/>
                <w:szCs w:val="15"/>
                <w:color w:val="FFFFFF"/>
              </w:rPr>
              <w:t>$15</w:t>
            </w:r>
          </w:p>
        </w:tc>
        <w:tc>
          <w:tcPr>
            <w:tcW w:w="420" w:type="dxa"/>
            <w:vAlign w:val="bottom"/>
            <w:tcBorders>
              <w:right w:val="single" w:sz="8" w:color="auto"/>
            </w:tcBorders>
            <w:shd w:val="clear" w:color="auto" w:fill="216C2B"/>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shd w:val="clear" w:color="auto" w:fill="911A5B"/>
          </w:tcPr>
          <w:p>
            <w:pPr>
              <w:jc w:val="center"/>
              <w:spacing w:after="0"/>
              <w:rPr>
                <w:sz w:val="20"/>
                <w:szCs w:val="20"/>
                <w:color w:val="auto"/>
              </w:rPr>
            </w:pPr>
            <w:r>
              <w:rPr>
                <w:rFonts w:ascii="Arial" w:cs="Arial" w:eastAsia="Arial" w:hAnsi="Arial"/>
                <w:sz w:val="15"/>
                <w:szCs w:val="15"/>
                <w:color w:val="FFFFFF"/>
                <w:w w:val="95"/>
              </w:rPr>
              <w:t>$11</w:t>
            </w:r>
          </w:p>
        </w:tc>
        <w:tc>
          <w:tcPr>
            <w:tcW w:w="1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shd w:val="clear" w:color="auto" w:fill="5587A6"/>
          </w:tcPr>
          <w:p>
            <w:pPr>
              <w:jc w:val="center"/>
              <w:spacing w:after="0"/>
              <w:rPr>
                <w:sz w:val="20"/>
                <w:szCs w:val="20"/>
                <w:color w:val="auto"/>
              </w:rPr>
            </w:pPr>
            <w:r>
              <w:rPr>
                <w:rFonts w:ascii="Arial" w:cs="Arial" w:eastAsia="Arial" w:hAnsi="Arial"/>
                <w:sz w:val="15"/>
                <w:szCs w:val="15"/>
                <w:color w:val="FFFFFF"/>
                <w:w w:val="95"/>
              </w:rPr>
              <w:t>$4</w:t>
            </w:r>
          </w:p>
        </w:tc>
        <w:tc>
          <w:tcPr>
            <w:tcW w:w="1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shd w:val="clear" w:color="auto" w:fill="000F2B"/>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540" w:type="dxa"/>
            <w:vAlign w:val="bottom"/>
            <w:tcBorders>
              <w:left w:val="single" w:sz="8" w:color="auto"/>
              <w:bottom w:val="single" w:sz="8" w:color="auto"/>
              <w:right w:val="single" w:sz="8" w:color="auto"/>
            </w:tcBorders>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240" w:type="dxa"/>
            <w:vAlign w:val="bottom"/>
            <w:tcBorders>
              <w:bottom w:val="single" w:sz="8" w:color="auto"/>
            </w:tcBorders>
            <w:shd w:val="clear" w:color="auto" w:fill="D9D7DC"/>
          </w:tcPr>
          <w:p>
            <w:pPr>
              <w:spacing w:after="0"/>
              <w:rPr>
                <w:sz w:val="21"/>
                <w:szCs w:val="21"/>
                <w:color w:val="auto"/>
              </w:rPr>
            </w:pPr>
          </w:p>
        </w:tc>
        <w:tc>
          <w:tcPr>
            <w:tcW w:w="180" w:type="dxa"/>
            <w:vAlign w:val="bottom"/>
            <w:tcBorders>
              <w:bottom w:val="single" w:sz="8" w:color="auto"/>
              <w:right w:val="single" w:sz="8" w:color="auto"/>
            </w:tcBorders>
            <w:shd w:val="clear" w:color="auto" w:fill="D9D7DC"/>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980" w:type="dxa"/>
            <w:vAlign w:val="bottom"/>
            <w:tcBorders>
              <w:bottom w:val="single" w:sz="8" w:color="auto"/>
            </w:tcBorders>
            <w:shd w:val="clear" w:color="auto" w:fill="216C2B"/>
          </w:tcPr>
          <w:p>
            <w:pPr>
              <w:spacing w:after="0"/>
              <w:rPr>
                <w:sz w:val="21"/>
                <w:szCs w:val="21"/>
                <w:color w:val="auto"/>
              </w:rPr>
            </w:pPr>
          </w:p>
        </w:tc>
        <w:tc>
          <w:tcPr>
            <w:tcW w:w="420" w:type="dxa"/>
            <w:vAlign w:val="bottom"/>
            <w:tcBorders>
              <w:bottom w:val="single" w:sz="8" w:color="auto"/>
              <w:right w:val="single" w:sz="8" w:color="auto"/>
            </w:tcBorders>
            <w:shd w:val="clear" w:color="auto" w:fill="216C2B"/>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420" w:type="dxa"/>
            <w:vAlign w:val="bottom"/>
            <w:tcBorders>
              <w:bottom w:val="single" w:sz="8" w:color="auto"/>
              <w:right w:val="single" w:sz="8" w:color="auto"/>
            </w:tcBorders>
            <w:shd w:val="clear" w:color="auto" w:fill="911A5B"/>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shd w:val="clear" w:color="auto" w:fill="5587A6"/>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460" w:type="dxa"/>
            <w:vAlign w:val="bottom"/>
            <w:tcBorders>
              <w:bottom w:val="single" w:sz="8" w:color="000F2B"/>
              <w:right w:val="single" w:sz="8" w:color="auto"/>
            </w:tcBorders>
            <w:shd w:val="clear" w:color="auto" w:fill="000F2B"/>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540" w:type="dxa"/>
            <w:vAlign w:val="bottom"/>
            <w:tcBorders>
              <w:left w:val="single" w:sz="8" w:color="auto"/>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460" w:type="dxa"/>
            <w:vAlign w:val="bottom"/>
            <w:tcBorders>
              <w:bottom w:val="single" w:sz="8" w:color="000F2B"/>
              <w:right w:val="single" w:sz="8" w:color="auto"/>
            </w:tcBorders>
            <w:shd w:val="clear" w:color="auto" w:fill="000F2B"/>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540" w:type="dxa"/>
            <w:vAlign w:val="bottom"/>
            <w:tcBorders>
              <w:left w:val="single" w:sz="8" w:color="auto"/>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240" w:type="dxa"/>
            <w:vAlign w:val="bottom"/>
            <w:shd w:val="clear" w:color="auto" w:fill="D9D7DC"/>
          </w:tcPr>
          <w:p>
            <w:pPr>
              <w:spacing w:after="0"/>
              <w:rPr>
                <w:sz w:val="24"/>
                <w:szCs w:val="24"/>
                <w:color w:val="auto"/>
              </w:rPr>
            </w:pPr>
          </w:p>
        </w:tc>
        <w:tc>
          <w:tcPr>
            <w:tcW w:w="180" w:type="dxa"/>
            <w:vAlign w:val="bottom"/>
            <w:tcBorders>
              <w:right w:val="single" w:sz="8" w:color="D9D7DC"/>
            </w:tcBorders>
            <w:shd w:val="clear" w:color="auto" w:fill="D9D7DC"/>
          </w:tcPr>
          <w:p>
            <w:pPr>
              <w:spacing w:after="0"/>
              <w:rPr>
                <w:sz w:val="24"/>
                <w:szCs w:val="24"/>
                <w:color w:val="auto"/>
              </w:rPr>
            </w:pPr>
          </w:p>
        </w:tc>
        <w:tc>
          <w:tcPr>
            <w:tcW w:w="120" w:type="dxa"/>
            <w:vAlign w:val="bottom"/>
            <w:tcBorders>
              <w:right w:val="single" w:sz="8" w:color="D9D7DC"/>
            </w:tcBorders>
            <w:shd w:val="clear" w:color="auto" w:fill="D9D7DC"/>
          </w:tcPr>
          <w:p>
            <w:pPr>
              <w:spacing w:after="0"/>
              <w:rPr>
                <w:sz w:val="24"/>
                <w:szCs w:val="24"/>
                <w:color w:val="auto"/>
              </w:rPr>
            </w:pPr>
          </w:p>
        </w:tc>
        <w:tc>
          <w:tcPr>
            <w:tcW w:w="980" w:type="dxa"/>
            <w:vAlign w:val="bottom"/>
            <w:shd w:val="clear" w:color="auto" w:fill="D9D7DC"/>
          </w:tcPr>
          <w:p>
            <w:pPr>
              <w:spacing w:after="0"/>
              <w:rPr>
                <w:sz w:val="24"/>
                <w:szCs w:val="24"/>
                <w:color w:val="auto"/>
              </w:rPr>
            </w:pPr>
          </w:p>
        </w:tc>
        <w:tc>
          <w:tcPr>
            <w:tcW w:w="420" w:type="dxa"/>
            <w:vAlign w:val="bottom"/>
            <w:tcBorders>
              <w:right w:val="single" w:sz="8" w:color="auto"/>
            </w:tcBorders>
            <w:shd w:val="clear" w:color="auto" w:fill="D9D7DC"/>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420" w:type="dxa"/>
            <w:vAlign w:val="bottom"/>
            <w:tcBorders>
              <w:right w:val="single" w:sz="8" w:color="auto"/>
            </w:tcBorders>
            <w:shd w:val="clear" w:color="auto" w:fill="911A5B"/>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shd w:val="clear" w:color="auto" w:fill="5587A6"/>
          </w:tcPr>
          <w:p>
            <w:pPr>
              <w:jc w:val="center"/>
              <w:spacing w:after="0"/>
              <w:rPr>
                <w:sz w:val="20"/>
                <w:szCs w:val="20"/>
                <w:color w:val="auto"/>
              </w:rPr>
            </w:pPr>
            <w:r>
              <w:rPr>
                <w:rFonts w:ascii="Arial" w:cs="Arial" w:eastAsia="Arial" w:hAnsi="Arial"/>
                <w:sz w:val="15"/>
                <w:szCs w:val="15"/>
                <w:color w:val="FFFFFF"/>
              </w:rPr>
              <w:t>Lender Risk-</w:t>
            </w:r>
          </w:p>
        </w:tc>
        <w:tc>
          <w:tcPr>
            <w:tcW w:w="1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shd w:val="clear" w:color="auto" w:fill="000F2B"/>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First Loss</w:t>
            </w:r>
          </w:p>
        </w:tc>
        <w:tc>
          <w:tcPr>
            <w:tcW w:w="100" w:type="dxa"/>
            <w:vAlign w:val="bottom"/>
            <w:tcBorders>
              <w:right w:val="single" w:sz="8" w:color="auto"/>
            </w:tcBorders>
          </w:tcPr>
          <w:p>
            <w:pPr>
              <w:spacing w:after="0"/>
              <w:rPr>
                <w:sz w:val="15"/>
                <w:szCs w:val="15"/>
                <w:color w:val="auto"/>
              </w:rPr>
            </w:pPr>
          </w:p>
        </w:tc>
        <w:tc>
          <w:tcPr>
            <w:tcW w:w="2520" w:type="dxa"/>
            <w:vAlign w:val="bottom"/>
            <w:gridSpan w:val="4"/>
            <w:shd w:val="clear" w:color="auto" w:fill="D9D7DC"/>
          </w:tcPr>
          <w:p>
            <w:pPr>
              <w:jc w:val="center"/>
              <w:ind w:left="303"/>
              <w:spacing w:after="0" w:line="181" w:lineRule="exact"/>
              <w:rPr>
                <w:sz w:val="20"/>
                <w:szCs w:val="20"/>
                <w:color w:val="auto"/>
              </w:rPr>
            </w:pPr>
            <w:r>
              <w:rPr>
                <w:rFonts w:ascii="Arial" w:cs="Arial" w:eastAsia="Arial" w:hAnsi="Arial"/>
                <w:sz w:val="15"/>
                <w:szCs w:val="15"/>
                <w:color w:val="auto"/>
                <w:w w:val="98"/>
              </w:rPr>
              <w:t>Fannie Mae</w:t>
            </w:r>
            <w:r>
              <w:rPr>
                <w:rFonts w:ascii="Arial" w:cs="Arial" w:eastAsia="Arial" w:hAnsi="Arial"/>
                <w:sz w:val="20"/>
                <w:szCs w:val="20"/>
                <w:color w:val="auto"/>
                <w:w w:val="98"/>
                <w:vertAlign w:val="superscript"/>
              </w:rPr>
              <w:t>(1)</w:t>
            </w:r>
          </w:p>
        </w:tc>
        <w:tc>
          <w:tcPr>
            <w:tcW w:w="420" w:type="dxa"/>
            <w:vAlign w:val="bottom"/>
            <w:tcBorders>
              <w:right w:val="single" w:sz="8" w:color="auto"/>
            </w:tcBorders>
            <w:shd w:val="clear" w:color="auto" w:fill="D9D7DC"/>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shd w:val="clear" w:color="auto" w:fill="911A5B"/>
          </w:tcPr>
          <w:p>
            <w:pPr>
              <w:jc w:val="center"/>
              <w:spacing w:after="0" w:line="181" w:lineRule="exact"/>
              <w:rPr>
                <w:sz w:val="20"/>
                <w:szCs w:val="20"/>
                <w:color w:val="auto"/>
              </w:rPr>
            </w:pPr>
            <w:r>
              <w:rPr>
                <w:rFonts w:ascii="Arial" w:cs="Arial" w:eastAsia="Arial" w:hAnsi="Arial"/>
                <w:sz w:val="20"/>
                <w:szCs w:val="20"/>
                <w:color w:val="FFFFFF"/>
                <w:vertAlign w:val="subscript"/>
              </w:rPr>
              <w:t>CAS</w:t>
            </w:r>
            <w:r>
              <w:rPr>
                <w:rFonts w:ascii="Arial" w:cs="Arial" w:eastAsia="Arial" w:hAnsi="Arial"/>
                <w:sz w:val="8"/>
                <w:szCs w:val="8"/>
                <w:color w:val="FFFFFF"/>
              </w:rPr>
              <w:t>(2)(5)</w:t>
            </w:r>
          </w:p>
        </w:tc>
        <w:tc>
          <w:tcPr>
            <w:tcW w:w="10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shd w:val="clear" w:color="auto" w:fill="5587A6"/>
          </w:tcPr>
          <w:p>
            <w:pPr>
              <w:jc w:val="center"/>
              <w:spacing w:after="0" w:line="181" w:lineRule="exact"/>
              <w:rPr>
                <w:sz w:val="20"/>
                <w:szCs w:val="20"/>
                <w:color w:val="auto"/>
              </w:rPr>
            </w:pPr>
            <w:r>
              <w:rPr>
                <w:rFonts w:ascii="Arial" w:cs="Arial" w:eastAsia="Arial" w:hAnsi="Arial"/>
                <w:sz w:val="15"/>
                <w:szCs w:val="15"/>
                <w:color w:val="FFFFFF"/>
                <w:w w:val="97"/>
              </w:rPr>
              <w:t>Sharing</w:t>
            </w:r>
            <w:r>
              <w:rPr>
                <w:rFonts w:ascii="Arial" w:cs="Arial" w:eastAsia="Arial" w:hAnsi="Arial"/>
                <w:sz w:val="20"/>
                <w:szCs w:val="20"/>
                <w:color w:val="FFFFFF"/>
                <w:w w:val="97"/>
                <w:vertAlign w:val="superscript"/>
              </w:rPr>
              <w:t>(2)</w:t>
            </w:r>
          </w:p>
        </w:tc>
        <w:tc>
          <w:tcPr>
            <w:tcW w:w="10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shd w:val="clear" w:color="auto" w:fill="000F2B"/>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540" w:type="dxa"/>
            <w:vAlign w:val="bottom"/>
            <w:tcBorders>
              <w:left w:val="single" w:sz="8" w:color="auto"/>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40" w:type="dxa"/>
            <w:vAlign w:val="bottom"/>
            <w:shd w:val="clear" w:color="auto" w:fill="D9D7DC"/>
          </w:tcPr>
          <w:p>
            <w:pPr>
              <w:spacing w:after="0"/>
              <w:rPr>
                <w:sz w:val="17"/>
                <w:szCs w:val="17"/>
                <w:color w:val="auto"/>
              </w:rPr>
            </w:pPr>
          </w:p>
        </w:tc>
        <w:tc>
          <w:tcPr>
            <w:tcW w:w="1280" w:type="dxa"/>
            <w:vAlign w:val="bottom"/>
            <w:gridSpan w:val="3"/>
            <w:shd w:val="clear" w:color="auto" w:fill="D9D7DC"/>
          </w:tcPr>
          <w:p>
            <w:pPr>
              <w:jc w:val="right"/>
              <w:ind w:right="878"/>
              <w:spacing w:after="0"/>
              <w:rPr>
                <w:sz w:val="20"/>
                <w:szCs w:val="20"/>
                <w:color w:val="auto"/>
              </w:rPr>
            </w:pPr>
            <w:r>
              <w:rPr>
                <w:rFonts w:ascii="Arial" w:cs="Arial" w:eastAsia="Arial" w:hAnsi="Arial"/>
                <w:sz w:val="15"/>
                <w:szCs w:val="15"/>
                <w:color w:val="auto"/>
              </w:rPr>
              <w:t>$15</w:t>
            </w:r>
          </w:p>
        </w:tc>
        <w:tc>
          <w:tcPr>
            <w:tcW w:w="420" w:type="dxa"/>
            <w:vAlign w:val="bottom"/>
            <w:tcBorders>
              <w:right w:val="single" w:sz="8" w:color="auto"/>
            </w:tcBorders>
            <w:shd w:val="clear" w:color="auto" w:fill="D9D7DC"/>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shd w:val="clear" w:color="auto" w:fill="911A5B"/>
          </w:tcPr>
          <w:p>
            <w:pPr>
              <w:jc w:val="center"/>
              <w:spacing w:after="0"/>
              <w:rPr>
                <w:sz w:val="20"/>
                <w:szCs w:val="20"/>
                <w:color w:val="auto"/>
              </w:rPr>
            </w:pPr>
            <w:r>
              <w:rPr>
                <w:rFonts w:ascii="Arial" w:cs="Arial" w:eastAsia="Arial" w:hAnsi="Arial"/>
                <w:sz w:val="15"/>
                <w:szCs w:val="15"/>
                <w:color w:val="FFFFFF"/>
              </w:rPr>
              <w:t>$10</w:t>
            </w:r>
          </w:p>
        </w:tc>
        <w:tc>
          <w:tcPr>
            <w:tcW w:w="1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shd w:val="clear" w:color="auto" w:fill="5587A6"/>
          </w:tcPr>
          <w:p>
            <w:pPr>
              <w:jc w:val="center"/>
              <w:spacing w:after="0"/>
              <w:rPr>
                <w:sz w:val="20"/>
                <w:szCs w:val="20"/>
                <w:color w:val="auto"/>
              </w:rPr>
            </w:pPr>
            <w:r>
              <w:rPr>
                <w:rFonts w:ascii="Arial" w:cs="Arial" w:eastAsia="Arial" w:hAnsi="Arial"/>
                <w:sz w:val="15"/>
                <w:szCs w:val="15"/>
                <w:color w:val="FFFFFF"/>
                <w:w w:val="95"/>
              </w:rPr>
              <w:t>$2</w:t>
            </w:r>
          </w:p>
        </w:tc>
        <w:tc>
          <w:tcPr>
            <w:tcW w:w="1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shd w:val="clear" w:color="auto" w:fill="000F2B"/>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540" w:type="dxa"/>
            <w:vAlign w:val="bottom"/>
            <w:tcBorders>
              <w:left w:val="single" w:sz="8" w:color="auto"/>
              <w:bottom w:val="single" w:sz="8" w:color="auto"/>
              <w:right w:val="single" w:sz="8" w:color="auto"/>
            </w:tcBorders>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240" w:type="dxa"/>
            <w:vAlign w:val="bottom"/>
            <w:tcBorders>
              <w:bottom w:val="single" w:sz="8" w:color="auto"/>
            </w:tcBorders>
            <w:shd w:val="clear" w:color="auto" w:fill="D9D7DC"/>
          </w:tcPr>
          <w:p>
            <w:pPr>
              <w:spacing w:after="0"/>
              <w:rPr>
                <w:sz w:val="22"/>
                <w:szCs w:val="22"/>
                <w:color w:val="auto"/>
              </w:rPr>
            </w:pPr>
          </w:p>
        </w:tc>
        <w:tc>
          <w:tcPr>
            <w:tcW w:w="180" w:type="dxa"/>
            <w:vAlign w:val="bottom"/>
            <w:tcBorders>
              <w:bottom w:val="single" w:sz="8" w:color="auto"/>
              <w:right w:val="single" w:sz="8" w:color="D9D7DC"/>
            </w:tcBorders>
            <w:shd w:val="clear" w:color="auto" w:fill="D9D7DC"/>
          </w:tcPr>
          <w:p>
            <w:pPr>
              <w:spacing w:after="0"/>
              <w:rPr>
                <w:sz w:val="22"/>
                <w:szCs w:val="22"/>
                <w:color w:val="auto"/>
              </w:rPr>
            </w:pPr>
          </w:p>
        </w:tc>
        <w:tc>
          <w:tcPr>
            <w:tcW w:w="120" w:type="dxa"/>
            <w:vAlign w:val="bottom"/>
            <w:tcBorders>
              <w:bottom w:val="single" w:sz="8" w:color="auto"/>
              <w:right w:val="single" w:sz="8" w:color="D9D7DC"/>
            </w:tcBorders>
            <w:shd w:val="clear" w:color="auto" w:fill="D9D7DC"/>
          </w:tcPr>
          <w:p>
            <w:pPr>
              <w:spacing w:after="0"/>
              <w:rPr>
                <w:sz w:val="22"/>
                <w:szCs w:val="22"/>
                <w:color w:val="auto"/>
              </w:rPr>
            </w:pPr>
          </w:p>
        </w:tc>
        <w:tc>
          <w:tcPr>
            <w:tcW w:w="980" w:type="dxa"/>
            <w:vAlign w:val="bottom"/>
            <w:tcBorders>
              <w:bottom w:val="single" w:sz="8" w:color="auto"/>
            </w:tcBorders>
            <w:shd w:val="clear" w:color="auto" w:fill="D9D7DC"/>
          </w:tcPr>
          <w:p>
            <w:pPr>
              <w:spacing w:after="0"/>
              <w:rPr>
                <w:sz w:val="22"/>
                <w:szCs w:val="22"/>
                <w:color w:val="auto"/>
              </w:rPr>
            </w:pPr>
          </w:p>
        </w:tc>
        <w:tc>
          <w:tcPr>
            <w:tcW w:w="420" w:type="dxa"/>
            <w:vAlign w:val="bottom"/>
            <w:tcBorders>
              <w:bottom w:val="single" w:sz="8" w:color="auto"/>
              <w:right w:val="single" w:sz="8" w:color="auto"/>
            </w:tcBorders>
            <w:shd w:val="clear" w:color="auto" w:fill="D9D7DC"/>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420" w:type="dxa"/>
            <w:vAlign w:val="bottom"/>
            <w:tcBorders>
              <w:bottom w:val="single" w:sz="8" w:color="auto"/>
              <w:right w:val="single" w:sz="8" w:color="auto"/>
            </w:tcBorders>
            <w:shd w:val="clear" w:color="auto" w:fill="911A5B"/>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shd w:val="clear" w:color="auto" w:fill="5587A6"/>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shd w:val="clear" w:color="auto" w:fill="000F2B"/>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-1857375</wp:posOffset>
            </wp:positionV>
            <wp:extent cx="851535" cy="17684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1535" cy="1768475"/>
                    </a:xfrm>
                    <a:prstGeom prst="rect">
                      <a:avLst/>
                    </a:prstGeom>
                    <a:noFill/>
                  </pic:spPr>
                </pic:pic>
              </a:graphicData>
            </a:graphic>
          </wp:anchor>
        </w:drawing>
      </w:r>
    </w:p>
    <w:p>
      <w:pPr>
        <w:spacing w:after="0" w:line="71" w:lineRule="exact"/>
        <w:rPr>
          <w:sz w:val="20"/>
          <w:szCs w:val="20"/>
          <w:color w:val="auto"/>
        </w:rPr>
      </w:pPr>
    </w:p>
    <w:p>
      <w:pPr>
        <w:ind w:left="240" w:hanging="237"/>
        <w:spacing w:after="0"/>
        <w:tabs>
          <w:tab w:leader="none" w:pos="24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Credit risk retained by Fannie Mae in CAS, CIRT and lender risk-sharing transactions. Tranche sizes vary across programs.</w:t>
      </w:r>
    </w:p>
    <w:p>
      <w:pPr>
        <w:spacing w:after="0" w:line="41" w:lineRule="exact"/>
        <w:rPr>
          <w:rFonts w:ascii="Arial" w:cs="Arial" w:eastAsia="Arial" w:hAnsi="Arial"/>
          <w:sz w:val="18"/>
          <w:szCs w:val="18"/>
          <w:color w:val="auto"/>
          <w:vertAlign w:val="superscript"/>
        </w:rPr>
      </w:pPr>
    </w:p>
    <w:p>
      <w:pPr>
        <w:ind w:left="240" w:hanging="237"/>
        <w:spacing w:after="0" w:line="190" w:lineRule="auto"/>
        <w:tabs>
          <w:tab w:leader="none" w:pos="24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Credit risk transferred to third parties. Tranche sizes vary across programs.</w:t>
      </w:r>
    </w:p>
    <w:p>
      <w:pPr>
        <w:spacing w:after="0" w:line="29" w:lineRule="exact"/>
        <w:rPr>
          <w:rFonts w:ascii="Arial" w:cs="Arial" w:eastAsia="Arial" w:hAnsi="Arial"/>
          <w:sz w:val="18"/>
          <w:szCs w:val="18"/>
          <w:color w:val="auto"/>
          <w:vertAlign w:val="superscript"/>
        </w:rPr>
      </w:pPr>
    </w:p>
    <w:p>
      <w:pPr>
        <w:ind w:left="240" w:hanging="237"/>
        <w:spacing w:after="0"/>
        <w:tabs>
          <w:tab w:leader="none" w:pos="240" w:val="left"/>
        </w:tabs>
        <w:numPr>
          <w:ilvl w:val="0"/>
          <w:numId w:val="36"/>
        </w:numPr>
        <w:rPr>
          <w:rFonts w:ascii="Arial" w:cs="Arial" w:eastAsia="Arial" w:hAnsi="Arial"/>
          <w:sz w:val="9"/>
          <w:szCs w:val="9"/>
          <w:color w:val="auto"/>
        </w:rPr>
      </w:pPr>
      <w:r>
        <w:rPr>
          <w:rFonts w:ascii="Arial" w:cs="Arial" w:eastAsia="Arial" w:hAnsi="Arial"/>
          <w:sz w:val="14"/>
          <w:szCs w:val="14"/>
          <w:color w:val="auto"/>
        </w:rPr>
        <w:t>Includes mortgage pool insurance transactions covering loans with an aggregate unpaid principal balance of approximately $1.2 billion outstanding as of June 30, 2023.</w:t>
      </w:r>
    </w:p>
    <w:p>
      <w:pPr>
        <w:spacing w:after="0" w:line="35" w:lineRule="exact"/>
        <w:rPr>
          <w:rFonts w:ascii="Arial" w:cs="Arial" w:eastAsia="Arial" w:hAnsi="Arial"/>
          <w:sz w:val="9"/>
          <w:szCs w:val="9"/>
          <w:color w:val="auto"/>
        </w:rPr>
      </w:pPr>
    </w:p>
    <w:p>
      <w:pPr>
        <w:ind w:left="240" w:hanging="237"/>
        <w:spacing w:after="0"/>
        <w:tabs>
          <w:tab w:leader="none" w:pos="240" w:val="left"/>
        </w:tabs>
        <w:numPr>
          <w:ilvl w:val="0"/>
          <w:numId w:val="36"/>
        </w:numPr>
        <w:rPr>
          <w:rFonts w:ascii="Arial" w:cs="Arial" w:eastAsia="Arial" w:hAnsi="Arial"/>
          <w:sz w:val="9"/>
          <w:szCs w:val="9"/>
          <w:color w:val="auto"/>
        </w:rPr>
      </w:pPr>
      <w:r>
        <w:rPr>
          <w:rFonts w:ascii="Arial" w:cs="Arial" w:eastAsia="Arial" w:hAnsi="Arial"/>
          <w:sz w:val="14"/>
          <w:szCs w:val="14"/>
          <w:color w:val="auto"/>
        </w:rPr>
        <w:t>For CIRT and some lender risk-sharing transactions, “Reference Pool” reflects a pool of covered loans.</w:t>
      </w:r>
    </w:p>
    <w:p>
      <w:pPr>
        <w:spacing w:after="0" w:line="13" w:lineRule="exact"/>
        <w:rPr>
          <w:rFonts w:ascii="Arial" w:cs="Arial" w:eastAsia="Arial" w:hAnsi="Arial"/>
          <w:sz w:val="9"/>
          <w:szCs w:val="9"/>
          <w:color w:val="auto"/>
        </w:rPr>
      </w:pPr>
    </w:p>
    <w:p>
      <w:pPr>
        <w:ind w:left="240" w:hanging="237"/>
        <w:spacing w:after="0"/>
        <w:tabs>
          <w:tab w:leader="none" w:pos="24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For CAS transactions, “First Loss” represents all B tranche balances.</w:t>
      </w:r>
    </w:p>
    <w:p>
      <w:pPr>
        <w:spacing w:after="0" w:line="41" w:lineRule="exact"/>
        <w:rPr>
          <w:rFonts w:ascii="Arial" w:cs="Arial" w:eastAsia="Arial" w:hAnsi="Arial"/>
          <w:sz w:val="18"/>
          <w:szCs w:val="18"/>
          <w:color w:val="auto"/>
          <w:vertAlign w:val="superscript"/>
        </w:rPr>
      </w:pPr>
    </w:p>
    <w:p>
      <w:pPr>
        <w:ind w:left="240" w:right="180" w:hanging="237"/>
        <w:spacing w:after="0" w:line="226" w:lineRule="auto"/>
        <w:tabs>
          <w:tab w:leader="none" w:pos="24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For CAS and some lender risk-sharing transactions, represents outstanding reference pools, not the outstanding unpaid principal balance of the underlying loans. The outstanding unpaid principal balance for all loans covered by credit risk transfer programs, including all loans on which risk has been transferred in lender risk-sharing transactions, was $1,257 billion as of June 30, 2023.</w:t>
      </w:r>
    </w:p>
    <w:p>
      <w:pPr>
        <w:spacing w:after="0" w:line="72" w:lineRule="exact"/>
        <w:rPr>
          <w:sz w:val="20"/>
          <w:szCs w:val="20"/>
          <w:color w:val="auto"/>
        </w:rPr>
      </w:pPr>
    </w:p>
    <w:p>
      <w:pPr>
        <w:ind w:right="720"/>
        <w:spacing w:after="0" w:line="300" w:lineRule="auto"/>
        <w:rPr>
          <w:sz w:val="20"/>
          <w:szCs w:val="20"/>
          <w:color w:val="auto"/>
        </w:rPr>
      </w:pPr>
      <w:r>
        <w:rPr>
          <w:rFonts w:ascii="Arial" w:cs="Arial" w:eastAsia="Arial" w:hAnsi="Arial"/>
          <w:sz w:val="16"/>
          <w:szCs w:val="16"/>
          <w:color w:val="auto"/>
        </w:rPr>
        <w:t>The risk in force of these transactions, which refers to the maximum amount of losses that could be absorbed by credit risk transfer investors, was approximately $42 billion as of June 30, 2023, compared with approximately $38 billion as of December 31, 2022.</w:t>
      </w:r>
    </w:p>
    <w:p>
      <w:pPr>
        <w:spacing w:after="0" w:line="43"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The table below displays information about the credit enhancement recovery receivables we have recognized within “Other assets” in our condensed consolidated balance sheets. The decrease in our single-family freestanding credit enhancement receivables as of June 30, 2023 compared with December 31, 2022, was primarily the result of a decrease in our estimate of credit losses in the first half of 2023. As our estimate of credit losses decreases, so does the benefit we expect to receive from our freestanding credit enhancements.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Single-Family Credit Enhancement Receivables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6560" w:type="dxa"/>
            <w:vAlign w:val="bottom"/>
            <w:tcBorders>
              <w:top w:val="single" w:sz="8" w:color="2C6937"/>
            </w:tcBorders>
          </w:tcPr>
          <w:p>
            <w:pPr>
              <w:spacing w:after="0"/>
              <w:rPr>
                <w:sz w:val="17"/>
                <w:szCs w:val="17"/>
                <w:color w:val="auto"/>
              </w:rPr>
            </w:pPr>
          </w:p>
        </w:tc>
        <w:tc>
          <w:tcPr>
            <w:tcW w:w="1640" w:type="dxa"/>
            <w:vAlign w:val="bottom"/>
            <w:tcBorders>
              <w:top w:val="single" w:sz="8" w:color="2C6937"/>
              <w:bottom w:val="single" w:sz="8" w:color="2C6937"/>
            </w:tcBorders>
          </w:tcPr>
          <w:p>
            <w:pPr>
              <w:spacing w:after="0"/>
              <w:rPr>
                <w:sz w:val="17"/>
                <w:szCs w:val="17"/>
                <w:color w:val="auto"/>
              </w:rPr>
            </w:pPr>
          </w:p>
        </w:tc>
        <w:tc>
          <w:tcPr>
            <w:tcW w:w="2600" w:type="dxa"/>
            <w:vAlign w:val="bottom"/>
            <w:tcBorders>
              <w:top w:val="single" w:sz="8" w:color="2C6937"/>
              <w:bottom w:val="single" w:sz="8" w:color="2C6937"/>
            </w:tcBorders>
            <w:gridSpan w:val="2"/>
          </w:tcPr>
          <w:p>
            <w:pPr>
              <w:jc w:val="center"/>
              <w:ind w:right="1147"/>
              <w:spacing w:after="0"/>
              <w:rPr>
                <w:sz w:val="20"/>
                <w:szCs w:val="20"/>
                <w:color w:val="auto"/>
              </w:rPr>
            </w:pPr>
            <w:r>
              <w:rPr>
                <w:rFonts w:ascii="Arial" w:cs="Arial" w:eastAsia="Arial" w:hAnsi="Arial"/>
                <w:sz w:val="14"/>
                <w:szCs w:val="14"/>
                <w:b w:val="1"/>
                <w:bCs w:val="1"/>
                <w:color w:val="auto"/>
                <w:w w:val="97"/>
              </w:rPr>
              <w:t>As of</w:t>
            </w:r>
          </w:p>
        </w:tc>
        <w:tc>
          <w:tcPr>
            <w:tcW w:w="420" w:type="dxa"/>
            <w:vAlign w:val="bottom"/>
            <w:tcBorders>
              <w:top w:val="single" w:sz="8" w:color="2C6937"/>
              <w:bottom w:val="single" w:sz="8" w:color="2C6937"/>
            </w:tcBorders>
          </w:tcPr>
          <w:p>
            <w:pPr>
              <w:spacing w:after="0"/>
              <w:rPr>
                <w:sz w:val="17"/>
                <w:szCs w:val="17"/>
                <w:color w:val="auto"/>
              </w:rPr>
            </w:pPr>
          </w:p>
        </w:tc>
      </w:tr>
      <w:tr>
        <w:trPr>
          <w:trHeight w:val="174"/>
        </w:trPr>
        <w:tc>
          <w:tcPr>
            <w:tcW w:w="6560" w:type="dxa"/>
            <w:vAlign w:val="bottom"/>
          </w:tcPr>
          <w:p>
            <w:pPr>
              <w:spacing w:after="0"/>
              <w:rPr>
                <w:sz w:val="15"/>
                <w:szCs w:val="15"/>
                <w:color w:val="auto"/>
              </w:rPr>
            </w:pPr>
          </w:p>
        </w:tc>
        <w:tc>
          <w:tcPr>
            <w:tcW w:w="1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June 30, 2023</w:t>
            </w:r>
          </w:p>
        </w:tc>
        <w:tc>
          <w:tcPr>
            <w:tcW w:w="660" w:type="dxa"/>
            <w:vAlign w:val="bottom"/>
            <w:tcBorders>
              <w:bottom w:val="single" w:sz="8" w:color="2C6937"/>
            </w:tcBorders>
          </w:tcPr>
          <w:p>
            <w:pPr>
              <w:spacing w:after="0"/>
              <w:rPr>
                <w:sz w:val="15"/>
                <w:szCs w:val="15"/>
                <w:color w:val="auto"/>
              </w:rPr>
            </w:pPr>
          </w:p>
        </w:tc>
        <w:tc>
          <w:tcPr>
            <w:tcW w:w="1940" w:type="dxa"/>
            <w:vAlign w:val="bottom"/>
            <w:tcBorders>
              <w:bottom w:val="single" w:sz="8" w:color="2C6937"/>
            </w:tcBorders>
          </w:tcPr>
          <w:p>
            <w:pPr>
              <w:jc w:val="right"/>
              <w:ind w:right="27"/>
              <w:spacing w:after="0"/>
              <w:rPr>
                <w:sz w:val="20"/>
                <w:szCs w:val="20"/>
                <w:color w:val="auto"/>
              </w:rPr>
            </w:pPr>
            <w:r>
              <w:rPr>
                <w:rFonts w:ascii="Arial" w:cs="Arial" w:eastAsia="Arial" w:hAnsi="Arial"/>
                <w:sz w:val="14"/>
                <w:szCs w:val="14"/>
                <w:b w:val="1"/>
                <w:bCs w:val="1"/>
                <w:color w:val="auto"/>
              </w:rPr>
              <w:t>December 31, 2022</w:t>
            </w:r>
          </w:p>
        </w:tc>
        <w:tc>
          <w:tcPr>
            <w:tcW w:w="420" w:type="dxa"/>
            <w:vAlign w:val="bottom"/>
            <w:tcBorders>
              <w:bottom w:val="single" w:sz="8" w:color="2C6937"/>
            </w:tcBorders>
          </w:tcPr>
          <w:p>
            <w:pPr>
              <w:spacing w:after="0"/>
              <w:rPr>
                <w:sz w:val="15"/>
                <w:szCs w:val="15"/>
                <w:color w:val="auto"/>
              </w:rPr>
            </w:pPr>
          </w:p>
        </w:tc>
      </w:tr>
      <w:tr>
        <w:trPr>
          <w:trHeight w:val="185"/>
        </w:trPr>
        <w:tc>
          <w:tcPr>
            <w:tcW w:w="65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600" w:type="dxa"/>
            <w:vAlign w:val="bottom"/>
            <w:gridSpan w:val="2"/>
          </w:tcPr>
          <w:p>
            <w:pPr>
              <w:jc w:val="center"/>
              <w:ind w:right="1147"/>
              <w:spacing w:after="0"/>
              <w:rPr>
                <w:sz w:val="20"/>
                <w:szCs w:val="20"/>
                <w:color w:val="auto"/>
              </w:rPr>
            </w:pPr>
            <w:r>
              <w:rPr>
                <w:rFonts w:ascii="Arial" w:cs="Arial" w:eastAsia="Arial" w:hAnsi="Arial"/>
                <w:sz w:val="14"/>
                <w:szCs w:val="14"/>
                <w:b w:val="1"/>
                <w:bCs w:val="1"/>
                <w:color w:val="auto"/>
                <w:w w:val="96"/>
              </w:rPr>
              <w:t>(Dollars in millions)</w:t>
            </w:r>
          </w:p>
        </w:tc>
        <w:tc>
          <w:tcPr>
            <w:tcW w:w="420" w:type="dxa"/>
            <w:vAlign w:val="bottom"/>
          </w:tcPr>
          <w:p>
            <w:pPr>
              <w:spacing w:after="0"/>
              <w:rPr>
                <w:sz w:val="16"/>
                <w:szCs w:val="16"/>
                <w:color w:val="auto"/>
              </w:rPr>
            </w:pPr>
          </w:p>
        </w:tc>
      </w:tr>
      <w:tr>
        <w:trPr>
          <w:trHeight w:val="240"/>
        </w:trPr>
        <w:tc>
          <w:tcPr>
            <w:tcW w:w="6560" w:type="dxa"/>
            <w:vAlign w:val="bottom"/>
          </w:tcPr>
          <w:p>
            <w:pPr>
              <w:spacing w:after="0"/>
              <w:rPr>
                <w:sz w:val="20"/>
                <w:szCs w:val="20"/>
                <w:color w:val="auto"/>
              </w:rPr>
            </w:pPr>
            <w:r>
              <w:rPr>
                <w:rFonts w:ascii="Arial" w:cs="Arial" w:eastAsia="Arial" w:hAnsi="Arial"/>
                <w:sz w:val="15"/>
                <w:szCs w:val="15"/>
                <w:color w:val="auto"/>
              </w:rPr>
              <w:t>Freestanding credit enhancement receivables</w:t>
            </w:r>
          </w:p>
        </w:tc>
        <w:tc>
          <w:tcPr>
            <w:tcW w:w="1640" w:type="dxa"/>
            <w:vAlign w:val="bottom"/>
          </w:tcPr>
          <w:p>
            <w:pPr>
              <w:jc w:val="right"/>
              <w:ind w:right="1467"/>
              <w:spacing w:after="0"/>
              <w:rPr>
                <w:sz w:val="20"/>
                <w:szCs w:val="20"/>
                <w:color w:val="auto"/>
              </w:rPr>
            </w:pPr>
            <w:r>
              <w:rPr>
                <w:rFonts w:ascii="Arial" w:cs="Arial" w:eastAsia="Arial" w:hAnsi="Arial"/>
                <w:sz w:val="15"/>
                <w:szCs w:val="15"/>
                <w:b w:val="1"/>
                <w:bCs w:val="1"/>
                <w:color w:val="auto"/>
                <w:w w:val="95"/>
              </w:rPr>
              <w:t>$</w:t>
            </w:r>
          </w:p>
        </w:tc>
        <w:tc>
          <w:tcPr>
            <w:tcW w:w="660" w:type="dxa"/>
            <w:vAlign w:val="bottom"/>
          </w:tcPr>
          <w:p>
            <w:pPr>
              <w:jc w:val="right"/>
              <w:ind w:right="27"/>
              <w:spacing w:after="0"/>
              <w:rPr>
                <w:sz w:val="20"/>
                <w:szCs w:val="20"/>
                <w:color w:val="auto"/>
              </w:rPr>
            </w:pPr>
            <w:r>
              <w:rPr>
                <w:rFonts w:ascii="Arial" w:cs="Arial" w:eastAsia="Arial" w:hAnsi="Arial"/>
                <w:sz w:val="15"/>
                <w:szCs w:val="15"/>
                <w:b w:val="1"/>
                <w:bCs w:val="1"/>
                <w:color w:val="auto"/>
              </w:rPr>
              <w:t>437</w:t>
            </w:r>
          </w:p>
        </w:tc>
        <w:tc>
          <w:tcPr>
            <w:tcW w:w="1940" w:type="dxa"/>
            <w:vAlign w:val="bottom"/>
          </w:tcPr>
          <w:p>
            <w:pPr>
              <w:jc w:val="right"/>
              <w:ind w:right="1687"/>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3"/>
              <w:spacing w:after="0"/>
              <w:rPr>
                <w:sz w:val="20"/>
                <w:szCs w:val="20"/>
                <w:color w:val="auto"/>
              </w:rPr>
            </w:pPr>
            <w:r>
              <w:rPr>
                <w:rFonts w:ascii="Arial" w:cs="Arial" w:eastAsia="Arial" w:hAnsi="Arial"/>
                <w:sz w:val="15"/>
                <w:szCs w:val="15"/>
                <w:color w:val="auto"/>
              </w:rPr>
              <w:t>565</w:t>
            </w:r>
          </w:p>
        </w:tc>
      </w:tr>
      <w:tr>
        <w:trPr>
          <w:trHeight w:val="276"/>
        </w:trPr>
        <w:tc>
          <w:tcPr>
            <w:tcW w:w="6560" w:type="dxa"/>
            <w:vAlign w:val="bottom"/>
          </w:tcPr>
          <w:p>
            <w:pPr>
              <w:spacing w:after="0"/>
              <w:rPr>
                <w:sz w:val="20"/>
                <w:szCs w:val="20"/>
                <w:color w:val="auto"/>
              </w:rPr>
            </w:pPr>
            <w:r>
              <w:rPr>
                <w:rFonts w:ascii="Arial" w:cs="Arial" w:eastAsia="Arial" w:hAnsi="Arial"/>
                <w:sz w:val="15"/>
                <w:szCs w:val="15"/>
                <w:color w:val="auto"/>
              </w:rPr>
              <w:t>Primary mortgage insurance receivables, net of allowance</w:t>
            </w:r>
            <w:r>
              <w:rPr>
                <w:rFonts w:ascii="Arial" w:cs="Arial" w:eastAsia="Arial" w:hAnsi="Arial"/>
                <w:sz w:val="20"/>
                <w:szCs w:val="20"/>
                <w:color w:val="auto"/>
                <w:vertAlign w:val="superscript"/>
              </w:rPr>
              <w:t>(1)</w:t>
            </w:r>
          </w:p>
        </w:tc>
        <w:tc>
          <w:tcPr>
            <w:tcW w:w="1640" w:type="dxa"/>
            <w:vAlign w:val="bottom"/>
          </w:tcPr>
          <w:p>
            <w:pPr>
              <w:spacing w:after="0"/>
              <w:rPr>
                <w:sz w:val="24"/>
                <w:szCs w:val="24"/>
                <w:color w:val="auto"/>
              </w:rPr>
            </w:pPr>
          </w:p>
        </w:tc>
        <w:tc>
          <w:tcPr>
            <w:tcW w:w="660" w:type="dxa"/>
            <w:vAlign w:val="bottom"/>
          </w:tcPr>
          <w:p>
            <w:pPr>
              <w:jc w:val="right"/>
              <w:ind w:right="27"/>
              <w:spacing w:after="0"/>
              <w:rPr>
                <w:sz w:val="20"/>
                <w:szCs w:val="20"/>
                <w:color w:val="auto"/>
              </w:rPr>
            </w:pPr>
            <w:r>
              <w:rPr>
                <w:rFonts w:ascii="Arial" w:cs="Arial" w:eastAsia="Arial" w:hAnsi="Arial"/>
                <w:sz w:val="15"/>
                <w:szCs w:val="15"/>
                <w:b w:val="1"/>
                <w:bCs w:val="1"/>
                <w:color w:val="auto"/>
              </w:rPr>
              <w:t>54</w:t>
            </w:r>
          </w:p>
        </w:tc>
        <w:tc>
          <w:tcPr>
            <w:tcW w:w="1940" w:type="dxa"/>
            <w:vAlign w:val="bottom"/>
          </w:tcPr>
          <w:p>
            <w:pPr>
              <w:spacing w:after="0"/>
              <w:rPr>
                <w:sz w:val="24"/>
                <w:szCs w:val="24"/>
                <w:color w:val="auto"/>
              </w:rPr>
            </w:pPr>
          </w:p>
        </w:tc>
        <w:tc>
          <w:tcPr>
            <w:tcW w:w="420" w:type="dxa"/>
            <w:vAlign w:val="bottom"/>
          </w:tcPr>
          <w:p>
            <w:pPr>
              <w:jc w:val="right"/>
              <w:ind w:right="3"/>
              <w:spacing w:after="0"/>
              <w:rPr>
                <w:sz w:val="20"/>
                <w:szCs w:val="20"/>
                <w:color w:val="auto"/>
              </w:rPr>
            </w:pPr>
            <w:r>
              <w:rPr>
                <w:rFonts w:ascii="Arial" w:cs="Arial" w:eastAsia="Arial" w:hAnsi="Arial"/>
                <w:sz w:val="15"/>
                <w:szCs w:val="15"/>
                <w:color w:val="auto"/>
              </w:rPr>
              <w:t>53</w:t>
            </w:r>
          </w:p>
        </w:tc>
      </w:tr>
    </w:tbl>
    <w:p>
      <w:pPr>
        <w:spacing w:after="0" w:line="86" w:lineRule="exact"/>
        <w:rPr>
          <w:sz w:val="20"/>
          <w:szCs w:val="20"/>
          <w:color w:val="auto"/>
        </w:rPr>
      </w:pPr>
    </w:p>
    <w:p>
      <w:pPr>
        <w:ind w:left="240" w:right="500" w:hanging="237"/>
        <w:spacing w:after="0" w:line="214" w:lineRule="auto"/>
        <w:tabs>
          <w:tab w:leader="none" w:pos="24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Amount is net of a valuation allowance of $462 million as of June 30, 2023 and December 31, 2022. The vast majority of this valuation allowance related to deferred payment obligations associated with unpaid claim amounts for which collectability is uncertain.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31</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34" w:name="page35"/>
    <w:bookmarkEnd w:id="34"/>
    <w:p>
      <w:pPr>
        <w:ind w:left="608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240"/>
        <w:spacing w:after="0" w:line="283" w:lineRule="auto"/>
        <w:rPr>
          <w:sz w:val="20"/>
          <w:szCs w:val="20"/>
          <w:color w:val="auto"/>
        </w:rPr>
      </w:pPr>
      <w:r>
        <w:rPr>
          <w:rFonts w:ascii="Arial" w:cs="Arial" w:eastAsia="Arial" w:hAnsi="Arial"/>
          <w:sz w:val="16"/>
          <w:szCs w:val="16"/>
          <w:color w:val="auto"/>
        </w:rPr>
        <w:t>The table below displays the approximate cash paid or transferred to investors for credit risk transfer transactions. The cash represents the portion of the guaranty fee paid to investors as compensation for taking on a share of the credit risk.</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05314D"/>
        </w:rPr>
        <w:t>Credit Risk Transfer Transactions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7980" w:type="dxa"/>
            <w:vAlign w:val="bottom"/>
            <w:tcBorders>
              <w:top w:val="single" w:sz="8" w:color="2C6937"/>
            </w:tcBorders>
          </w:tcPr>
          <w:p>
            <w:pPr>
              <w:spacing w:after="0"/>
              <w:rPr>
                <w:sz w:val="18"/>
                <w:szCs w:val="18"/>
                <w:color w:val="auto"/>
              </w:rPr>
            </w:pPr>
          </w:p>
        </w:tc>
        <w:tc>
          <w:tcPr>
            <w:tcW w:w="2820" w:type="dxa"/>
            <w:vAlign w:val="bottom"/>
            <w:tcBorders>
              <w:top w:val="single" w:sz="8" w:color="2C6937"/>
              <w:bottom w:val="single" w:sz="8" w:color="2C6937"/>
            </w:tcBorders>
            <w:gridSpan w:val="3"/>
          </w:tcPr>
          <w:p>
            <w:pPr>
              <w:jc w:val="center"/>
              <w:ind w:left="348"/>
              <w:spacing w:after="0"/>
              <w:rPr>
                <w:sz w:val="20"/>
                <w:szCs w:val="20"/>
                <w:color w:val="auto"/>
              </w:rPr>
            </w:pPr>
            <w:r>
              <w:rPr>
                <w:rFonts w:ascii="Arial" w:cs="Arial" w:eastAsia="Arial" w:hAnsi="Arial"/>
                <w:sz w:val="14"/>
                <w:szCs w:val="14"/>
                <w:b w:val="1"/>
                <w:bCs w:val="1"/>
                <w:color w:val="auto"/>
                <w:w w:val="97"/>
              </w:rPr>
              <w:t>For the Six Months Ended June 30,</w:t>
            </w:r>
          </w:p>
        </w:tc>
        <w:tc>
          <w:tcPr>
            <w:tcW w:w="400" w:type="dxa"/>
            <w:vAlign w:val="bottom"/>
            <w:tcBorders>
              <w:top w:val="single" w:sz="8" w:color="2C6937"/>
              <w:bottom w:val="single" w:sz="8" w:color="2C6937"/>
            </w:tcBorders>
          </w:tcPr>
          <w:p>
            <w:pPr>
              <w:spacing w:after="0"/>
              <w:rPr>
                <w:sz w:val="18"/>
                <w:szCs w:val="18"/>
                <w:color w:val="auto"/>
              </w:rPr>
            </w:pPr>
          </w:p>
        </w:tc>
      </w:tr>
      <w:tr>
        <w:trPr>
          <w:trHeight w:val="174"/>
        </w:trPr>
        <w:tc>
          <w:tcPr>
            <w:tcW w:w="7980" w:type="dxa"/>
            <w:vAlign w:val="bottom"/>
          </w:tcPr>
          <w:p>
            <w:pPr>
              <w:spacing w:after="0"/>
              <w:rPr>
                <w:sz w:val="15"/>
                <w:szCs w:val="15"/>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2C6937"/>
            </w:tcBorders>
          </w:tcPr>
          <w:p>
            <w:pPr>
              <w:spacing w:after="0"/>
              <w:rPr>
                <w:sz w:val="15"/>
                <w:szCs w:val="15"/>
                <w:color w:val="auto"/>
              </w:rPr>
            </w:pPr>
          </w:p>
        </w:tc>
        <w:tc>
          <w:tcPr>
            <w:tcW w:w="1260" w:type="dxa"/>
            <w:vAlign w:val="bottom"/>
            <w:tcBorders>
              <w:bottom w:val="single" w:sz="8" w:color="2C6937"/>
            </w:tcBorders>
          </w:tcPr>
          <w:p>
            <w:pPr>
              <w:jc w:val="right"/>
              <w:ind w:right="167"/>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2C6937"/>
            </w:tcBorders>
          </w:tcPr>
          <w:p>
            <w:pPr>
              <w:spacing w:after="0"/>
              <w:rPr>
                <w:sz w:val="15"/>
                <w:szCs w:val="15"/>
                <w:color w:val="auto"/>
              </w:rPr>
            </w:pPr>
          </w:p>
        </w:tc>
      </w:tr>
      <w:tr>
        <w:trPr>
          <w:trHeight w:val="236"/>
        </w:trPr>
        <w:tc>
          <w:tcPr>
            <w:tcW w:w="7980" w:type="dxa"/>
            <w:vAlign w:val="bottom"/>
          </w:tcPr>
          <w:p>
            <w:pPr>
              <w:ind w:left="20"/>
              <w:spacing w:after="0"/>
              <w:rPr>
                <w:sz w:val="20"/>
                <w:szCs w:val="20"/>
                <w:color w:val="auto"/>
              </w:rPr>
            </w:pPr>
            <w:r>
              <w:rPr>
                <w:rFonts w:ascii="Arial" w:cs="Arial" w:eastAsia="Arial" w:hAnsi="Arial"/>
                <w:sz w:val="15"/>
                <w:szCs w:val="15"/>
                <w:color w:val="auto"/>
              </w:rPr>
              <w:t>Cash paid or transferred for:</w:t>
            </w:r>
          </w:p>
        </w:tc>
        <w:tc>
          <w:tcPr>
            <w:tcW w:w="960" w:type="dxa"/>
            <w:vAlign w:val="bottom"/>
          </w:tcPr>
          <w:p>
            <w:pPr>
              <w:spacing w:after="0"/>
              <w:rPr>
                <w:sz w:val="20"/>
                <w:szCs w:val="20"/>
                <w:color w:val="auto"/>
              </w:rPr>
            </w:pPr>
          </w:p>
        </w:tc>
        <w:tc>
          <w:tcPr>
            <w:tcW w:w="1860" w:type="dxa"/>
            <w:vAlign w:val="bottom"/>
            <w:gridSpan w:val="2"/>
          </w:tcPr>
          <w:p>
            <w:pPr>
              <w:jc w:val="center"/>
              <w:ind w:right="467"/>
              <w:spacing w:after="0"/>
              <w:rPr>
                <w:sz w:val="20"/>
                <w:szCs w:val="20"/>
                <w:color w:val="auto"/>
              </w:rPr>
            </w:pPr>
            <w:r>
              <w:rPr>
                <w:rFonts w:ascii="Arial" w:cs="Arial" w:eastAsia="Arial" w:hAnsi="Arial"/>
                <w:sz w:val="14"/>
                <w:szCs w:val="14"/>
                <w:b w:val="1"/>
                <w:bCs w:val="1"/>
                <w:color w:val="auto"/>
                <w:w w:val="98"/>
              </w:rPr>
              <w:t>(Dollars in millions)</w:t>
            </w:r>
          </w:p>
        </w:tc>
        <w:tc>
          <w:tcPr>
            <w:tcW w:w="400" w:type="dxa"/>
            <w:vAlign w:val="bottom"/>
          </w:tcPr>
          <w:p>
            <w:pPr>
              <w:spacing w:after="0"/>
              <w:rPr>
                <w:sz w:val="20"/>
                <w:szCs w:val="20"/>
                <w:color w:val="auto"/>
              </w:rPr>
            </w:pPr>
          </w:p>
        </w:tc>
      </w:tr>
      <w:tr>
        <w:trPr>
          <w:trHeight w:val="251"/>
        </w:trPr>
        <w:tc>
          <w:tcPr>
            <w:tcW w:w="7980" w:type="dxa"/>
            <w:vAlign w:val="bottom"/>
          </w:tcPr>
          <w:p>
            <w:pPr>
              <w:ind w:left="180"/>
              <w:spacing w:after="0"/>
              <w:rPr>
                <w:sz w:val="20"/>
                <w:szCs w:val="20"/>
                <w:color w:val="auto"/>
              </w:rPr>
            </w:pPr>
            <w:r>
              <w:rPr>
                <w:rFonts w:ascii="Arial" w:cs="Arial" w:eastAsia="Arial" w:hAnsi="Arial"/>
                <w:sz w:val="15"/>
                <w:szCs w:val="15"/>
                <w:color w:val="auto"/>
              </w:rPr>
              <w:t>CAS transactions</w:t>
            </w:r>
            <w:r>
              <w:rPr>
                <w:rFonts w:ascii="Arial" w:cs="Arial" w:eastAsia="Arial" w:hAnsi="Arial"/>
                <w:sz w:val="20"/>
                <w:szCs w:val="20"/>
                <w:color w:val="auto"/>
                <w:vertAlign w:val="superscript"/>
              </w:rPr>
              <w:t>(1)</w:t>
            </w:r>
          </w:p>
        </w:tc>
        <w:tc>
          <w:tcPr>
            <w:tcW w:w="960" w:type="dxa"/>
            <w:vAlign w:val="bottom"/>
          </w:tcPr>
          <w:p>
            <w:pPr>
              <w:jc w:val="right"/>
              <w:ind w:right="768"/>
              <w:spacing w:after="0"/>
              <w:rPr>
                <w:sz w:val="20"/>
                <w:szCs w:val="20"/>
                <w:color w:val="auto"/>
              </w:rPr>
            </w:pPr>
            <w:r>
              <w:rPr>
                <w:rFonts w:ascii="Arial" w:cs="Arial" w:eastAsia="Arial" w:hAnsi="Arial"/>
                <w:sz w:val="15"/>
                <w:szCs w:val="15"/>
                <w:b w:val="1"/>
                <w:bCs w:val="1"/>
                <w:color w:val="auto"/>
              </w:rPr>
              <w:t>$</w:t>
            </w:r>
          </w:p>
        </w:tc>
        <w:tc>
          <w:tcPr>
            <w:tcW w:w="600" w:type="dxa"/>
            <w:vAlign w:val="bottom"/>
          </w:tcPr>
          <w:p>
            <w:pPr>
              <w:jc w:val="right"/>
              <w:ind w:right="25"/>
              <w:spacing w:after="0"/>
              <w:rPr>
                <w:sz w:val="20"/>
                <w:szCs w:val="20"/>
                <w:color w:val="auto"/>
              </w:rPr>
            </w:pPr>
            <w:r>
              <w:rPr>
                <w:rFonts w:ascii="Arial" w:cs="Arial" w:eastAsia="Arial" w:hAnsi="Arial"/>
                <w:sz w:val="15"/>
                <w:szCs w:val="15"/>
                <w:b w:val="1"/>
                <w:bCs w:val="1"/>
                <w:color w:val="auto"/>
              </w:rPr>
              <w:t>450</w:t>
            </w:r>
          </w:p>
        </w:tc>
        <w:tc>
          <w:tcPr>
            <w:tcW w:w="1260" w:type="dxa"/>
            <w:vAlign w:val="bottom"/>
          </w:tcPr>
          <w:p>
            <w:pPr>
              <w:jc w:val="right"/>
              <w:ind w:right="1007"/>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419</w:t>
            </w:r>
          </w:p>
        </w:tc>
      </w:tr>
      <w:tr>
        <w:trPr>
          <w:trHeight w:val="221"/>
        </w:trPr>
        <w:tc>
          <w:tcPr>
            <w:tcW w:w="7980" w:type="dxa"/>
            <w:vAlign w:val="bottom"/>
          </w:tcPr>
          <w:p>
            <w:pPr>
              <w:ind w:left="180"/>
              <w:spacing w:after="0"/>
              <w:rPr>
                <w:sz w:val="20"/>
                <w:szCs w:val="20"/>
                <w:color w:val="auto"/>
              </w:rPr>
            </w:pPr>
            <w:r>
              <w:rPr>
                <w:rFonts w:ascii="Arial" w:cs="Arial" w:eastAsia="Arial" w:hAnsi="Arial"/>
                <w:sz w:val="15"/>
                <w:szCs w:val="15"/>
                <w:color w:val="auto"/>
              </w:rPr>
              <w:t>CIRT transactions</w:t>
            </w:r>
          </w:p>
        </w:tc>
        <w:tc>
          <w:tcPr>
            <w:tcW w:w="960" w:type="dxa"/>
            <w:vAlign w:val="bottom"/>
          </w:tcPr>
          <w:p>
            <w:pPr>
              <w:spacing w:after="0"/>
              <w:rPr>
                <w:sz w:val="19"/>
                <w:szCs w:val="19"/>
                <w:color w:val="auto"/>
              </w:rPr>
            </w:pPr>
          </w:p>
        </w:tc>
        <w:tc>
          <w:tcPr>
            <w:tcW w:w="600" w:type="dxa"/>
            <w:vAlign w:val="bottom"/>
          </w:tcPr>
          <w:p>
            <w:pPr>
              <w:jc w:val="right"/>
              <w:ind w:right="25"/>
              <w:spacing w:after="0"/>
              <w:rPr>
                <w:sz w:val="20"/>
                <w:szCs w:val="20"/>
                <w:color w:val="auto"/>
              </w:rPr>
            </w:pPr>
            <w:r>
              <w:rPr>
                <w:rFonts w:ascii="Arial" w:cs="Arial" w:eastAsia="Arial" w:hAnsi="Arial"/>
                <w:sz w:val="15"/>
                <w:szCs w:val="15"/>
                <w:b w:val="1"/>
                <w:bCs w:val="1"/>
                <w:color w:val="auto"/>
              </w:rPr>
              <w:t>198</w:t>
            </w:r>
          </w:p>
        </w:tc>
        <w:tc>
          <w:tcPr>
            <w:tcW w:w="1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143</w:t>
            </w:r>
          </w:p>
        </w:tc>
      </w:tr>
      <w:tr>
        <w:trPr>
          <w:trHeight w:val="232"/>
        </w:trPr>
        <w:tc>
          <w:tcPr>
            <w:tcW w:w="7980" w:type="dxa"/>
            <w:vAlign w:val="bottom"/>
          </w:tcPr>
          <w:p>
            <w:pPr>
              <w:ind w:left="180"/>
              <w:spacing w:after="0"/>
              <w:rPr>
                <w:sz w:val="20"/>
                <w:szCs w:val="20"/>
                <w:color w:val="auto"/>
              </w:rPr>
            </w:pPr>
            <w:r>
              <w:rPr>
                <w:rFonts w:ascii="Arial" w:cs="Arial" w:eastAsia="Arial" w:hAnsi="Arial"/>
                <w:sz w:val="15"/>
                <w:szCs w:val="15"/>
                <w:color w:val="auto"/>
              </w:rPr>
              <w:t>Lender risk-sharing transactions</w:t>
            </w:r>
          </w:p>
        </w:tc>
        <w:tc>
          <w:tcPr>
            <w:tcW w:w="960" w:type="dxa"/>
            <w:vAlign w:val="bottom"/>
          </w:tcPr>
          <w:p>
            <w:pPr>
              <w:spacing w:after="0"/>
              <w:rPr>
                <w:sz w:val="20"/>
                <w:szCs w:val="20"/>
                <w:color w:val="auto"/>
              </w:rPr>
            </w:pPr>
          </w:p>
        </w:tc>
        <w:tc>
          <w:tcPr>
            <w:tcW w:w="600" w:type="dxa"/>
            <w:vAlign w:val="bottom"/>
          </w:tcPr>
          <w:p>
            <w:pPr>
              <w:jc w:val="right"/>
              <w:ind w:right="25"/>
              <w:spacing w:after="0"/>
              <w:rPr>
                <w:sz w:val="20"/>
                <w:szCs w:val="20"/>
                <w:color w:val="auto"/>
              </w:rPr>
            </w:pPr>
            <w:r>
              <w:rPr>
                <w:rFonts w:ascii="Arial" w:cs="Arial" w:eastAsia="Arial" w:hAnsi="Arial"/>
                <w:sz w:val="15"/>
                <w:szCs w:val="15"/>
                <w:b w:val="1"/>
                <w:bCs w:val="1"/>
                <w:color w:val="auto"/>
              </w:rPr>
              <w:t>68</w:t>
            </w:r>
          </w:p>
        </w:tc>
        <w:tc>
          <w:tcPr>
            <w:tcW w:w="12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82</w:t>
            </w:r>
          </w:p>
        </w:tc>
      </w:tr>
    </w:tbl>
    <w:p>
      <w:pPr>
        <w:spacing w:after="0" w:line="113" w:lineRule="exact"/>
        <w:rPr>
          <w:sz w:val="20"/>
          <w:szCs w:val="20"/>
          <w:color w:val="auto"/>
        </w:rPr>
      </w:pPr>
    </w:p>
    <w:p>
      <w:pPr>
        <w:ind w:left="240" w:right="280" w:hanging="237"/>
        <w:spacing w:after="0" w:line="225" w:lineRule="auto"/>
        <w:tabs>
          <w:tab w:leader="none" w:pos="240"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Consists of cash paid for interest expense net of LIBOR or SOFR, as applicable, on outstanding CAS debt and amounts paid for both CAS REMIC</w:t>
      </w:r>
      <w:r>
        <w:rPr>
          <w:rFonts w:ascii="Arial" w:cs="Arial" w:eastAsia="Arial" w:hAnsi="Arial"/>
          <w:sz w:val="17"/>
          <w:szCs w:val="17"/>
          <w:color w:val="auto"/>
          <w:vertAlign w:val="superscript"/>
        </w:rPr>
        <w:t>®</w:t>
      </w:r>
      <w:r>
        <w:rPr>
          <w:rFonts w:ascii="Arial" w:cs="Arial" w:eastAsia="Arial" w:hAnsi="Arial"/>
          <w:sz w:val="14"/>
          <w:szCs w:val="14"/>
          <w:color w:val="auto"/>
        </w:rPr>
        <w:t xml:space="preserve"> and CAS Credit-linked notes (“CLN”) transactions.</w:t>
      </w:r>
    </w:p>
    <w:p>
      <w:pPr>
        <w:spacing w:after="0" w:line="85"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Cash paid or transferred to investors for CIRT transactions includes cancellation fees paid on certain CIRT transactions where we determined that the cost of these deals exceeded the expected remaining benefit. The table excludes cash paid upon the repurchase of legacy CAS debt. In the first half of 2023, we paid $1.3 billion to repurchase a portion of our outstanding CAS debt.</w:t>
      </w:r>
    </w:p>
    <w:p>
      <w:pPr>
        <w:spacing w:after="0" w:line="69"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The table below displays the primary characteristics of loans in our single-family conventional guaranty book of business without credit enhancement as of the specified dates.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Single-Family Loans Currently without Credit Enhancement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580" w:type="dxa"/>
            <w:vAlign w:val="bottom"/>
            <w:tcBorders>
              <w:top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160" w:type="dxa"/>
            <w:vAlign w:val="bottom"/>
            <w:tcBorders>
              <w:top w:val="single" w:sz="8" w:color="2C6937"/>
              <w:bottom w:val="single" w:sz="8" w:color="2C6937"/>
            </w:tcBorders>
          </w:tcPr>
          <w:p>
            <w:pPr>
              <w:spacing w:after="0"/>
              <w:rPr>
                <w:sz w:val="17"/>
                <w:szCs w:val="17"/>
                <w:color w:val="auto"/>
              </w:rPr>
            </w:pPr>
          </w:p>
        </w:tc>
        <w:tc>
          <w:tcPr>
            <w:tcW w:w="900" w:type="dxa"/>
            <w:vAlign w:val="bottom"/>
            <w:tcBorders>
              <w:top w:val="single" w:sz="8" w:color="2C6937"/>
              <w:bottom w:val="single" w:sz="8" w:color="2C6937"/>
            </w:tcBorders>
          </w:tcPr>
          <w:p>
            <w:pPr>
              <w:spacing w:after="0"/>
              <w:rPr>
                <w:sz w:val="17"/>
                <w:szCs w:val="17"/>
                <w:color w:val="auto"/>
              </w:rPr>
            </w:pPr>
          </w:p>
        </w:tc>
        <w:tc>
          <w:tcPr>
            <w:tcW w:w="100" w:type="dxa"/>
            <w:vAlign w:val="bottom"/>
            <w:tcBorders>
              <w:top w:val="single" w:sz="8" w:color="2C6937"/>
              <w:bottom w:val="single" w:sz="8" w:color="2C6937"/>
            </w:tcBorders>
          </w:tcPr>
          <w:p>
            <w:pPr>
              <w:spacing w:after="0"/>
              <w:rPr>
                <w:sz w:val="17"/>
                <w:szCs w:val="17"/>
                <w:color w:val="auto"/>
              </w:rPr>
            </w:pPr>
          </w:p>
        </w:tc>
        <w:tc>
          <w:tcPr>
            <w:tcW w:w="1860" w:type="dxa"/>
            <w:vAlign w:val="bottom"/>
            <w:tcBorders>
              <w:top w:val="single" w:sz="8" w:color="2C6937"/>
              <w:bottom w:val="single" w:sz="8" w:color="2C6937"/>
            </w:tcBorders>
            <w:gridSpan w:val="3"/>
          </w:tcPr>
          <w:p>
            <w:pPr>
              <w:jc w:val="right"/>
              <w:ind w:right="60"/>
              <w:spacing w:after="0"/>
              <w:rPr>
                <w:sz w:val="20"/>
                <w:szCs w:val="20"/>
                <w:color w:val="auto"/>
              </w:rPr>
            </w:pPr>
            <w:r>
              <w:rPr>
                <w:rFonts w:ascii="Arial" w:cs="Arial" w:eastAsia="Arial" w:hAnsi="Arial"/>
                <w:sz w:val="14"/>
                <w:szCs w:val="14"/>
                <w:b w:val="1"/>
                <w:bCs w:val="1"/>
                <w:color w:val="auto"/>
              </w:rPr>
              <w:t>As of</w:t>
            </w:r>
          </w:p>
        </w:tc>
        <w:tc>
          <w:tcPr>
            <w:tcW w:w="860" w:type="dxa"/>
            <w:vAlign w:val="bottom"/>
            <w:tcBorders>
              <w:top w:val="single" w:sz="8" w:color="2C6937"/>
              <w:bottom w:val="single" w:sz="8" w:color="2C6937"/>
            </w:tcBorders>
          </w:tcPr>
          <w:p>
            <w:pPr>
              <w:spacing w:after="0"/>
              <w:rPr>
                <w:sz w:val="17"/>
                <w:szCs w:val="17"/>
                <w:color w:val="auto"/>
              </w:rPr>
            </w:pPr>
          </w:p>
        </w:tc>
        <w:tc>
          <w:tcPr>
            <w:tcW w:w="120" w:type="dxa"/>
            <w:vAlign w:val="bottom"/>
            <w:tcBorders>
              <w:top w:val="single" w:sz="8" w:color="2C6937"/>
              <w:bottom w:val="single" w:sz="8" w:color="2C6937"/>
            </w:tcBorders>
          </w:tcPr>
          <w:p>
            <w:pPr>
              <w:spacing w:after="0"/>
              <w:rPr>
                <w:sz w:val="17"/>
                <w:szCs w:val="17"/>
                <w:color w:val="auto"/>
              </w:rPr>
            </w:pPr>
          </w:p>
        </w:tc>
        <w:tc>
          <w:tcPr>
            <w:tcW w:w="1560" w:type="dxa"/>
            <w:vAlign w:val="bottom"/>
            <w:tcBorders>
              <w:top w:val="single" w:sz="8" w:color="2C6937"/>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2560" w:type="dxa"/>
            <w:vAlign w:val="bottom"/>
            <w:tcBorders>
              <w:bottom w:val="single" w:sz="8" w:color="2C6937"/>
            </w:tcBorders>
            <w:gridSpan w:val="3"/>
          </w:tcPr>
          <w:p>
            <w:pPr>
              <w:jc w:val="right"/>
              <w:ind w:right="848"/>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2540" w:type="dxa"/>
            <w:vAlign w:val="bottom"/>
            <w:tcBorders>
              <w:bottom w:val="single" w:sz="8" w:color="2C6937"/>
            </w:tcBorders>
            <w:gridSpan w:val="3"/>
          </w:tcPr>
          <w:p>
            <w:pPr>
              <w:jc w:val="right"/>
              <w:ind w:right="669"/>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36"/>
        </w:trPr>
        <w:tc>
          <w:tcPr>
            <w:tcW w:w="5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vMerge w:val="restart"/>
          </w:tcPr>
          <w:p>
            <w:pPr>
              <w:jc w:val="center"/>
              <w:ind w:right="84"/>
              <w:spacing w:after="0"/>
              <w:rPr>
                <w:sz w:val="20"/>
                <w:szCs w:val="20"/>
                <w:color w:val="auto"/>
              </w:rPr>
            </w:pPr>
            <w:r>
              <w:rPr>
                <w:rFonts w:ascii="Arial" w:cs="Arial" w:eastAsia="Arial" w:hAnsi="Arial"/>
                <w:sz w:val="14"/>
                <w:szCs w:val="14"/>
                <w:b w:val="1"/>
                <w:bCs w:val="1"/>
                <w:color w:val="auto"/>
                <w:w w:val="96"/>
              </w:rPr>
              <w:t>Unpaid</w:t>
            </w:r>
          </w:p>
        </w:tc>
        <w:tc>
          <w:tcPr>
            <w:tcW w:w="100" w:type="dxa"/>
            <w:vAlign w:val="bottom"/>
          </w:tcPr>
          <w:p>
            <w:pPr>
              <w:spacing w:after="0"/>
              <w:rPr>
                <w:sz w:val="11"/>
                <w:szCs w:val="11"/>
                <w:color w:val="auto"/>
              </w:rPr>
            </w:pPr>
          </w:p>
        </w:tc>
        <w:tc>
          <w:tcPr>
            <w:tcW w:w="156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97"/>
              </w:rPr>
              <w:t>Percentage of Single-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vMerge w:val="restart"/>
          </w:tcPr>
          <w:p>
            <w:pPr>
              <w:jc w:val="center"/>
              <w:ind w:right="84"/>
              <w:spacing w:after="0"/>
              <w:rPr>
                <w:sz w:val="20"/>
                <w:szCs w:val="20"/>
                <w:color w:val="auto"/>
              </w:rPr>
            </w:pPr>
            <w:r>
              <w:rPr>
                <w:rFonts w:ascii="Arial" w:cs="Arial" w:eastAsia="Arial" w:hAnsi="Arial"/>
                <w:sz w:val="14"/>
                <w:szCs w:val="14"/>
                <w:b w:val="1"/>
                <w:bCs w:val="1"/>
                <w:color w:val="auto"/>
                <w:w w:val="96"/>
              </w:rPr>
              <w:t>Unpaid</w:t>
            </w:r>
          </w:p>
        </w:tc>
        <w:tc>
          <w:tcPr>
            <w:tcW w:w="120" w:type="dxa"/>
            <w:vAlign w:val="bottom"/>
          </w:tcPr>
          <w:p>
            <w:pPr>
              <w:spacing w:after="0"/>
              <w:rPr>
                <w:sz w:val="11"/>
                <w:szCs w:val="11"/>
                <w:color w:val="auto"/>
              </w:rPr>
            </w:pPr>
          </w:p>
        </w:tc>
        <w:tc>
          <w:tcPr>
            <w:tcW w:w="156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97"/>
              </w:rPr>
              <w:t>Percentage of Single-</w:t>
            </w: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7"/>
              </w:rPr>
              <w:t>Family Conventional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7"/>
              </w:rPr>
              <w:t>Family Conventional</w:t>
            </w:r>
          </w:p>
        </w:tc>
        <w:tc>
          <w:tcPr>
            <w:tcW w:w="0" w:type="dxa"/>
            <w:vAlign w:val="bottom"/>
          </w:tcPr>
          <w:p>
            <w:pPr>
              <w:spacing w:after="0"/>
              <w:rPr>
                <w:sz w:val="1"/>
                <w:szCs w:val="1"/>
                <w:color w:val="auto"/>
              </w:rPr>
            </w:pPr>
          </w:p>
        </w:tc>
      </w:tr>
      <w:tr>
        <w:trPr>
          <w:trHeight w:val="140"/>
        </w:trPr>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84"/>
              <w:spacing w:after="0" w:line="141" w:lineRule="exact"/>
              <w:rPr>
                <w:sz w:val="20"/>
                <w:szCs w:val="20"/>
                <w:color w:val="auto"/>
              </w:rPr>
            </w:pPr>
            <w:r>
              <w:rPr>
                <w:rFonts w:ascii="Arial" w:cs="Arial" w:eastAsia="Arial" w:hAnsi="Arial"/>
                <w:sz w:val="14"/>
                <w:szCs w:val="14"/>
                <w:b w:val="1"/>
                <w:bCs w:val="1"/>
                <w:color w:val="auto"/>
                <w:w w:val="97"/>
              </w:rPr>
              <w:t>Principal</w:t>
            </w:r>
          </w:p>
        </w:tc>
        <w:tc>
          <w:tcPr>
            <w:tcW w:w="100" w:type="dxa"/>
            <w:vAlign w:val="bottom"/>
          </w:tcPr>
          <w:p>
            <w:pPr>
              <w:spacing w:after="0"/>
              <w:rPr>
                <w:sz w:val="12"/>
                <w:szCs w:val="12"/>
                <w:color w:val="auto"/>
              </w:rPr>
            </w:pPr>
          </w:p>
        </w:tc>
        <w:tc>
          <w:tcPr>
            <w:tcW w:w="15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8"/>
              </w:rPr>
              <w:t>Guaranty Book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84"/>
              <w:spacing w:after="0" w:line="141" w:lineRule="exact"/>
              <w:rPr>
                <w:sz w:val="20"/>
                <w:szCs w:val="20"/>
                <w:color w:val="auto"/>
              </w:rPr>
            </w:pPr>
            <w:r>
              <w:rPr>
                <w:rFonts w:ascii="Arial" w:cs="Arial" w:eastAsia="Arial" w:hAnsi="Arial"/>
                <w:sz w:val="14"/>
                <w:szCs w:val="14"/>
                <w:b w:val="1"/>
                <w:bCs w:val="1"/>
                <w:color w:val="auto"/>
                <w:w w:val="97"/>
              </w:rPr>
              <w:t>Principal</w:t>
            </w:r>
          </w:p>
        </w:tc>
        <w:tc>
          <w:tcPr>
            <w:tcW w:w="120" w:type="dxa"/>
            <w:vAlign w:val="bottom"/>
          </w:tcPr>
          <w:p>
            <w:pPr>
              <w:spacing w:after="0"/>
              <w:rPr>
                <w:sz w:val="12"/>
                <w:szCs w:val="12"/>
                <w:color w:val="auto"/>
              </w:rPr>
            </w:pPr>
          </w:p>
        </w:tc>
        <w:tc>
          <w:tcPr>
            <w:tcW w:w="15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8"/>
              </w:rPr>
              <w:t>Guaranty Book of</w:t>
            </w:r>
          </w:p>
        </w:tc>
        <w:tc>
          <w:tcPr>
            <w:tcW w:w="0" w:type="dxa"/>
            <w:vAlign w:val="bottom"/>
          </w:tcPr>
          <w:p>
            <w:pPr>
              <w:spacing w:after="0"/>
              <w:rPr>
                <w:sz w:val="1"/>
                <w:szCs w:val="1"/>
                <w:color w:val="auto"/>
              </w:rPr>
            </w:pPr>
          </w:p>
        </w:tc>
      </w:tr>
      <w:tr>
        <w:trPr>
          <w:trHeight w:val="180"/>
        </w:trPr>
        <w:tc>
          <w:tcPr>
            <w:tcW w:w="5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900" w:type="dxa"/>
            <w:vAlign w:val="bottom"/>
            <w:tcBorders>
              <w:bottom w:val="single" w:sz="8" w:color="2C6937"/>
            </w:tcBorders>
          </w:tcPr>
          <w:p>
            <w:pPr>
              <w:jc w:val="center"/>
              <w:ind w:right="104"/>
              <w:spacing w:after="0"/>
              <w:rPr>
                <w:sz w:val="20"/>
                <w:szCs w:val="20"/>
                <w:color w:val="auto"/>
              </w:rPr>
            </w:pPr>
            <w:r>
              <w:rPr>
                <w:rFonts w:ascii="Arial" w:cs="Arial" w:eastAsia="Arial" w:hAnsi="Arial"/>
                <w:sz w:val="14"/>
                <w:szCs w:val="14"/>
                <w:b w:val="1"/>
                <w:bCs w:val="1"/>
                <w:color w:val="auto"/>
                <w:w w:val="96"/>
              </w:rPr>
              <w:t>Balance</w:t>
            </w:r>
          </w:p>
        </w:tc>
        <w:tc>
          <w:tcPr>
            <w:tcW w:w="100" w:type="dxa"/>
            <w:vAlign w:val="bottom"/>
            <w:tcBorders>
              <w:bottom w:val="single" w:sz="8" w:color="2C6937"/>
            </w:tcBorders>
          </w:tcPr>
          <w:p>
            <w:pPr>
              <w:spacing w:after="0"/>
              <w:rPr>
                <w:sz w:val="15"/>
                <w:szCs w:val="15"/>
                <w:color w:val="auto"/>
              </w:rPr>
            </w:pPr>
          </w:p>
        </w:tc>
        <w:tc>
          <w:tcPr>
            <w:tcW w:w="15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Business</w:t>
            </w:r>
          </w:p>
        </w:tc>
        <w:tc>
          <w:tcPr>
            <w:tcW w:w="120" w:type="dxa"/>
            <w:vAlign w:val="bottom"/>
            <w:tcBorders>
              <w:bottom w:val="single" w:sz="8" w:color="2C6937"/>
            </w:tcBorders>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860" w:type="dxa"/>
            <w:vAlign w:val="bottom"/>
            <w:tcBorders>
              <w:bottom w:val="single" w:sz="8" w:color="2C6937"/>
            </w:tcBorders>
          </w:tcPr>
          <w:p>
            <w:pPr>
              <w:jc w:val="center"/>
              <w:ind w:right="104"/>
              <w:spacing w:after="0"/>
              <w:rPr>
                <w:sz w:val="20"/>
                <w:szCs w:val="20"/>
                <w:color w:val="auto"/>
              </w:rPr>
            </w:pPr>
            <w:r>
              <w:rPr>
                <w:rFonts w:ascii="Arial" w:cs="Arial" w:eastAsia="Arial" w:hAnsi="Arial"/>
                <w:sz w:val="14"/>
                <w:szCs w:val="14"/>
                <w:b w:val="1"/>
                <w:bCs w:val="1"/>
                <w:color w:val="auto"/>
                <w:w w:val="96"/>
              </w:rPr>
              <w:t>Balance</w:t>
            </w:r>
          </w:p>
        </w:tc>
        <w:tc>
          <w:tcPr>
            <w:tcW w:w="120" w:type="dxa"/>
            <w:vAlign w:val="bottom"/>
            <w:tcBorders>
              <w:bottom w:val="single" w:sz="8" w:color="2C6937"/>
            </w:tcBorders>
          </w:tcPr>
          <w:p>
            <w:pPr>
              <w:spacing w:after="0"/>
              <w:rPr>
                <w:sz w:val="15"/>
                <w:szCs w:val="15"/>
                <w:color w:val="auto"/>
              </w:rPr>
            </w:pPr>
          </w:p>
        </w:tc>
        <w:tc>
          <w:tcPr>
            <w:tcW w:w="15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Business</w:t>
            </w:r>
          </w:p>
        </w:tc>
        <w:tc>
          <w:tcPr>
            <w:tcW w:w="0" w:type="dxa"/>
            <w:vAlign w:val="bottom"/>
          </w:tcPr>
          <w:p>
            <w:pPr>
              <w:spacing w:after="0"/>
              <w:rPr>
                <w:sz w:val="1"/>
                <w:szCs w:val="1"/>
                <w:color w:val="auto"/>
              </w:rPr>
            </w:pPr>
          </w:p>
        </w:tc>
      </w:tr>
      <w:tr>
        <w:trPr>
          <w:trHeight w:val="185"/>
        </w:trPr>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4"/>
          </w:tcPr>
          <w:p>
            <w:pPr>
              <w:jc w:val="right"/>
              <w:ind w:right="404"/>
              <w:spacing w:after="0"/>
              <w:rPr>
                <w:sz w:val="20"/>
                <w:szCs w:val="20"/>
                <w:color w:val="auto"/>
              </w:rPr>
            </w:pPr>
            <w:r>
              <w:rPr>
                <w:rFonts w:ascii="Arial" w:cs="Arial" w:eastAsia="Arial" w:hAnsi="Arial"/>
                <w:sz w:val="14"/>
                <w:szCs w:val="14"/>
                <w:b w:val="1"/>
                <w:bCs w:val="1"/>
                <w:color w:val="auto"/>
              </w:rPr>
              <w:t>(Dollars in billions)</w:t>
            </w: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5680" w:type="dxa"/>
            <w:vAlign w:val="bottom"/>
            <w:gridSpan w:val="2"/>
          </w:tcPr>
          <w:p>
            <w:pPr>
              <w:ind w:left="20"/>
              <w:spacing w:after="0"/>
              <w:rPr>
                <w:sz w:val="20"/>
                <w:szCs w:val="20"/>
                <w:color w:val="auto"/>
              </w:rPr>
            </w:pPr>
            <w:r>
              <w:rPr>
                <w:rFonts w:ascii="Arial" w:cs="Arial" w:eastAsia="Arial" w:hAnsi="Arial"/>
                <w:sz w:val="15"/>
                <w:szCs w:val="15"/>
                <w:color w:val="auto"/>
              </w:rPr>
              <w:t>Low LTV ratio or short-term</w:t>
            </w:r>
            <w:r>
              <w:rPr>
                <w:rFonts w:ascii="Arial" w:cs="Arial" w:eastAsia="Arial" w:hAnsi="Arial"/>
                <w:sz w:val="20"/>
                <w:szCs w:val="20"/>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4"/>
              <w:spacing w:after="0"/>
              <w:rPr>
                <w:sz w:val="20"/>
                <w:szCs w:val="20"/>
                <w:color w:val="auto"/>
              </w:rPr>
            </w:pPr>
            <w:r>
              <w:rPr>
                <w:rFonts w:ascii="Arial" w:cs="Arial" w:eastAsia="Arial" w:hAnsi="Arial"/>
                <w:sz w:val="16"/>
                <w:szCs w:val="16"/>
                <w:b w:val="1"/>
                <w:bCs w:val="1"/>
                <w:color w:val="auto"/>
              </w:rPr>
              <w:t>1,139</w:t>
            </w:r>
          </w:p>
        </w:tc>
        <w:tc>
          <w:tcPr>
            <w:tcW w:w="1660" w:type="dxa"/>
            <w:vAlign w:val="bottom"/>
            <w:gridSpan w:val="2"/>
          </w:tcPr>
          <w:p>
            <w:pPr>
              <w:jc w:val="right"/>
              <w:spacing w:after="0"/>
              <w:rPr>
                <w:sz w:val="20"/>
                <w:szCs w:val="20"/>
                <w:color w:val="auto"/>
              </w:rPr>
            </w:pPr>
            <w:r>
              <w:rPr>
                <w:rFonts w:ascii="Arial" w:cs="Arial" w:eastAsia="Arial" w:hAnsi="Arial"/>
                <w:sz w:val="16"/>
                <w:szCs w:val="16"/>
                <w:b w:val="1"/>
                <w:bCs w:val="1"/>
                <w:color w:val="auto"/>
              </w:rPr>
              <w:t>31 %</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1,171</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232"/>
        </w:trPr>
        <w:tc>
          <w:tcPr>
            <w:tcW w:w="5680" w:type="dxa"/>
            <w:vAlign w:val="bottom"/>
            <w:gridSpan w:val="2"/>
          </w:tcPr>
          <w:p>
            <w:pPr>
              <w:ind w:left="20"/>
              <w:spacing w:after="0"/>
              <w:rPr>
                <w:sz w:val="20"/>
                <w:szCs w:val="20"/>
                <w:color w:val="auto"/>
              </w:rPr>
            </w:pPr>
            <w:r>
              <w:rPr>
                <w:rFonts w:ascii="Arial" w:cs="Arial" w:eastAsia="Arial" w:hAnsi="Arial"/>
                <w:sz w:val="15"/>
                <w:szCs w:val="15"/>
                <w:color w:val="auto"/>
              </w:rPr>
              <w:t>Pre-credit risk transfer program inception</w:t>
            </w:r>
            <w:r>
              <w:rPr>
                <w:rFonts w:ascii="Arial" w:cs="Arial" w:eastAsia="Arial" w:hAnsi="Arial"/>
                <w:sz w:val="20"/>
                <w:szCs w:val="20"/>
                <w:color w:val="auto"/>
                <w:vertAlign w:val="superscript"/>
              </w:rPr>
              <w:t>(2)</w:t>
            </w:r>
          </w:p>
        </w:tc>
        <w:tc>
          <w:tcPr>
            <w:tcW w:w="160" w:type="dxa"/>
            <w:vAlign w:val="bottom"/>
          </w:tcPr>
          <w:p>
            <w:pPr>
              <w:spacing w:after="0"/>
              <w:rPr>
                <w:sz w:val="20"/>
                <w:szCs w:val="20"/>
                <w:color w:val="auto"/>
              </w:rPr>
            </w:pPr>
          </w:p>
        </w:tc>
        <w:tc>
          <w:tcPr>
            <w:tcW w:w="900" w:type="dxa"/>
            <w:vAlign w:val="bottom"/>
          </w:tcPr>
          <w:p>
            <w:pPr>
              <w:jc w:val="right"/>
              <w:ind w:right="4"/>
              <w:spacing w:after="0"/>
              <w:rPr>
                <w:sz w:val="20"/>
                <w:szCs w:val="20"/>
                <w:color w:val="auto"/>
              </w:rPr>
            </w:pPr>
            <w:r>
              <w:rPr>
                <w:rFonts w:ascii="Arial" w:cs="Arial" w:eastAsia="Arial" w:hAnsi="Arial"/>
                <w:sz w:val="16"/>
                <w:szCs w:val="16"/>
                <w:b w:val="1"/>
                <w:bCs w:val="1"/>
                <w:color w:val="auto"/>
              </w:rPr>
              <w:t>247</w:t>
            </w:r>
          </w:p>
        </w:tc>
        <w:tc>
          <w:tcPr>
            <w:tcW w:w="1660" w:type="dxa"/>
            <w:vAlign w:val="bottom"/>
            <w:gridSpan w:val="2"/>
          </w:tcPr>
          <w:p>
            <w:pPr>
              <w:jc w:val="right"/>
              <w:ind w:right="128"/>
              <w:spacing w:after="0"/>
              <w:rPr>
                <w:sz w:val="20"/>
                <w:szCs w:val="20"/>
                <w:color w:val="auto"/>
              </w:rPr>
            </w:pPr>
            <w:r>
              <w:rPr>
                <w:rFonts w:ascii="Arial" w:cs="Arial" w:eastAsia="Arial" w:hAnsi="Arial"/>
                <w:sz w:val="16"/>
                <w:szCs w:val="16"/>
                <w:b w:val="1"/>
                <w:bCs w:val="1"/>
                <w:color w:val="auto"/>
              </w:rPr>
              <w:t>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265</w:t>
            </w:r>
          </w:p>
        </w:tc>
        <w:tc>
          <w:tcPr>
            <w:tcW w:w="1680" w:type="dxa"/>
            <w:vAlign w:val="bottom"/>
            <w:gridSpan w:val="2"/>
          </w:tcPr>
          <w:p>
            <w:pPr>
              <w:jc w:val="right"/>
              <w:ind w:right="12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45"/>
        </w:trPr>
        <w:tc>
          <w:tcPr>
            <w:tcW w:w="5680" w:type="dxa"/>
            <w:vAlign w:val="bottom"/>
            <w:gridSpan w:val="2"/>
          </w:tcPr>
          <w:p>
            <w:pPr>
              <w:ind w:left="20"/>
              <w:spacing w:after="0"/>
              <w:rPr>
                <w:sz w:val="20"/>
                <w:szCs w:val="20"/>
                <w:color w:val="auto"/>
              </w:rPr>
            </w:pPr>
            <w:r>
              <w:rPr>
                <w:rFonts w:ascii="Arial" w:cs="Arial" w:eastAsia="Arial" w:hAnsi="Arial"/>
                <w:sz w:val="15"/>
                <w:szCs w:val="15"/>
                <w:color w:val="auto"/>
              </w:rPr>
              <w:t>Recently acquired</w:t>
            </w:r>
            <w:r>
              <w:rPr>
                <w:rFonts w:ascii="Arial" w:cs="Arial" w:eastAsia="Arial" w:hAnsi="Arial"/>
                <w:sz w:val="20"/>
                <w:szCs w:val="20"/>
                <w:color w:val="auto"/>
                <w:vertAlign w:val="superscript"/>
              </w:rPr>
              <w:t>(3)</w:t>
            </w:r>
          </w:p>
        </w:tc>
        <w:tc>
          <w:tcPr>
            <w:tcW w:w="160" w:type="dxa"/>
            <w:vAlign w:val="bottom"/>
          </w:tcPr>
          <w:p>
            <w:pPr>
              <w:spacing w:after="0"/>
              <w:rPr>
                <w:sz w:val="21"/>
                <w:szCs w:val="21"/>
                <w:color w:val="auto"/>
              </w:rPr>
            </w:pPr>
          </w:p>
        </w:tc>
        <w:tc>
          <w:tcPr>
            <w:tcW w:w="900" w:type="dxa"/>
            <w:vAlign w:val="bottom"/>
          </w:tcPr>
          <w:p>
            <w:pPr>
              <w:jc w:val="right"/>
              <w:ind w:right="4"/>
              <w:spacing w:after="0"/>
              <w:rPr>
                <w:sz w:val="20"/>
                <w:szCs w:val="20"/>
                <w:color w:val="auto"/>
              </w:rPr>
            </w:pPr>
            <w:r>
              <w:rPr>
                <w:rFonts w:ascii="Arial" w:cs="Arial" w:eastAsia="Arial" w:hAnsi="Arial"/>
                <w:sz w:val="16"/>
                <w:szCs w:val="16"/>
                <w:b w:val="1"/>
                <w:bCs w:val="1"/>
                <w:color w:val="auto"/>
              </w:rPr>
              <w:t>201</w:t>
            </w:r>
          </w:p>
        </w:tc>
        <w:tc>
          <w:tcPr>
            <w:tcW w:w="1660" w:type="dxa"/>
            <w:vAlign w:val="bottom"/>
            <w:gridSpan w:val="2"/>
          </w:tcPr>
          <w:p>
            <w:pPr>
              <w:jc w:val="right"/>
              <w:ind w:right="128"/>
              <w:spacing w:after="0"/>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403</w:t>
            </w:r>
          </w:p>
        </w:tc>
        <w:tc>
          <w:tcPr>
            <w:tcW w:w="1680" w:type="dxa"/>
            <w:vAlign w:val="bottom"/>
            <w:gridSpan w:val="2"/>
          </w:tcPr>
          <w:p>
            <w:pPr>
              <w:jc w:val="right"/>
              <w:ind w:right="12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2"/>
        </w:trPr>
        <w:tc>
          <w:tcPr>
            <w:tcW w:w="5680" w:type="dxa"/>
            <w:vAlign w:val="bottom"/>
            <w:gridSpan w:val="2"/>
          </w:tcPr>
          <w:p>
            <w:pPr>
              <w:ind w:left="20"/>
              <w:spacing w:after="0"/>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(4)</w:t>
            </w:r>
          </w:p>
        </w:tc>
        <w:tc>
          <w:tcPr>
            <w:tcW w:w="160" w:type="dxa"/>
            <w:vAlign w:val="bottom"/>
          </w:tcPr>
          <w:p>
            <w:pPr>
              <w:spacing w:after="0"/>
              <w:rPr>
                <w:sz w:val="20"/>
                <w:szCs w:val="20"/>
                <w:color w:val="auto"/>
              </w:rPr>
            </w:pPr>
          </w:p>
        </w:tc>
        <w:tc>
          <w:tcPr>
            <w:tcW w:w="900" w:type="dxa"/>
            <w:vAlign w:val="bottom"/>
          </w:tcPr>
          <w:p>
            <w:pPr>
              <w:jc w:val="right"/>
              <w:ind w:right="4"/>
              <w:spacing w:after="0"/>
              <w:rPr>
                <w:sz w:val="20"/>
                <w:szCs w:val="20"/>
                <w:color w:val="auto"/>
              </w:rPr>
            </w:pPr>
            <w:r>
              <w:rPr>
                <w:rFonts w:ascii="Arial" w:cs="Arial" w:eastAsia="Arial" w:hAnsi="Arial"/>
                <w:sz w:val="16"/>
                <w:szCs w:val="16"/>
                <w:b w:val="1"/>
                <w:bCs w:val="1"/>
                <w:color w:val="auto"/>
              </w:rPr>
              <w:t>721</w:t>
            </w:r>
          </w:p>
        </w:tc>
        <w:tc>
          <w:tcPr>
            <w:tcW w:w="1660" w:type="dxa"/>
            <w:vAlign w:val="bottom"/>
            <w:gridSpan w:val="2"/>
          </w:tcPr>
          <w:p>
            <w:pPr>
              <w:jc w:val="right"/>
              <w:ind w:right="128"/>
              <w:spacing w:after="0"/>
              <w:rPr>
                <w:sz w:val="20"/>
                <w:szCs w:val="20"/>
                <w:color w:val="auto"/>
              </w:rPr>
            </w:pPr>
            <w:r>
              <w:rPr>
                <w:rFonts w:ascii="Arial" w:cs="Arial" w:eastAsia="Arial" w:hAnsi="Arial"/>
                <w:sz w:val="16"/>
                <w:szCs w:val="16"/>
                <w:b w:val="1"/>
                <w:bCs w:val="1"/>
                <w:color w:val="auto"/>
              </w:rPr>
              <w:t>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669</w:t>
            </w:r>
          </w:p>
        </w:tc>
        <w:tc>
          <w:tcPr>
            <w:tcW w:w="1680" w:type="dxa"/>
            <w:vAlign w:val="bottom"/>
            <w:gridSpan w:val="2"/>
          </w:tcPr>
          <w:p>
            <w:pPr>
              <w:jc w:val="right"/>
              <w:ind w:right="12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Less: Loans in multiple categories</w:t>
            </w:r>
          </w:p>
        </w:tc>
        <w:tc>
          <w:tcPr>
            <w:tcW w:w="10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(282)</w:t>
            </w:r>
          </w:p>
        </w:tc>
        <w:tc>
          <w:tcPr>
            <w:tcW w:w="100" w:type="dxa"/>
            <w:vAlign w:val="bottom"/>
          </w:tcPr>
          <w:p>
            <w:pPr>
              <w:spacing w:after="0"/>
              <w:rPr>
                <w:sz w:val="19"/>
                <w:szCs w:val="19"/>
                <w:color w:val="auto"/>
              </w:rPr>
            </w:pPr>
          </w:p>
        </w:tc>
        <w:tc>
          <w:tcPr>
            <w:tcW w:w="1560" w:type="dxa"/>
            <w:vAlign w:val="bottom"/>
            <w:tcBorders>
              <w:bottom w:val="single" w:sz="8" w:color="2C6937"/>
            </w:tcBorders>
          </w:tcPr>
          <w:p>
            <w:pPr>
              <w:jc w:val="right"/>
              <w:ind w:right="88"/>
              <w:spacing w:after="0"/>
              <w:rPr>
                <w:sz w:val="20"/>
                <w:szCs w:val="20"/>
                <w:color w:val="auto"/>
              </w:rPr>
            </w:pPr>
            <w:r>
              <w:rPr>
                <w:rFonts w:ascii="Arial" w:cs="Arial" w:eastAsia="Arial" w:hAnsi="Arial"/>
                <w:sz w:val="16"/>
                <w:szCs w:val="16"/>
                <w:b w:val="1"/>
                <w:bCs w:val="1"/>
                <w:color w:val="auto"/>
              </w:rPr>
              <w:t>(8)</w:t>
            </w:r>
          </w:p>
        </w:tc>
        <w:tc>
          <w:tcPr>
            <w:tcW w:w="12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19"/>
                <w:szCs w:val="19"/>
                <w:color w:val="auto"/>
              </w:rPr>
            </w:pPr>
          </w:p>
        </w:tc>
        <w:tc>
          <w:tcPr>
            <w:tcW w:w="1560" w:type="dxa"/>
            <w:vAlign w:val="bottom"/>
            <w:tcBorders>
              <w:bottom w:val="single" w:sz="8" w:color="2C6937"/>
            </w:tcBorders>
          </w:tcPr>
          <w:p>
            <w:pPr>
              <w:jc w:val="right"/>
              <w:ind w:right="8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5"/>
        </w:trPr>
        <w:tc>
          <w:tcPr>
            <w:tcW w:w="5680" w:type="dxa"/>
            <w:vAlign w:val="bottom"/>
            <w:gridSpan w:val="2"/>
          </w:tcPr>
          <w:p>
            <w:pPr>
              <w:ind w:left="220"/>
              <w:spacing w:after="0"/>
              <w:rPr>
                <w:sz w:val="20"/>
                <w:szCs w:val="20"/>
                <w:color w:val="auto"/>
              </w:rPr>
            </w:pPr>
            <w:r>
              <w:rPr>
                <w:rFonts w:ascii="Arial" w:cs="Arial" w:eastAsia="Arial" w:hAnsi="Arial"/>
                <w:sz w:val="15"/>
                <w:szCs w:val="15"/>
                <w:color w:val="auto"/>
              </w:rPr>
              <w:t>Total single-family loans currently without credit enhancement</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4"/>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56 %</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2,126</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58 %</w:t>
            </w:r>
          </w:p>
        </w:tc>
        <w:tc>
          <w:tcPr>
            <w:tcW w:w="0" w:type="dxa"/>
            <w:vAlign w:val="bottom"/>
          </w:tcPr>
          <w:p>
            <w:pPr>
              <w:spacing w:after="0"/>
              <w:rPr>
                <w:sz w:val="1"/>
                <w:szCs w:val="1"/>
                <w:color w:val="auto"/>
              </w:rPr>
            </w:pPr>
          </w:p>
        </w:tc>
      </w:tr>
      <w:tr>
        <w:trPr>
          <w:trHeight w:val="21"/>
        </w:trPr>
        <w:tc>
          <w:tcPr>
            <w:tcW w:w="55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240" w:hanging="237"/>
        <w:spacing w:after="0"/>
        <w:tabs>
          <w:tab w:leader="none" w:pos="24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Represents loans with an LTV ratio less than or equal to 60% or loans with an original maturity of 20 years or less.</w:t>
      </w:r>
    </w:p>
    <w:p>
      <w:pPr>
        <w:spacing w:after="0" w:line="41" w:lineRule="exact"/>
        <w:rPr>
          <w:rFonts w:ascii="Arial" w:cs="Arial" w:eastAsia="Arial" w:hAnsi="Arial"/>
          <w:sz w:val="18"/>
          <w:szCs w:val="18"/>
          <w:color w:val="auto"/>
          <w:vertAlign w:val="superscript"/>
        </w:rPr>
      </w:pPr>
    </w:p>
    <w:p>
      <w:pPr>
        <w:ind w:left="240" w:hanging="237"/>
        <w:spacing w:after="0" w:line="224" w:lineRule="auto"/>
        <w:tabs>
          <w:tab w:leader="none" w:pos="24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Represents loans that were acquired before the inception of our credit risk transfer programs. Also includes Refi Plus</w:t>
      </w:r>
      <w:r>
        <w:rPr>
          <w:rFonts w:ascii="Arial" w:cs="Arial" w:eastAsia="Arial" w:hAnsi="Arial"/>
          <w:sz w:val="17"/>
          <w:szCs w:val="17"/>
          <w:color w:val="auto"/>
          <w:vertAlign w:val="superscript"/>
        </w:rPr>
        <w:t>TM</w:t>
      </w:r>
      <w:r>
        <w:rPr>
          <w:rFonts w:ascii="Arial" w:cs="Arial" w:eastAsia="Arial" w:hAnsi="Arial"/>
          <w:sz w:val="14"/>
          <w:szCs w:val="14"/>
          <w:color w:val="auto"/>
        </w:rPr>
        <w:t xml:space="preserve"> loans.</w:t>
      </w:r>
    </w:p>
    <w:p>
      <w:pPr>
        <w:ind w:left="240" w:hanging="237"/>
        <w:spacing w:after="0"/>
        <w:tabs>
          <w:tab w:leader="none" w:pos="240" w:val="left"/>
        </w:tabs>
        <w:numPr>
          <w:ilvl w:val="0"/>
          <w:numId w:val="39"/>
        </w:numPr>
        <w:rPr>
          <w:rFonts w:ascii="Arial" w:cs="Arial" w:eastAsia="Arial" w:hAnsi="Arial"/>
          <w:sz w:val="9"/>
          <w:szCs w:val="9"/>
          <w:color w:val="auto"/>
        </w:rPr>
      </w:pPr>
      <w:r>
        <w:rPr>
          <w:rFonts w:ascii="Arial" w:cs="Arial" w:eastAsia="Arial" w:hAnsi="Arial"/>
          <w:sz w:val="14"/>
          <w:szCs w:val="14"/>
          <w:color w:val="auto"/>
        </w:rPr>
        <w:t>Represents loans that were recently acquired and have not been included in a reference pool.</w:t>
      </w:r>
    </w:p>
    <w:p>
      <w:pPr>
        <w:spacing w:after="0" w:line="35" w:lineRule="exact"/>
        <w:rPr>
          <w:rFonts w:ascii="Arial" w:cs="Arial" w:eastAsia="Arial" w:hAnsi="Arial"/>
          <w:sz w:val="9"/>
          <w:szCs w:val="9"/>
          <w:color w:val="auto"/>
        </w:rPr>
      </w:pPr>
    </w:p>
    <w:p>
      <w:pPr>
        <w:ind w:left="240" w:right="80" w:hanging="237"/>
        <w:spacing w:after="0" w:line="259" w:lineRule="auto"/>
        <w:tabs>
          <w:tab w:leader="none" w:pos="240" w:val="left"/>
        </w:tabs>
        <w:numPr>
          <w:ilvl w:val="0"/>
          <w:numId w:val="39"/>
        </w:numPr>
        <w:rPr>
          <w:rFonts w:ascii="Arial" w:cs="Arial" w:eastAsia="Arial" w:hAnsi="Arial"/>
          <w:sz w:val="9"/>
          <w:szCs w:val="9"/>
          <w:color w:val="auto"/>
        </w:rPr>
      </w:pPr>
      <w:r>
        <w:rPr>
          <w:rFonts w:ascii="Arial" w:cs="Arial" w:eastAsia="Arial" w:hAnsi="Arial"/>
          <w:sz w:val="14"/>
          <w:szCs w:val="14"/>
          <w:color w:val="auto"/>
        </w:rPr>
        <w:t>Includes adjustable-rate mortgage loans, loans with a combined LTV ratio greater than 97%, non-Refi Plus loans acquired after the inception of our credit risk transfer programs that became 30 or more days delinquent prior to inclusion in a credit risk transfer transaction, and loans that were delinquent as of June 30, 2023 or December 31, 2022, as applicable. Also includes loans that were previously included in a credit risk transfer transaction but subsequently had the coverage canceled.</w:t>
      </w:r>
    </w:p>
    <w:p>
      <w:pPr>
        <w:spacing w:after="0" w:line="8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Single-Family Problem Loan Management</w:t>
      </w:r>
    </w:p>
    <w:p>
      <w:pPr>
        <w:spacing w:after="0" w:line="97"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Our problem loan management strategies focus primarily on reducing defaults to avoid losses that would otherwise occur and pursuing foreclosure alternatives to mitigate the severity of the losses we incur. See “MD&amp;A—Single-Family Business—Single-Family Mortgage Credit Risk Management— Single-Family Problem Loan Management” in our 2022 Form 10-K for a discussion of delinquency statistics on our problem loans, efforts undertaken to manage our problem loans, metrics regarding our loan workout activities, real estate owned (“REO”) management and other single-family credit-related information. The discussion below updates some of that information. We also provide ongoing credit performance information on loans underlying single-family Fannie Mae MBS and loans covered by single-family credit risk transfer transactions. For loans backing Fannie Mae MBS, see the “Forbearance and Delinquency Dashboard” available in the MBS section of our Data Dynamics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tool, which is available at www.fanniemae.com/datadynamics. For loans covered by credit risk transfer transactions, see the “Deal Performance Data” report available in the CAS and CIRT sections of the tool. Information on our website is not incorporated into this report. Information in Data Dynamics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32</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840" w:type="dxa"/>
            <w:vAlign w:val="bottom"/>
            <w:tcBorders>
              <w:bottom w:val="single" w:sz="8" w:color="9A9A9A"/>
            </w:tcBorders>
          </w:tcPr>
          <w:p>
            <w:pPr>
              <w:spacing w:after="0"/>
              <w:rPr>
                <w:sz w:val="18"/>
                <w:szCs w:val="18"/>
                <w:color w:val="auto"/>
              </w:rPr>
            </w:pPr>
          </w:p>
        </w:tc>
        <w:tc>
          <w:tcPr>
            <w:tcW w:w="42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35" w:name="page36"/>
    <w:bookmarkEnd w:id="35"/>
    <w:p>
      <w:pPr>
        <w:ind w:left="610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15875</wp:posOffset>
            </wp:positionV>
            <wp:extent cx="70072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right="680"/>
        <w:spacing w:after="0" w:line="283" w:lineRule="auto"/>
        <w:rPr>
          <w:sz w:val="20"/>
          <w:szCs w:val="20"/>
          <w:color w:val="auto"/>
        </w:rPr>
      </w:pPr>
      <w:r>
        <w:rPr>
          <w:rFonts w:ascii="Arial" w:cs="Arial" w:eastAsia="Arial" w:hAnsi="Arial"/>
          <w:sz w:val="16"/>
          <w:szCs w:val="16"/>
          <w:color w:val="auto"/>
        </w:rPr>
        <w:t>may differ from similar measures presented in our financial statements and other public disclosures for a variety of reasons, including as a result of variations in the loan population covered, timing differences in reporting and other factors.</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9"/>
          <w:szCs w:val="19"/>
          <w:i w:val="1"/>
          <w:iCs w:val="1"/>
          <w:color w:val="05314D"/>
        </w:rPr>
        <w:t>Delinquency</w:t>
      </w:r>
    </w:p>
    <w:p>
      <w:pPr>
        <w:spacing w:after="0" w:line="116" w:lineRule="exact"/>
        <w:rPr>
          <w:sz w:val="20"/>
          <w:szCs w:val="20"/>
          <w:color w:val="auto"/>
        </w:rPr>
      </w:pPr>
    </w:p>
    <w:p>
      <w:pPr>
        <w:ind w:left="20" w:right="20"/>
        <w:spacing w:after="0" w:line="261" w:lineRule="auto"/>
        <w:rPr>
          <w:sz w:val="20"/>
          <w:szCs w:val="20"/>
          <w:color w:val="auto"/>
        </w:rPr>
      </w:pPr>
      <w:r>
        <w:rPr>
          <w:rFonts w:ascii="Arial" w:cs="Arial" w:eastAsia="Arial" w:hAnsi="Arial"/>
          <w:sz w:val="16"/>
          <w:szCs w:val="16"/>
          <w:color w:val="auto"/>
        </w:rPr>
        <w:t>The tables below display the delinquency status of loans and changes in the volume of seriously delinquent loans in our single-family conventional guaranty book of business based on the number of loans. Single-family seriously delinquent loans are loans that are 90 days or more past due or in the foreclosure process. Our single-family serious delinquency rate is expressed as a percentage of our single-family conventional guaranty book of business based on loan count. Management monitors the single-family serious delinquency rate as an indicator of potential future credit losses and loss mitigation activities. Serious delinquency rates are reflective of our performance in assessing and managing credit risk associated with single-family loans in our guaranty book of business. Typically, higher serious delinquency rates result in a higher allowance for loan losses.</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color w:val="05314D"/>
        </w:rPr>
        <w:t>Delinquency Status and Activity of Single-Family Conventional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42545</wp:posOffset>
            </wp:positionV>
            <wp:extent cx="7138670" cy="16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18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820" w:type="dxa"/>
            <w:vAlign w:val="bottom"/>
            <w:tcBorders>
              <w:bottom w:val="single" w:sz="8" w:color="2C6937"/>
            </w:tcBorders>
            <w:gridSpan w:val="3"/>
          </w:tcPr>
          <w:p>
            <w:pPr>
              <w:jc w:val="center"/>
              <w:ind w:right="260"/>
              <w:spacing w:after="0"/>
              <w:rPr>
                <w:sz w:val="20"/>
                <w:szCs w:val="20"/>
                <w:color w:val="auto"/>
              </w:rPr>
            </w:pPr>
            <w:r>
              <w:rPr>
                <w:rFonts w:ascii="Arial" w:cs="Arial" w:eastAsia="Arial" w:hAnsi="Arial"/>
                <w:sz w:val="14"/>
                <w:szCs w:val="14"/>
                <w:b w:val="1"/>
                <w:bCs w:val="1"/>
                <w:color w:val="auto"/>
              </w:rPr>
              <w:t>As of</w:t>
            </w:r>
          </w:p>
        </w:tc>
        <w:tc>
          <w:tcPr>
            <w:tcW w:w="20" w:type="dxa"/>
            <w:vAlign w:val="bottom"/>
            <w:tcBorders>
              <w:bottom w:val="single" w:sz="8" w:color="2C6937"/>
            </w:tcBorders>
          </w:tcPr>
          <w:p>
            <w:pPr>
              <w:spacing w:after="0"/>
              <w:rPr>
                <w:sz w:val="16"/>
                <w:szCs w:val="16"/>
                <w:color w:val="auto"/>
              </w:rPr>
            </w:pPr>
          </w:p>
        </w:tc>
        <w:tc>
          <w:tcPr>
            <w:tcW w:w="178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1860" w:type="dxa"/>
            <w:vAlign w:val="bottom"/>
          </w:tcPr>
          <w:p>
            <w:pPr>
              <w:jc w:val="right"/>
              <w:ind w:right="404"/>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8"/>
              </w:rPr>
              <w:t>December 31, 2022</w:t>
            </w:r>
          </w:p>
        </w:tc>
        <w:tc>
          <w:tcPr>
            <w:tcW w:w="20" w:type="dxa"/>
            <w:vAlign w:val="bottom"/>
          </w:tcPr>
          <w:p>
            <w:pPr>
              <w:spacing w:after="0"/>
              <w:rPr>
                <w:sz w:val="16"/>
                <w:szCs w:val="16"/>
                <w:color w:val="auto"/>
              </w:rPr>
            </w:pPr>
          </w:p>
        </w:tc>
        <w:tc>
          <w:tcPr>
            <w:tcW w:w="18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June 30, 2022</w:t>
            </w:r>
          </w:p>
        </w:tc>
      </w:tr>
      <w:tr>
        <w:trPr>
          <w:trHeight w:val="220"/>
        </w:trPr>
        <w:tc>
          <w:tcPr>
            <w:tcW w:w="5440" w:type="dxa"/>
            <w:vAlign w:val="bottom"/>
            <w:gridSpan w:val="2"/>
          </w:tcPr>
          <w:p>
            <w:pPr>
              <w:spacing w:after="0"/>
              <w:rPr>
                <w:sz w:val="20"/>
                <w:szCs w:val="20"/>
                <w:color w:val="auto"/>
              </w:rPr>
            </w:pPr>
            <w:r>
              <w:rPr>
                <w:rFonts w:ascii="Arial" w:cs="Arial" w:eastAsia="Arial" w:hAnsi="Arial"/>
                <w:sz w:val="15"/>
                <w:szCs w:val="15"/>
                <w:b w:val="1"/>
                <w:bCs w:val="1"/>
                <w:color w:val="auto"/>
              </w:rPr>
              <w:t>Delinquency status:</w:t>
            </w:r>
          </w:p>
        </w:tc>
        <w:tc>
          <w:tcPr>
            <w:tcW w:w="1860" w:type="dxa"/>
            <w:vAlign w:val="bottom"/>
            <w:tcBorders>
              <w:top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Borders>
              <w:top w:val="single" w:sz="8" w:color="2C6937"/>
            </w:tcBorders>
          </w:tcPr>
          <w:p>
            <w:pPr>
              <w:spacing w:after="0"/>
              <w:rPr>
                <w:sz w:val="19"/>
                <w:szCs w:val="19"/>
                <w:color w:val="auto"/>
              </w:rPr>
            </w:pPr>
          </w:p>
        </w:tc>
        <w:tc>
          <w:tcPr>
            <w:tcW w:w="120" w:type="dxa"/>
            <w:vAlign w:val="bottom"/>
            <w:tcBorders>
              <w:top w:val="single" w:sz="8" w:color="2C6937"/>
            </w:tcBorders>
          </w:tcPr>
          <w:p>
            <w:pPr>
              <w:spacing w:after="0"/>
              <w:rPr>
                <w:sz w:val="19"/>
                <w:szCs w:val="19"/>
                <w:color w:val="auto"/>
              </w:rPr>
            </w:pPr>
          </w:p>
        </w:tc>
        <w:tc>
          <w:tcPr>
            <w:tcW w:w="1700" w:type="dxa"/>
            <w:vAlign w:val="bottom"/>
            <w:tcBorders>
              <w:top w:val="single" w:sz="8" w:color="2C6937"/>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2C6937"/>
            </w:tcBorders>
          </w:tcPr>
          <w:p>
            <w:pPr>
              <w:spacing w:after="0"/>
              <w:rPr>
                <w:sz w:val="19"/>
                <w:szCs w:val="19"/>
                <w:color w:val="auto"/>
              </w:rPr>
            </w:pPr>
          </w:p>
        </w:tc>
        <w:tc>
          <w:tcPr>
            <w:tcW w:w="1780" w:type="dxa"/>
            <w:vAlign w:val="bottom"/>
            <w:tcBorders>
              <w:top w:val="single" w:sz="8" w:color="2C6937"/>
            </w:tcBorders>
          </w:tcPr>
          <w:p>
            <w:pPr>
              <w:spacing w:after="0"/>
              <w:rPr>
                <w:sz w:val="19"/>
                <w:szCs w:val="19"/>
                <w:color w:val="auto"/>
              </w:rPr>
            </w:pPr>
          </w:p>
        </w:tc>
        <w:tc>
          <w:tcPr>
            <w:tcW w:w="40" w:type="dxa"/>
            <w:vAlign w:val="bottom"/>
            <w:tcBorders>
              <w:top w:val="single" w:sz="8" w:color="2C6937"/>
            </w:tcBorders>
          </w:tcPr>
          <w:p>
            <w:pPr>
              <w:spacing w:after="0"/>
              <w:rPr>
                <w:sz w:val="19"/>
                <w:szCs w:val="19"/>
                <w:color w:val="auto"/>
              </w:rPr>
            </w:pPr>
          </w:p>
        </w:tc>
      </w:tr>
      <w:tr>
        <w:trPr>
          <w:trHeight w:val="245"/>
        </w:trPr>
        <w:tc>
          <w:tcPr>
            <w:tcW w:w="20" w:type="dxa"/>
            <w:vAlign w:val="bottom"/>
          </w:tcPr>
          <w:p>
            <w:pPr>
              <w:spacing w:after="0"/>
              <w:rPr>
                <w:sz w:val="21"/>
                <w:szCs w:val="21"/>
                <w:color w:val="auto"/>
              </w:rPr>
            </w:pPr>
          </w:p>
        </w:tc>
        <w:tc>
          <w:tcPr>
            <w:tcW w:w="5420" w:type="dxa"/>
            <w:vAlign w:val="bottom"/>
          </w:tcPr>
          <w:p>
            <w:pPr>
              <w:ind w:left="140"/>
              <w:spacing w:after="0"/>
              <w:rPr>
                <w:sz w:val="20"/>
                <w:szCs w:val="20"/>
                <w:color w:val="auto"/>
              </w:rPr>
            </w:pPr>
            <w:r>
              <w:rPr>
                <w:rFonts w:ascii="Arial" w:cs="Arial" w:eastAsia="Arial" w:hAnsi="Arial"/>
                <w:sz w:val="15"/>
                <w:szCs w:val="15"/>
                <w:color w:val="auto"/>
              </w:rPr>
              <w:t>30 to 59 days delinquent</w:t>
            </w:r>
          </w:p>
        </w:tc>
        <w:tc>
          <w:tcPr>
            <w:tcW w:w="1860" w:type="dxa"/>
            <w:vAlign w:val="bottom"/>
          </w:tcPr>
          <w:p>
            <w:pPr>
              <w:jc w:val="right"/>
              <w:spacing w:after="0"/>
              <w:rPr>
                <w:sz w:val="20"/>
                <w:szCs w:val="20"/>
                <w:color w:val="auto"/>
              </w:rPr>
            </w:pPr>
            <w:r>
              <w:rPr>
                <w:rFonts w:ascii="Arial" w:cs="Arial" w:eastAsia="Arial" w:hAnsi="Arial"/>
                <w:sz w:val="15"/>
                <w:szCs w:val="15"/>
                <w:b w:val="1"/>
                <w:bCs w:val="1"/>
                <w:color w:val="auto"/>
              </w:rPr>
              <w:t>0.84 %</w:t>
            </w:r>
          </w:p>
        </w:tc>
        <w:tc>
          <w:tcPr>
            <w:tcW w:w="1960" w:type="dxa"/>
            <w:vAlign w:val="bottom"/>
            <w:gridSpan w:val="4"/>
          </w:tcPr>
          <w:p>
            <w:pPr>
              <w:ind w:left="1460"/>
              <w:spacing w:after="0"/>
              <w:rPr>
                <w:sz w:val="20"/>
                <w:szCs w:val="20"/>
                <w:color w:val="auto"/>
              </w:rPr>
            </w:pPr>
            <w:r>
              <w:rPr>
                <w:rFonts w:ascii="Arial" w:cs="Arial" w:eastAsia="Arial" w:hAnsi="Arial"/>
                <w:sz w:val="15"/>
                <w:szCs w:val="15"/>
                <w:color w:val="auto"/>
              </w:rPr>
              <w:t>0.96 %</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gridSpan w:val="3"/>
          </w:tcPr>
          <w:p>
            <w:pPr>
              <w:jc w:val="right"/>
              <w:ind w:right="20"/>
              <w:spacing w:after="0"/>
              <w:rPr>
                <w:sz w:val="20"/>
                <w:szCs w:val="20"/>
                <w:color w:val="auto"/>
              </w:rPr>
            </w:pPr>
            <w:r>
              <w:rPr>
                <w:rFonts w:ascii="Arial" w:cs="Arial" w:eastAsia="Arial" w:hAnsi="Arial"/>
                <w:sz w:val="15"/>
                <w:szCs w:val="15"/>
                <w:color w:val="auto"/>
              </w:rPr>
              <w:t>0.84 %</w:t>
            </w:r>
          </w:p>
        </w:tc>
      </w:tr>
      <w:tr>
        <w:trPr>
          <w:trHeight w:val="245"/>
        </w:trPr>
        <w:tc>
          <w:tcPr>
            <w:tcW w:w="20" w:type="dxa"/>
            <w:vAlign w:val="bottom"/>
          </w:tcPr>
          <w:p>
            <w:pPr>
              <w:spacing w:after="0"/>
              <w:rPr>
                <w:sz w:val="21"/>
                <w:szCs w:val="21"/>
                <w:color w:val="auto"/>
              </w:rPr>
            </w:pPr>
          </w:p>
        </w:tc>
        <w:tc>
          <w:tcPr>
            <w:tcW w:w="5420" w:type="dxa"/>
            <w:vAlign w:val="bottom"/>
          </w:tcPr>
          <w:p>
            <w:pPr>
              <w:ind w:left="140"/>
              <w:spacing w:after="0"/>
              <w:rPr>
                <w:sz w:val="20"/>
                <w:szCs w:val="20"/>
                <w:color w:val="auto"/>
              </w:rPr>
            </w:pPr>
            <w:r>
              <w:rPr>
                <w:rFonts w:ascii="Arial" w:cs="Arial" w:eastAsia="Arial" w:hAnsi="Arial"/>
                <w:sz w:val="15"/>
                <w:szCs w:val="15"/>
                <w:color w:val="auto"/>
              </w:rPr>
              <w:t>60 to 89 days delinquent</w:t>
            </w:r>
          </w:p>
        </w:tc>
        <w:tc>
          <w:tcPr>
            <w:tcW w:w="1860" w:type="dxa"/>
            <w:vAlign w:val="bottom"/>
          </w:tcPr>
          <w:p>
            <w:pPr>
              <w:jc w:val="right"/>
              <w:ind w:right="124"/>
              <w:spacing w:after="0"/>
              <w:rPr>
                <w:sz w:val="20"/>
                <w:szCs w:val="20"/>
                <w:color w:val="auto"/>
              </w:rPr>
            </w:pPr>
            <w:r>
              <w:rPr>
                <w:rFonts w:ascii="Arial" w:cs="Arial" w:eastAsia="Arial" w:hAnsi="Arial"/>
                <w:sz w:val="15"/>
                <w:szCs w:val="15"/>
                <w:b w:val="1"/>
                <w:bCs w:val="1"/>
                <w:color w:val="auto"/>
              </w:rPr>
              <w:t>0.21</w:t>
            </w:r>
          </w:p>
        </w:tc>
        <w:tc>
          <w:tcPr>
            <w:tcW w:w="1960" w:type="dxa"/>
            <w:vAlign w:val="bottom"/>
            <w:gridSpan w:val="4"/>
          </w:tcPr>
          <w:p>
            <w:pPr>
              <w:ind w:left="1460"/>
              <w:spacing w:after="0"/>
              <w:rPr>
                <w:sz w:val="20"/>
                <w:szCs w:val="20"/>
                <w:color w:val="auto"/>
              </w:rPr>
            </w:pPr>
            <w:r>
              <w:rPr>
                <w:rFonts w:ascii="Arial" w:cs="Arial" w:eastAsia="Arial" w:hAnsi="Arial"/>
                <w:sz w:val="15"/>
                <w:szCs w:val="15"/>
                <w:color w:val="auto"/>
              </w:rPr>
              <w:t>0.23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ind w:right="86"/>
              <w:spacing w:after="0"/>
              <w:rPr>
                <w:sz w:val="20"/>
                <w:szCs w:val="20"/>
                <w:color w:val="auto"/>
              </w:rPr>
            </w:pPr>
            <w:r>
              <w:rPr>
                <w:rFonts w:ascii="Arial" w:cs="Arial" w:eastAsia="Arial" w:hAnsi="Arial"/>
                <w:sz w:val="15"/>
                <w:szCs w:val="15"/>
                <w:color w:val="auto"/>
              </w:rPr>
              <w:t>0.19</w:t>
            </w:r>
          </w:p>
        </w:tc>
        <w:tc>
          <w:tcPr>
            <w:tcW w:w="40" w:type="dxa"/>
            <w:vAlign w:val="bottom"/>
          </w:tcPr>
          <w:p>
            <w:pPr>
              <w:spacing w:after="0"/>
              <w:rPr>
                <w:sz w:val="21"/>
                <w:szCs w:val="21"/>
                <w:color w:val="auto"/>
              </w:rPr>
            </w:pPr>
          </w:p>
        </w:tc>
      </w:tr>
      <w:tr>
        <w:trPr>
          <w:trHeight w:val="232"/>
        </w:trPr>
        <w:tc>
          <w:tcPr>
            <w:tcW w:w="20" w:type="dxa"/>
            <w:vAlign w:val="bottom"/>
          </w:tcPr>
          <w:p>
            <w:pPr>
              <w:spacing w:after="0"/>
              <w:rPr>
                <w:sz w:val="20"/>
                <w:szCs w:val="20"/>
                <w:color w:val="auto"/>
              </w:rPr>
            </w:pPr>
          </w:p>
        </w:tc>
        <w:tc>
          <w:tcPr>
            <w:tcW w:w="5420" w:type="dxa"/>
            <w:vAlign w:val="bottom"/>
          </w:tcPr>
          <w:p>
            <w:pPr>
              <w:ind w:left="140"/>
              <w:spacing w:after="0"/>
              <w:rPr>
                <w:sz w:val="20"/>
                <w:szCs w:val="20"/>
                <w:color w:val="auto"/>
              </w:rPr>
            </w:pPr>
            <w:r>
              <w:rPr>
                <w:rFonts w:ascii="Arial" w:cs="Arial" w:eastAsia="Arial" w:hAnsi="Arial"/>
                <w:sz w:val="15"/>
                <w:szCs w:val="15"/>
                <w:color w:val="auto"/>
              </w:rPr>
              <w:t>Seriously delinquent (“SDQ”):</w:t>
            </w:r>
          </w:p>
        </w:tc>
        <w:tc>
          <w:tcPr>
            <w:tcW w:w="1860" w:type="dxa"/>
            <w:vAlign w:val="bottom"/>
          </w:tcPr>
          <w:p>
            <w:pPr>
              <w:jc w:val="right"/>
              <w:ind w:right="124"/>
              <w:spacing w:after="0"/>
              <w:rPr>
                <w:sz w:val="20"/>
                <w:szCs w:val="20"/>
                <w:color w:val="auto"/>
              </w:rPr>
            </w:pPr>
            <w:r>
              <w:rPr>
                <w:rFonts w:ascii="Arial" w:cs="Arial" w:eastAsia="Arial" w:hAnsi="Arial"/>
                <w:sz w:val="15"/>
                <w:szCs w:val="15"/>
                <w:b w:val="1"/>
                <w:bCs w:val="1"/>
                <w:color w:val="auto"/>
              </w:rPr>
              <w:t>0.55</w:t>
            </w:r>
          </w:p>
        </w:tc>
        <w:tc>
          <w:tcPr>
            <w:tcW w:w="1960" w:type="dxa"/>
            <w:vAlign w:val="bottom"/>
            <w:gridSpan w:val="4"/>
          </w:tcPr>
          <w:p>
            <w:pPr>
              <w:ind w:left="1460"/>
              <w:spacing w:after="0"/>
              <w:rPr>
                <w:sz w:val="20"/>
                <w:szCs w:val="20"/>
                <w:color w:val="auto"/>
              </w:rPr>
            </w:pPr>
            <w:r>
              <w:rPr>
                <w:rFonts w:ascii="Arial" w:cs="Arial" w:eastAsia="Arial" w:hAnsi="Arial"/>
                <w:sz w:val="15"/>
                <w:szCs w:val="15"/>
                <w:color w:val="auto"/>
              </w:rPr>
              <w:t>0.65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gridSpan w:val="2"/>
          </w:tcPr>
          <w:p>
            <w:pPr>
              <w:jc w:val="right"/>
              <w:ind w:right="86"/>
              <w:spacing w:after="0"/>
              <w:rPr>
                <w:sz w:val="20"/>
                <w:szCs w:val="20"/>
                <w:color w:val="auto"/>
              </w:rPr>
            </w:pPr>
            <w:r>
              <w:rPr>
                <w:rFonts w:ascii="Arial" w:cs="Arial" w:eastAsia="Arial" w:hAnsi="Arial"/>
                <w:sz w:val="15"/>
                <w:szCs w:val="15"/>
                <w:color w:val="auto"/>
              </w:rPr>
              <w:t>0.81</w:t>
            </w:r>
          </w:p>
        </w:tc>
        <w:tc>
          <w:tcPr>
            <w:tcW w:w="40" w:type="dxa"/>
            <w:vAlign w:val="bottom"/>
          </w:tcPr>
          <w:p>
            <w:pPr>
              <w:spacing w:after="0"/>
              <w:rPr>
                <w:sz w:val="20"/>
                <w:szCs w:val="20"/>
                <w:color w:val="auto"/>
              </w:rPr>
            </w:pPr>
          </w:p>
        </w:tc>
      </w:tr>
      <w:tr>
        <w:trPr>
          <w:trHeight w:val="205"/>
        </w:trPr>
        <w:tc>
          <w:tcPr>
            <w:tcW w:w="20" w:type="dxa"/>
            <w:vAlign w:val="bottom"/>
          </w:tcPr>
          <w:p>
            <w:pPr>
              <w:spacing w:after="0"/>
              <w:rPr>
                <w:sz w:val="17"/>
                <w:szCs w:val="17"/>
                <w:color w:val="auto"/>
              </w:rPr>
            </w:pPr>
          </w:p>
        </w:tc>
        <w:tc>
          <w:tcPr>
            <w:tcW w:w="5420" w:type="dxa"/>
            <w:vAlign w:val="bottom"/>
          </w:tcPr>
          <w:p>
            <w:pPr>
              <w:ind w:left="280"/>
              <w:spacing w:after="0"/>
              <w:rPr>
                <w:sz w:val="20"/>
                <w:szCs w:val="20"/>
                <w:color w:val="auto"/>
              </w:rPr>
            </w:pPr>
            <w:r>
              <w:rPr>
                <w:rFonts w:ascii="Arial" w:cs="Arial" w:eastAsia="Arial" w:hAnsi="Arial"/>
                <w:sz w:val="15"/>
                <w:szCs w:val="15"/>
                <w:color w:val="auto"/>
              </w:rPr>
              <w:t>Percentage of SDQ loans that have been delinquent for more than 180</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5420" w:type="dxa"/>
            <w:vAlign w:val="bottom"/>
          </w:tcPr>
          <w:p>
            <w:pPr>
              <w:ind w:left="440"/>
              <w:spacing w:after="0"/>
              <w:rPr>
                <w:sz w:val="20"/>
                <w:szCs w:val="20"/>
                <w:color w:val="auto"/>
              </w:rPr>
            </w:pPr>
            <w:r>
              <w:rPr>
                <w:rFonts w:ascii="Arial" w:cs="Arial" w:eastAsia="Arial" w:hAnsi="Arial"/>
                <w:sz w:val="15"/>
                <w:szCs w:val="15"/>
                <w:color w:val="auto"/>
              </w:rPr>
              <w:t>days</w:t>
            </w:r>
          </w:p>
        </w:tc>
        <w:tc>
          <w:tcPr>
            <w:tcW w:w="1860" w:type="dxa"/>
            <w:vAlign w:val="bottom"/>
          </w:tcPr>
          <w:p>
            <w:pPr>
              <w:jc w:val="right"/>
              <w:ind w:right="124"/>
              <w:spacing w:after="0"/>
              <w:rPr>
                <w:sz w:val="20"/>
                <w:szCs w:val="20"/>
                <w:color w:val="auto"/>
              </w:rPr>
            </w:pPr>
            <w:r>
              <w:rPr>
                <w:rFonts w:ascii="Arial" w:cs="Arial" w:eastAsia="Arial" w:hAnsi="Arial"/>
                <w:sz w:val="15"/>
                <w:szCs w:val="15"/>
                <w:b w:val="1"/>
                <w:bCs w:val="1"/>
                <w:color w:val="auto"/>
              </w:rPr>
              <w:t>54</w:t>
            </w:r>
          </w:p>
        </w:tc>
        <w:tc>
          <w:tcPr>
            <w:tcW w:w="1960" w:type="dxa"/>
            <w:vAlign w:val="bottom"/>
            <w:gridSpan w:val="4"/>
          </w:tcPr>
          <w:p>
            <w:pPr>
              <w:jc w:val="right"/>
              <w:ind w:right="128"/>
              <w:spacing w:after="0"/>
              <w:rPr>
                <w:sz w:val="20"/>
                <w:szCs w:val="20"/>
                <w:color w:val="auto"/>
              </w:rPr>
            </w:pPr>
            <w:r>
              <w:rPr>
                <w:rFonts w:ascii="Arial" w:cs="Arial" w:eastAsia="Arial" w:hAnsi="Arial"/>
                <w:sz w:val="15"/>
                <w:szCs w:val="15"/>
                <w:color w:val="auto"/>
              </w:rPr>
              <w:t>55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gridSpan w:val="2"/>
          </w:tcPr>
          <w:p>
            <w:pPr>
              <w:jc w:val="right"/>
              <w:ind w:right="86"/>
              <w:spacing w:after="0"/>
              <w:rPr>
                <w:sz w:val="20"/>
                <w:szCs w:val="20"/>
                <w:color w:val="auto"/>
              </w:rPr>
            </w:pPr>
            <w:r>
              <w:rPr>
                <w:rFonts w:ascii="Arial" w:cs="Arial" w:eastAsia="Arial" w:hAnsi="Arial"/>
                <w:sz w:val="15"/>
                <w:szCs w:val="15"/>
                <w:color w:val="auto"/>
              </w:rPr>
              <w:t>68</w:t>
            </w:r>
          </w:p>
        </w:tc>
        <w:tc>
          <w:tcPr>
            <w:tcW w:w="40" w:type="dxa"/>
            <w:vAlign w:val="bottom"/>
          </w:tcPr>
          <w:p>
            <w:pPr>
              <w:spacing w:after="0"/>
              <w:rPr>
                <w:sz w:val="19"/>
                <w:szCs w:val="19"/>
                <w:color w:val="auto"/>
              </w:rPr>
            </w:pPr>
          </w:p>
        </w:tc>
      </w:tr>
      <w:tr>
        <w:trPr>
          <w:trHeight w:val="192"/>
        </w:trPr>
        <w:tc>
          <w:tcPr>
            <w:tcW w:w="20" w:type="dxa"/>
            <w:vAlign w:val="bottom"/>
          </w:tcPr>
          <w:p>
            <w:pPr>
              <w:spacing w:after="0"/>
              <w:rPr>
                <w:sz w:val="16"/>
                <w:szCs w:val="16"/>
                <w:color w:val="auto"/>
              </w:rPr>
            </w:pPr>
          </w:p>
        </w:tc>
        <w:tc>
          <w:tcPr>
            <w:tcW w:w="5420" w:type="dxa"/>
            <w:vAlign w:val="bottom"/>
          </w:tcPr>
          <w:p>
            <w:pPr>
              <w:ind w:left="280"/>
              <w:spacing w:after="0"/>
              <w:rPr>
                <w:sz w:val="20"/>
                <w:szCs w:val="20"/>
                <w:color w:val="auto"/>
              </w:rPr>
            </w:pPr>
            <w:r>
              <w:rPr>
                <w:rFonts w:ascii="Arial" w:cs="Arial" w:eastAsia="Arial" w:hAnsi="Arial"/>
                <w:sz w:val="15"/>
                <w:szCs w:val="15"/>
                <w:color w:val="auto"/>
              </w:rPr>
              <w:t>Percentage of SDQ loans that have been delinquent for more than two</w:t>
            </w: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5420" w:type="dxa"/>
            <w:vAlign w:val="bottom"/>
          </w:tcPr>
          <w:p>
            <w:pPr>
              <w:ind w:left="440"/>
              <w:spacing w:after="0"/>
              <w:rPr>
                <w:sz w:val="20"/>
                <w:szCs w:val="20"/>
                <w:color w:val="auto"/>
              </w:rPr>
            </w:pPr>
            <w:r>
              <w:rPr>
                <w:rFonts w:ascii="Arial" w:cs="Arial" w:eastAsia="Arial" w:hAnsi="Arial"/>
                <w:sz w:val="15"/>
                <w:szCs w:val="15"/>
                <w:color w:val="auto"/>
              </w:rPr>
              <w:t>years</w:t>
            </w:r>
          </w:p>
        </w:tc>
        <w:tc>
          <w:tcPr>
            <w:tcW w:w="1860" w:type="dxa"/>
            <w:vAlign w:val="bottom"/>
          </w:tcPr>
          <w:p>
            <w:pPr>
              <w:jc w:val="right"/>
              <w:ind w:right="124"/>
              <w:spacing w:after="0"/>
              <w:rPr>
                <w:sz w:val="20"/>
                <w:szCs w:val="20"/>
                <w:color w:val="auto"/>
              </w:rPr>
            </w:pPr>
            <w:r>
              <w:rPr>
                <w:rFonts w:ascii="Arial" w:cs="Arial" w:eastAsia="Arial" w:hAnsi="Arial"/>
                <w:sz w:val="15"/>
                <w:szCs w:val="15"/>
                <w:b w:val="1"/>
                <w:bCs w:val="1"/>
                <w:color w:val="auto"/>
              </w:rPr>
              <w:t>15</w:t>
            </w:r>
          </w:p>
        </w:tc>
        <w:tc>
          <w:tcPr>
            <w:tcW w:w="1960" w:type="dxa"/>
            <w:vAlign w:val="bottom"/>
            <w:gridSpan w:val="4"/>
          </w:tcPr>
          <w:p>
            <w:pPr>
              <w:jc w:val="right"/>
              <w:ind w:right="128"/>
              <w:spacing w:after="0"/>
              <w:rPr>
                <w:sz w:val="20"/>
                <w:szCs w:val="20"/>
                <w:color w:val="auto"/>
              </w:rPr>
            </w:pPr>
            <w:r>
              <w:rPr>
                <w:rFonts w:ascii="Arial" w:cs="Arial" w:eastAsia="Arial" w:hAnsi="Arial"/>
                <w:sz w:val="15"/>
                <w:szCs w:val="15"/>
                <w:color w:val="auto"/>
              </w:rPr>
              <w:t>16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gridSpan w:val="2"/>
          </w:tcPr>
          <w:p>
            <w:pPr>
              <w:jc w:val="right"/>
              <w:ind w:right="86"/>
              <w:spacing w:after="0"/>
              <w:rPr>
                <w:sz w:val="20"/>
                <w:szCs w:val="20"/>
                <w:color w:val="auto"/>
              </w:rPr>
            </w:pPr>
            <w:r>
              <w:rPr>
                <w:rFonts w:ascii="Arial" w:cs="Arial" w:eastAsia="Arial" w:hAnsi="Arial"/>
                <w:sz w:val="15"/>
                <w:szCs w:val="15"/>
                <w:color w:val="auto"/>
              </w:rPr>
              <w:t>19</w:t>
            </w:r>
          </w:p>
        </w:tc>
        <w:tc>
          <w:tcPr>
            <w:tcW w:w="40" w:type="dxa"/>
            <w:vAlign w:val="bottom"/>
          </w:tcPr>
          <w:p>
            <w:pPr>
              <w:spacing w:after="0"/>
              <w:rPr>
                <w:sz w:val="20"/>
                <w:szCs w:val="20"/>
                <w:color w:val="auto"/>
              </w:rPr>
            </w:pPr>
          </w:p>
        </w:tc>
      </w:tr>
      <w:tr>
        <w:trPr>
          <w:trHeight w:val="303"/>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tcBorders>
              <w:bottom w:val="single" w:sz="8" w:color="2C6937"/>
            </w:tcBorders>
            <w:gridSpan w:val="5"/>
          </w:tcPr>
          <w:p>
            <w:pPr>
              <w:jc w:val="right"/>
              <w:ind w:right="586"/>
              <w:spacing w:after="0"/>
              <w:rPr>
                <w:sz w:val="20"/>
                <w:szCs w:val="20"/>
                <w:color w:val="auto"/>
              </w:rPr>
            </w:pPr>
            <w:r>
              <w:rPr>
                <w:rFonts w:ascii="Arial" w:cs="Arial" w:eastAsia="Arial" w:hAnsi="Arial"/>
                <w:sz w:val="14"/>
                <w:szCs w:val="14"/>
                <w:b w:val="1"/>
                <w:bCs w:val="1"/>
                <w:color w:val="auto"/>
              </w:rPr>
              <w:t>For the Six Months Ended June 30,</w:t>
            </w:r>
          </w:p>
        </w:tc>
        <w:tc>
          <w:tcPr>
            <w:tcW w:w="40" w:type="dxa"/>
            <w:vAlign w:val="bottom"/>
          </w:tcPr>
          <w:p>
            <w:pPr>
              <w:spacing w:after="0"/>
              <w:rPr>
                <w:sz w:val="24"/>
                <w:szCs w:val="24"/>
                <w:color w:val="auto"/>
              </w:rPr>
            </w:pPr>
          </w:p>
        </w:tc>
      </w:tr>
      <w:tr>
        <w:trPr>
          <w:trHeight w:val="185"/>
        </w:trPr>
        <w:tc>
          <w:tcPr>
            <w:tcW w:w="2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960" w:type="dxa"/>
            <w:vAlign w:val="bottom"/>
            <w:gridSpan w:val="4"/>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2"/>
          </w:tcPr>
          <w:p>
            <w:pPr>
              <w:jc w:val="right"/>
              <w:ind w:right="666"/>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6"/>
                <w:szCs w:val="16"/>
                <w:color w:val="auto"/>
              </w:rPr>
            </w:pPr>
          </w:p>
        </w:tc>
      </w:tr>
      <w:tr>
        <w:trPr>
          <w:trHeight w:val="220"/>
        </w:trPr>
        <w:tc>
          <w:tcPr>
            <w:tcW w:w="20" w:type="dxa"/>
            <w:vAlign w:val="bottom"/>
          </w:tcPr>
          <w:p>
            <w:pPr>
              <w:spacing w:after="0"/>
              <w:rPr>
                <w:sz w:val="19"/>
                <w:szCs w:val="19"/>
                <w:color w:val="auto"/>
              </w:rPr>
            </w:pPr>
          </w:p>
        </w:tc>
        <w:tc>
          <w:tcPr>
            <w:tcW w:w="5420" w:type="dxa"/>
            <w:vAlign w:val="bottom"/>
          </w:tcPr>
          <w:p>
            <w:pPr>
              <w:ind w:left="20"/>
              <w:spacing w:after="0"/>
              <w:rPr>
                <w:sz w:val="20"/>
                <w:szCs w:val="20"/>
                <w:color w:val="auto"/>
              </w:rPr>
            </w:pPr>
            <w:r>
              <w:rPr>
                <w:rFonts w:ascii="Arial" w:cs="Arial" w:eastAsia="Arial" w:hAnsi="Arial"/>
                <w:sz w:val="15"/>
                <w:szCs w:val="15"/>
                <w:b w:val="1"/>
                <w:bCs w:val="1"/>
                <w:color w:val="auto"/>
              </w:rPr>
              <w:t>Single-family SDQ loans (number of loans):</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Borders>
              <w:top w:val="single" w:sz="8" w:color="2C6937"/>
            </w:tcBorders>
          </w:tcPr>
          <w:p>
            <w:pPr>
              <w:spacing w:after="0"/>
              <w:rPr>
                <w:sz w:val="19"/>
                <w:szCs w:val="19"/>
                <w:color w:val="auto"/>
              </w:rPr>
            </w:pPr>
          </w:p>
        </w:tc>
        <w:tc>
          <w:tcPr>
            <w:tcW w:w="40" w:type="dxa"/>
            <w:vAlign w:val="bottom"/>
            <w:tcBorders>
              <w:top w:val="single" w:sz="8" w:color="2C6937"/>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tcBorders>
              <w:top w:val="single" w:sz="8" w:color="2C6937"/>
            </w:tcBorders>
          </w:tcPr>
          <w:p>
            <w:pPr>
              <w:spacing w:after="0"/>
              <w:rPr>
                <w:sz w:val="19"/>
                <w:szCs w:val="19"/>
                <w:color w:val="auto"/>
              </w:rPr>
            </w:pPr>
          </w:p>
        </w:tc>
        <w:tc>
          <w:tcPr>
            <w:tcW w:w="40" w:type="dxa"/>
            <w:vAlign w:val="bottom"/>
          </w:tcPr>
          <w:p>
            <w:pPr>
              <w:spacing w:after="0"/>
              <w:rPr>
                <w:sz w:val="19"/>
                <w:szCs w:val="19"/>
                <w:color w:val="auto"/>
              </w:rPr>
            </w:pPr>
          </w:p>
        </w:tc>
      </w:tr>
      <w:tr>
        <w:trPr>
          <w:trHeight w:val="245"/>
        </w:trPr>
        <w:tc>
          <w:tcPr>
            <w:tcW w:w="20" w:type="dxa"/>
            <w:vAlign w:val="bottom"/>
          </w:tcPr>
          <w:p>
            <w:pPr>
              <w:spacing w:after="0"/>
              <w:rPr>
                <w:sz w:val="21"/>
                <w:szCs w:val="21"/>
                <w:color w:val="auto"/>
              </w:rPr>
            </w:pPr>
          </w:p>
        </w:tc>
        <w:tc>
          <w:tcPr>
            <w:tcW w:w="5420" w:type="dxa"/>
            <w:vAlign w:val="bottom"/>
          </w:tcPr>
          <w:p>
            <w:pPr>
              <w:ind w:left="160"/>
              <w:spacing w:after="0"/>
              <w:rPr>
                <w:sz w:val="20"/>
                <w:szCs w:val="20"/>
                <w:color w:val="auto"/>
              </w:rPr>
            </w:pPr>
            <w:r>
              <w:rPr>
                <w:rFonts w:ascii="Arial" w:cs="Arial" w:eastAsia="Arial" w:hAnsi="Arial"/>
                <w:sz w:val="15"/>
                <w:szCs w:val="15"/>
                <w:color w:val="auto"/>
              </w:rPr>
              <w:t>Beginning balance</w:t>
            </w:r>
          </w:p>
        </w:tc>
        <w:tc>
          <w:tcPr>
            <w:tcW w:w="1860" w:type="dxa"/>
            <w:vAlign w:val="bottom"/>
          </w:tcPr>
          <w:p>
            <w:pPr>
              <w:spacing w:after="0"/>
              <w:rPr>
                <w:sz w:val="21"/>
                <w:szCs w:val="21"/>
                <w:color w:val="auto"/>
              </w:rPr>
            </w:pPr>
          </w:p>
        </w:tc>
        <w:tc>
          <w:tcPr>
            <w:tcW w:w="1960" w:type="dxa"/>
            <w:vAlign w:val="bottom"/>
            <w:gridSpan w:val="4"/>
          </w:tcPr>
          <w:p>
            <w:pPr>
              <w:jc w:val="right"/>
              <w:spacing w:after="0"/>
              <w:rPr>
                <w:sz w:val="20"/>
                <w:szCs w:val="20"/>
                <w:color w:val="auto"/>
              </w:rPr>
            </w:pPr>
            <w:r>
              <w:rPr>
                <w:rFonts w:ascii="Arial" w:cs="Arial" w:eastAsia="Arial" w:hAnsi="Arial"/>
                <w:sz w:val="15"/>
                <w:szCs w:val="15"/>
                <w:b w:val="1"/>
                <w:bCs w:val="1"/>
                <w:color w:val="auto"/>
              </w:rPr>
              <w:t>114,960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spacing w:after="0"/>
              <w:rPr>
                <w:sz w:val="20"/>
                <w:szCs w:val="20"/>
                <w:color w:val="auto"/>
              </w:rPr>
            </w:pPr>
            <w:r>
              <w:rPr>
                <w:rFonts w:ascii="Arial" w:cs="Arial" w:eastAsia="Arial" w:hAnsi="Arial"/>
                <w:sz w:val="15"/>
                <w:szCs w:val="15"/>
                <w:color w:val="auto"/>
              </w:rPr>
              <w:t>218,329</w:t>
            </w:r>
          </w:p>
        </w:tc>
        <w:tc>
          <w:tcPr>
            <w:tcW w:w="4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5420" w:type="dxa"/>
            <w:vAlign w:val="bottom"/>
          </w:tcPr>
          <w:p>
            <w:pPr>
              <w:ind w:left="320"/>
              <w:spacing w:after="0"/>
              <w:rPr>
                <w:sz w:val="20"/>
                <w:szCs w:val="20"/>
                <w:color w:val="auto"/>
              </w:rPr>
            </w:pPr>
            <w:r>
              <w:rPr>
                <w:rFonts w:ascii="Arial" w:cs="Arial" w:eastAsia="Arial" w:hAnsi="Arial"/>
                <w:sz w:val="15"/>
                <w:szCs w:val="15"/>
                <w:color w:val="auto"/>
              </w:rPr>
              <w:t>Additions</w:t>
            </w:r>
          </w:p>
        </w:tc>
        <w:tc>
          <w:tcPr>
            <w:tcW w:w="1860" w:type="dxa"/>
            <w:vAlign w:val="bottom"/>
          </w:tcPr>
          <w:p>
            <w:pPr>
              <w:spacing w:after="0"/>
              <w:rPr>
                <w:sz w:val="21"/>
                <w:szCs w:val="21"/>
                <w:color w:val="auto"/>
              </w:rPr>
            </w:pPr>
          </w:p>
        </w:tc>
        <w:tc>
          <w:tcPr>
            <w:tcW w:w="1960" w:type="dxa"/>
            <w:vAlign w:val="bottom"/>
            <w:gridSpan w:val="4"/>
          </w:tcPr>
          <w:p>
            <w:pPr>
              <w:ind w:left="1460"/>
              <w:spacing w:after="0"/>
              <w:rPr>
                <w:sz w:val="20"/>
                <w:szCs w:val="20"/>
                <w:color w:val="auto"/>
              </w:rPr>
            </w:pPr>
            <w:r>
              <w:rPr>
                <w:rFonts w:ascii="Arial" w:cs="Arial" w:eastAsia="Arial" w:hAnsi="Arial"/>
                <w:sz w:val="15"/>
                <w:szCs w:val="15"/>
                <w:b w:val="1"/>
                <w:bCs w:val="1"/>
                <w:color w:val="auto"/>
              </w:rPr>
              <w:t>81,064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spacing w:after="0"/>
              <w:rPr>
                <w:sz w:val="20"/>
                <w:szCs w:val="20"/>
                <w:color w:val="auto"/>
              </w:rPr>
            </w:pPr>
            <w:r>
              <w:rPr>
                <w:rFonts w:ascii="Arial" w:cs="Arial" w:eastAsia="Arial" w:hAnsi="Arial"/>
                <w:sz w:val="15"/>
                <w:szCs w:val="15"/>
                <w:color w:val="auto"/>
              </w:rPr>
              <w:t>84,409</w:t>
            </w:r>
          </w:p>
        </w:tc>
        <w:tc>
          <w:tcPr>
            <w:tcW w:w="40" w:type="dxa"/>
            <w:vAlign w:val="bottom"/>
          </w:tcPr>
          <w:p>
            <w:pPr>
              <w:spacing w:after="0"/>
              <w:rPr>
                <w:sz w:val="21"/>
                <w:szCs w:val="21"/>
                <w:color w:val="auto"/>
              </w:rPr>
            </w:pPr>
          </w:p>
        </w:tc>
      </w:tr>
      <w:tr>
        <w:trPr>
          <w:trHeight w:val="207"/>
        </w:trPr>
        <w:tc>
          <w:tcPr>
            <w:tcW w:w="20" w:type="dxa"/>
            <w:vAlign w:val="bottom"/>
          </w:tcPr>
          <w:p>
            <w:pPr>
              <w:spacing w:after="0"/>
              <w:rPr>
                <w:sz w:val="18"/>
                <w:szCs w:val="18"/>
                <w:color w:val="auto"/>
              </w:rPr>
            </w:pPr>
          </w:p>
        </w:tc>
        <w:tc>
          <w:tcPr>
            <w:tcW w:w="5420" w:type="dxa"/>
            <w:vAlign w:val="bottom"/>
          </w:tcPr>
          <w:p>
            <w:pPr>
              <w:ind w:left="320"/>
              <w:spacing w:after="0"/>
              <w:rPr>
                <w:sz w:val="20"/>
                <w:szCs w:val="20"/>
                <w:color w:val="auto"/>
              </w:rPr>
            </w:pPr>
            <w:r>
              <w:rPr>
                <w:rFonts w:ascii="Arial" w:cs="Arial" w:eastAsia="Arial" w:hAnsi="Arial"/>
                <w:sz w:val="15"/>
                <w:szCs w:val="15"/>
                <w:color w:val="auto"/>
              </w:rPr>
              <w:t>Removals: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5420" w:type="dxa"/>
            <w:vAlign w:val="bottom"/>
          </w:tcPr>
          <w:p>
            <w:pPr>
              <w:ind w:left="480"/>
              <w:spacing w:after="0"/>
              <w:rPr>
                <w:sz w:val="20"/>
                <w:szCs w:val="20"/>
                <w:color w:val="auto"/>
              </w:rPr>
            </w:pPr>
            <w:r>
              <w:rPr>
                <w:rFonts w:ascii="Arial" w:cs="Arial" w:eastAsia="Arial" w:hAnsi="Arial"/>
                <w:sz w:val="15"/>
                <w:szCs w:val="15"/>
                <w:color w:val="auto"/>
              </w:rPr>
              <w:t>Modifications and other loan workouts</w:t>
            </w:r>
          </w:p>
        </w:tc>
        <w:tc>
          <w:tcPr>
            <w:tcW w:w="1860" w:type="dxa"/>
            <w:vAlign w:val="bottom"/>
          </w:tcPr>
          <w:p>
            <w:pPr>
              <w:spacing w:after="0"/>
              <w:rPr>
                <w:sz w:val="23"/>
                <w:szCs w:val="23"/>
                <w:color w:val="auto"/>
              </w:rPr>
            </w:pPr>
          </w:p>
        </w:tc>
        <w:tc>
          <w:tcPr>
            <w:tcW w:w="2000" w:type="dxa"/>
            <w:vAlign w:val="bottom"/>
            <w:gridSpan w:val="5"/>
          </w:tcPr>
          <w:p>
            <w:pPr>
              <w:jc w:val="right"/>
              <w:ind w:right="20"/>
              <w:spacing w:after="0"/>
              <w:rPr>
                <w:sz w:val="20"/>
                <w:szCs w:val="20"/>
                <w:color w:val="auto"/>
              </w:rPr>
            </w:pPr>
            <w:r>
              <w:rPr>
                <w:rFonts w:ascii="Arial" w:cs="Arial" w:eastAsia="Arial" w:hAnsi="Arial"/>
                <w:sz w:val="15"/>
                <w:szCs w:val="15"/>
                <w:b w:val="1"/>
                <w:bCs w:val="1"/>
                <w:color w:val="auto"/>
              </w:rPr>
              <w:t>(43,047)</w:t>
            </w:r>
          </w:p>
        </w:tc>
        <w:tc>
          <w:tcPr>
            <w:tcW w:w="80" w:type="dxa"/>
            <w:vAlign w:val="bottom"/>
          </w:tcPr>
          <w:p>
            <w:pPr>
              <w:spacing w:after="0"/>
              <w:rPr>
                <w:sz w:val="23"/>
                <w:szCs w:val="23"/>
                <w:color w:val="auto"/>
              </w:rPr>
            </w:pPr>
          </w:p>
        </w:tc>
        <w:tc>
          <w:tcPr>
            <w:tcW w:w="1800" w:type="dxa"/>
            <w:vAlign w:val="bottom"/>
            <w:gridSpan w:val="2"/>
          </w:tcPr>
          <w:p>
            <w:pPr>
              <w:jc w:val="right"/>
              <w:spacing w:after="0"/>
              <w:rPr>
                <w:sz w:val="20"/>
                <w:szCs w:val="20"/>
                <w:color w:val="auto"/>
              </w:rPr>
            </w:pPr>
            <w:r>
              <w:rPr>
                <w:rFonts w:ascii="Arial" w:cs="Arial" w:eastAsia="Arial" w:hAnsi="Arial"/>
                <w:sz w:val="15"/>
                <w:szCs w:val="15"/>
                <w:color w:val="auto"/>
              </w:rPr>
              <w:t>(104,559)</w:t>
            </w:r>
          </w:p>
        </w:tc>
        <w:tc>
          <w:tcPr>
            <w:tcW w:w="40" w:type="dxa"/>
            <w:vAlign w:val="bottom"/>
          </w:tcPr>
          <w:p>
            <w:pPr>
              <w:spacing w:after="0"/>
              <w:rPr>
                <w:sz w:val="23"/>
                <w:szCs w:val="23"/>
                <w:color w:val="auto"/>
              </w:rPr>
            </w:pPr>
          </w:p>
        </w:tc>
      </w:tr>
      <w:tr>
        <w:trPr>
          <w:trHeight w:val="232"/>
        </w:trPr>
        <w:tc>
          <w:tcPr>
            <w:tcW w:w="20" w:type="dxa"/>
            <w:vAlign w:val="bottom"/>
          </w:tcPr>
          <w:p>
            <w:pPr>
              <w:spacing w:after="0"/>
              <w:rPr>
                <w:sz w:val="20"/>
                <w:szCs w:val="20"/>
                <w:color w:val="auto"/>
              </w:rPr>
            </w:pPr>
          </w:p>
        </w:tc>
        <w:tc>
          <w:tcPr>
            <w:tcW w:w="5420" w:type="dxa"/>
            <w:vAlign w:val="bottom"/>
          </w:tcPr>
          <w:p>
            <w:pPr>
              <w:ind w:left="480"/>
              <w:spacing w:after="0"/>
              <w:rPr>
                <w:sz w:val="20"/>
                <w:szCs w:val="20"/>
                <w:color w:val="auto"/>
              </w:rPr>
            </w:pPr>
            <w:r>
              <w:rPr>
                <w:rFonts w:ascii="Arial" w:cs="Arial" w:eastAsia="Arial" w:hAnsi="Arial"/>
                <w:sz w:val="15"/>
                <w:szCs w:val="15"/>
                <w:color w:val="auto"/>
              </w:rPr>
              <w:t>Liquidations and sales</w:t>
            </w:r>
          </w:p>
        </w:tc>
        <w:tc>
          <w:tcPr>
            <w:tcW w:w="1860" w:type="dxa"/>
            <w:vAlign w:val="bottom"/>
          </w:tcPr>
          <w:p>
            <w:pPr>
              <w:spacing w:after="0"/>
              <w:rPr>
                <w:sz w:val="20"/>
                <w:szCs w:val="20"/>
                <w:color w:val="auto"/>
              </w:rPr>
            </w:pPr>
          </w:p>
        </w:tc>
        <w:tc>
          <w:tcPr>
            <w:tcW w:w="2000" w:type="dxa"/>
            <w:vAlign w:val="bottom"/>
            <w:gridSpan w:val="5"/>
          </w:tcPr>
          <w:p>
            <w:pPr>
              <w:jc w:val="right"/>
              <w:ind w:right="20"/>
              <w:spacing w:after="0"/>
              <w:rPr>
                <w:sz w:val="20"/>
                <w:szCs w:val="20"/>
                <w:color w:val="auto"/>
              </w:rPr>
            </w:pPr>
            <w:r>
              <w:rPr>
                <w:rFonts w:ascii="Arial" w:cs="Arial" w:eastAsia="Arial" w:hAnsi="Arial"/>
                <w:sz w:val="15"/>
                <w:szCs w:val="15"/>
                <w:b w:val="1"/>
                <w:bCs w:val="1"/>
                <w:color w:val="auto"/>
              </w:rPr>
              <w:t>(15,506)</w:t>
            </w:r>
          </w:p>
        </w:tc>
        <w:tc>
          <w:tcPr>
            <w:tcW w:w="8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5"/>
                <w:szCs w:val="15"/>
                <w:color w:val="auto"/>
              </w:rPr>
              <w:t>(22,083)</w:t>
            </w:r>
          </w:p>
        </w:tc>
        <w:tc>
          <w:tcPr>
            <w:tcW w:w="40" w:type="dxa"/>
            <w:vAlign w:val="bottom"/>
          </w:tcPr>
          <w:p>
            <w:pPr>
              <w:spacing w:after="0"/>
              <w:rPr>
                <w:sz w:val="20"/>
                <w:szCs w:val="20"/>
                <w:color w:val="auto"/>
              </w:rPr>
            </w:pPr>
          </w:p>
        </w:tc>
      </w:tr>
      <w:tr>
        <w:trPr>
          <w:trHeight w:val="226"/>
        </w:trPr>
        <w:tc>
          <w:tcPr>
            <w:tcW w:w="20" w:type="dxa"/>
            <w:vAlign w:val="bottom"/>
          </w:tcPr>
          <w:p>
            <w:pPr>
              <w:spacing w:after="0"/>
              <w:rPr>
                <w:sz w:val="19"/>
                <w:szCs w:val="19"/>
                <w:color w:val="auto"/>
              </w:rPr>
            </w:pPr>
          </w:p>
        </w:tc>
        <w:tc>
          <w:tcPr>
            <w:tcW w:w="5420" w:type="dxa"/>
            <w:vAlign w:val="bottom"/>
            <w:tcBorders>
              <w:bottom w:val="single" w:sz="8" w:color="2C6937"/>
            </w:tcBorders>
          </w:tcPr>
          <w:p>
            <w:pPr>
              <w:ind w:left="480"/>
              <w:spacing w:after="0"/>
              <w:rPr>
                <w:sz w:val="20"/>
                <w:szCs w:val="20"/>
                <w:color w:val="auto"/>
              </w:rPr>
            </w:pPr>
            <w:r>
              <w:rPr>
                <w:rFonts w:ascii="Arial" w:cs="Arial" w:eastAsia="Arial" w:hAnsi="Arial"/>
                <w:sz w:val="15"/>
                <w:szCs w:val="15"/>
                <w:color w:val="auto"/>
              </w:rPr>
              <w:t>Cured or less than 90 days delinquent</w:t>
            </w:r>
          </w:p>
        </w:tc>
        <w:tc>
          <w:tcPr>
            <w:tcW w:w="1860" w:type="dxa"/>
            <w:vAlign w:val="bottom"/>
            <w:tcBorders>
              <w:bottom w:val="single" w:sz="8" w:color="2C6937"/>
            </w:tcBorders>
          </w:tcPr>
          <w:p>
            <w:pPr>
              <w:spacing w:after="0"/>
              <w:rPr>
                <w:sz w:val="19"/>
                <w:szCs w:val="19"/>
                <w:color w:val="auto"/>
              </w:rPr>
            </w:pPr>
          </w:p>
        </w:tc>
        <w:tc>
          <w:tcPr>
            <w:tcW w:w="140" w:type="dxa"/>
            <w:vAlign w:val="bottom"/>
            <w:tcBorders>
              <w:bottom w:val="single" w:sz="8" w:color="2C6937"/>
            </w:tcBorders>
            <w:gridSpan w:val="2"/>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Borders>
              <w:bottom w:val="single" w:sz="8" w:color="2C6937"/>
            </w:tcBorders>
            <w:gridSpan w:val="2"/>
          </w:tcPr>
          <w:p>
            <w:pPr>
              <w:jc w:val="right"/>
              <w:ind w:right="20"/>
              <w:spacing w:after="0"/>
              <w:rPr>
                <w:sz w:val="20"/>
                <w:szCs w:val="20"/>
                <w:color w:val="auto"/>
              </w:rPr>
            </w:pPr>
            <w:r>
              <w:rPr>
                <w:rFonts w:ascii="Arial" w:cs="Arial" w:eastAsia="Arial" w:hAnsi="Arial"/>
                <w:sz w:val="15"/>
                <w:szCs w:val="15"/>
                <w:b w:val="1"/>
                <w:bCs w:val="1"/>
                <w:color w:val="auto"/>
              </w:rPr>
              <w:t>(41,671)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(33,462)</w:t>
            </w:r>
          </w:p>
        </w:tc>
        <w:tc>
          <w:tcPr>
            <w:tcW w:w="40" w:type="dxa"/>
            <w:vAlign w:val="bottom"/>
          </w:tcPr>
          <w:p>
            <w:pPr>
              <w:spacing w:after="0"/>
              <w:rPr>
                <w:sz w:val="19"/>
                <w:szCs w:val="19"/>
                <w:color w:val="auto"/>
              </w:rPr>
            </w:pPr>
          </w:p>
        </w:tc>
      </w:tr>
      <w:tr>
        <w:trPr>
          <w:trHeight w:val="238"/>
        </w:trPr>
        <w:tc>
          <w:tcPr>
            <w:tcW w:w="20" w:type="dxa"/>
            <w:vAlign w:val="bottom"/>
          </w:tcPr>
          <w:p>
            <w:pPr>
              <w:spacing w:after="0"/>
              <w:rPr>
                <w:sz w:val="20"/>
                <w:szCs w:val="20"/>
                <w:color w:val="auto"/>
              </w:rPr>
            </w:pPr>
          </w:p>
        </w:tc>
        <w:tc>
          <w:tcPr>
            <w:tcW w:w="542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Total removals</w:t>
            </w:r>
          </w:p>
        </w:tc>
        <w:tc>
          <w:tcPr>
            <w:tcW w:w="1860" w:type="dxa"/>
            <w:vAlign w:val="bottom"/>
            <w:tcBorders>
              <w:bottom w:val="single" w:sz="8" w:color="2C6937"/>
            </w:tcBorders>
          </w:tcPr>
          <w:p>
            <w:pPr>
              <w:spacing w:after="0"/>
              <w:rPr>
                <w:sz w:val="20"/>
                <w:szCs w:val="20"/>
                <w:color w:val="auto"/>
              </w:rPr>
            </w:pPr>
          </w:p>
        </w:tc>
        <w:tc>
          <w:tcPr>
            <w:tcW w:w="140" w:type="dxa"/>
            <w:vAlign w:val="bottom"/>
            <w:tcBorders>
              <w:bottom w:val="single" w:sz="8" w:color="2C6937"/>
            </w:tcBorders>
            <w:gridSpan w:val="2"/>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Borders>
              <w:bottom w:val="single" w:sz="8" w:color="2C6937"/>
            </w:tcBorders>
            <w:gridSpan w:val="2"/>
          </w:tcPr>
          <w:p>
            <w:pPr>
              <w:jc w:val="right"/>
              <w:ind w:right="20"/>
              <w:spacing w:after="0"/>
              <w:rPr>
                <w:sz w:val="20"/>
                <w:szCs w:val="20"/>
                <w:color w:val="auto"/>
              </w:rPr>
            </w:pPr>
            <w:r>
              <w:rPr>
                <w:rFonts w:ascii="Arial" w:cs="Arial" w:eastAsia="Arial" w:hAnsi="Arial"/>
                <w:sz w:val="15"/>
                <w:szCs w:val="15"/>
                <w:b w:val="1"/>
                <w:bCs w:val="1"/>
                <w:color w:val="auto"/>
              </w:rPr>
              <w:t>(100,224)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(160,104)</w:t>
            </w:r>
          </w:p>
        </w:tc>
        <w:tc>
          <w:tcPr>
            <w:tcW w:w="40" w:type="dxa"/>
            <w:vAlign w:val="bottom"/>
          </w:tcPr>
          <w:p>
            <w:pPr>
              <w:spacing w:after="0"/>
              <w:rPr>
                <w:sz w:val="20"/>
                <w:szCs w:val="20"/>
                <w:color w:val="auto"/>
              </w:rPr>
            </w:pPr>
          </w:p>
        </w:tc>
      </w:tr>
      <w:tr>
        <w:trPr>
          <w:trHeight w:val="225"/>
        </w:trPr>
        <w:tc>
          <w:tcPr>
            <w:tcW w:w="20" w:type="dxa"/>
            <w:vAlign w:val="bottom"/>
          </w:tcPr>
          <w:p>
            <w:pPr>
              <w:spacing w:after="0"/>
              <w:rPr>
                <w:sz w:val="19"/>
                <w:szCs w:val="19"/>
                <w:color w:val="auto"/>
              </w:rPr>
            </w:pPr>
          </w:p>
        </w:tc>
        <w:tc>
          <w:tcPr>
            <w:tcW w:w="5420" w:type="dxa"/>
            <w:vAlign w:val="bottom"/>
          </w:tcPr>
          <w:p>
            <w:pPr>
              <w:ind w:left="160"/>
              <w:spacing w:after="0"/>
              <w:rPr>
                <w:sz w:val="20"/>
                <w:szCs w:val="20"/>
                <w:color w:val="auto"/>
              </w:rPr>
            </w:pPr>
            <w:r>
              <w:rPr>
                <w:rFonts w:ascii="Arial" w:cs="Arial" w:eastAsia="Arial" w:hAnsi="Arial"/>
                <w:sz w:val="15"/>
                <w:szCs w:val="15"/>
                <w:color w:val="auto"/>
              </w:rPr>
              <w:t>Ending balance</w:t>
            </w:r>
          </w:p>
        </w:tc>
        <w:tc>
          <w:tcPr>
            <w:tcW w:w="1860" w:type="dxa"/>
            <w:vAlign w:val="bottom"/>
          </w:tcPr>
          <w:p>
            <w:pPr>
              <w:spacing w:after="0"/>
              <w:rPr>
                <w:sz w:val="19"/>
                <w:szCs w:val="19"/>
                <w:color w:val="auto"/>
              </w:rPr>
            </w:pPr>
          </w:p>
        </w:tc>
        <w:tc>
          <w:tcPr>
            <w:tcW w:w="1960" w:type="dxa"/>
            <w:vAlign w:val="bottom"/>
            <w:gridSpan w:val="4"/>
          </w:tcPr>
          <w:p>
            <w:pPr>
              <w:ind w:left="1460"/>
              <w:spacing w:after="0"/>
              <w:rPr>
                <w:sz w:val="20"/>
                <w:szCs w:val="20"/>
                <w:color w:val="auto"/>
              </w:rPr>
            </w:pPr>
            <w:r>
              <w:rPr>
                <w:rFonts w:ascii="Arial" w:cs="Arial" w:eastAsia="Arial" w:hAnsi="Arial"/>
                <w:sz w:val="15"/>
                <w:szCs w:val="15"/>
                <w:b w:val="1"/>
                <w:bCs w:val="1"/>
                <w:color w:val="auto"/>
              </w:rPr>
              <w:t>95,800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5"/>
                <w:szCs w:val="15"/>
                <w:color w:val="auto"/>
              </w:rPr>
              <w:t>142,634</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Borders>
              <w:top w:val="single" w:sz="8" w:color="2C6937"/>
              <w:bottom w:val="single" w:sz="8" w:color="2C6937"/>
            </w:tcBorders>
          </w:tcPr>
          <w:p>
            <w:pPr>
              <w:spacing w:after="0" w:line="20" w:lineRule="exact"/>
              <w:rPr>
                <w:sz w:val="1"/>
                <w:szCs w:val="1"/>
                <w:color w:val="auto"/>
              </w:rPr>
            </w:pPr>
          </w:p>
        </w:tc>
        <w:tc>
          <w:tcPr>
            <w:tcW w:w="18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5" w:lineRule="exact"/>
        <w:rPr>
          <w:sz w:val="20"/>
          <w:szCs w:val="20"/>
          <w:color w:val="auto"/>
        </w:rPr>
      </w:pPr>
    </w:p>
    <w:p>
      <w:pPr>
        <w:ind w:left="20"/>
        <w:spacing w:after="0" w:line="261" w:lineRule="auto"/>
        <w:rPr>
          <w:sz w:val="20"/>
          <w:szCs w:val="20"/>
          <w:color w:val="auto"/>
        </w:rPr>
      </w:pPr>
      <w:r>
        <w:rPr>
          <w:rFonts w:ascii="Arial" w:cs="Arial" w:eastAsia="Arial" w:hAnsi="Arial"/>
          <w:sz w:val="16"/>
          <w:szCs w:val="16"/>
          <w:color w:val="auto"/>
        </w:rPr>
        <w:t>Our single-family serious delinquency rate as of June 30, 2023 remained at historically low levels. Given our expectation of an economic recession, higher unemployment rates and home price declines, we expect the credit performance of loans in our single-family guaranty book of business will decline compared with recent performance, which could lead to higher delinquencies or an increase in our single-family serious delinquency rate following the onset of the recession. For additional information about factors that impact our single-family serious delinquency rate, see “MD&amp;A—Single-Family Business— Single-Family Mortgage Credit Risk Management—Single-Family Problem Loan Management” in our 2022 Form 10-K. Also see “Key Market Economic Indicators” for more information about our economic outlook.</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33</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-28575</wp:posOffset>
            </wp:positionV>
            <wp:extent cx="3365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-28575</wp:posOffset>
            </wp:positionV>
            <wp:extent cx="3365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00" w:top="250" w:right="339" w:bottom="1440" w:gutter="0" w:footer="0" w:header="0"/>
        </w:sectPr>
      </w:pPr>
    </w:p>
    <w:bookmarkStart w:id="36" w:name="page37"/>
    <w:bookmarkEnd w:id="36"/>
    <w:p>
      <w:pPr>
        <w:ind w:left="610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15875</wp:posOffset>
            </wp:positionV>
            <wp:extent cx="70072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20" w:right="20"/>
        <w:spacing w:after="0" w:line="267" w:lineRule="auto"/>
        <w:rPr>
          <w:sz w:val="20"/>
          <w:szCs w:val="20"/>
          <w:color w:val="auto"/>
        </w:rPr>
      </w:pPr>
      <w:r>
        <w:rPr>
          <w:rFonts w:ascii="Arial" w:cs="Arial" w:eastAsia="Arial" w:hAnsi="Arial"/>
          <w:sz w:val="16"/>
          <w:szCs w:val="16"/>
          <w:color w:val="auto"/>
        </w:rPr>
        <w:t>The table below displays the serious delinquency rates for, and the percentage of our seriously delinquent single-family conventional loans represented by, the specified loan categories. Percentage of book amounts represent the unpaid principal balance of loans for each category divided by the unpaid principal balance of our total single-family conventional guaranty book of business. The reported categories are not mutually exclusive.</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05314D"/>
        </w:rPr>
        <w:t>Single-Family Conventional Seriously Delinquent Loan Concentration Analysis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1580" w:type="dxa"/>
            <w:vAlign w:val="bottom"/>
            <w:tcBorders>
              <w:top w:val="single" w:sz="8" w:color="2C6937"/>
            </w:tcBorders>
          </w:tcPr>
          <w:p>
            <w:pPr>
              <w:spacing w:after="0"/>
              <w:rPr>
                <w:sz w:val="17"/>
                <w:szCs w:val="17"/>
                <w:color w:val="auto"/>
              </w:rPr>
            </w:pPr>
          </w:p>
        </w:tc>
        <w:tc>
          <w:tcPr>
            <w:tcW w:w="1080" w:type="dxa"/>
            <w:vAlign w:val="bottom"/>
            <w:tcBorders>
              <w:top w:val="single" w:sz="8" w:color="2C6937"/>
              <w:bottom w:val="single" w:sz="8" w:color="2C6937"/>
            </w:tcBorders>
          </w:tcPr>
          <w:p>
            <w:pPr>
              <w:spacing w:after="0"/>
              <w:rPr>
                <w:sz w:val="17"/>
                <w:szCs w:val="17"/>
                <w:color w:val="auto"/>
              </w:rPr>
            </w:pPr>
          </w:p>
        </w:tc>
        <w:tc>
          <w:tcPr>
            <w:tcW w:w="100" w:type="dxa"/>
            <w:vAlign w:val="bottom"/>
            <w:tcBorders>
              <w:top w:val="single" w:sz="8" w:color="2C6937"/>
              <w:bottom w:val="single" w:sz="8" w:color="2C6937"/>
            </w:tcBorders>
          </w:tcPr>
          <w:p>
            <w:pPr>
              <w:spacing w:after="0"/>
              <w:rPr>
                <w:sz w:val="17"/>
                <w:szCs w:val="17"/>
                <w:color w:val="auto"/>
              </w:rPr>
            </w:pPr>
          </w:p>
        </w:tc>
        <w:tc>
          <w:tcPr>
            <w:tcW w:w="960" w:type="dxa"/>
            <w:vAlign w:val="bottom"/>
            <w:tcBorders>
              <w:top w:val="single" w:sz="8" w:color="2C6937"/>
              <w:bottom w:val="single" w:sz="8" w:color="2C6937"/>
            </w:tcBorders>
          </w:tcPr>
          <w:p>
            <w:pPr>
              <w:spacing w:after="0"/>
              <w:rPr>
                <w:sz w:val="17"/>
                <w:szCs w:val="17"/>
                <w:color w:val="auto"/>
              </w:rPr>
            </w:pPr>
          </w:p>
        </w:tc>
        <w:tc>
          <w:tcPr>
            <w:tcW w:w="100" w:type="dxa"/>
            <w:vAlign w:val="bottom"/>
            <w:tcBorders>
              <w:top w:val="single" w:sz="8" w:color="2C6937"/>
              <w:bottom w:val="single" w:sz="8" w:color="2C6937"/>
            </w:tcBorders>
          </w:tcPr>
          <w:p>
            <w:pPr>
              <w:spacing w:after="0"/>
              <w:rPr>
                <w:sz w:val="17"/>
                <w:szCs w:val="17"/>
                <w:color w:val="auto"/>
              </w:rPr>
            </w:pPr>
          </w:p>
        </w:tc>
        <w:tc>
          <w:tcPr>
            <w:tcW w:w="960" w:type="dxa"/>
            <w:vAlign w:val="bottom"/>
            <w:tcBorders>
              <w:top w:val="single" w:sz="8" w:color="2C6937"/>
              <w:bottom w:val="single" w:sz="8" w:color="2C6937"/>
            </w:tcBorders>
          </w:tcPr>
          <w:p>
            <w:pPr>
              <w:spacing w:after="0"/>
              <w:rPr>
                <w:sz w:val="17"/>
                <w:szCs w:val="17"/>
                <w:color w:val="auto"/>
              </w:rPr>
            </w:pPr>
          </w:p>
        </w:tc>
        <w:tc>
          <w:tcPr>
            <w:tcW w:w="100" w:type="dxa"/>
            <w:vAlign w:val="bottom"/>
            <w:tcBorders>
              <w:top w:val="single" w:sz="8" w:color="2C6937"/>
              <w:bottom w:val="single" w:sz="8" w:color="2C6937"/>
            </w:tcBorders>
          </w:tcPr>
          <w:p>
            <w:pPr>
              <w:spacing w:after="0"/>
              <w:rPr>
                <w:sz w:val="17"/>
                <w:szCs w:val="17"/>
                <w:color w:val="auto"/>
              </w:rPr>
            </w:pPr>
          </w:p>
        </w:tc>
        <w:tc>
          <w:tcPr>
            <w:tcW w:w="980" w:type="dxa"/>
            <w:vAlign w:val="bottom"/>
            <w:tcBorders>
              <w:top w:val="single" w:sz="8" w:color="2C6937"/>
              <w:bottom w:val="single" w:sz="8" w:color="2C6937"/>
            </w:tcBorders>
          </w:tcPr>
          <w:p>
            <w:pPr>
              <w:spacing w:after="0"/>
              <w:rPr>
                <w:sz w:val="17"/>
                <w:szCs w:val="17"/>
                <w:color w:val="auto"/>
              </w:rPr>
            </w:pPr>
          </w:p>
        </w:tc>
        <w:tc>
          <w:tcPr>
            <w:tcW w:w="100" w:type="dxa"/>
            <w:vAlign w:val="bottom"/>
            <w:tcBorders>
              <w:top w:val="single" w:sz="8" w:color="2C6937"/>
              <w:bottom w:val="single" w:sz="8" w:color="2C6937"/>
            </w:tcBorders>
          </w:tcPr>
          <w:p>
            <w:pPr>
              <w:spacing w:after="0"/>
              <w:rPr>
                <w:sz w:val="17"/>
                <w:szCs w:val="17"/>
                <w:color w:val="auto"/>
              </w:rPr>
            </w:pPr>
          </w:p>
        </w:tc>
        <w:tc>
          <w:tcPr>
            <w:tcW w:w="1060" w:type="dxa"/>
            <w:vAlign w:val="bottom"/>
            <w:tcBorders>
              <w:top w:val="single" w:sz="8" w:color="2C6937"/>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7"/>
              </w:rPr>
              <w:t>As of</w:t>
            </w:r>
          </w:p>
        </w:tc>
        <w:tc>
          <w:tcPr>
            <w:tcW w:w="960" w:type="dxa"/>
            <w:vAlign w:val="bottom"/>
            <w:tcBorders>
              <w:top w:val="single" w:sz="8" w:color="2C6937"/>
              <w:bottom w:val="single" w:sz="8" w:color="2C6937"/>
            </w:tcBorders>
          </w:tcPr>
          <w:p>
            <w:pPr>
              <w:spacing w:after="0"/>
              <w:rPr>
                <w:sz w:val="17"/>
                <w:szCs w:val="17"/>
                <w:color w:val="auto"/>
              </w:rPr>
            </w:pPr>
          </w:p>
        </w:tc>
        <w:tc>
          <w:tcPr>
            <w:tcW w:w="120" w:type="dxa"/>
            <w:vAlign w:val="bottom"/>
            <w:tcBorders>
              <w:top w:val="single" w:sz="8" w:color="2C6937"/>
              <w:bottom w:val="single" w:sz="8" w:color="2C6937"/>
            </w:tcBorders>
          </w:tcPr>
          <w:p>
            <w:pPr>
              <w:spacing w:after="0"/>
              <w:rPr>
                <w:sz w:val="17"/>
                <w:szCs w:val="17"/>
                <w:color w:val="auto"/>
              </w:rPr>
            </w:pPr>
          </w:p>
        </w:tc>
        <w:tc>
          <w:tcPr>
            <w:tcW w:w="960" w:type="dxa"/>
            <w:vAlign w:val="bottom"/>
            <w:tcBorders>
              <w:top w:val="single" w:sz="8" w:color="2C6937"/>
              <w:bottom w:val="single" w:sz="8" w:color="2C6937"/>
            </w:tcBorders>
          </w:tcPr>
          <w:p>
            <w:pPr>
              <w:spacing w:after="0"/>
              <w:rPr>
                <w:sz w:val="17"/>
                <w:szCs w:val="17"/>
                <w:color w:val="auto"/>
              </w:rPr>
            </w:pPr>
          </w:p>
        </w:tc>
        <w:tc>
          <w:tcPr>
            <w:tcW w:w="100" w:type="dxa"/>
            <w:vAlign w:val="bottom"/>
            <w:tcBorders>
              <w:top w:val="single" w:sz="8" w:color="2C6937"/>
              <w:bottom w:val="single" w:sz="8" w:color="2C6937"/>
            </w:tcBorders>
          </w:tcPr>
          <w:p>
            <w:pPr>
              <w:spacing w:after="0"/>
              <w:rPr>
                <w:sz w:val="17"/>
                <w:szCs w:val="17"/>
                <w:color w:val="auto"/>
              </w:rPr>
            </w:pPr>
          </w:p>
        </w:tc>
        <w:tc>
          <w:tcPr>
            <w:tcW w:w="960" w:type="dxa"/>
            <w:vAlign w:val="bottom"/>
            <w:tcBorders>
              <w:top w:val="single" w:sz="8" w:color="2C6937"/>
              <w:bottom w:val="single" w:sz="8" w:color="2C6937"/>
            </w:tcBorders>
          </w:tcPr>
          <w:p>
            <w:pPr>
              <w:spacing w:after="0"/>
              <w:rPr>
                <w:sz w:val="17"/>
                <w:szCs w:val="17"/>
                <w:color w:val="auto"/>
              </w:rPr>
            </w:pPr>
          </w:p>
        </w:tc>
        <w:tc>
          <w:tcPr>
            <w:tcW w:w="100" w:type="dxa"/>
            <w:vAlign w:val="bottom"/>
            <w:tcBorders>
              <w:top w:val="single" w:sz="8" w:color="2C6937"/>
              <w:bottom w:val="single" w:sz="8" w:color="2C6937"/>
            </w:tcBorders>
          </w:tcPr>
          <w:p>
            <w:pPr>
              <w:spacing w:after="0"/>
              <w:rPr>
                <w:sz w:val="17"/>
                <w:szCs w:val="17"/>
                <w:color w:val="auto"/>
              </w:rPr>
            </w:pPr>
          </w:p>
        </w:tc>
        <w:tc>
          <w:tcPr>
            <w:tcW w:w="980" w:type="dxa"/>
            <w:vAlign w:val="bottom"/>
            <w:tcBorders>
              <w:top w:val="single" w:sz="8" w:color="2C6937"/>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1580" w:type="dxa"/>
            <w:vAlign w:val="bottom"/>
          </w:tcPr>
          <w:p>
            <w:pPr>
              <w:spacing w:after="0"/>
              <w:rPr>
                <w:sz w:val="15"/>
                <w:szCs w:val="15"/>
                <w:color w:val="auto"/>
              </w:rPr>
            </w:pPr>
          </w:p>
        </w:tc>
        <w:tc>
          <w:tcPr>
            <w:tcW w:w="1080" w:type="dxa"/>
            <w:vAlign w:val="bottom"/>
            <w:tcBorders>
              <w:bottom w:val="single" w:sz="8" w:color="2C6937"/>
            </w:tcBorders>
          </w:tcPr>
          <w:p>
            <w:pPr>
              <w:spacing w:after="0"/>
              <w:rPr>
                <w:sz w:val="15"/>
                <w:szCs w:val="15"/>
                <w:color w:val="auto"/>
              </w:rPr>
            </w:pPr>
          </w:p>
        </w:tc>
        <w:tc>
          <w:tcPr>
            <w:tcW w:w="1060" w:type="dxa"/>
            <w:vAlign w:val="bottom"/>
            <w:tcBorders>
              <w:bottom w:val="single" w:sz="8" w:color="2C6937"/>
            </w:tcBorders>
            <w:gridSpan w:val="2"/>
          </w:tcPr>
          <w:p>
            <w:pPr>
              <w:jc w:val="right"/>
              <w:ind w:right="28"/>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Borders>
              <w:bottom w:val="single" w:sz="8" w:color="2C6937"/>
            </w:tcBorders>
          </w:tcPr>
          <w:p>
            <w:pPr>
              <w:spacing w:after="0"/>
              <w:rPr>
                <w:sz w:val="15"/>
                <w:szCs w:val="15"/>
                <w:color w:val="auto"/>
              </w:rPr>
            </w:pPr>
          </w:p>
        </w:tc>
        <w:tc>
          <w:tcPr>
            <w:tcW w:w="96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Borders>
              <w:bottom w:val="single" w:sz="8" w:color="2C6937"/>
            </w:tcBorders>
            <w:gridSpan w:val="4"/>
          </w:tcPr>
          <w:p>
            <w:pPr>
              <w:jc w:val="center"/>
              <w:ind w:left="823"/>
              <w:spacing w:after="0"/>
              <w:rPr>
                <w:sz w:val="20"/>
                <w:szCs w:val="20"/>
                <w:color w:val="auto"/>
              </w:rPr>
            </w:pPr>
            <w:r>
              <w:rPr>
                <w:rFonts w:ascii="Arial" w:cs="Arial" w:eastAsia="Arial" w:hAnsi="Arial"/>
                <w:sz w:val="14"/>
                <w:szCs w:val="14"/>
                <w:b w:val="1"/>
                <w:bCs w:val="1"/>
                <w:color w:val="auto"/>
                <w:w w:val="96"/>
              </w:rPr>
              <w:t>December 31, 2022</w:t>
            </w:r>
          </w:p>
        </w:tc>
        <w:tc>
          <w:tcPr>
            <w:tcW w:w="960" w:type="dxa"/>
            <w:vAlign w:val="bottom"/>
            <w:tcBorders>
              <w:bottom w:val="single" w:sz="8" w:color="2C6937"/>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bottom w:val="single" w:sz="8" w:color="2C6937"/>
            </w:tcBorders>
          </w:tcPr>
          <w:p>
            <w:pPr>
              <w:spacing w:after="0"/>
              <w:rPr>
                <w:sz w:val="15"/>
                <w:szCs w:val="15"/>
                <w:color w:val="auto"/>
              </w:rPr>
            </w:pPr>
          </w:p>
        </w:tc>
        <w:tc>
          <w:tcPr>
            <w:tcW w:w="1060" w:type="dxa"/>
            <w:vAlign w:val="bottom"/>
            <w:tcBorders>
              <w:bottom w:val="single" w:sz="8" w:color="2C6937"/>
            </w:tcBorders>
            <w:gridSpan w:val="2"/>
          </w:tcPr>
          <w:p>
            <w:pPr>
              <w:jc w:val="right"/>
              <w:ind w:right="28"/>
              <w:spacing w:after="0"/>
              <w:rPr>
                <w:sz w:val="20"/>
                <w:szCs w:val="20"/>
                <w:color w:val="auto"/>
              </w:rPr>
            </w:pPr>
            <w:r>
              <w:rPr>
                <w:rFonts w:ascii="Arial" w:cs="Arial" w:eastAsia="Arial" w:hAnsi="Arial"/>
                <w:sz w:val="14"/>
                <w:szCs w:val="14"/>
                <w:b w:val="1"/>
                <w:bCs w:val="1"/>
                <w:color w:val="auto"/>
              </w:rPr>
              <w:t>June 30, 2022</w:t>
            </w:r>
          </w:p>
        </w:tc>
        <w:tc>
          <w:tcPr>
            <w:tcW w:w="10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rPr>
              <w:t>Percentage of</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Percentage of</w:t>
            </w: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rPr>
              <w:t>Percentage of</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rPr>
              <w:t>Seriously</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Seriously</w:t>
            </w: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rPr>
              <w:t>Seriously</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580" w:type="dxa"/>
            <w:vAlign w:val="bottom"/>
          </w:tcPr>
          <w:p>
            <w:pPr>
              <w:spacing w:after="0"/>
              <w:rPr>
                <w:sz w:val="9"/>
                <w:szCs w:val="9"/>
                <w:color w:val="auto"/>
              </w:rPr>
            </w:pPr>
          </w:p>
        </w:tc>
        <w:tc>
          <w:tcPr>
            <w:tcW w:w="1080" w:type="dxa"/>
            <w:vAlign w:val="bottom"/>
          </w:tcPr>
          <w:p>
            <w:pPr>
              <w:jc w:val="right"/>
              <w:ind w:right="81"/>
              <w:spacing w:after="0"/>
              <w:rPr>
                <w:sz w:val="20"/>
                <w:szCs w:val="20"/>
                <w:color w:val="auto"/>
              </w:rPr>
            </w:pPr>
            <w:r>
              <w:rPr>
                <w:rFonts w:ascii="Arial" w:cs="Arial" w:eastAsia="Arial" w:hAnsi="Arial"/>
                <w:sz w:val="10"/>
                <w:szCs w:val="10"/>
                <w:b w:val="1"/>
                <w:bCs w:val="1"/>
                <w:color w:val="auto"/>
              </w:rPr>
              <w:t>Percentage of</w:t>
            </w:r>
          </w:p>
        </w:tc>
        <w:tc>
          <w:tcPr>
            <w:tcW w:w="100" w:type="dxa"/>
            <w:vAlign w:val="bottom"/>
          </w:tcPr>
          <w:p>
            <w:pPr>
              <w:spacing w:after="0"/>
              <w:rPr>
                <w:sz w:val="9"/>
                <w:szCs w:val="9"/>
                <w:color w:val="auto"/>
              </w:rPr>
            </w:pP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rPr>
              <w:t>Delinquent</w:t>
            </w:r>
          </w:p>
        </w:tc>
        <w:tc>
          <w:tcPr>
            <w:tcW w:w="100" w:type="dxa"/>
            <w:vAlign w:val="bottom"/>
          </w:tcPr>
          <w:p>
            <w:pPr>
              <w:spacing w:after="0"/>
              <w:rPr>
                <w:sz w:val="9"/>
                <w:szCs w:val="9"/>
                <w:color w:val="auto"/>
              </w:rPr>
            </w:pP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rPr>
              <w:t>Serious</w:t>
            </w:r>
          </w:p>
        </w:tc>
        <w:tc>
          <w:tcPr>
            <w:tcW w:w="100" w:type="dxa"/>
            <w:vAlign w:val="bottom"/>
          </w:tcPr>
          <w:p>
            <w:pPr>
              <w:spacing w:after="0"/>
              <w:rPr>
                <w:sz w:val="9"/>
                <w:szCs w:val="9"/>
                <w:color w:val="auto"/>
              </w:rPr>
            </w:pPr>
          </w:p>
        </w:tc>
        <w:tc>
          <w:tcPr>
            <w:tcW w:w="980" w:type="dxa"/>
            <w:vAlign w:val="bottom"/>
          </w:tcPr>
          <w:p>
            <w:pPr>
              <w:jc w:val="right"/>
              <w:ind w:right="83"/>
              <w:spacing w:after="0"/>
              <w:rPr>
                <w:sz w:val="20"/>
                <w:szCs w:val="20"/>
                <w:color w:val="auto"/>
              </w:rPr>
            </w:pPr>
            <w:r>
              <w:rPr>
                <w:rFonts w:ascii="Arial" w:cs="Arial" w:eastAsia="Arial" w:hAnsi="Arial"/>
                <w:sz w:val="10"/>
                <w:szCs w:val="10"/>
                <w:b w:val="1"/>
                <w:bCs w:val="1"/>
                <w:color w:val="auto"/>
              </w:rPr>
              <w:t>Percentage of</w:t>
            </w:r>
          </w:p>
        </w:tc>
        <w:tc>
          <w:tcPr>
            <w:tcW w:w="100" w:type="dxa"/>
            <w:vAlign w:val="bottom"/>
          </w:tcPr>
          <w:p>
            <w:pPr>
              <w:spacing w:after="0"/>
              <w:rPr>
                <w:sz w:val="9"/>
                <w:szCs w:val="9"/>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Delinquent</w:t>
            </w:r>
          </w:p>
        </w:tc>
        <w:tc>
          <w:tcPr>
            <w:tcW w:w="960" w:type="dxa"/>
            <w:vAlign w:val="bottom"/>
          </w:tcPr>
          <w:p>
            <w:pPr>
              <w:ind w:left="300"/>
              <w:spacing w:after="0"/>
              <w:rPr>
                <w:sz w:val="20"/>
                <w:szCs w:val="20"/>
                <w:color w:val="auto"/>
              </w:rPr>
            </w:pPr>
            <w:r>
              <w:rPr>
                <w:rFonts w:ascii="Arial" w:cs="Arial" w:eastAsia="Arial" w:hAnsi="Arial"/>
                <w:sz w:val="10"/>
                <w:szCs w:val="10"/>
                <w:b w:val="1"/>
                <w:bCs w:val="1"/>
                <w:color w:val="auto"/>
              </w:rPr>
              <w:t>Serious</w:t>
            </w:r>
          </w:p>
        </w:tc>
        <w:tc>
          <w:tcPr>
            <w:tcW w:w="120" w:type="dxa"/>
            <w:vAlign w:val="bottom"/>
          </w:tcPr>
          <w:p>
            <w:pPr>
              <w:spacing w:after="0"/>
              <w:rPr>
                <w:sz w:val="9"/>
                <w:szCs w:val="9"/>
                <w:color w:val="auto"/>
              </w:rPr>
            </w:pPr>
          </w:p>
        </w:tc>
        <w:tc>
          <w:tcPr>
            <w:tcW w:w="960" w:type="dxa"/>
            <w:vAlign w:val="bottom"/>
          </w:tcPr>
          <w:p>
            <w:pPr>
              <w:jc w:val="right"/>
              <w:ind w:right="88"/>
              <w:spacing w:after="0"/>
              <w:rPr>
                <w:sz w:val="20"/>
                <w:szCs w:val="20"/>
                <w:color w:val="auto"/>
              </w:rPr>
            </w:pPr>
            <w:r>
              <w:rPr>
                <w:rFonts w:ascii="Arial" w:cs="Arial" w:eastAsia="Arial" w:hAnsi="Arial"/>
                <w:sz w:val="10"/>
                <w:szCs w:val="10"/>
                <w:b w:val="1"/>
                <w:bCs w:val="1"/>
                <w:color w:val="auto"/>
              </w:rPr>
              <w:t>Percentage of</w:t>
            </w:r>
          </w:p>
        </w:tc>
        <w:tc>
          <w:tcPr>
            <w:tcW w:w="100" w:type="dxa"/>
            <w:vAlign w:val="bottom"/>
          </w:tcPr>
          <w:p>
            <w:pPr>
              <w:spacing w:after="0"/>
              <w:rPr>
                <w:sz w:val="9"/>
                <w:szCs w:val="9"/>
                <w:color w:val="auto"/>
              </w:rPr>
            </w:pP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rPr>
              <w:t>Delinquent</w:t>
            </w:r>
          </w:p>
        </w:tc>
        <w:tc>
          <w:tcPr>
            <w:tcW w:w="100" w:type="dxa"/>
            <w:vAlign w:val="bottom"/>
          </w:tcPr>
          <w:p>
            <w:pPr>
              <w:spacing w:after="0"/>
              <w:rPr>
                <w:sz w:val="9"/>
                <w:szCs w:val="9"/>
                <w:color w:val="auto"/>
              </w:rPr>
            </w:pP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rPr>
              <w:t>Serious</w:t>
            </w:r>
          </w:p>
        </w:tc>
        <w:tc>
          <w:tcPr>
            <w:tcW w:w="0" w:type="dxa"/>
            <w:vAlign w:val="bottom"/>
          </w:tcPr>
          <w:p>
            <w:pPr>
              <w:spacing w:after="0"/>
              <w:rPr>
                <w:sz w:val="1"/>
                <w:szCs w:val="1"/>
                <w:color w:val="auto"/>
              </w:rPr>
            </w:pPr>
          </w:p>
        </w:tc>
      </w:tr>
      <w:tr>
        <w:trPr>
          <w:trHeight w:val="172"/>
        </w:trPr>
        <w:tc>
          <w:tcPr>
            <w:tcW w:w="1580" w:type="dxa"/>
            <w:vAlign w:val="bottom"/>
          </w:tcPr>
          <w:p>
            <w:pPr>
              <w:spacing w:after="0"/>
              <w:rPr>
                <w:sz w:val="14"/>
                <w:szCs w:val="14"/>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0"/>
                <w:szCs w:val="10"/>
                <w:b w:val="1"/>
                <w:bCs w:val="1"/>
                <w:color w:val="auto"/>
              </w:rPr>
              <w:t>Book Outstanding</w:t>
            </w:r>
          </w:p>
        </w:tc>
        <w:tc>
          <w:tcPr>
            <w:tcW w:w="100" w:type="dxa"/>
            <w:vAlign w:val="bottom"/>
          </w:tcPr>
          <w:p>
            <w:pPr>
              <w:spacing w:after="0"/>
              <w:rPr>
                <w:sz w:val="14"/>
                <w:szCs w:val="14"/>
                <w:color w:val="auto"/>
              </w:rPr>
            </w:pPr>
          </w:p>
        </w:tc>
        <w:tc>
          <w:tcPr>
            <w:tcW w:w="960" w:type="dxa"/>
            <w:vAlign w:val="bottom"/>
            <w:tcBorders>
              <w:bottom w:val="single" w:sz="8" w:color="2C6937"/>
            </w:tcBorders>
          </w:tcPr>
          <w:p>
            <w:pPr>
              <w:jc w:val="center"/>
              <w:spacing w:after="0"/>
              <w:rPr>
                <w:sz w:val="20"/>
                <w:szCs w:val="20"/>
                <w:color w:val="auto"/>
              </w:rPr>
            </w:pPr>
            <w:r>
              <w:rPr>
                <w:rFonts w:ascii="Arial" w:cs="Arial" w:eastAsia="Arial" w:hAnsi="Arial"/>
                <w:sz w:val="10"/>
                <w:szCs w:val="10"/>
                <w:b w:val="1"/>
                <w:bCs w:val="1"/>
                <w:color w:val="auto"/>
                <w:w w:val="99"/>
              </w:rPr>
              <w:t>Loans</w:t>
            </w:r>
            <w:r>
              <w:rPr>
                <w:rFonts w:ascii="Arial" w:cs="Arial" w:eastAsia="Arial" w:hAnsi="Arial"/>
                <w:sz w:val="13"/>
                <w:szCs w:val="13"/>
                <w:b w:val="1"/>
                <w:bCs w:val="1"/>
                <w:color w:val="auto"/>
                <w:w w:val="99"/>
                <w:vertAlign w:val="superscript"/>
              </w:rPr>
              <w:t>(1)</w:t>
            </w:r>
          </w:p>
        </w:tc>
        <w:tc>
          <w:tcPr>
            <w:tcW w:w="100" w:type="dxa"/>
            <w:vAlign w:val="bottom"/>
          </w:tcPr>
          <w:p>
            <w:pPr>
              <w:spacing w:after="0"/>
              <w:rPr>
                <w:sz w:val="14"/>
                <w:szCs w:val="14"/>
                <w:color w:val="auto"/>
              </w:rPr>
            </w:pPr>
          </w:p>
        </w:tc>
        <w:tc>
          <w:tcPr>
            <w:tcW w:w="960" w:type="dxa"/>
            <w:vAlign w:val="bottom"/>
            <w:tcBorders>
              <w:bottom w:val="single" w:sz="8" w:color="2C6937"/>
            </w:tcBorders>
          </w:tcPr>
          <w:p>
            <w:pPr>
              <w:jc w:val="center"/>
              <w:spacing w:after="0"/>
              <w:rPr>
                <w:sz w:val="20"/>
                <w:szCs w:val="20"/>
                <w:color w:val="auto"/>
              </w:rPr>
            </w:pPr>
            <w:r>
              <w:rPr>
                <w:rFonts w:ascii="Arial" w:cs="Arial" w:eastAsia="Arial" w:hAnsi="Arial"/>
                <w:sz w:val="10"/>
                <w:szCs w:val="10"/>
                <w:b w:val="1"/>
                <w:bCs w:val="1"/>
                <w:color w:val="auto"/>
              </w:rPr>
              <w:t>Delinquency Rate</w:t>
            </w:r>
          </w:p>
        </w:tc>
        <w:tc>
          <w:tcPr>
            <w:tcW w:w="100" w:type="dxa"/>
            <w:vAlign w:val="bottom"/>
          </w:tcPr>
          <w:p>
            <w:pPr>
              <w:spacing w:after="0"/>
              <w:rPr>
                <w:sz w:val="14"/>
                <w:szCs w:val="14"/>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0"/>
                <w:szCs w:val="10"/>
                <w:b w:val="1"/>
                <w:bCs w:val="1"/>
                <w:color w:val="auto"/>
              </w:rPr>
              <w:t>Book Outstanding</w:t>
            </w:r>
          </w:p>
        </w:tc>
        <w:tc>
          <w:tcPr>
            <w:tcW w:w="100" w:type="dxa"/>
            <w:vAlign w:val="bottom"/>
          </w:tcPr>
          <w:p>
            <w:pPr>
              <w:spacing w:after="0"/>
              <w:rPr>
                <w:sz w:val="14"/>
                <w:szCs w:val="14"/>
                <w:color w:val="auto"/>
              </w:rPr>
            </w:pPr>
          </w:p>
        </w:tc>
        <w:tc>
          <w:tcPr>
            <w:tcW w:w="960" w:type="dxa"/>
            <w:vAlign w:val="bottom"/>
            <w:tcBorders>
              <w:bottom w:val="single" w:sz="8" w:color="2C6937"/>
            </w:tcBorders>
          </w:tcPr>
          <w:p>
            <w:pPr>
              <w:jc w:val="center"/>
              <w:spacing w:after="0"/>
              <w:rPr>
                <w:sz w:val="20"/>
                <w:szCs w:val="20"/>
                <w:color w:val="auto"/>
              </w:rPr>
            </w:pPr>
            <w:r>
              <w:rPr>
                <w:rFonts w:ascii="Arial" w:cs="Arial" w:eastAsia="Arial" w:hAnsi="Arial"/>
                <w:sz w:val="10"/>
                <w:szCs w:val="10"/>
                <w:b w:val="1"/>
                <w:bCs w:val="1"/>
                <w:color w:val="auto"/>
                <w:w w:val="99"/>
              </w:rPr>
              <w:t>Loans</w:t>
            </w:r>
            <w:r>
              <w:rPr>
                <w:rFonts w:ascii="Arial" w:cs="Arial" w:eastAsia="Arial" w:hAnsi="Arial"/>
                <w:sz w:val="13"/>
                <w:szCs w:val="13"/>
                <w:b w:val="1"/>
                <w:bCs w:val="1"/>
                <w:color w:val="auto"/>
                <w:w w:val="99"/>
                <w:vertAlign w:val="superscript"/>
              </w:rPr>
              <w:t>(1)</w:t>
            </w:r>
          </w:p>
        </w:tc>
        <w:tc>
          <w:tcPr>
            <w:tcW w:w="100" w:type="dxa"/>
            <w:vAlign w:val="bottom"/>
          </w:tcPr>
          <w:p>
            <w:pPr>
              <w:spacing w:after="0"/>
              <w:rPr>
                <w:sz w:val="14"/>
                <w:szCs w:val="14"/>
                <w:color w:val="auto"/>
              </w:rPr>
            </w:pPr>
          </w:p>
        </w:tc>
        <w:tc>
          <w:tcPr>
            <w:tcW w:w="960" w:type="dxa"/>
            <w:vAlign w:val="bottom"/>
            <w:tcBorders>
              <w:bottom w:val="single" w:sz="8" w:color="2C6937"/>
            </w:tcBorders>
          </w:tcPr>
          <w:p>
            <w:pPr>
              <w:ind w:left="60"/>
              <w:spacing w:after="0"/>
              <w:rPr>
                <w:sz w:val="20"/>
                <w:szCs w:val="20"/>
                <w:color w:val="auto"/>
              </w:rPr>
            </w:pPr>
            <w:r>
              <w:rPr>
                <w:rFonts w:ascii="Arial" w:cs="Arial" w:eastAsia="Arial" w:hAnsi="Arial"/>
                <w:sz w:val="10"/>
                <w:szCs w:val="10"/>
                <w:b w:val="1"/>
                <w:bCs w:val="1"/>
                <w:color w:val="auto"/>
              </w:rPr>
              <w:t>Delinquency Rate</w:t>
            </w:r>
          </w:p>
        </w:tc>
        <w:tc>
          <w:tcPr>
            <w:tcW w:w="120" w:type="dxa"/>
            <w:vAlign w:val="bottom"/>
          </w:tcPr>
          <w:p>
            <w:pPr>
              <w:spacing w:after="0"/>
              <w:rPr>
                <w:sz w:val="14"/>
                <w:szCs w:val="14"/>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0"/>
                <w:szCs w:val="10"/>
                <w:b w:val="1"/>
                <w:bCs w:val="1"/>
                <w:color w:val="auto"/>
              </w:rPr>
              <w:t>Book Outstanding</w:t>
            </w:r>
          </w:p>
        </w:tc>
        <w:tc>
          <w:tcPr>
            <w:tcW w:w="100" w:type="dxa"/>
            <w:vAlign w:val="bottom"/>
          </w:tcPr>
          <w:p>
            <w:pPr>
              <w:spacing w:after="0"/>
              <w:rPr>
                <w:sz w:val="14"/>
                <w:szCs w:val="14"/>
                <w:color w:val="auto"/>
              </w:rPr>
            </w:pPr>
          </w:p>
        </w:tc>
        <w:tc>
          <w:tcPr>
            <w:tcW w:w="960" w:type="dxa"/>
            <w:vAlign w:val="bottom"/>
            <w:tcBorders>
              <w:bottom w:val="single" w:sz="8" w:color="2C6937"/>
            </w:tcBorders>
          </w:tcPr>
          <w:p>
            <w:pPr>
              <w:jc w:val="center"/>
              <w:spacing w:after="0"/>
              <w:rPr>
                <w:sz w:val="20"/>
                <w:szCs w:val="20"/>
                <w:color w:val="auto"/>
              </w:rPr>
            </w:pPr>
            <w:r>
              <w:rPr>
                <w:rFonts w:ascii="Arial" w:cs="Arial" w:eastAsia="Arial" w:hAnsi="Arial"/>
                <w:sz w:val="10"/>
                <w:szCs w:val="10"/>
                <w:b w:val="1"/>
                <w:bCs w:val="1"/>
                <w:color w:val="auto"/>
                <w:w w:val="99"/>
              </w:rPr>
              <w:t>Loans</w:t>
            </w:r>
            <w:r>
              <w:rPr>
                <w:rFonts w:ascii="Arial" w:cs="Arial" w:eastAsia="Arial" w:hAnsi="Arial"/>
                <w:sz w:val="13"/>
                <w:szCs w:val="13"/>
                <w:b w:val="1"/>
                <w:bCs w:val="1"/>
                <w:color w:val="auto"/>
                <w:w w:val="99"/>
                <w:vertAlign w:val="superscript"/>
              </w:rPr>
              <w:t>(1)</w:t>
            </w:r>
          </w:p>
        </w:tc>
        <w:tc>
          <w:tcPr>
            <w:tcW w:w="100" w:type="dxa"/>
            <w:vAlign w:val="bottom"/>
          </w:tcPr>
          <w:p>
            <w:pPr>
              <w:spacing w:after="0"/>
              <w:rPr>
                <w:sz w:val="14"/>
                <w:szCs w:val="14"/>
                <w:color w:val="auto"/>
              </w:rPr>
            </w:pPr>
          </w:p>
        </w:tc>
        <w:tc>
          <w:tcPr>
            <w:tcW w:w="980" w:type="dxa"/>
            <w:vAlign w:val="bottom"/>
            <w:tcBorders>
              <w:bottom w:val="single" w:sz="8" w:color="2C6937"/>
            </w:tcBorders>
          </w:tcPr>
          <w:p>
            <w:pPr>
              <w:jc w:val="center"/>
              <w:spacing w:after="0"/>
              <w:rPr>
                <w:sz w:val="20"/>
                <w:szCs w:val="20"/>
                <w:color w:val="auto"/>
              </w:rPr>
            </w:pPr>
            <w:r>
              <w:rPr>
                <w:rFonts w:ascii="Arial" w:cs="Arial" w:eastAsia="Arial" w:hAnsi="Arial"/>
                <w:sz w:val="10"/>
                <w:szCs w:val="10"/>
                <w:b w:val="1"/>
                <w:bCs w:val="1"/>
                <w:color w:val="auto"/>
              </w:rPr>
              <w:t>Delinquency Rate</w:t>
            </w:r>
          </w:p>
        </w:tc>
        <w:tc>
          <w:tcPr>
            <w:tcW w:w="0" w:type="dxa"/>
            <w:vAlign w:val="bottom"/>
          </w:tcPr>
          <w:p>
            <w:pPr>
              <w:spacing w:after="0"/>
              <w:rPr>
                <w:sz w:val="1"/>
                <w:szCs w:val="1"/>
                <w:color w:val="auto"/>
              </w:rPr>
            </w:pPr>
          </w:p>
        </w:tc>
      </w:tr>
      <w:tr>
        <w:trPr>
          <w:trHeight w:val="153"/>
        </w:trPr>
        <w:tc>
          <w:tcPr>
            <w:tcW w:w="1580" w:type="dxa"/>
            <w:vAlign w:val="bottom"/>
          </w:tcPr>
          <w:p>
            <w:pPr>
              <w:ind w:left="20"/>
              <w:spacing w:after="0"/>
              <w:rPr>
                <w:sz w:val="20"/>
                <w:szCs w:val="20"/>
                <w:color w:val="auto"/>
              </w:rPr>
            </w:pPr>
            <w:r>
              <w:rPr>
                <w:rFonts w:ascii="Arial" w:cs="Arial" w:eastAsia="Arial" w:hAnsi="Arial"/>
                <w:sz w:val="12"/>
                <w:szCs w:val="12"/>
                <w:b w:val="1"/>
                <w:bCs w:val="1"/>
                <w:color w:val="auto"/>
              </w:rPr>
              <w:t>States:</w:t>
            </w:r>
          </w:p>
        </w:tc>
        <w:tc>
          <w:tcPr>
            <w:tcW w:w="10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19 %</w:t>
            </w:r>
          </w:p>
        </w:tc>
        <w:tc>
          <w:tcPr>
            <w:tcW w:w="106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10 %</w:t>
            </w:r>
          </w:p>
        </w:tc>
        <w:tc>
          <w:tcPr>
            <w:tcW w:w="1060" w:type="dxa"/>
            <w:vAlign w:val="bottom"/>
            <w:gridSpan w:val="2"/>
            <w:vMerge w:val="restart"/>
          </w:tcPr>
          <w:p>
            <w:pPr>
              <w:ind w:left="680"/>
              <w:spacing w:after="0"/>
              <w:rPr>
                <w:sz w:val="20"/>
                <w:szCs w:val="20"/>
                <w:color w:val="auto"/>
              </w:rPr>
            </w:pPr>
            <w:r>
              <w:rPr>
                <w:rFonts w:ascii="Arial" w:cs="Arial" w:eastAsia="Arial" w:hAnsi="Arial"/>
                <w:sz w:val="12"/>
                <w:szCs w:val="12"/>
                <w:b w:val="1"/>
                <w:bCs w:val="1"/>
                <w:color w:val="auto"/>
                <w:w w:val="96"/>
              </w:rPr>
              <w:t>0.41 %</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580" w:type="dxa"/>
            <w:vAlign w:val="bottom"/>
            <w:tcBorders>
              <w:bottom w:val="single" w:sz="8" w:color="2C6937"/>
            </w:tcBorders>
          </w:tcPr>
          <w:p>
            <w:pPr>
              <w:spacing w:after="0"/>
              <w:rPr>
                <w:sz w:val="2"/>
                <w:szCs w:val="2"/>
                <w:color w:val="auto"/>
              </w:rPr>
            </w:pPr>
          </w:p>
        </w:tc>
        <w:tc>
          <w:tcPr>
            <w:tcW w:w="1080" w:type="dxa"/>
            <w:vAlign w:val="bottom"/>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080" w:type="dxa"/>
            <w:vAlign w:val="bottom"/>
            <w:gridSpan w:val="2"/>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60" w:type="dxa"/>
            <w:vAlign w:val="bottom"/>
            <w:gridSpan w:val="2"/>
          </w:tcPr>
          <w:p>
            <w:pPr>
              <w:spacing w:after="0"/>
              <w:rPr>
                <w:sz w:val="2"/>
                <w:szCs w:val="2"/>
                <w:color w:val="auto"/>
              </w:rPr>
            </w:pPr>
          </w:p>
        </w:tc>
        <w:tc>
          <w:tcPr>
            <w:tcW w:w="10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1580" w:type="dxa"/>
            <w:vAlign w:val="bottom"/>
          </w:tcPr>
          <w:p>
            <w:pPr>
              <w:ind w:left="120"/>
              <w:spacing w:after="0"/>
              <w:rPr>
                <w:sz w:val="20"/>
                <w:szCs w:val="20"/>
                <w:color w:val="auto"/>
              </w:rPr>
            </w:pPr>
            <w:r>
              <w:rPr>
                <w:rFonts w:ascii="Arial" w:cs="Arial" w:eastAsia="Arial" w:hAnsi="Arial"/>
                <w:sz w:val="12"/>
                <w:szCs w:val="12"/>
                <w:color w:val="auto"/>
              </w:rPr>
              <w:t>California</w:t>
            </w:r>
          </w:p>
        </w:tc>
        <w:tc>
          <w:tcPr>
            <w:tcW w:w="108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19 %</w:t>
            </w:r>
          </w:p>
        </w:tc>
        <w:tc>
          <w:tcPr>
            <w:tcW w:w="1060" w:type="dxa"/>
            <w:vAlign w:val="bottom"/>
            <w:gridSpan w:val="2"/>
          </w:tcPr>
          <w:p>
            <w:pPr>
              <w:jc w:val="right"/>
              <w:spacing w:after="0"/>
              <w:rPr>
                <w:sz w:val="20"/>
                <w:szCs w:val="20"/>
                <w:color w:val="auto"/>
              </w:rPr>
            </w:pPr>
            <w:r>
              <w:rPr>
                <w:rFonts w:ascii="Arial" w:cs="Arial" w:eastAsia="Arial" w:hAnsi="Arial"/>
                <w:sz w:val="12"/>
                <w:szCs w:val="12"/>
                <w:color w:val="auto"/>
              </w:rPr>
              <w:t>9 %</w:t>
            </w:r>
          </w:p>
        </w:tc>
        <w:tc>
          <w:tcPr>
            <w:tcW w:w="100" w:type="dxa"/>
            <w:vAlign w:val="bottom"/>
          </w:tcPr>
          <w:p>
            <w:pPr>
              <w:spacing w:after="0"/>
              <w:rPr>
                <w:sz w:val="14"/>
                <w:szCs w:val="14"/>
                <w:color w:val="auto"/>
              </w:rPr>
            </w:pPr>
          </w:p>
        </w:tc>
        <w:tc>
          <w:tcPr>
            <w:tcW w:w="960" w:type="dxa"/>
            <w:vAlign w:val="bottom"/>
          </w:tcPr>
          <w:p>
            <w:pPr>
              <w:ind w:left="580"/>
              <w:spacing w:after="0"/>
              <w:rPr>
                <w:sz w:val="20"/>
                <w:szCs w:val="20"/>
                <w:color w:val="auto"/>
              </w:rPr>
            </w:pPr>
            <w:r>
              <w:rPr>
                <w:rFonts w:ascii="Arial" w:cs="Arial" w:eastAsia="Arial" w:hAnsi="Arial"/>
                <w:sz w:val="12"/>
                <w:szCs w:val="12"/>
                <w:color w:val="auto"/>
                <w:w w:val="96"/>
              </w:rPr>
              <w:t>0.46 %</w:t>
            </w: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19 %</w:t>
            </w:r>
          </w:p>
        </w:tc>
        <w:tc>
          <w:tcPr>
            <w:tcW w:w="1060" w:type="dxa"/>
            <w:vAlign w:val="bottom"/>
            <w:gridSpan w:val="2"/>
          </w:tcPr>
          <w:p>
            <w:pPr>
              <w:jc w:val="right"/>
              <w:spacing w:after="0"/>
              <w:rPr>
                <w:sz w:val="20"/>
                <w:szCs w:val="20"/>
                <w:color w:val="auto"/>
              </w:rPr>
            </w:pPr>
            <w:r>
              <w:rPr>
                <w:rFonts w:ascii="Arial" w:cs="Arial" w:eastAsia="Arial" w:hAnsi="Arial"/>
                <w:sz w:val="12"/>
                <w:szCs w:val="12"/>
                <w:color w:val="auto"/>
              </w:rPr>
              <w:t>10 %</w:t>
            </w:r>
          </w:p>
        </w:tc>
        <w:tc>
          <w:tcPr>
            <w:tcW w:w="1080" w:type="dxa"/>
            <w:vAlign w:val="bottom"/>
            <w:gridSpan w:val="2"/>
          </w:tcPr>
          <w:p>
            <w:pPr>
              <w:ind w:left="680"/>
              <w:spacing w:after="0"/>
              <w:rPr>
                <w:sz w:val="20"/>
                <w:szCs w:val="20"/>
                <w:color w:val="auto"/>
              </w:rPr>
            </w:pPr>
            <w:r>
              <w:rPr>
                <w:rFonts w:ascii="Arial" w:cs="Arial" w:eastAsia="Arial" w:hAnsi="Arial"/>
                <w:sz w:val="12"/>
                <w:szCs w:val="12"/>
                <w:color w:val="auto"/>
              </w:rPr>
              <w:t>0.59 %</w:t>
            </w:r>
          </w:p>
        </w:tc>
        <w:tc>
          <w:tcPr>
            <w:tcW w:w="0" w:type="dxa"/>
            <w:vAlign w:val="bottom"/>
          </w:tcPr>
          <w:p>
            <w:pPr>
              <w:spacing w:after="0"/>
              <w:rPr>
                <w:sz w:val="1"/>
                <w:szCs w:val="1"/>
                <w:color w:val="auto"/>
              </w:rPr>
            </w:pPr>
          </w:p>
        </w:tc>
      </w:tr>
      <w:tr>
        <w:trPr>
          <w:trHeight w:val="206"/>
        </w:trPr>
        <w:tc>
          <w:tcPr>
            <w:tcW w:w="1580" w:type="dxa"/>
            <w:vAlign w:val="bottom"/>
          </w:tcPr>
          <w:p>
            <w:pPr>
              <w:ind w:left="120"/>
              <w:spacing w:after="0"/>
              <w:rPr>
                <w:sz w:val="20"/>
                <w:szCs w:val="20"/>
                <w:color w:val="auto"/>
              </w:rPr>
            </w:pPr>
            <w:r>
              <w:rPr>
                <w:rFonts w:ascii="Arial" w:cs="Arial" w:eastAsia="Arial" w:hAnsi="Arial"/>
                <w:sz w:val="12"/>
                <w:szCs w:val="12"/>
                <w:color w:val="auto"/>
              </w:rPr>
              <w:t>Florida</w:t>
            </w:r>
          </w:p>
        </w:tc>
        <w:tc>
          <w:tcPr>
            <w:tcW w:w="1080" w:type="dxa"/>
            <w:vAlign w:val="bottom"/>
          </w:tcPr>
          <w:p>
            <w:pPr>
              <w:jc w:val="right"/>
              <w:ind w:right="101"/>
              <w:spacing w:after="0"/>
              <w:rPr>
                <w:sz w:val="20"/>
                <w:szCs w:val="20"/>
                <w:color w:val="auto"/>
              </w:rPr>
            </w:pPr>
            <w:r>
              <w:rPr>
                <w:rFonts w:ascii="Arial" w:cs="Arial" w:eastAsia="Arial" w:hAnsi="Arial"/>
                <w:sz w:val="12"/>
                <w:szCs w:val="12"/>
                <w:b w:val="1"/>
                <w:bCs w:val="1"/>
                <w:color w:val="auto"/>
              </w:rPr>
              <w:t>6</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9</w:t>
            </w:r>
          </w:p>
        </w:tc>
        <w:tc>
          <w:tcPr>
            <w:tcW w:w="1060" w:type="dxa"/>
            <w:vAlign w:val="bottom"/>
            <w:gridSpan w:val="2"/>
          </w:tcPr>
          <w:p>
            <w:pPr>
              <w:ind w:left="680"/>
              <w:spacing w:after="0"/>
              <w:rPr>
                <w:sz w:val="20"/>
                <w:szCs w:val="20"/>
                <w:color w:val="auto"/>
              </w:rPr>
            </w:pPr>
            <w:r>
              <w:rPr>
                <w:rFonts w:ascii="Arial" w:cs="Arial" w:eastAsia="Arial" w:hAnsi="Arial"/>
                <w:sz w:val="12"/>
                <w:szCs w:val="12"/>
                <w:b w:val="1"/>
                <w:bCs w:val="1"/>
                <w:color w:val="auto"/>
              </w:rPr>
              <w:t>0.71</w:t>
            </w:r>
          </w:p>
        </w:tc>
        <w:tc>
          <w:tcPr>
            <w:tcW w:w="1080" w:type="dxa"/>
            <w:vAlign w:val="bottom"/>
            <w:gridSpan w:val="2"/>
          </w:tcPr>
          <w:p>
            <w:pPr>
              <w:jc w:val="right"/>
              <w:ind w:right="103"/>
              <w:spacing w:after="0"/>
              <w:rPr>
                <w:sz w:val="20"/>
                <w:szCs w:val="20"/>
                <w:color w:val="auto"/>
              </w:rPr>
            </w:pPr>
            <w:r>
              <w:rPr>
                <w:rFonts w:ascii="Arial" w:cs="Arial" w:eastAsia="Arial" w:hAnsi="Arial"/>
                <w:sz w:val="12"/>
                <w:szCs w:val="12"/>
                <w:color w:val="auto"/>
              </w:rPr>
              <w:t>6</w:t>
            </w:r>
          </w:p>
        </w:tc>
        <w:tc>
          <w:tcPr>
            <w:tcW w:w="1060" w:type="dxa"/>
            <w:vAlign w:val="bottom"/>
            <w:gridSpan w:val="2"/>
          </w:tcPr>
          <w:p>
            <w:pPr>
              <w:jc w:val="right"/>
              <w:ind w:right="105"/>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7"/>
                <w:szCs w:val="17"/>
                <w:color w:val="auto"/>
              </w:rPr>
            </w:pPr>
          </w:p>
        </w:tc>
        <w:tc>
          <w:tcPr>
            <w:tcW w:w="960" w:type="dxa"/>
            <w:vAlign w:val="bottom"/>
          </w:tcPr>
          <w:p>
            <w:pPr>
              <w:ind w:left="580"/>
              <w:spacing w:after="0"/>
              <w:rPr>
                <w:sz w:val="20"/>
                <w:szCs w:val="20"/>
                <w:color w:val="auto"/>
              </w:rPr>
            </w:pPr>
            <w:r>
              <w:rPr>
                <w:rFonts w:ascii="Arial" w:cs="Arial" w:eastAsia="Arial" w:hAnsi="Arial"/>
                <w:sz w:val="12"/>
                <w:szCs w:val="12"/>
                <w:color w:val="auto"/>
              </w:rPr>
              <w:t>0.90</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6</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color w:val="auto"/>
              </w:rPr>
              <w:t>8</w:t>
            </w:r>
          </w:p>
        </w:tc>
        <w:tc>
          <w:tcPr>
            <w:tcW w:w="1080" w:type="dxa"/>
            <w:vAlign w:val="bottom"/>
            <w:gridSpan w:val="2"/>
          </w:tcPr>
          <w:p>
            <w:pPr>
              <w:ind w:left="680"/>
              <w:spacing w:after="0"/>
              <w:rPr>
                <w:sz w:val="20"/>
                <w:szCs w:val="20"/>
                <w:color w:val="auto"/>
              </w:rPr>
            </w:pPr>
            <w:r>
              <w:rPr>
                <w:rFonts w:ascii="Arial" w:cs="Arial" w:eastAsia="Arial" w:hAnsi="Arial"/>
                <w:sz w:val="12"/>
                <w:szCs w:val="12"/>
                <w:color w:val="auto"/>
              </w:rPr>
              <w:t>0.92</w:t>
            </w:r>
          </w:p>
        </w:tc>
        <w:tc>
          <w:tcPr>
            <w:tcW w:w="0" w:type="dxa"/>
            <w:vAlign w:val="bottom"/>
          </w:tcPr>
          <w:p>
            <w:pPr>
              <w:spacing w:after="0"/>
              <w:rPr>
                <w:sz w:val="1"/>
                <w:szCs w:val="1"/>
                <w:color w:val="auto"/>
              </w:rPr>
            </w:pPr>
          </w:p>
        </w:tc>
      </w:tr>
      <w:tr>
        <w:trPr>
          <w:trHeight w:val="193"/>
        </w:trPr>
        <w:tc>
          <w:tcPr>
            <w:tcW w:w="1580" w:type="dxa"/>
            <w:vAlign w:val="bottom"/>
          </w:tcPr>
          <w:p>
            <w:pPr>
              <w:ind w:left="120"/>
              <w:spacing w:after="0"/>
              <w:rPr>
                <w:sz w:val="20"/>
                <w:szCs w:val="20"/>
                <w:color w:val="auto"/>
              </w:rPr>
            </w:pPr>
            <w:r>
              <w:rPr>
                <w:rFonts w:ascii="Arial" w:cs="Arial" w:eastAsia="Arial" w:hAnsi="Arial"/>
                <w:sz w:val="12"/>
                <w:szCs w:val="12"/>
                <w:color w:val="auto"/>
              </w:rPr>
              <w:t>Illinois</w:t>
            </w:r>
          </w:p>
        </w:tc>
        <w:tc>
          <w:tcPr>
            <w:tcW w:w="1080" w:type="dxa"/>
            <w:vAlign w:val="bottom"/>
          </w:tcPr>
          <w:p>
            <w:pPr>
              <w:jc w:val="right"/>
              <w:ind w:right="101"/>
              <w:spacing w:after="0"/>
              <w:rPr>
                <w:sz w:val="20"/>
                <w:szCs w:val="20"/>
                <w:color w:val="auto"/>
              </w:rPr>
            </w:pPr>
            <w:r>
              <w:rPr>
                <w:rFonts w:ascii="Arial" w:cs="Arial" w:eastAsia="Arial" w:hAnsi="Arial"/>
                <w:sz w:val="12"/>
                <w:szCs w:val="12"/>
                <w:b w:val="1"/>
                <w:bCs w:val="1"/>
                <w:color w:val="auto"/>
              </w:rPr>
              <w:t>3</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5</w:t>
            </w:r>
          </w:p>
        </w:tc>
        <w:tc>
          <w:tcPr>
            <w:tcW w:w="1060" w:type="dxa"/>
            <w:vAlign w:val="bottom"/>
            <w:gridSpan w:val="2"/>
          </w:tcPr>
          <w:p>
            <w:pPr>
              <w:ind w:left="680"/>
              <w:spacing w:after="0"/>
              <w:rPr>
                <w:sz w:val="20"/>
                <w:szCs w:val="20"/>
                <w:color w:val="auto"/>
              </w:rPr>
            </w:pPr>
            <w:r>
              <w:rPr>
                <w:rFonts w:ascii="Arial" w:cs="Arial" w:eastAsia="Arial" w:hAnsi="Arial"/>
                <w:sz w:val="12"/>
                <w:szCs w:val="12"/>
                <w:b w:val="1"/>
                <w:bCs w:val="1"/>
                <w:color w:val="auto"/>
              </w:rPr>
              <w:t>0.71</w:t>
            </w:r>
          </w:p>
        </w:tc>
        <w:tc>
          <w:tcPr>
            <w:tcW w:w="1080" w:type="dxa"/>
            <w:vAlign w:val="bottom"/>
            <w:gridSpan w:val="2"/>
          </w:tcPr>
          <w:p>
            <w:pPr>
              <w:jc w:val="right"/>
              <w:ind w:right="103"/>
              <w:spacing w:after="0"/>
              <w:rPr>
                <w:sz w:val="20"/>
                <w:szCs w:val="20"/>
                <w:color w:val="auto"/>
              </w:rPr>
            </w:pPr>
            <w:r>
              <w:rPr>
                <w:rFonts w:ascii="Arial" w:cs="Arial" w:eastAsia="Arial" w:hAnsi="Arial"/>
                <w:sz w:val="12"/>
                <w:szCs w:val="12"/>
                <w:color w:val="auto"/>
              </w:rPr>
              <w:t>3</w:t>
            </w:r>
          </w:p>
        </w:tc>
        <w:tc>
          <w:tcPr>
            <w:tcW w:w="1060" w:type="dxa"/>
            <w:vAlign w:val="bottom"/>
            <w:gridSpan w:val="2"/>
          </w:tcPr>
          <w:p>
            <w:pPr>
              <w:jc w:val="right"/>
              <w:ind w:right="105"/>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Arial" w:cs="Arial" w:eastAsia="Arial" w:hAnsi="Arial"/>
                <w:sz w:val="12"/>
                <w:szCs w:val="12"/>
                <w:color w:val="auto"/>
              </w:rPr>
              <w:t>0.86</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3</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color w:val="auto"/>
              </w:rPr>
              <w:t>5</w:t>
            </w:r>
          </w:p>
        </w:tc>
        <w:tc>
          <w:tcPr>
            <w:tcW w:w="1080" w:type="dxa"/>
            <w:vAlign w:val="bottom"/>
            <w:gridSpan w:val="2"/>
          </w:tcPr>
          <w:p>
            <w:pPr>
              <w:ind w:left="680"/>
              <w:spacing w:after="0"/>
              <w:rPr>
                <w:sz w:val="20"/>
                <w:szCs w:val="20"/>
                <w:color w:val="auto"/>
              </w:rPr>
            </w:pPr>
            <w:r>
              <w:rPr>
                <w:rFonts w:ascii="Arial" w:cs="Arial" w:eastAsia="Arial" w:hAnsi="Arial"/>
                <w:sz w:val="12"/>
                <w:szCs w:val="12"/>
                <w:color w:val="auto"/>
              </w:rPr>
              <w:t>1.08</w:t>
            </w:r>
          </w:p>
        </w:tc>
        <w:tc>
          <w:tcPr>
            <w:tcW w:w="0" w:type="dxa"/>
            <w:vAlign w:val="bottom"/>
          </w:tcPr>
          <w:p>
            <w:pPr>
              <w:spacing w:after="0"/>
              <w:rPr>
                <w:sz w:val="1"/>
                <w:szCs w:val="1"/>
                <w:color w:val="auto"/>
              </w:rPr>
            </w:pPr>
          </w:p>
        </w:tc>
      </w:tr>
      <w:tr>
        <w:trPr>
          <w:trHeight w:val="193"/>
        </w:trPr>
        <w:tc>
          <w:tcPr>
            <w:tcW w:w="1580" w:type="dxa"/>
            <w:vAlign w:val="bottom"/>
          </w:tcPr>
          <w:p>
            <w:pPr>
              <w:ind w:left="120"/>
              <w:spacing w:after="0"/>
              <w:rPr>
                <w:sz w:val="20"/>
                <w:szCs w:val="20"/>
                <w:color w:val="auto"/>
              </w:rPr>
            </w:pPr>
            <w:r>
              <w:rPr>
                <w:rFonts w:ascii="Arial" w:cs="Arial" w:eastAsia="Arial" w:hAnsi="Arial"/>
                <w:sz w:val="12"/>
                <w:szCs w:val="12"/>
                <w:color w:val="auto"/>
              </w:rPr>
              <w:t>New Jersey</w:t>
            </w:r>
          </w:p>
        </w:tc>
        <w:tc>
          <w:tcPr>
            <w:tcW w:w="1080" w:type="dxa"/>
            <w:vAlign w:val="bottom"/>
          </w:tcPr>
          <w:p>
            <w:pPr>
              <w:jc w:val="right"/>
              <w:ind w:right="101"/>
              <w:spacing w:after="0"/>
              <w:rPr>
                <w:sz w:val="20"/>
                <w:szCs w:val="20"/>
                <w:color w:val="auto"/>
              </w:rPr>
            </w:pPr>
            <w:r>
              <w:rPr>
                <w:rFonts w:ascii="Arial" w:cs="Arial" w:eastAsia="Arial" w:hAnsi="Arial"/>
                <w:sz w:val="12"/>
                <w:szCs w:val="12"/>
                <w:b w:val="1"/>
                <w:bCs w:val="1"/>
                <w:color w:val="auto"/>
              </w:rPr>
              <w:t>3</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4</w:t>
            </w:r>
          </w:p>
        </w:tc>
        <w:tc>
          <w:tcPr>
            <w:tcW w:w="1060" w:type="dxa"/>
            <w:vAlign w:val="bottom"/>
            <w:gridSpan w:val="2"/>
          </w:tcPr>
          <w:p>
            <w:pPr>
              <w:ind w:left="680"/>
              <w:spacing w:after="0"/>
              <w:rPr>
                <w:sz w:val="20"/>
                <w:szCs w:val="20"/>
                <w:color w:val="auto"/>
              </w:rPr>
            </w:pPr>
            <w:r>
              <w:rPr>
                <w:rFonts w:ascii="Arial" w:cs="Arial" w:eastAsia="Arial" w:hAnsi="Arial"/>
                <w:sz w:val="12"/>
                <w:szCs w:val="12"/>
                <w:b w:val="1"/>
                <w:bCs w:val="1"/>
                <w:color w:val="auto"/>
              </w:rPr>
              <w:t>0.69</w:t>
            </w:r>
          </w:p>
        </w:tc>
        <w:tc>
          <w:tcPr>
            <w:tcW w:w="1080" w:type="dxa"/>
            <w:vAlign w:val="bottom"/>
            <w:gridSpan w:val="2"/>
          </w:tcPr>
          <w:p>
            <w:pPr>
              <w:jc w:val="right"/>
              <w:ind w:right="103"/>
              <w:spacing w:after="0"/>
              <w:rPr>
                <w:sz w:val="20"/>
                <w:szCs w:val="20"/>
                <w:color w:val="auto"/>
              </w:rPr>
            </w:pPr>
            <w:r>
              <w:rPr>
                <w:rFonts w:ascii="Arial" w:cs="Arial" w:eastAsia="Arial" w:hAnsi="Arial"/>
                <w:sz w:val="12"/>
                <w:szCs w:val="12"/>
                <w:color w:val="auto"/>
              </w:rPr>
              <w:t>3</w:t>
            </w:r>
          </w:p>
        </w:tc>
        <w:tc>
          <w:tcPr>
            <w:tcW w:w="1060" w:type="dxa"/>
            <w:vAlign w:val="bottom"/>
            <w:gridSpan w:val="2"/>
          </w:tcPr>
          <w:p>
            <w:pPr>
              <w:jc w:val="right"/>
              <w:ind w:right="105"/>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Arial" w:cs="Arial" w:eastAsia="Arial" w:hAnsi="Arial"/>
                <w:sz w:val="12"/>
                <w:szCs w:val="12"/>
                <w:color w:val="auto"/>
              </w:rPr>
              <w:t>0.85</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3</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color w:val="auto"/>
              </w:rPr>
              <w:t>4</w:t>
            </w:r>
          </w:p>
        </w:tc>
        <w:tc>
          <w:tcPr>
            <w:tcW w:w="1080" w:type="dxa"/>
            <w:vAlign w:val="bottom"/>
            <w:gridSpan w:val="2"/>
          </w:tcPr>
          <w:p>
            <w:pPr>
              <w:ind w:left="680"/>
              <w:spacing w:after="0"/>
              <w:rPr>
                <w:sz w:val="20"/>
                <w:szCs w:val="20"/>
                <w:color w:val="auto"/>
              </w:rPr>
            </w:pPr>
            <w:r>
              <w:rPr>
                <w:rFonts w:ascii="Arial" w:cs="Arial" w:eastAsia="Arial" w:hAnsi="Arial"/>
                <w:sz w:val="12"/>
                <w:szCs w:val="12"/>
                <w:color w:val="auto"/>
              </w:rPr>
              <w:t>1.17</w:t>
            </w:r>
          </w:p>
        </w:tc>
        <w:tc>
          <w:tcPr>
            <w:tcW w:w="0" w:type="dxa"/>
            <w:vAlign w:val="bottom"/>
          </w:tcPr>
          <w:p>
            <w:pPr>
              <w:spacing w:after="0"/>
              <w:rPr>
                <w:sz w:val="1"/>
                <w:szCs w:val="1"/>
                <w:color w:val="auto"/>
              </w:rPr>
            </w:pPr>
          </w:p>
        </w:tc>
      </w:tr>
      <w:tr>
        <w:trPr>
          <w:trHeight w:val="193"/>
        </w:trPr>
        <w:tc>
          <w:tcPr>
            <w:tcW w:w="1580" w:type="dxa"/>
            <w:vAlign w:val="bottom"/>
          </w:tcPr>
          <w:p>
            <w:pPr>
              <w:ind w:left="120"/>
              <w:spacing w:after="0"/>
              <w:rPr>
                <w:sz w:val="20"/>
                <w:szCs w:val="20"/>
                <w:color w:val="auto"/>
              </w:rPr>
            </w:pPr>
            <w:r>
              <w:rPr>
                <w:rFonts w:ascii="Arial" w:cs="Arial" w:eastAsia="Arial" w:hAnsi="Arial"/>
                <w:sz w:val="12"/>
                <w:szCs w:val="12"/>
                <w:color w:val="auto"/>
              </w:rPr>
              <w:t>New York</w:t>
            </w:r>
          </w:p>
        </w:tc>
        <w:tc>
          <w:tcPr>
            <w:tcW w:w="1080" w:type="dxa"/>
            <w:vAlign w:val="bottom"/>
          </w:tcPr>
          <w:p>
            <w:pPr>
              <w:jc w:val="right"/>
              <w:ind w:right="101"/>
              <w:spacing w:after="0"/>
              <w:rPr>
                <w:sz w:val="20"/>
                <w:szCs w:val="20"/>
                <w:color w:val="auto"/>
              </w:rPr>
            </w:pPr>
            <w:r>
              <w:rPr>
                <w:rFonts w:ascii="Arial" w:cs="Arial" w:eastAsia="Arial" w:hAnsi="Arial"/>
                <w:sz w:val="12"/>
                <w:szCs w:val="12"/>
                <w:b w:val="1"/>
                <w:bCs w:val="1"/>
                <w:color w:val="auto"/>
              </w:rPr>
              <w:t>5</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7</w:t>
            </w:r>
          </w:p>
        </w:tc>
        <w:tc>
          <w:tcPr>
            <w:tcW w:w="1060" w:type="dxa"/>
            <w:vAlign w:val="bottom"/>
            <w:gridSpan w:val="2"/>
          </w:tcPr>
          <w:p>
            <w:pPr>
              <w:ind w:left="680"/>
              <w:spacing w:after="0"/>
              <w:rPr>
                <w:sz w:val="20"/>
                <w:szCs w:val="20"/>
                <w:color w:val="auto"/>
              </w:rPr>
            </w:pPr>
            <w:r>
              <w:rPr>
                <w:rFonts w:ascii="Arial" w:cs="Arial" w:eastAsia="Arial" w:hAnsi="Arial"/>
                <w:sz w:val="12"/>
                <w:szCs w:val="12"/>
                <w:b w:val="1"/>
                <w:bCs w:val="1"/>
                <w:color w:val="auto"/>
              </w:rPr>
              <w:t>0.96</w:t>
            </w:r>
          </w:p>
        </w:tc>
        <w:tc>
          <w:tcPr>
            <w:tcW w:w="1080" w:type="dxa"/>
            <w:vAlign w:val="bottom"/>
            <w:gridSpan w:val="2"/>
          </w:tcPr>
          <w:p>
            <w:pPr>
              <w:jc w:val="right"/>
              <w:ind w:right="103"/>
              <w:spacing w:after="0"/>
              <w:rPr>
                <w:sz w:val="20"/>
                <w:szCs w:val="20"/>
                <w:color w:val="auto"/>
              </w:rPr>
            </w:pPr>
            <w:r>
              <w:rPr>
                <w:rFonts w:ascii="Arial" w:cs="Arial" w:eastAsia="Arial" w:hAnsi="Arial"/>
                <w:sz w:val="12"/>
                <w:szCs w:val="12"/>
                <w:color w:val="auto"/>
              </w:rPr>
              <w:t>5</w:t>
            </w:r>
          </w:p>
        </w:tc>
        <w:tc>
          <w:tcPr>
            <w:tcW w:w="1060" w:type="dxa"/>
            <w:vAlign w:val="bottom"/>
            <w:gridSpan w:val="2"/>
          </w:tcPr>
          <w:p>
            <w:pPr>
              <w:jc w:val="right"/>
              <w:ind w:right="105"/>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Arial" w:cs="Arial" w:eastAsia="Arial" w:hAnsi="Arial"/>
                <w:sz w:val="12"/>
                <w:szCs w:val="12"/>
                <w:color w:val="auto"/>
              </w:rPr>
              <w:t>1.12</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5</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color w:val="auto"/>
              </w:rPr>
              <w:t>8</w:t>
            </w:r>
          </w:p>
        </w:tc>
        <w:tc>
          <w:tcPr>
            <w:tcW w:w="1080" w:type="dxa"/>
            <w:vAlign w:val="bottom"/>
            <w:gridSpan w:val="2"/>
          </w:tcPr>
          <w:p>
            <w:pPr>
              <w:ind w:left="680"/>
              <w:spacing w:after="0"/>
              <w:rPr>
                <w:sz w:val="20"/>
                <w:szCs w:val="20"/>
                <w:color w:val="auto"/>
              </w:rPr>
            </w:pPr>
            <w:r>
              <w:rPr>
                <w:rFonts w:ascii="Arial" w:cs="Arial" w:eastAsia="Arial" w:hAnsi="Arial"/>
                <w:sz w:val="12"/>
                <w:szCs w:val="12"/>
                <w:color w:val="auto"/>
              </w:rPr>
              <w:t>1.54</w:t>
            </w:r>
          </w:p>
        </w:tc>
        <w:tc>
          <w:tcPr>
            <w:tcW w:w="0" w:type="dxa"/>
            <w:vAlign w:val="bottom"/>
          </w:tcPr>
          <w:p>
            <w:pPr>
              <w:spacing w:after="0"/>
              <w:rPr>
                <w:sz w:val="1"/>
                <w:szCs w:val="1"/>
                <w:color w:val="auto"/>
              </w:rPr>
            </w:pPr>
          </w:p>
        </w:tc>
      </w:tr>
      <w:tr>
        <w:trPr>
          <w:trHeight w:val="193"/>
        </w:trPr>
        <w:tc>
          <w:tcPr>
            <w:tcW w:w="1580" w:type="dxa"/>
            <w:vAlign w:val="bottom"/>
          </w:tcPr>
          <w:p>
            <w:pPr>
              <w:ind w:left="120"/>
              <w:spacing w:after="0"/>
              <w:rPr>
                <w:sz w:val="20"/>
                <w:szCs w:val="20"/>
                <w:color w:val="auto"/>
              </w:rPr>
            </w:pPr>
            <w:r>
              <w:rPr>
                <w:rFonts w:ascii="Arial" w:cs="Arial" w:eastAsia="Arial" w:hAnsi="Arial"/>
                <w:sz w:val="12"/>
                <w:szCs w:val="12"/>
                <w:color w:val="auto"/>
              </w:rPr>
              <w:t>All other states</w:t>
            </w:r>
          </w:p>
        </w:tc>
        <w:tc>
          <w:tcPr>
            <w:tcW w:w="1080" w:type="dxa"/>
            <w:vAlign w:val="bottom"/>
          </w:tcPr>
          <w:p>
            <w:pPr>
              <w:jc w:val="right"/>
              <w:ind w:right="101"/>
              <w:spacing w:after="0"/>
              <w:rPr>
                <w:sz w:val="20"/>
                <w:szCs w:val="20"/>
                <w:color w:val="auto"/>
              </w:rPr>
            </w:pPr>
            <w:r>
              <w:rPr>
                <w:rFonts w:ascii="Arial" w:cs="Arial" w:eastAsia="Arial" w:hAnsi="Arial"/>
                <w:sz w:val="12"/>
                <w:szCs w:val="12"/>
                <w:b w:val="1"/>
                <w:bCs w:val="1"/>
                <w:color w:val="auto"/>
              </w:rPr>
              <w:t>64</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65</w:t>
            </w:r>
          </w:p>
        </w:tc>
        <w:tc>
          <w:tcPr>
            <w:tcW w:w="1060" w:type="dxa"/>
            <w:vAlign w:val="bottom"/>
            <w:gridSpan w:val="2"/>
          </w:tcPr>
          <w:p>
            <w:pPr>
              <w:ind w:left="680"/>
              <w:spacing w:after="0"/>
              <w:rPr>
                <w:sz w:val="20"/>
                <w:szCs w:val="20"/>
                <w:color w:val="auto"/>
              </w:rPr>
            </w:pPr>
            <w:r>
              <w:rPr>
                <w:rFonts w:ascii="Arial" w:cs="Arial" w:eastAsia="Arial" w:hAnsi="Arial"/>
                <w:sz w:val="12"/>
                <w:szCs w:val="12"/>
                <w:b w:val="1"/>
                <w:bCs w:val="1"/>
                <w:color w:val="auto"/>
              </w:rPr>
              <w:t>0.52</w:t>
            </w:r>
          </w:p>
        </w:tc>
        <w:tc>
          <w:tcPr>
            <w:tcW w:w="1080" w:type="dxa"/>
            <w:vAlign w:val="bottom"/>
            <w:gridSpan w:val="2"/>
          </w:tcPr>
          <w:p>
            <w:pPr>
              <w:jc w:val="right"/>
              <w:ind w:right="103"/>
              <w:spacing w:after="0"/>
              <w:rPr>
                <w:sz w:val="20"/>
                <w:szCs w:val="20"/>
                <w:color w:val="auto"/>
              </w:rPr>
            </w:pPr>
            <w:r>
              <w:rPr>
                <w:rFonts w:ascii="Arial" w:cs="Arial" w:eastAsia="Arial" w:hAnsi="Arial"/>
                <w:sz w:val="12"/>
                <w:szCs w:val="12"/>
                <w:color w:val="auto"/>
              </w:rPr>
              <w:t>64</w:t>
            </w:r>
          </w:p>
        </w:tc>
        <w:tc>
          <w:tcPr>
            <w:tcW w:w="1060" w:type="dxa"/>
            <w:vAlign w:val="bottom"/>
            <w:gridSpan w:val="2"/>
          </w:tcPr>
          <w:p>
            <w:pPr>
              <w:jc w:val="right"/>
              <w:ind w:right="105"/>
              <w:spacing w:after="0"/>
              <w:rPr>
                <w:sz w:val="20"/>
                <w:szCs w:val="20"/>
                <w:color w:val="auto"/>
              </w:rPr>
            </w:pPr>
            <w:r>
              <w:rPr>
                <w:rFonts w:ascii="Arial" w:cs="Arial" w:eastAsia="Arial" w:hAnsi="Arial"/>
                <w:sz w:val="12"/>
                <w:szCs w:val="12"/>
                <w:color w:val="auto"/>
              </w:rPr>
              <w:t>66</w:t>
            </w:r>
          </w:p>
        </w:tc>
        <w:tc>
          <w:tcPr>
            <w:tcW w:w="10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Arial" w:cs="Arial" w:eastAsia="Arial" w:hAnsi="Arial"/>
                <w:sz w:val="12"/>
                <w:szCs w:val="12"/>
                <w:color w:val="auto"/>
              </w:rPr>
              <w:t>0.62</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64</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color w:val="auto"/>
              </w:rPr>
              <w:t>65</w:t>
            </w:r>
          </w:p>
        </w:tc>
        <w:tc>
          <w:tcPr>
            <w:tcW w:w="1080" w:type="dxa"/>
            <w:vAlign w:val="bottom"/>
            <w:gridSpan w:val="2"/>
          </w:tcPr>
          <w:p>
            <w:pPr>
              <w:ind w:left="680"/>
              <w:spacing w:after="0"/>
              <w:rPr>
                <w:sz w:val="20"/>
                <w:szCs w:val="20"/>
                <w:color w:val="auto"/>
              </w:rPr>
            </w:pPr>
            <w:r>
              <w:rPr>
                <w:rFonts w:ascii="Arial" w:cs="Arial" w:eastAsia="Arial" w:hAnsi="Arial"/>
                <w:sz w:val="12"/>
                <w:szCs w:val="12"/>
                <w:color w:val="auto"/>
              </w:rPr>
              <w:t>0.76</w:t>
            </w:r>
          </w:p>
        </w:tc>
        <w:tc>
          <w:tcPr>
            <w:tcW w:w="0" w:type="dxa"/>
            <w:vAlign w:val="bottom"/>
          </w:tcPr>
          <w:p>
            <w:pPr>
              <w:spacing w:after="0"/>
              <w:rPr>
                <w:sz w:val="1"/>
                <w:szCs w:val="1"/>
                <w:color w:val="auto"/>
              </w:rPr>
            </w:pPr>
          </w:p>
        </w:tc>
      </w:tr>
      <w:tr>
        <w:trPr>
          <w:trHeight w:val="193"/>
        </w:trPr>
        <w:tc>
          <w:tcPr>
            <w:tcW w:w="1580" w:type="dxa"/>
            <w:vAlign w:val="bottom"/>
          </w:tcPr>
          <w:p>
            <w:pPr>
              <w:ind w:left="20"/>
              <w:spacing w:after="0"/>
              <w:rPr>
                <w:sz w:val="20"/>
                <w:szCs w:val="20"/>
                <w:color w:val="auto"/>
              </w:rPr>
            </w:pPr>
            <w:r>
              <w:rPr>
                <w:rFonts w:ascii="Arial" w:cs="Arial" w:eastAsia="Arial" w:hAnsi="Arial"/>
                <w:sz w:val="12"/>
                <w:szCs w:val="12"/>
                <w:b w:val="1"/>
                <w:bCs w:val="1"/>
                <w:color w:val="auto"/>
              </w:rPr>
              <w:t>Vintages: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80" w:type="dxa"/>
            <w:vAlign w:val="bottom"/>
            <w:tcBorders>
              <w:bottom w:val="single" w:sz="8" w:color="2C6937"/>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1580" w:type="dxa"/>
            <w:vAlign w:val="bottom"/>
          </w:tcPr>
          <w:p>
            <w:pPr>
              <w:ind w:left="120"/>
              <w:spacing w:after="0"/>
              <w:rPr>
                <w:sz w:val="20"/>
                <w:szCs w:val="20"/>
                <w:color w:val="auto"/>
              </w:rPr>
            </w:pPr>
            <w:r>
              <w:rPr>
                <w:rFonts w:ascii="Arial" w:cs="Arial" w:eastAsia="Arial" w:hAnsi="Arial"/>
                <w:sz w:val="12"/>
                <w:szCs w:val="12"/>
                <w:color w:val="auto"/>
              </w:rPr>
              <w:t>2008 and prior</w:t>
            </w:r>
          </w:p>
        </w:tc>
        <w:tc>
          <w:tcPr>
            <w:tcW w:w="1080" w:type="dxa"/>
            <w:vAlign w:val="bottom"/>
          </w:tcPr>
          <w:p>
            <w:pPr>
              <w:jc w:val="right"/>
              <w:ind w:right="101"/>
              <w:spacing w:after="0"/>
              <w:rPr>
                <w:sz w:val="20"/>
                <w:szCs w:val="20"/>
                <w:color w:val="auto"/>
              </w:rPr>
            </w:pPr>
            <w:r>
              <w:rPr>
                <w:rFonts w:ascii="Arial" w:cs="Arial" w:eastAsia="Arial" w:hAnsi="Arial"/>
                <w:sz w:val="12"/>
                <w:szCs w:val="12"/>
                <w:b w:val="1"/>
                <w:bCs w:val="1"/>
                <w:color w:val="auto"/>
              </w:rPr>
              <w:t>2</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22</w:t>
            </w:r>
          </w:p>
        </w:tc>
        <w:tc>
          <w:tcPr>
            <w:tcW w:w="1060" w:type="dxa"/>
            <w:vAlign w:val="bottom"/>
            <w:gridSpan w:val="2"/>
          </w:tcPr>
          <w:p>
            <w:pPr>
              <w:ind w:left="680"/>
              <w:spacing w:after="0"/>
              <w:rPr>
                <w:sz w:val="20"/>
                <w:szCs w:val="20"/>
                <w:color w:val="auto"/>
              </w:rPr>
            </w:pPr>
            <w:r>
              <w:rPr>
                <w:rFonts w:ascii="Arial" w:cs="Arial" w:eastAsia="Arial" w:hAnsi="Arial"/>
                <w:sz w:val="12"/>
                <w:szCs w:val="12"/>
                <w:b w:val="1"/>
                <w:bCs w:val="1"/>
                <w:color w:val="auto"/>
              </w:rPr>
              <w:t>2.62</w:t>
            </w:r>
          </w:p>
        </w:tc>
        <w:tc>
          <w:tcPr>
            <w:tcW w:w="1080" w:type="dxa"/>
            <w:vAlign w:val="bottom"/>
            <w:gridSpan w:val="2"/>
          </w:tcPr>
          <w:p>
            <w:pPr>
              <w:jc w:val="right"/>
              <w:ind w:right="103"/>
              <w:spacing w:after="0"/>
              <w:rPr>
                <w:sz w:val="20"/>
                <w:szCs w:val="20"/>
                <w:color w:val="auto"/>
              </w:rPr>
            </w:pPr>
            <w:r>
              <w:rPr>
                <w:rFonts w:ascii="Arial" w:cs="Arial" w:eastAsia="Arial" w:hAnsi="Arial"/>
                <w:sz w:val="12"/>
                <w:szCs w:val="12"/>
                <w:color w:val="auto"/>
              </w:rPr>
              <w:t>2</w:t>
            </w:r>
          </w:p>
        </w:tc>
        <w:tc>
          <w:tcPr>
            <w:tcW w:w="1060" w:type="dxa"/>
            <w:vAlign w:val="bottom"/>
            <w:gridSpan w:val="2"/>
          </w:tcPr>
          <w:p>
            <w:pPr>
              <w:jc w:val="right"/>
              <w:ind w:right="105"/>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15"/>
                <w:szCs w:val="15"/>
                <w:color w:val="auto"/>
              </w:rPr>
            </w:pPr>
          </w:p>
        </w:tc>
        <w:tc>
          <w:tcPr>
            <w:tcW w:w="960" w:type="dxa"/>
            <w:vAlign w:val="bottom"/>
          </w:tcPr>
          <w:p>
            <w:pPr>
              <w:ind w:left="580"/>
              <w:spacing w:after="0"/>
              <w:rPr>
                <w:sz w:val="20"/>
                <w:szCs w:val="20"/>
                <w:color w:val="auto"/>
              </w:rPr>
            </w:pPr>
            <w:r>
              <w:rPr>
                <w:rFonts w:ascii="Arial" w:cs="Arial" w:eastAsia="Arial" w:hAnsi="Arial"/>
                <w:sz w:val="12"/>
                <w:szCs w:val="12"/>
                <w:color w:val="auto"/>
              </w:rPr>
              <w:t>2.78</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2</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color w:val="auto"/>
              </w:rPr>
              <w:t>26</w:t>
            </w:r>
          </w:p>
        </w:tc>
        <w:tc>
          <w:tcPr>
            <w:tcW w:w="1080" w:type="dxa"/>
            <w:vAlign w:val="bottom"/>
            <w:gridSpan w:val="2"/>
          </w:tcPr>
          <w:p>
            <w:pPr>
              <w:ind w:left="680"/>
              <w:spacing w:after="0"/>
              <w:rPr>
                <w:sz w:val="20"/>
                <w:szCs w:val="20"/>
                <w:color w:val="auto"/>
              </w:rPr>
            </w:pPr>
            <w:r>
              <w:rPr>
                <w:rFonts w:ascii="Arial" w:cs="Arial" w:eastAsia="Arial" w:hAnsi="Arial"/>
                <w:sz w:val="12"/>
                <w:szCs w:val="12"/>
                <w:color w:val="auto"/>
              </w:rPr>
              <w:t>3.74</w:t>
            </w:r>
          </w:p>
        </w:tc>
        <w:tc>
          <w:tcPr>
            <w:tcW w:w="0" w:type="dxa"/>
            <w:vAlign w:val="bottom"/>
          </w:tcPr>
          <w:p>
            <w:pPr>
              <w:spacing w:after="0"/>
              <w:rPr>
                <w:sz w:val="1"/>
                <w:szCs w:val="1"/>
                <w:color w:val="auto"/>
              </w:rPr>
            </w:pPr>
          </w:p>
        </w:tc>
      </w:tr>
      <w:tr>
        <w:trPr>
          <w:trHeight w:val="193"/>
        </w:trPr>
        <w:tc>
          <w:tcPr>
            <w:tcW w:w="1580" w:type="dxa"/>
            <w:vAlign w:val="bottom"/>
          </w:tcPr>
          <w:p>
            <w:pPr>
              <w:ind w:left="120"/>
              <w:spacing w:after="0"/>
              <w:rPr>
                <w:sz w:val="20"/>
                <w:szCs w:val="20"/>
                <w:color w:val="auto"/>
              </w:rPr>
            </w:pPr>
            <w:r>
              <w:rPr>
                <w:rFonts w:ascii="Arial" w:cs="Arial" w:eastAsia="Arial" w:hAnsi="Arial"/>
                <w:sz w:val="12"/>
                <w:szCs w:val="12"/>
                <w:color w:val="auto"/>
              </w:rPr>
              <w:t>2009-2023</w:t>
            </w:r>
          </w:p>
        </w:tc>
        <w:tc>
          <w:tcPr>
            <w:tcW w:w="1080" w:type="dxa"/>
            <w:vAlign w:val="bottom"/>
          </w:tcPr>
          <w:p>
            <w:pPr>
              <w:jc w:val="right"/>
              <w:ind w:right="101"/>
              <w:spacing w:after="0"/>
              <w:rPr>
                <w:sz w:val="20"/>
                <w:szCs w:val="20"/>
                <w:color w:val="auto"/>
              </w:rPr>
            </w:pPr>
            <w:r>
              <w:rPr>
                <w:rFonts w:ascii="Arial" w:cs="Arial" w:eastAsia="Arial" w:hAnsi="Arial"/>
                <w:sz w:val="12"/>
                <w:szCs w:val="12"/>
                <w:b w:val="1"/>
                <w:bCs w:val="1"/>
                <w:color w:val="auto"/>
              </w:rPr>
              <w:t>98</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78</w:t>
            </w:r>
          </w:p>
        </w:tc>
        <w:tc>
          <w:tcPr>
            <w:tcW w:w="1060" w:type="dxa"/>
            <w:vAlign w:val="bottom"/>
            <w:gridSpan w:val="2"/>
          </w:tcPr>
          <w:p>
            <w:pPr>
              <w:ind w:left="680"/>
              <w:spacing w:after="0"/>
              <w:rPr>
                <w:sz w:val="20"/>
                <w:szCs w:val="20"/>
                <w:color w:val="auto"/>
              </w:rPr>
            </w:pPr>
            <w:r>
              <w:rPr>
                <w:rFonts w:ascii="Arial" w:cs="Arial" w:eastAsia="Arial" w:hAnsi="Arial"/>
                <w:sz w:val="12"/>
                <w:szCs w:val="12"/>
                <w:b w:val="1"/>
                <w:bCs w:val="1"/>
                <w:color w:val="auto"/>
              </w:rPr>
              <w:t>0.45</w:t>
            </w:r>
          </w:p>
        </w:tc>
        <w:tc>
          <w:tcPr>
            <w:tcW w:w="1080" w:type="dxa"/>
            <w:vAlign w:val="bottom"/>
            <w:gridSpan w:val="2"/>
          </w:tcPr>
          <w:p>
            <w:pPr>
              <w:jc w:val="right"/>
              <w:ind w:right="103"/>
              <w:spacing w:after="0"/>
              <w:rPr>
                <w:sz w:val="20"/>
                <w:szCs w:val="20"/>
                <w:color w:val="auto"/>
              </w:rPr>
            </w:pPr>
            <w:r>
              <w:rPr>
                <w:rFonts w:ascii="Arial" w:cs="Arial" w:eastAsia="Arial" w:hAnsi="Arial"/>
                <w:sz w:val="12"/>
                <w:szCs w:val="12"/>
                <w:color w:val="auto"/>
              </w:rPr>
              <w:t>98</w:t>
            </w:r>
          </w:p>
        </w:tc>
        <w:tc>
          <w:tcPr>
            <w:tcW w:w="1060" w:type="dxa"/>
            <w:vAlign w:val="bottom"/>
            <w:gridSpan w:val="2"/>
          </w:tcPr>
          <w:p>
            <w:pPr>
              <w:jc w:val="right"/>
              <w:ind w:right="105"/>
              <w:spacing w:after="0"/>
              <w:rPr>
                <w:sz w:val="20"/>
                <w:szCs w:val="20"/>
                <w:color w:val="auto"/>
              </w:rPr>
            </w:pPr>
            <w:r>
              <w:rPr>
                <w:rFonts w:ascii="Arial" w:cs="Arial" w:eastAsia="Arial" w:hAnsi="Arial"/>
                <w:sz w:val="12"/>
                <w:szCs w:val="12"/>
                <w:color w:val="auto"/>
              </w:rPr>
              <w:t>77</w:t>
            </w:r>
          </w:p>
        </w:tc>
        <w:tc>
          <w:tcPr>
            <w:tcW w:w="10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Arial" w:cs="Arial" w:eastAsia="Arial" w:hAnsi="Arial"/>
                <w:sz w:val="12"/>
                <w:szCs w:val="12"/>
                <w:color w:val="auto"/>
              </w:rPr>
              <w:t>0.53</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98</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color w:val="auto"/>
              </w:rPr>
              <w:t>74</w:t>
            </w:r>
          </w:p>
        </w:tc>
        <w:tc>
          <w:tcPr>
            <w:tcW w:w="1080" w:type="dxa"/>
            <w:vAlign w:val="bottom"/>
            <w:gridSpan w:val="2"/>
          </w:tcPr>
          <w:p>
            <w:pPr>
              <w:ind w:left="680"/>
              <w:spacing w:after="0"/>
              <w:rPr>
                <w:sz w:val="20"/>
                <w:szCs w:val="20"/>
                <w:color w:val="auto"/>
              </w:rPr>
            </w:pPr>
            <w:r>
              <w:rPr>
                <w:rFonts w:ascii="Arial" w:cs="Arial" w:eastAsia="Arial" w:hAnsi="Arial"/>
                <w:sz w:val="12"/>
                <w:szCs w:val="12"/>
                <w:color w:val="auto"/>
              </w:rPr>
              <w:t>0.63</w:t>
            </w:r>
          </w:p>
        </w:tc>
        <w:tc>
          <w:tcPr>
            <w:tcW w:w="0" w:type="dxa"/>
            <w:vAlign w:val="bottom"/>
          </w:tcPr>
          <w:p>
            <w:pPr>
              <w:spacing w:after="0"/>
              <w:rPr>
                <w:sz w:val="1"/>
                <w:szCs w:val="1"/>
                <w:color w:val="auto"/>
              </w:rPr>
            </w:pPr>
          </w:p>
        </w:tc>
      </w:tr>
      <w:tr>
        <w:trPr>
          <w:trHeight w:val="155"/>
        </w:trPr>
        <w:tc>
          <w:tcPr>
            <w:tcW w:w="1580" w:type="dxa"/>
            <w:vAlign w:val="bottom"/>
          </w:tcPr>
          <w:p>
            <w:pPr>
              <w:ind w:left="20"/>
              <w:spacing w:after="0"/>
              <w:rPr>
                <w:sz w:val="20"/>
                <w:szCs w:val="20"/>
                <w:color w:val="auto"/>
              </w:rPr>
            </w:pPr>
            <w:r>
              <w:rPr>
                <w:rFonts w:ascii="Arial" w:cs="Arial" w:eastAsia="Arial" w:hAnsi="Arial"/>
                <w:sz w:val="12"/>
                <w:szCs w:val="12"/>
                <w:b w:val="1"/>
                <w:bCs w:val="1"/>
                <w:color w:val="auto"/>
              </w:rPr>
              <w:t>Estimated mark-to-market</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580" w:type="dxa"/>
            <w:vAlign w:val="bottom"/>
          </w:tcPr>
          <w:p>
            <w:pPr>
              <w:ind w:left="120"/>
              <w:spacing w:after="0"/>
              <w:rPr>
                <w:sz w:val="20"/>
                <w:szCs w:val="20"/>
                <w:color w:val="auto"/>
              </w:rPr>
            </w:pPr>
            <w:r>
              <w:rPr>
                <w:rFonts w:ascii="Arial" w:cs="Arial" w:eastAsia="Arial" w:hAnsi="Arial"/>
                <w:sz w:val="12"/>
                <w:szCs w:val="12"/>
                <w:b w:val="1"/>
                <w:bCs w:val="1"/>
                <w:color w:val="auto"/>
              </w:rPr>
              <w:t>LTV ratio:</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580" w:type="dxa"/>
            <w:vAlign w:val="bottom"/>
            <w:tcBorders>
              <w:bottom w:val="single" w:sz="8" w:color="2C6937"/>
            </w:tcBorders>
          </w:tcPr>
          <w:p>
            <w:pPr>
              <w:spacing w:after="0"/>
              <w:rPr>
                <w:sz w:val="2"/>
                <w:szCs w:val="2"/>
                <w:color w:val="auto"/>
              </w:rPr>
            </w:pPr>
          </w:p>
        </w:tc>
        <w:tc>
          <w:tcPr>
            <w:tcW w:w="1080" w:type="dxa"/>
            <w:vAlign w:val="bottom"/>
            <w:vMerge w:val="restart"/>
          </w:tcPr>
          <w:p>
            <w:pPr>
              <w:jc w:val="right"/>
              <w:ind w:right="101"/>
              <w:spacing w:after="0"/>
              <w:rPr>
                <w:sz w:val="20"/>
                <w:szCs w:val="20"/>
                <w:color w:val="auto"/>
              </w:rPr>
            </w:pPr>
            <w:r>
              <w:rPr>
                <w:rFonts w:ascii="Arial" w:cs="Arial" w:eastAsia="Arial" w:hAnsi="Arial"/>
                <w:sz w:val="12"/>
                <w:szCs w:val="12"/>
                <w:b w:val="1"/>
                <w:bCs w:val="1"/>
                <w:color w:val="auto"/>
              </w:rPr>
              <w:t>68</w:t>
            </w:r>
          </w:p>
        </w:tc>
        <w:tc>
          <w:tcPr>
            <w:tcW w:w="1060" w:type="dxa"/>
            <w:vAlign w:val="bottom"/>
            <w:gridSpan w:val="2"/>
            <w:vMerge w:val="restart"/>
          </w:tcPr>
          <w:p>
            <w:pPr>
              <w:jc w:val="right"/>
              <w:ind w:right="108"/>
              <w:spacing w:after="0"/>
              <w:rPr>
                <w:sz w:val="20"/>
                <w:szCs w:val="20"/>
                <w:color w:val="auto"/>
              </w:rPr>
            </w:pPr>
            <w:r>
              <w:rPr>
                <w:rFonts w:ascii="Arial" w:cs="Arial" w:eastAsia="Arial" w:hAnsi="Arial"/>
                <w:sz w:val="12"/>
                <w:szCs w:val="12"/>
                <w:b w:val="1"/>
                <w:bCs w:val="1"/>
                <w:color w:val="auto"/>
              </w:rPr>
              <w:t>72</w:t>
            </w:r>
          </w:p>
        </w:tc>
        <w:tc>
          <w:tcPr>
            <w:tcW w:w="1060" w:type="dxa"/>
            <w:vAlign w:val="bottom"/>
            <w:gridSpan w:val="2"/>
            <w:vMerge w:val="restart"/>
          </w:tcPr>
          <w:p>
            <w:pPr>
              <w:ind w:left="680"/>
              <w:spacing w:after="0"/>
              <w:rPr>
                <w:sz w:val="20"/>
                <w:szCs w:val="20"/>
                <w:color w:val="auto"/>
              </w:rPr>
            </w:pPr>
            <w:r>
              <w:rPr>
                <w:rFonts w:ascii="Arial" w:cs="Arial" w:eastAsia="Arial" w:hAnsi="Arial"/>
                <w:sz w:val="12"/>
                <w:szCs w:val="12"/>
                <w:b w:val="1"/>
                <w:bCs w:val="1"/>
                <w:color w:val="auto"/>
              </w:rPr>
              <w:t>0.50</w:t>
            </w:r>
          </w:p>
        </w:tc>
        <w:tc>
          <w:tcPr>
            <w:tcW w:w="1080" w:type="dxa"/>
            <w:vAlign w:val="bottom"/>
            <w:gridSpan w:val="2"/>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60" w:type="dxa"/>
            <w:vAlign w:val="bottom"/>
            <w:gridSpan w:val="2"/>
          </w:tcPr>
          <w:p>
            <w:pPr>
              <w:spacing w:after="0"/>
              <w:rPr>
                <w:sz w:val="2"/>
                <w:szCs w:val="2"/>
                <w:color w:val="auto"/>
              </w:rPr>
            </w:pPr>
          </w:p>
        </w:tc>
        <w:tc>
          <w:tcPr>
            <w:tcW w:w="10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1580" w:type="dxa"/>
            <w:vAlign w:val="bottom"/>
          </w:tcPr>
          <w:p>
            <w:pPr>
              <w:ind w:left="120"/>
              <w:spacing w:after="0"/>
              <w:rPr>
                <w:sz w:val="20"/>
                <w:szCs w:val="20"/>
                <w:color w:val="auto"/>
              </w:rPr>
            </w:pPr>
            <w:r>
              <w:rPr>
                <w:rFonts w:ascii="Arial" w:cs="Arial" w:eastAsia="Arial" w:hAnsi="Arial"/>
                <w:sz w:val="12"/>
                <w:szCs w:val="12"/>
                <w:color w:val="auto"/>
              </w:rPr>
              <w:t>&lt;= 60%</w:t>
            </w:r>
          </w:p>
        </w:tc>
        <w:tc>
          <w:tcPr>
            <w:tcW w:w="108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80" w:type="dxa"/>
            <w:vAlign w:val="bottom"/>
            <w:gridSpan w:val="2"/>
          </w:tcPr>
          <w:p>
            <w:pPr>
              <w:jc w:val="right"/>
              <w:ind w:right="103"/>
              <w:spacing w:after="0"/>
              <w:rPr>
                <w:sz w:val="20"/>
                <w:szCs w:val="20"/>
                <w:color w:val="auto"/>
              </w:rPr>
            </w:pPr>
            <w:r>
              <w:rPr>
                <w:rFonts w:ascii="Arial" w:cs="Arial" w:eastAsia="Arial" w:hAnsi="Arial"/>
                <w:sz w:val="12"/>
                <w:szCs w:val="12"/>
                <w:color w:val="auto"/>
              </w:rPr>
              <w:t>66</w:t>
            </w:r>
          </w:p>
        </w:tc>
        <w:tc>
          <w:tcPr>
            <w:tcW w:w="1060" w:type="dxa"/>
            <w:vAlign w:val="bottom"/>
            <w:gridSpan w:val="2"/>
          </w:tcPr>
          <w:p>
            <w:pPr>
              <w:jc w:val="right"/>
              <w:ind w:right="105"/>
              <w:spacing w:after="0"/>
              <w:rPr>
                <w:sz w:val="20"/>
                <w:szCs w:val="20"/>
                <w:color w:val="auto"/>
              </w:rPr>
            </w:pPr>
            <w:r>
              <w:rPr>
                <w:rFonts w:ascii="Arial" w:cs="Arial" w:eastAsia="Arial" w:hAnsi="Arial"/>
                <w:sz w:val="12"/>
                <w:szCs w:val="12"/>
                <w:color w:val="auto"/>
              </w:rPr>
              <w:t>74</w:t>
            </w:r>
          </w:p>
        </w:tc>
        <w:tc>
          <w:tcPr>
            <w:tcW w:w="100" w:type="dxa"/>
            <w:vAlign w:val="bottom"/>
          </w:tcPr>
          <w:p>
            <w:pPr>
              <w:spacing w:after="0"/>
              <w:rPr>
                <w:sz w:val="14"/>
                <w:szCs w:val="14"/>
                <w:color w:val="auto"/>
              </w:rPr>
            </w:pPr>
          </w:p>
        </w:tc>
        <w:tc>
          <w:tcPr>
            <w:tcW w:w="960" w:type="dxa"/>
            <w:vAlign w:val="bottom"/>
          </w:tcPr>
          <w:p>
            <w:pPr>
              <w:ind w:left="580"/>
              <w:spacing w:after="0"/>
              <w:rPr>
                <w:sz w:val="20"/>
                <w:szCs w:val="20"/>
                <w:color w:val="auto"/>
              </w:rPr>
            </w:pPr>
            <w:r>
              <w:rPr>
                <w:rFonts w:ascii="Arial" w:cs="Arial" w:eastAsia="Arial" w:hAnsi="Arial"/>
                <w:sz w:val="12"/>
                <w:szCs w:val="12"/>
                <w:color w:val="auto"/>
              </w:rPr>
              <w:t>0.63</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70</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color w:val="auto"/>
              </w:rPr>
              <w:t>80</w:t>
            </w:r>
          </w:p>
        </w:tc>
        <w:tc>
          <w:tcPr>
            <w:tcW w:w="1080" w:type="dxa"/>
            <w:vAlign w:val="bottom"/>
            <w:gridSpan w:val="2"/>
          </w:tcPr>
          <w:p>
            <w:pPr>
              <w:ind w:left="680"/>
              <w:spacing w:after="0"/>
              <w:rPr>
                <w:sz w:val="20"/>
                <w:szCs w:val="20"/>
                <w:color w:val="auto"/>
              </w:rPr>
            </w:pPr>
            <w:r>
              <w:rPr>
                <w:rFonts w:ascii="Arial" w:cs="Arial" w:eastAsia="Arial" w:hAnsi="Arial"/>
                <w:sz w:val="12"/>
                <w:szCs w:val="12"/>
                <w:color w:val="auto"/>
              </w:rPr>
              <w:t>0.82</w:t>
            </w:r>
          </w:p>
        </w:tc>
        <w:tc>
          <w:tcPr>
            <w:tcW w:w="0" w:type="dxa"/>
            <w:vAlign w:val="bottom"/>
          </w:tcPr>
          <w:p>
            <w:pPr>
              <w:spacing w:after="0"/>
              <w:rPr>
                <w:sz w:val="1"/>
                <w:szCs w:val="1"/>
                <w:color w:val="auto"/>
              </w:rPr>
            </w:pPr>
          </w:p>
        </w:tc>
      </w:tr>
      <w:tr>
        <w:trPr>
          <w:trHeight w:val="206"/>
        </w:trPr>
        <w:tc>
          <w:tcPr>
            <w:tcW w:w="1580" w:type="dxa"/>
            <w:vAlign w:val="bottom"/>
          </w:tcPr>
          <w:p>
            <w:pPr>
              <w:ind w:left="120"/>
              <w:spacing w:after="0"/>
              <w:rPr>
                <w:sz w:val="20"/>
                <w:szCs w:val="20"/>
                <w:color w:val="auto"/>
              </w:rPr>
            </w:pPr>
            <w:r>
              <w:rPr>
                <w:rFonts w:ascii="Arial" w:cs="Arial" w:eastAsia="Arial" w:hAnsi="Arial"/>
                <w:sz w:val="12"/>
                <w:szCs w:val="12"/>
                <w:color w:val="auto"/>
              </w:rPr>
              <w:t>60.01% to 70%</w:t>
            </w:r>
          </w:p>
        </w:tc>
        <w:tc>
          <w:tcPr>
            <w:tcW w:w="1080" w:type="dxa"/>
            <w:vAlign w:val="bottom"/>
          </w:tcPr>
          <w:p>
            <w:pPr>
              <w:jc w:val="right"/>
              <w:ind w:right="101"/>
              <w:spacing w:after="0"/>
              <w:rPr>
                <w:sz w:val="20"/>
                <w:szCs w:val="20"/>
                <w:color w:val="auto"/>
              </w:rPr>
            </w:pPr>
            <w:r>
              <w:rPr>
                <w:rFonts w:ascii="Arial" w:cs="Arial" w:eastAsia="Arial" w:hAnsi="Arial"/>
                <w:sz w:val="12"/>
                <w:szCs w:val="12"/>
                <w:b w:val="1"/>
                <w:bCs w:val="1"/>
                <w:color w:val="auto"/>
              </w:rPr>
              <w:t>15</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14</w:t>
            </w:r>
          </w:p>
        </w:tc>
        <w:tc>
          <w:tcPr>
            <w:tcW w:w="1060" w:type="dxa"/>
            <w:vAlign w:val="bottom"/>
            <w:gridSpan w:val="2"/>
          </w:tcPr>
          <w:p>
            <w:pPr>
              <w:ind w:left="680"/>
              <w:spacing w:after="0"/>
              <w:rPr>
                <w:sz w:val="20"/>
                <w:szCs w:val="20"/>
                <w:color w:val="auto"/>
              </w:rPr>
            </w:pPr>
            <w:r>
              <w:rPr>
                <w:rFonts w:ascii="Arial" w:cs="Arial" w:eastAsia="Arial" w:hAnsi="Arial"/>
                <w:sz w:val="12"/>
                <w:szCs w:val="12"/>
                <w:b w:val="1"/>
                <w:bCs w:val="1"/>
                <w:color w:val="auto"/>
              </w:rPr>
              <w:t>0.72</w:t>
            </w:r>
          </w:p>
        </w:tc>
        <w:tc>
          <w:tcPr>
            <w:tcW w:w="1080" w:type="dxa"/>
            <w:vAlign w:val="bottom"/>
            <w:gridSpan w:val="2"/>
          </w:tcPr>
          <w:p>
            <w:pPr>
              <w:jc w:val="right"/>
              <w:ind w:right="103"/>
              <w:spacing w:after="0"/>
              <w:rPr>
                <w:sz w:val="20"/>
                <w:szCs w:val="20"/>
                <w:color w:val="auto"/>
              </w:rPr>
            </w:pPr>
            <w:r>
              <w:rPr>
                <w:rFonts w:ascii="Arial" w:cs="Arial" w:eastAsia="Arial" w:hAnsi="Arial"/>
                <w:sz w:val="12"/>
                <w:szCs w:val="12"/>
                <w:color w:val="auto"/>
              </w:rPr>
              <w:t>16</w:t>
            </w:r>
          </w:p>
        </w:tc>
        <w:tc>
          <w:tcPr>
            <w:tcW w:w="1060" w:type="dxa"/>
            <w:vAlign w:val="bottom"/>
            <w:gridSpan w:val="2"/>
          </w:tcPr>
          <w:p>
            <w:pPr>
              <w:jc w:val="right"/>
              <w:ind w:right="105"/>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7"/>
                <w:szCs w:val="17"/>
                <w:color w:val="auto"/>
              </w:rPr>
            </w:pPr>
          </w:p>
        </w:tc>
        <w:tc>
          <w:tcPr>
            <w:tcW w:w="960" w:type="dxa"/>
            <w:vAlign w:val="bottom"/>
          </w:tcPr>
          <w:p>
            <w:pPr>
              <w:ind w:left="580"/>
              <w:spacing w:after="0"/>
              <w:rPr>
                <w:sz w:val="20"/>
                <w:szCs w:val="20"/>
                <w:color w:val="auto"/>
              </w:rPr>
            </w:pPr>
            <w:r>
              <w:rPr>
                <w:rFonts w:ascii="Arial" w:cs="Arial" w:eastAsia="Arial" w:hAnsi="Arial"/>
                <w:sz w:val="12"/>
                <w:szCs w:val="12"/>
                <w:color w:val="auto"/>
              </w:rPr>
              <w:t>0.77</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16</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color w:val="auto"/>
              </w:rPr>
              <w:t>12</w:t>
            </w:r>
          </w:p>
        </w:tc>
        <w:tc>
          <w:tcPr>
            <w:tcW w:w="1080" w:type="dxa"/>
            <w:vAlign w:val="bottom"/>
            <w:gridSpan w:val="2"/>
          </w:tcPr>
          <w:p>
            <w:pPr>
              <w:ind w:left="680"/>
              <w:spacing w:after="0"/>
              <w:rPr>
                <w:sz w:val="20"/>
                <w:szCs w:val="20"/>
                <w:color w:val="auto"/>
              </w:rPr>
            </w:pPr>
            <w:r>
              <w:rPr>
                <w:rFonts w:ascii="Arial" w:cs="Arial" w:eastAsia="Arial" w:hAnsi="Arial"/>
                <w:sz w:val="12"/>
                <w:szCs w:val="12"/>
                <w:color w:val="auto"/>
              </w:rPr>
              <w:t>0.83</w:t>
            </w:r>
          </w:p>
        </w:tc>
        <w:tc>
          <w:tcPr>
            <w:tcW w:w="0" w:type="dxa"/>
            <w:vAlign w:val="bottom"/>
          </w:tcPr>
          <w:p>
            <w:pPr>
              <w:spacing w:after="0"/>
              <w:rPr>
                <w:sz w:val="1"/>
                <w:szCs w:val="1"/>
                <w:color w:val="auto"/>
              </w:rPr>
            </w:pPr>
          </w:p>
        </w:tc>
      </w:tr>
      <w:tr>
        <w:trPr>
          <w:trHeight w:val="193"/>
        </w:trPr>
        <w:tc>
          <w:tcPr>
            <w:tcW w:w="1580" w:type="dxa"/>
            <w:vAlign w:val="bottom"/>
          </w:tcPr>
          <w:p>
            <w:pPr>
              <w:ind w:left="120"/>
              <w:spacing w:after="0"/>
              <w:rPr>
                <w:sz w:val="20"/>
                <w:szCs w:val="20"/>
                <w:color w:val="auto"/>
              </w:rPr>
            </w:pPr>
            <w:r>
              <w:rPr>
                <w:rFonts w:ascii="Arial" w:cs="Arial" w:eastAsia="Arial" w:hAnsi="Arial"/>
                <w:sz w:val="12"/>
                <w:szCs w:val="12"/>
                <w:color w:val="auto"/>
              </w:rPr>
              <w:t>70.01% to 80%</w:t>
            </w:r>
          </w:p>
        </w:tc>
        <w:tc>
          <w:tcPr>
            <w:tcW w:w="1080" w:type="dxa"/>
            <w:vAlign w:val="bottom"/>
          </w:tcPr>
          <w:p>
            <w:pPr>
              <w:jc w:val="right"/>
              <w:ind w:right="101"/>
              <w:spacing w:after="0"/>
              <w:rPr>
                <w:sz w:val="20"/>
                <w:szCs w:val="20"/>
                <w:color w:val="auto"/>
              </w:rPr>
            </w:pPr>
            <w:r>
              <w:rPr>
                <w:rFonts w:ascii="Arial" w:cs="Arial" w:eastAsia="Arial" w:hAnsi="Arial"/>
                <w:sz w:val="12"/>
                <w:szCs w:val="12"/>
                <w:b w:val="1"/>
                <w:bCs w:val="1"/>
                <w:color w:val="auto"/>
              </w:rPr>
              <w:t>10</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8</w:t>
            </w:r>
          </w:p>
        </w:tc>
        <w:tc>
          <w:tcPr>
            <w:tcW w:w="1060" w:type="dxa"/>
            <w:vAlign w:val="bottom"/>
            <w:gridSpan w:val="2"/>
          </w:tcPr>
          <w:p>
            <w:pPr>
              <w:ind w:left="680"/>
              <w:spacing w:after="0"/>
              <w:rPr>
                <w:sz w:val="20"/>
                <w:szCs w:val="20"/>
                <w:color w:val="auto"/>
              </w:rPr>
            </w:pPr>
            <w:r>
              <w:rPr>
                <w:rFonts w:ascii="Arial" w:cs="Arial" w:eastAsia="Arial" w:hAnsi="Arial"/>
                <w:sz w:val="12"/>
                <w:szCs w:val="12"/>
                <w:b w:val="1"/>
                <w:bCs w:val="1"/>
                <w:color w:val="auto"/>
              </w:rPr>
              <w:t>0.67</w:t>
            </w:r>
          </w:p>
        </w:tc>
        <w:tc>
          <w:tcPr>
            <w:tcW w:w="1080" w:type="dxa"/>
            <w:vAlign w:val="bottom"/>
            <w:gridSpan w:val="2"/>
          </w:tcPr>
          <w:p>
            <w:pPr>
              <w:jc w:val="right"/>
              <w:ind w:right="103"/>
              <w:spacing w:after="0"/>
              <w:rPr>
                <w:sz w:val="20"/>
                <w:szCs w:val="20"/>
                <w:color w:val="auto"/>
              </w:rPr>
            </w:pPr>
            <w:r>
              <w:rPr>
                <w:rFonts w:ascii="Arial" w:cs="Arial" w:eastAsia="Arial" w:hAnsi="Arial"/>
                <w:sz w:val="12"/>
                <w:szCs w:val="12"/>
                <w:color w:val="auto"/>
              </w:rPr>
              <w:t>10</w:t>
            </w:r>
          </w:p>
        </w:tc>
        <w:tc>
          <w:tcPr>
            <w:tcW w:w="1060" w:type="dxa"/>
            <w:vAlign w:val="bottom"/>
            <w:gridSpan w:val="2"/>
          </w:tcPr>
          <w:p>
            <w:pPr>
              <w:jc w:val="right"/>
              <w:ind w:right="105"/>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Arial" w:cs="Arial" w:eastAsia="Arial" w:hAnsi="Arial"/>
                <w:sz w:val="12"/>
                <w:szCs w:val="12"/>
                <w:color w:val="auto"/>
              </w:rPr>
              <w:t>0.69</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9</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color w:val="auto"/>
              </w:rPr>
              <w:t>5</w:t>
            </w:r>
          </w:p>
        </w:tc>
        <w:tc>
          <w:tcPr>
            <w:tcW w:w="1080" w:type="dxa"/>
            <w:vAlign w:val="bottom"/>
            <w:gridSpan w:val="2"/>
          </w:tcPr>
          <w:p>
            <w:pPr>
              <w:ind w:left="680"/>
              <w:spacing w:after="0"/>
              <w:rPr>
                <w:sz w:val="20"/>
                <w:szCs w:val="20"/>
                <w:color w:val="auto"/>
              </w:rPr>
            </w:pPr>
            <w:r>
              <w:rPr>
                <w:rFonts w:ascii="Arial" w:cs="Arial" w:eastAsia="Arial" w:hAnsi="Arial"/>
                <w:sz w:val="12"/>
                <w:szCs w:val="12"/>
                <w:color w:val="auto"/>
              </w:rPr>
              <w:t>0.67</w:t>
            </w:r>
          </w:p>
        </w:tc>
        <w:tc>
          <w:tcPr>
            <w:tcW w:w="0" w:type="dxa"/>
            <w:vAlign w:val="bottom"/>
          </w:tcPr>
          <w:p>
            <w:pPr>
              <w:spacing w:after="0"/>
              <w:rPr>
                <w:sz w:val="1"/>
                <w:szCs w:val="1"/>
                <w:color w:val="auto"/>
              </w:rPr>
            </w:pPr>
          </w:p>
        </w:tc>
      </w:tr>
      <w:tr>
        <w:trPr>
          <w:trHeight w:val="193"/>
        </w:trPr>
        <w:tc>
          <w:tcPr>
            <w:tcW w:w="1580" w:type="dxa"/>
            <w:vAlign w:val="bottom"/>
          </w:tcPr>
          <w:p>
            <w:pPr>
              <w:ind w:left="120"/>
              <w:spacing w:after="0"/>
              <w:rPr>
                <w:sz w:val="20"/>
                <w:szCs w:val="20"/>
                <w:color w:val="auto"/>
              </w:rPr>
            </w:pPr>
            <w:r>
              <w:rPr>
                <w:rFonts w:ascii="Arial" w:cs="Arial" w:eastAsia="Arial" w:hAnsi="Arial"/>
                <w:sz w:val="12"/>
                <w:szCs w:val="12"/>
                <w:color w:val="auto"/>
              </w:rPr>
              <w:t>80.01% to 90%</w:t>
            </w:r>
          </w:p>
        </w:tc>
        <w:tc>
          <w:tcPr>
            <w:tcW w:w="1080" w:type="dxa"/>
            <w:vAlign w:val="bottom"/>
          </w:tcPr>
          <w:p>
            <w:pPr>
              <w:jc w:val="right"/>
              <w:ind w:right="101"/>
              <w:spacing w:after="0"/>
              <w:rPr>
                <w:sz w:val="20"/>
                <w:szCs w:val="20"/>
                <w:color w:val="auto"/>
              </w:rPr>
            </w:pPr>
            <w:r>
              <w:rPr>
                <w:rFonts w:ascii="Arial" w:cs="Arial" w:eastAsia="Arial" w:hAnsi="Arial"/>
                <w:sz w:val="12"/>
                <w:szCs w:val="12"/>
                <w:b w:val="1"/>
                <w:bCs w:val="1"/>
                <w:color w:val="auto"/>
              </w:rPr>
              <w:t>5</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4</w:t>
            </w:r>
          </w:p>
        </w:tc>
        <w:tc>
          <w:tcPr>
            <w:tcW w:w="1060" w:type="dxa"/>
            <w:vAlign w:val="bottom"/>
            <w:gridSpan w:val="2"/>
          </w:tcPr>
          <w:p>
            <w:pPr>
              <w:ind w:left="680"/>
              <w:spacing w:after="0"/>
              <w:rPr>
                <w:sz w:val="20"/>
                <w:szCs w:val="20"/>
                <w:color w:val="auto"/>
              </w:rPr>
            </w:pPr>
            <w:r>
              <w:rPr>
                <w:rFonts w:ascii="Arial" w:cs="Arial" w:eastAsia="Arial" w:hAnsi="Arial"/>
                <w:sz w:val="12"/>
                <w:szCs w:val="12"/>
                <w:b w:val="1"/>
                <w:bCs w:val="1"/>
                <w:color w:val="auto"/>
              </w:rPr>
              <w:t>0.68</w:t>
            </w:r>
          </w:p>
        </w:tc>
        <w:tc>
          <w:tcPr>
            <w:tcW w:w="1080" w:type="dxa"/>
            <w:vAlign w:val="bottom"/>
            <w:gridSpan w:val="2"/>
          </w:tcPr>
          <w:p>
            <w:pPr>
              <w:jc w:val="right"/>
              <w:ind w:right="103"/>
              <w:spacing w:after="0"/>
              <w:rPr>
                <w:sz w:val="20"/>
                <w:szCs w:val="20"/>
                <w:color w:val="auto"/>
              </w:rPr>
            </w:pPr>
            <w:r>
              <w:rPr>
                <w:rFonts w:ascii="Arial" w:cs="Arial" w:eastAsia="Arial" w:hAnsi="Arial"/>
                <w:sz w:val="12"/>
                <w:szCs w:val="12"/>
                <w:color w:val="auto"/>
              </w:rPr>
              <w:t>5</w:t>
            </w:r>
          </w:p>
        </w:tc>
        <w:tc>
          <w:tcPr>
            <w:tcW w:w="1060" w:type="dxa"/>
            <w:vAlign w:val="bottom"/>
            <w:gridSpan w:val="2"/>
          </w:tcPr>
          <w:p>
            <w:pPr>
              <w:jc w:val="right"/>
              <w:ind w:right="105"/>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Arial" w:cs="Arial" w:eastAsia="Arial" w:hAnsi="Arial"/>
                <w:sz w:val="12"/>
                <w:szCs w:val="12"/>
                <w:color w:val="auto"/>
              </w:rPr>
              <w:t>0.68</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4</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color w:val="auto"/>
              </w:rPr>
              <w:t>2</w:t>
            </w:r>
          </w:p>
        </w:tc>
        <w:tc>
          <w:tcPr>
            <w:tcW w:w="1080" w:type="dxa"/>
            <w:vAlign w:val="bottom"/>
            <w:gridSpan w:val="2"/>
          </w:tcPr>
          <w:p>
            <w:pPr>
              <w:ind w:left="680"/>
              <w:spacing w:after="0"/>
              <w:rPr>
                <w:sz w:val="20"/>
                <w:szCs w:val="20"/>
                <w:color w:val="auto"/>
              </w:rPr>
            </w:pPr>
            <w:r>
              <w:rPr>
                <w:rFonts w:ascii="Arial" w:cs="Arial" w:eastAsia="Arial" w:hAnsi="Arial"/>
                <w:sz w:val="12"/>
                <w:szCs w:val="12"/>
                <w:color w:val="auto"/>
              </w:rPr>
              <w:t>0.52</w:t>
            </w:r>
          </w:p>
        </w:tc>
        <w:tc>
          <w:tcPr>
            <w:tcW w:w="0" w:type="dxa"/>
            <w:vAlign w:val="bottom"/>
          </w:tcPr>
          <w:p>
            <w:pPr>
              <w:spacing w:after="0"/>
              <w:rPr>
                <w:sz w:val="1"/>
                <w:szCs w:val="1"/>
                <w:color w:val="auto"/>
              </w:rPr>
            </w:pPr>
          </w:p>
        </w:tc>
      </w:tr>
      <w:tr>
        <w:trPr>
          <w:trHeight w:val="193"/>
        </w:trPr>
        <w:tc>
          <w:tcPr>
            <w:tcW w:w="1580" w:type="dxa"/>
            <w:vAlign w:val="bottom"/>
          </w:tcPr>
          <w:p>
            <w:pPr>
              <w:ind w:left="120"/>
              <w:spacing w:after="0"/>
              <w:rPr>
                <w:sz w:val="20"/>
                <w:szCs w:val="20"/>
                <w:color w:val="auto"/>
              </w:rPr>
            </w:pPr>
            <w:r>
              <w:rPr>
                <w:rFonts w:ascii="Arial" w:cs="Arial" w:eastAsia="Arial" w:hAnsi="Arial"/>
                <w:sz w:val="12"/>
                <w:szCs w:val="12"/>
                <w:color w:val="auto"/>
              </w:rPr>
              <w:t>90.01% to 100%</w:t>
            </w:r>
          </w:p>
        </w:tc>
        <w:tc>
          <w:tcPr>
            <w:tcW w:w="1080" w:type="dxa"/>
            <w:vAlign w:val="bottom"/>
          </w:tcPr>
          <w:p>
            <w:pPr>
              <w:jc w:val="right"/>
              <w:ind w:right="101"/>
              <w:spacing w:after="0"/>
              <w:rPr>
                <w:sz w:val="20"/>
                <w:szCs w:val="20"/>
                <w:color w:val="auto"/>
              </w:rPr>
            </w:pPr>
            <w:r>
              <w:rPr>
                <w:rFonts w:ascii="Arial" w:cs="Arial" w:eastAsia="Arial" w:hAnsi="Arial"/>
                <w:sz w:val="12"/>
                <w:szCs w:val="12"/>
                <w:b w:val="1"/>
                <w:bCs w:val="1"/>
                <w:color w:val="auto"/>
              </w:rPr>
              <w:t>2</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2</w:t>
            </w:r>
          </w:p>
        </w:tc>
        <w:tc>
          <w:tcPr>
            <w:tcW w:w="1060" w:type="dxa"/>
            <w:vAlign w:val="bottom"/>
            <w:gridSpan w:val="2"/>
          </w:tcPr>
          <w:p>
            <w:pPr>
              <w:ind w:left="680"/>
              <w:spacing w:after="0"/>
              <w:rPr>
                <w:sz w:val="20"/>
                <w:szCs w:val="20"/>
                <w:color w:val="auto"/>
              </w:rPr>
            </w:pPr>
            <w:r>
              <w:rPr>
                <w:rFonts w:ascii="Arial" w:cs="Arial" w:eastAsia="Arial" w:hAnsi="Arial"/>
                <w:sz w:val="12"/>
                <w:szCs w:val="12"/>
                <w:b w:val="1"/>
                <w:bCs w:val="1"/>
                <w:color w:val="auto"/>
              </w:rPr>
              <w:t>0.54</w:t>
            </w:r>
          </w:p>
        </w:tc>
        <w:tc>
          <w:tcPr>
            <w:tcW w:w="1080" w:type="dxa"/>
            <w:vAlign w:val="bottom"/>
            <w:gridSpan w:val="2"/>
          </w:tcPr>
          <w:p>
            <w:pPr>
              <w:jc w:val="right"/>
              <w:ind w:right="103"/>
              <w:spacing w:after="0"/>
              <w:rPr>
                <w:sz w:val="20"/>
                <w:szCs w:val="20"/>
                <w:color w:val="auto"/>
              </w:rPr>
            </w:pPr>
            <w:r>
              <w:rPr>
                <w:rFonts w:ascii="Arial" w:cs="Arial" w:eastAsia="Arial" w:hAnsi="Arial"/>
                <w:sz w:val="12"/>
                <w:szCs w:val="12"/>
                <w:color w:val="auto"/>
              </w:rPr>
              <w:t>3</w:t>
            </w:r>
          </w:p>
        </w:tc>
        <w:tc>
          <w:tcPr>
            <w:tcW w:w="1060" w:type="dxa"/>
            <w:vAlign w:val="bottom"/>
            <w:gridSpan w:val="2"/>
          </w:tcPr>
          <w:p>
            <w:pPr>
              <w:jc w:val="right"/>
              <w:ind w:right="105"/>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Arial" w:cs="Arial" w:eastAsia="Arial" w:hAnsi="Arial"/>
                <w:sz w:val="12"/>
                <w:szCs w:val="12"/>
                <w:color w:val="auto"/>
              </w:rPr>
              <w:t>0.40</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1</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color w:val="auto"/>
              </w:rPr>
              <w:t>1</w:t>
            </w:r>
          </w:p>
        </w:tc>
        <w:tc>
          <w:tcPr>
            <w:tcW w:w="1080" w:type="dxa"/>
            <w:vAlign w:val="bottom"/>
            <w:gridSpan w:val="2"/>
          </w:tcPr>
          <w:p>
            <w:pPr>
              <w:ind w:left="680"/>
              <w:spacing w:after="0"/>
              <w:rPr>
                <w:sz w:val="20"/>
                <w:szCs w:val="20"/>
                <w:color w:val="auto"/>
              </w:rPr>
            </w:pPr>
            <w:r>
              <w:rPr>
                <w:rFonts w:ascii="Arial" w:cs="Arial" w:eastAsia="Arial" w:hAnsi="Arial"/>
                <w:sz w:val="12"/>
                <w:szCs w:val="12"/>
                <w:color w:val="auto"/>
              </w:rPr>
              <w:t>0.46</w:t>
            </w:r>
          </w:p>
        </w:tc>
        <w:tc>
          <w:tcPr>
            <w:tcW w:w="0" w:type="dxa"/>
            <w:vAlign w:val="bottom"/>
          </w:tcPr>
          <w:p>
            <w:pPr>
              <w:spacing w:after="0"/>
              <w:rPr>
                <w:sz w:val="1"/>
                <w:szCs w:val="1"/>
                <w:color w:val="auto"/>
              </w:rPr>
            </w:pPr>
          </w:p>
        </w:tc>
      </w:tr>
      <w:tr>
        <w:trPr>
          <w:trHeight w:val="193"/>
        </w:trPr>
        <w:tc>
          <w:tcPr>
            <w:tcW w:w="1580" w:type="dxa"/>
            <w:vAlign w:val="bottom"/>
          </w:tcPr>
          <w:p>
            <w:pPr>
              <w:ind w:left="120"/>
              <w:spacing w:after="0"/>
              <w:rPr>
                <w:sz w:val="20"/>
                <w:szCs w:val="20"/>
                <w:color w:val="auto"/>
              </w:rPr>
            </w:pPr>
            <w:r>
              <w:rPr>
                <w:rFonts w:ascii="Arial" w:cs="Arial" w:eastAsia="Arial" w:hAnsi="Arial"/>
                <w:sz w:val="12"/>
                <w:szCs w:val="12"/>
                <w:color w:val="auto"/>
              </w:rPr>
              <w:t>Greater than 100%</w:t>
            </w:r>
          </w:p>
        </w:tc>
        <w:tc>
          <w:tcPr>
            <w:tcW w:w="1080" w:type="dxa"/>
            <w:vAlign w:val="bottom"/>
          </w:tcPr>
          <w:p>
            <w:pPr>
              <w:jc w:val="right"/>
              <w:ind w:right="61"/>
              <w:spacing w:after="0"/>
              <w:rPr>
                <w:sz w:val="20"/>
                <w:szCs w:val="20"/>
                <w:color w:val="auto"/>
              </w:rPr>
            </w:pPr>
            <w:r>
              <w:rPr>
                <w:rFonts w:ascii="Arial" w:cs="Arial" w:eastAsia="Arial" w:hAnsi="Arial"/>
                <w:sz w:val="12"/>
                <w:szCs w:val="12"/>
                <w:b w:val="1"/>
                <w:bCs w:val="1"/>
                <w:color w:val="auto"/>
              </w:rPr>
              <w:t>*</w:t>
            </w:r>
          </w:p>
        </w:tc>
        <w:tc>
          <w:tcPr>
            <w:tcW w:w="1060" w:type="dxa"/>
            <w:vAlign w:val="bottom"/>
            <w:gridSpan w:val="2"/>
          </w:tcPr>
          <w:p>
            <w:pPr>
              <w:jc w:val="right"/>
              <w:ind w:right="68"/>
              <w:spacing w:after="0"/>
              <w:rPr>
                <w:sz w:val="20"/>
                <w:szCs w:val="20"/>
                <w:color w:val="auto"/>
              </w:rPr>
            </w:pPr>
            <w:r>
              <w:rPr>
                <w:rFonts w:ascii="Arial" w:cs="Arial" w:eastAsia="Arial" w:hAnsi="Arial"/>
                <w:sz w:val="12"/>
                <w:szCs w:val="12"/>
                <w:b w:val="1"/>
                <w:bCs w:val="1"/>
                <w:color w:val="auto"/>
              </w:rPr>
              <w:t>*</w:t>
            </w:r>
          </w:p>
        </w:tc>
        <w:tc>
          <w:tcPr>
            <w:tcW w:w="1060" w:type="dxa"/>
            <w:vAlign w:val="bottom"/>
            <w:gridSpan w:val="2"/>
          </w:tcPr>
          <w:p>
            <w:pPr>
              <w:ind w:left="680"/>
              <w:spacing w:after="0"/>
              <w:rPr>
                <w:sz w:val="20"/>
                <w:szCs w:val="20"/>
                <w:color w:val="auto"/>
              </w:rPr>
            </w:pPr>
            <w:r>
              <w:rPr>
                <w:rFonts w:ascii="Arial" w:cs="Arial" w:eastAsia="Arial" w:hAnsi="Arial"/>
                <w:sz w:val="12"/>
                <w:szCs w:val="12"/>
                <w:b w:val="1"/>
                <w:bCs w:val="1"/>
                <w:color w:val="auto"/>
              </w:rPr>
              <w:t>4.00</w:t>
            </w:r>
          </w:p>
        </w:tc>
        <w:tc>
          <w:tcPr>
            <w:tcW w:w="1080" w:type="dxa"/>
            <w:vAlign w:val="bottom"/>
            <w:gridSpan w:val="2"/>
          </w:tcPr>
          <w:p>
            <w:pPr>
              <w:jc w:val="right"/>
              <w:ind w:right="63"/>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65"/>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Arial" w:cs="Arial" w:eastAsia="Arial" w:hAnsi="Arial"/>
                <w:sz w:val="12"/>
                <w:szCs w:val="12"/>
                <w:color w:val="auto"/>
              </w:rPr>
              <w:t>4.04</w:t>
            </w:r>
          </w:p>
        </w:tc>
        <w:tc>
          <w:tcPr>
            <w:tcW w:w="1080" w:type="dxa"/>
            <w:vAlign w:val="bottom"/>
            <w:gridSpan w:val="2"/>
          </w:tcPr>
          <w:p>
            <w:pPr>
              <w:jc w:val="right"/>
              <w:ind w:right="68"/>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68"/>
              <w:spacing w:after="0"/>
              <w:rPr>
                <w:sz w:val="20"/>
                <w:szCs w:val="20"/>
                <w:color w:val="auto"/>
              </w:rPr>
            </w:pPr>
            <w:r>
              <w:rPr>
                <w:rFonts w:ascii="Arial" w:cs="Arial" w:eastAsia="Arial" w:hAnsi="Arial"/>
                <w:sz w:val="12"/>
                <w:szCs w:val="12"/>
                <w:color w:val="auto"/>
              </w:rPr>
              <w:t>*</w:t>
            </w:r>
          </w:p>
        </w:tc>
        <w:tc>
          <w:tcPr>
            <w:tcW w:w="1080" w:type="dxa"/>
            <w:vAlign w:val="bottom"/>
            <w:gridSpan w:val="2"/>
          </w:tcPr>
          <w:p>
            <w:pPr>
              <w:ind w:left="680"/>
              <w:spacing w:after="0"/>
              <w:rPr>
                <w:sz w:val="20"/>
                <w:szCs w:val="20"/>
                <w:color w:val="auto"/>
              </w:rPr>
            </w:pPr>
            <w:r>
              <w:rPr>
                <w:rFonts w:ascii="Arial" w:cs="Arial" w:eastAsia="Arial" w:hAnsi="Arial"/>
                <w:sz w:val="12"/>
                <w:szCs w:val="12"/>
                <w:color w:val="auto"/>
              </w:rPr>
              <w:t>9.40</w:t>
            </w:r>
          </w:p>
        </w:tc>
        <w:tc>
          <w:tcPr>
            <w:tcW w:w="0" w:type="dxa"/>
            <w:vAlign w:val="bottom"/>
          </w:tcPr>
          <w:p>
            <w:pPr>
              <w:spacing w:after="0"/>
              <w:rPr>
                <w:sz w:val="1"/>
                <w:szCs w:val="1"/>
                <w:color w:val="auto"/>
              </w:rPr>
            </w:pPr>
          </w:p>
        </w:tc>
      </w:tr>
      <w:tr>
        <w:trPr>
          <w:trHeight w:val="214"/>
        </w:trPr>
        <w:tc>
          <w:tcPr>
            <w:tcW w:w="1580" w:type="dxa"/>
            <w:vAlign w:val="bottom"/>
            <w:tcBorders>
              <w:bottom w:val="single" w:sz="8" w:color="2C6937"/>
            </w:tcBorders>
          </w:tcPr>
          <w:p>
            <w:pPr>
              <w:ind w:left="20"/>
              <w:spacing w:after="0"/>
              <w:rPr>
                <w:sz w:val="20"/>
                <w:szCs w:val="20"/>
                <w:color w:val="auto"/>
              </w:rPr>
            </w:pPr>
            <w:r>
              <w:rPr>
                <w:rFonts w:ascii="Arial" w:cs="Arial" w:eastAsia="Arial" w:hAnsi="Arial"/>
                <w:sz w:val="12"/>
                <w:szCs w:val="12"/>
                <w:b w:val="1"/>
                <w:bCs w:val="1"/>
                <w:color w:val="auto"/>
              </w:rPr>
              <w:t>Credit enhanced:</w:t>
            </w:r>
            <w:r>
              <w:rPr>
                <w:rFonts w:ascii="Arial" w:cs="Arial" w:eastAsia="Arial" w:hAnsi="Arial"/>
                <w:sz w:val="15"/>
                <w:szCs w:val="15"/>
                <w:b w:val="1"/>
                <w:bCs w:val="1"/>
                <w:color w:val="auto"/>
                <w:vertAlign w:val="superscript"/>
              </w:rPr>
              <w:t>(2)</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580" w:type="dxa"/>
            <w:vAlign w:val="bottom"/>
          </w:tcPr>
          <w:p>
            <w:pPr>
              <w:ind w:left="120"/>
              <w:spacing w:after="0"/>
              <w:rPr>
                <w:sz w:val="20"/>
                <w:szCs w:val="20"/>
                <w:color w:val="auto"/>
              </w:rPr>
            </w:pPr>
            <w:r>
              <w:rPr>
                <w:rFonts w:ascii="Arial" w:cs="Arial" w:eastAsia="Arial" w:hAnsi="Arial"/>
                <w:sz w:val="12"/>
                <w:szCs w:val="12"/>
                <w:color w:val="auto"/>
              </w:rPr>
              <w:t>Primary MI &amp; other</w:t>
            </w:r>
            <w:r>
              <w:rPr>
                <w:rFonts w:ascii="Arial" w:cs="Arial" w:eastAsia="Arial" w:hAnsi="Arial"/>
                <w:sz w:val="15"/>
                <w:szCs w:val="15"/>
                <w:color w:val="auto"/>
                <w:vertAlign w:val="superscript"/>
              </w:rPr>
              <w:t>(3)</w:t>
            </w:r>
          </w:p>
        </w:tc>
        <w:tc>
          <w:tcPr>
            <w:tcW w:w="1080" w:type="dxa"/>
            <w:vAlign w:val="bottom"/>
          </w:tcPr>
          <w:p>
            <w:pPr>
              <w:jc w:val="right"/>
              <w:ind w:right="101"/>
              <w:spacing w:after="0"/>
              <w:rPr>
                <w:sz w:val="20"/>
                <w:szCs w:val="20"/>
                <w:color w:val="auto"/>
              </w:rPr>
            </w:pPr>
            <w:r>
              <w:rPr>
                <w:rFonts w:ascii="Arial" w:cs="Arial" w:eastAsia="Arial" w:hAnsi="Arial"/>
                <w:sz w:val="12"/>
                <w:szCs w:val="12"/>
                <w:b w:val="1"/>
                <w:bCs w:val="1"/>
                <w:color w:val="auto"/>
              </w:rPr>
              <w:t>21</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31</w:t>
            </w:r>
          </w:p>
        </w:tc>
        <w:tc>
          <w:tcPr>
            <w:tcW w:w="1060" w:type="dxa"/>
            <w:vAlign w:val="bottom"/>
            <w:gridSpan w:val="2"/>
          </w:tcPr>
          <w:p>
            <w:pPr>
              <w:ind w:left="680"/>
              <w:spacing w:after="0"/>
              <w:rPr>
                <w:sz w:val="20"/>
                <w:szCs w:val="20"/>
                <w:color w:val="auto"/>
              </w:rPr>
            </w:pPr>
            <w:r>
              <w:rPr>
                <w:rFonts w:ascii="Arial" w:cs="Arial" w:eastAsia="Arial" w:hAnsi="Arial"/>
                <w:sz w:val="12"/>
                <w:szCs w:val="12"/>
                <w:b w:val="1"/>
                <w:bCs w:val="1"/>
                <w:color w:val="auto"/>
              </w:rPr>
              <w:t>1.01</w:t>
            </w:r>
          </w:p>
        </w:tc>
        <w:tc>
          <w:tcPr>
            <w:tcW w:w="1080" w:type="dxa"/>
            <w:vAlign w:val="bottom"/>
            <w:gridSpan w:val="2"/>
          </w:tcPr>
          <w:p>
            <w:pPr>
              <w:jc w:val="right"/>
              <w:ind w:right="103"/>
              <w:spacing w:after="0"/>
              <w:rPr>
                <w:sz w:val="20"/>
                <w:szCs w:val="20"/>
                <w:color w:val="auto"/>
              </w:rPr>
            </w:pPr>
            <w:r>
              <w:rPr>
                <w:rFonts w:ascii="Arial" w:cs="Arial" w:eastAsia="Arial" w:hAnsi="Arial"/>
                <w:sz w:val="12"/>
                <w:szCs w:val="12"/>
                <w:color w:val="auto"/>
              </w:rPr>
              <w:t>21</w:t>
            </w:r>
          </w:p>
        </w:tc>
        <w:tc>
          <w:tcPr>
            <w:tcW w:w="1060" w:type="dxa"/>
            <w:vAlign w:val="bottom"/>
            <w:gridSpan w:val="2"/>
          </w:tcPr>
          <w:p>
            <w:pPr>
              <w:jc w:val="right"/>
              <w:ind w:right="105"/>
              <w:spacing w:after="0"/>
              <w:rPr>
                <w:sz w:val="20"/>
                <w:szCs w:val="20"/>
                <w:color w:val="auto"/>
              </w:rPr>
            </w:pPr>
            <w:r>
              <w:rPr>
                <w:rFonts w:ascii="Arial" w:cs="Arial" w:eastAsia="Arial" w:hAnsi="Arial"/>
                <w:sz w:val="12"/>
                <w:szCs w:val="12"/>
                <w:color w:val="auto"/>
              </w:rPr>
              <w:t>31</w:t>
            </w:r>
          </w:p>
        </w:tc>
        <w:tc>
          <w:tcPr>
            <w:tcW w:w="100" w:type="dxa"/>
            <w:vAlign w:val="bottom"/>
          </w:tcPr>
          <w:p>
            <w:pPr>
              <w:spacing w:after="0"/>
              <w:rPr>
                <w:sz w:val="17"/>
                <w:szCs w:val="17"/>
                <w:color w:val="auto"/>
              </w:rPr>
            </w:pPr>
          </w:p>
        </w:tc>
        <w:tc>
          <w:tcPr>
            <w:tcW w:w="960" w:type="dxa"/>
            <w:vAlign w:val="bottom"/>
          </w:tcPr>
          <w:p>
            <w:pPr>
              <w:ind w:left="580"/>
              <w:spacing w:after="0"/>
              <w:rPr>
                <w:sz w:val="20"/>
                <w:szCs w:val="20"/>
                <w:color w:val="auto"/>
              </w:rPr>
            </w:pPr>
            <w:r>
              <w:rPr>
                <w:rFonts w:ascii="Arial" w:cs="Arial" w:eastAsia="Arial" w:hAnsi="Arial"/>
                <w:sz w:val="12"/>
                <w:szCs w:val="12"/>
                <w:color w:val="auto"/>
              </w:rPr>
              <w:t>1.19</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20</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color w:val="auto"/>
              </w:rPr>
              <w:t>29</w:t>
            </w:r>
          </w:p>
        </w:tc>
        <w:tc>
          <w:tcPr>
            <w:tcW w:w="1080" w:type="dxa"/>
            <w:vAlign w:val="bottom"/>
            <w:gridSpan w:val="2"/>
          </w:tcPr>
          <w:p>
            <w:pPr>
              <w:ind w:left="680"/>
              <w:spacing w:after="0"/>
              <w:rPr>
                <w:sz w:val="20"/>
                <w:szCs w:val="20"/>
                <w:color w:val="auto"/>
              </w:rPr>
            </w:pPr>
            <w:r>
              <w:rPr>
                <w:rFonts w:ascii="Arial" w:cs="Arial" w:eastAsia="Arial" w:hAnsi="Arial"/>
                <w:sz w:val="12"/>
                <w:szCs w:val="12"/>
                <w:color w:val="auto"/>
              </w:rPr>
              <w:t>1.40</w:t>
            </w:r>
          </w:p>
        </w:tc>
        <w:tc>
          <w:tcPr>
            <w:tcW w:w="0" w:type="dxa"/>
            <w:vAlign w:val="bottom"/>
          </w:tcPr>
          <w:p>
            <w:pPr>
              <w:spacing w:after="0"/>
              <w:rPr>
                <w:sz w:val="1"/>
                <w:szCs w:val="1"/>
                <w:color w:val="auto"/>
              </w:rPr>
            </w:pPr>
          </w:p>
        </w:tc>
      </w:tr>
      <w:tr>
        <w:trPr>
          <w:trHeight w:val="193"/>
        </w:trPr>
        <w:tc>
          <w:tcPr>
            <w:tcW w:w="1580" w:type="dxa"/>
            <w:vAlign w:val="bottom"/>
          </w:tcPr>
          <w:p>
            <w:pPr>
              <w:ind w:left="120"/>
              <w:spacing w:after="0"/>
              <w:rPr>
                <w:sz w:val="20"/>
                <w:szCs w:val="20"/>
                <w:color w:val="auto"/>
              </w:rPr>
            </w:pPr>
            <w:r>
              <w:rPr>
                <w:rFonts w:ascii="Arial" w:cs="Arial" w:eastAsia="Arial" w:hAnsi="Arial"/>
                <w:sz w:val="12"/>
                <w:szCs w:val="12"/>
                <w:color w:val="auto"/>
              </w:rPr>
              <w:t>Credit risk transfer</w:t>
            </w:r>
            <w:r>
              <w:rPr>
                <w:rFonts w:ascii="Arial" w:cs="Arial" w:eastAsia="Arial" w:hAnsi="Arial"/>
                <w:sz w:val="15"/>
                <w:szCs w:val="15"/>
                <w:color w:val="auto"/>
                <w:vertAlign w:val="superscript"/>
              </w:rPr>
              <w:t>(4)</w:t>
            </w:r>
          </w:p>
        </w:tc>
        <w:tc>
          <w:tcPr>
            <w:tcW w:w="1080" w:type="dxa"/>
            <w:vAlign w:val="bottom"/>
          </w:tcPr>
          <w:p>
            <w:pPr>
              <w:jc w:val="right"/>
              <w:ind w:right="101"/>
              <w:spacing w:after="0"/>
              <w:rPr>
                <w:sz w:val="20"/>
                <w:szCs w:val="20"/>
                <w:color w:val="auto"/>
              </w:rPr>
            </w:pPr>
            <w:r>
              <w:rPr>
                <w:rFonts w:ascii="Arial" w:cs="Arial" w:eastAsia="Arial" w:hAnsi="Arial"/>
                <w:sz w:val="12"/>
                <w:szCs w:val="12"/>
                <w:b w:val="1"/>
                <w:bCs w:val="1"/>
                <w:color w:val="auto"/>
              </w:rPr>
              <w:t>34</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28</w:t>
            </w:r>
          </w:p>
        </w:tc>
        <w:tc>
          <w:tcPr>
            <w:tcW w:w="1060" w:type="dxa"/>
            <w:vAlign w:val="bottom"/>
            <w:gridSpan w:val="2"/>
          </w:tcPr>
          <w:p>
            <w:pPr>
              <w:ind w:left="680"/>
              <w:spacing w:after="0"/>
              <w:rPr>
                <w:sz w:val="20"/>
                <w:szCs w:val="20"/>
                <w:color w:val="auto"/>
              </w:rPr>
            </w:pPr>
            <w:r>
              <w:rPr>
                <w:rFonts w:ascii="Arial" w:cs="Arial" w:eastAsia="Arial" w:hAnsi="Arial"/>
                <w:sz w:val="12"/>
                <w:szCs w:val="12"/>
                <w:b w:val="1"/>
                <w:bCs w:val="1"/>
                <w:color w:val="auto"/>
              </w:rPr>
              <w:t>0.51</w:t>
            </w:r>
          </w:p>
        </w:tc>
        <w:tc>
          <w:tcPr>
            <w:tcW w:w="1080" w:type="dxa"/>
            <w:vAlign w:val="bottom"/>
            <w:gridSpan w:val="2"/>
          </w:tcPr>
          <w:p>
            <w:pPr>
              <w:jc w:val="right"/>
              <w:ind w:right="103"/>
              <w:spacing w:after="0"/>
              <w:rPr>
                <w:sz w:val="20"/>
                <w:szCs w:val="20"/>
                <w:color w:val="auto"/>
              </w:rPr>
            </w:pPr>
            <w:r>
              <w:rPr>
                <w:rFonts w:ascii="Arial" w:cs="Arial" w:eastAsia="Arial" w:hAnsi="Arial"/>
                <w:sz w:val="12"/>
                <w:szCs w:val="12"/>
                <w:color w:val="auto"/>
              </w:rPr>
              <w:t>31</w:t>
            </w:r>
          </w:p>
        </w:tc>
        <w:tc>
          <w:tcPr>
            <w:tcW w:w="1060" w:type="dxa"/>
            <w:vAlign w:val="bottom"/>
            <w:gridSpan w:val="2"/>
          </w:tcPr>
          <w:p>
            <w:pPr>
              <w:jc w:val="right"/>
              <w:ind w:right="105"/>
              <w:spacing w:after="0"/>
              <w:rPr>
                <w:sz w:val="20"/>
                <w:szCs w:val="20"/>
                <w:color w:val="auto"/>
              </w:rPr>
            </w:pPr>
            <w:r>
              <w:rPr>
                <w:rFonts w:ascii="Arial" w:cs="Arial" w:eastAsia="Arial" w:hAnsi="Arial"/>
                <w:sz w:val="12"/>
                <w:szCs w:val="12"/>
                <w:color w:val="auto"/>
              </w:rPr>
              <w:t>28</w:t>
            </w:r>
          </w:p>
        </w:tc>
        <w:tc>
          <w:tcPr>
            <w:tcW w:w="10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Arial" w:cs="Arial" w:eastAsia="Arial" w:hAnsi="Arial"/>
                <w:sz w:val="12"/>
                <w:szCs w:val="12"/>
                <w:color w:val="auto"/>
              </w:rPr>
              <w:t>0.66</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28</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color w:val="auto"/>
              </w:rPr>
              <w:t>27</w:t>
            </w:r>
          </w:p>
        </w:tc>
        <w:tc>
          <w:tcPr>
            <w:tcW w:w="1080" w:type="dxa"/>
            <w:vAlign w:val="bottom"/>
            <w:gridSpan w:val="2"/>
          </w:tcPr>
          <w:p>
            <w:pPr>
              <w:ind w:left="680"/>
              <w:spacing w:after="0"/>
              <w:rPr>
                <w:sz w:val="20"/>
                <w:szCs w:val="20"/>
                <w:color w:val="auto"/>
              </w:rPr>
            </w:pPr>
            <w:r>
              <w:rPr>
                <w:rFonts w:ascii="Arial" w:cs="Arial" w:eastAsia="Arial" w:hAnsi="Arial"/>
                <w:sz w:val="12"/>
                <w:szCs w:val="12"/>
                <w:color w:val="auto"/>
              </w:rPr>
              <w:t>0.84</w:t>
            </w:r>
          </w:p>
        </w:tc>
        <w:tc>
          <w:tcPr>
            <w:tcW w:w="0" w:type="dxa"/>
            <w:vAlign w:val="bottom"/>
          </w:tcPr>
          <w:p>
            <w:pPr>
              <w:spacing w:after="0"/>
              <w:rPr>
                <w:sz w:val="1"/>
                <w:szCs w:val="1"/>
                <w:color w:val="auto"/>
              </w:rPr>
            </w:pPr>
          </w:p>
        </w:tc>
      </w:tr>
      <w:tr>
        <w:trPr>
          <w:trHeight w:val="174"/>
        </w:trPr>
        <w:tc>
          <w:tcPr>
            <w:tcW w:w="1580" w:type="dxa"/>
            <w:vAlign w:val="bottom"/>
          </w:tcPr>
          <w:p>
            <w:pPr>
              <w:ind w:left="120"/>
              <w:spacing w:after="0"/>
              <w:rPr>
                <w:sz w:val="20"/>
                <w:szCs w:val="20"/>
                <w:color w:val="auto"/>
              </w:rPr>
            </w:pPr>
            <w:r>
              <w:rPr>
                <w:rFonts w:ascii="Arial" w:cs="Arial" w:eastAsia="Arial" w:hAnsi="Arial"/>
                <w:sz w:val="12"/>
                <w:szCs w:val="12"/>
                <w:color w:val="auto"/>
              </w:rPr>
              <w:t>Non-credit enhanced</w:t>
            </w:r>
          </w:p>
        </w:tc>
        <w:tc>
          <w:tcPr>
            <w:tcW w:w="1080" w:type="dxa"/>
            <w:vAlign w:val="bottom"/>
          </w:tcPr>
          <w:p>
            <w:pPr>
              <w:jc w:val="right"/>
              <w:ind w:right="101"/>
              <w:spacing w:after="0"/>
              <w:rPr>
                <w:sz w:val="20"/>
                <w:szCs w:val="20"/>
                <w:color w:val="auto"/>
              </w:rPr>
            </w:pPr>
            <w:r>
              <w:rPr>
                <w:rFonts w:ascii="Arial" w:cs="Arial" w:eastAsia="Arial" w:hAnsi="Arial"/>
                <w:sz w:val="12"/>
                <w:szCs w:val="12"/>
                <w:b w:val="1"/>
                <w:bCs w:val="1"/>
                <w:color w:val="auto"/>
              </w:rPr>
              <w:t>56</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54</w:t>
            </w:r>
          </w:p>
        </w:tc>
        <w:tc>
          <w:tcPr>
            <w:tcW w:w="1060" w:type="dxa"/>
            <w:vAlign w:val="bottom"/>
            <w:gridSpan w:val="2"/>
          </w:tcPr>
          <w:p>
            <w:pPr>
              <w:ind w:left="680"/>
              <w:spacing w:after="0"/>
              <w:rPr>
                <w:sz w:val="20"/>
                <w:szCs w:val="20"/>
                <w:color w:val="auto"/>
              </w:rPr>
            </w:pPr>
            <w:r>
              <w:rPr>
                <w:rFonts w:ascii="Arial" w:cs="Arial" w:eastAsia="Arial" w:hAnsi="Arial"/>
                <w:sz w:val="12"/>
                <w:szCs w:val="12"/>
                <w:b w:val="1"/>
                <w:bCs w:val="1"/>
                <w:color w:val="auto"/>
              </w:rPr>
              <w:t>0.47</w:t>
            </w:r>
          </w:p>
        </w:tc>
        <w:tc>
          <w:tcPr>
            <w:tcW w:w="1080" w:type="dxa"/>
            <w:vAlign w:val="bottom"/>
            <w:gridSpan w:val="2"/>
          </w:tcPr>
          <w:p>
            <w:pPr>
              <w:jc w:val="right"/>
              <w:ind w:right="103"/>
              <w:spacing w:after="0"/>
              <w:rPr>
                <w:sz w:val="20"/>
                <w:szCs w:val="20"/>
                <w:color w:val="auto"/>
              </w:rPr>
            </w:pPr>
            <w:r>
              <w:rPr>
                <w:rFonts w:ascii="Arial" w:cs="Arial" w:eastAsia="Arial" w:hAnsi="Arial"/>
                <w:sz w:val="12"/>
                <w:szCs w:val="12"/>
                <w:color w:val="auto"/>
              </w:rPr>
              <w:t>58</w:t>
            </w:r>
          </w:p>
        </w:tc>
        <w:tc>
          <w:tcPr>
            <w:tcW w:w="1060" w:type="dxa"/>
            <w:vAlign w:val="bottom"/>
            <w:gridSpan w:val="2"/>
          </w:tcPr>
          <w:p>
            <w:pPr>
              <w:jc w:val="right"/>
              <w:ind w:right="105"/>
              <w:spacing w:after="0"/>
              <w:rPr>
                <w:sz w:val="20"/>
                <w:szCs w:val="20"/>
                <w:color w:val="auto"/>
              </w:rPr>
            </w:pPr>
            <w:r>
              <w:rPr>
                <w:rFonts w:ascii="Arial" w:cs="Arial" w:eastAsia="Arial" w:hAnsi="Arial"/>
                <w:sz w:val="12"/>
                <w:szCs w:val="12"/>
                <w:color w:val="auto"/>
              </w:rPr>
              <w:t>54</w:t>
            </w:r>
          </w:p>
        </w:tc>
        <w:tc>
          <w:tcPr>
            <w:tcW w:w="100" w:type="dxa"/>
            <w:vAlign w:val="bottom"/>
          </w:tcPr>
          <w:p>
            <w:pPr>
              <w:spacing w:after="0"/>
              <w:rPr>
                <w:sz w:val="15"/>
                <w:szCs w:val="15"/>
                <w:color w:val="auto"/>
              </w:rPr>
            </w:pPr>
          </w:p>
        </w:tc>
        <w:tc>
          <w:tcPr>
            <w:tcW w:w="960" w:type="dxa"/>
            <w:vAlign w:val="bottom"/>
          </w:tcPr>
          <w:p>
            <w:pPr>
              <w:ind w:left="580"/>
              <w:spacing w:after="0"/>
              <w:rPr>
                <w:sz w:val="20"/>
                <w:szCs w:val="20"/>
                <w:color w:val="auto"/>
              </w:rPr>
            </w:pPr>
            <w:r>
              <w:rPr>
                <w:rFonts w:ascii="Arial" w:cs="Arial" w:eastAsia="Arial" w:hAnsi="Arial"/>
                <w:sz w:val="12"/>
                <w:szCs w:val="12"/>
                <w:color w:val="auto"/>
              </w:rPr>
              <w:t>0.55</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61</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color w:val="auto"/>
              </w:rPr>
              <w:t>55</w:t>
            </w:r>
          </w:p>
        </w:tc>
        <w:tc>
          <w:tcPr>
            <w:tcW w:w="1080" w:type="dxa"/>
            <w:vAlign w:val="bottom"/>
            <w:gridSpan w:val="2"/>
          </w:tcPr>
          <w:p>
            <w:pPr>
              <w:ind w:left="680"/>
              <w:spacing w:after="0"/>
              <w:rPr>
                <w:sz w:val="20"/>
                <w:szCs w:val="20"/>
                <w:color w:val="auto"/>
              </w:rPr>
            </w:pPr>
            <w:r>
              <w:rPr>
                <w:rFonts w:ascii="Arial" w:cs="Arial" w:eastAsia="Arial" w:hAnsi="Arial"/>
                <w:sz w:val="12"/>
                <w:szCs w:val="12"/>
                <w:color w:val="auto"/>
              </w:rPr>
              <w:t>0.69</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260" w:hanging="237"/>
        <w:spacing w:after="0"/>
        <w:tabs>
          <w:tab w:leader="none" w:pos="2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less than 0.5% of single-family conventional guaranty book of business.</w:t>
      </w:r>
    </w:p>
    <w:p>
      <w:pPr>
        <w:spacing w:after="0" w:line="45" w:lineRule="exact"/>
        <w:rPr>
          <w:sz w:val="20"/>
          <w:szCs w:val="20"/>
          <w:color w:val="auto"/>
        </w:rPr>
      </w:pPr>
    </w:p>
    <w:p>
      <w:pPr>
        <w:ind w:left="260" w:right="320" w:hanging="237"/>
        <w:spacing w:after="0" w:line="223" w:lineRule="auto"/>
        <w:tabs>
          <w:tab w:leader="none" w:pos="260"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number of single-family loans that were seriously delinquent for each category divided by the total number of single-family conventional loans that were seriously delinquent.</w:t>
      </w:r>
    </w:p>
    <w:p>
      <w:pPr>
        <w:spacing w:after="0" w:line="31" w:lineRule="exact"/>
        <w:rPr>
          <w:rFonts w:ascii="Arial" w:cs="Arial" w:eastAsia="Arial" w:hAnsi="Arial"/>
          <w:sz w:val="18"/>
          <w:szCs w:val="18"/>
          <w:color w:val="auto"/>
          <w:vertAlign w:val="superscript"/>
        </w:rPr>
      </w:pPr>
    </w:p>
    <w:p>
      <w:pPr>
        <w:ind w:left="260" w:right="200" w:hanging="237"/>
        <w:spacing w:after="0" w:line="225" w:lineRule="auto"/>
        <w:tabs>
          <w:tab w:leader="none" w:pos="260"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The credit-enhanced categories are not mutually exclusive. A loan with primary mortgage insurance that is also covered by a credit risk transfer transaction will be included in both the “Primary MI &amp; other” category and the “Credit risk transfer” category. As a result, the “Credit enhanced” and “Non-credit enhanced” categories do not sum to 100%. The total percentage of our single-family conventional guaranty book of business with some form of credit enhancement as of June 30, 2023 was 44%.</w:t>
      </w:r>
    </w:p>
    <w:p>
      <w:pPr>
        <w:spacing w:after="0" w:line="32" w:lineRule="exact"/>
        <w:rPr>
          <w:rFonts w:ascii="Arial" w:cs="Arial" w:eastAsia="Arial" w:hAnsi="Arial"/>
          <w:sz w:val="18"/>
          <w:szCs w:val="18"/>
          <w:color w:val="auto"/>
          <w:vertAlign w:val="superscript"/>
        </w:rPr>
      </w:pPr>
    </w:p>
    <w:p>
      <w:pPr>
        <w:ind w:left="260" w:right="120" w:hanging="237"/>
        <w:spacing w:after="0" w:line="231" w:lineRule="auto"/>
        <w:tabs>
          <w:tab w:leader="none" w:pos="260"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Refers to loans included in an agreement used to reduce credit risk by requiring primary mortgage insurance, collateral, letters of credit, corporate guarantees, or other agreements to provide an entity with some assurance that it will be compensated to some degree in the event of a financial loss. Excludes loans covered by credit risk transfer transactions unless such loans are also covered by primary mortgage insurance.</w:t>
      </w:r>
    </w:p>
    <w:p>
      <w:pPr>
        <w:spacing w:after="0" w:line="32" w:lineRule="exact"/>
        <w:rPr>
          <w:rFonts w:ascii="Arial" w:cs="Arial" w:eastAsia="Arial" w:hAnsi="Arial"/>
          <w:sz w:val="18"/>
          <w:szCs w:val="18"/>
          <w:color w:val="auto"/>
          <w:vertAlign w:val="superscript"/>
        </w:rPr>
      </w:pPr>
    </w:p>
    <w:p>
      <w:pPr>
        <w:ind w:left="260" w:right="160" w:hanging="237"/>
        <w:spacing w:after="0" w:line="225" w:lineRule="auto"/>
        <w:tabs>
          <w:tab w:leader="none" w:pos="260"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Refers to loans included in reference pools for credit risk transfer transactions, including loans in these transactions that are also covered by primary mortgage insurance. For CAS and some lender risk-sharing transactions, this represents the outstanding unpaid principal balance of the underlying loans on the single-family mortgage credit book, not the outstanding reference pool, as of the specified date. Loans included in our credit risk transfer transactions have all been acquired since 2009.</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9"/>
          <w:szCs w:val="19"/>
          <w:i w:val="1"/>
          <w:iCs w:val="1"/>
          <w:color w:val="05314D"/>
        </w:rPr>
        <w:t>Forbearance Plans</w:t>
      </w:r>
    </w:p>
    <w:p>
      <w:pPr>
        <w:spacing w:after="0" w:line="90" w:lineRule="exact"/>
        <w:rPr>
          <w:sz w:val="20"/>
          <w:szCs w:val="20"/>
          <w:color w:val="auto"/>
        </w:rPr>
      </w:pPr>
    </w:p>
    <w:p>
      <w:pPr>
        <w:ind w:left="20" w:right="120"/>
        <w:spacing w:after="0" w:line="261" w:lineRule="auto"/>
        <w:rPr>
          <w:sz w:val="20"/>
          <w:szCs w:val="20"/>
          <w:color w:val="auto"/>
        </w:rPr>
      </w:pPr>
      <w:r>
        <w:rPr>
          <w:rFonts w:ascii="Arial" w:cs="Arial" w:eastAsia="Arial" w:hAnsi="Arial"/>
          <w:sz w:val="16"/>
          <w:szCs w:val="16"/>
          <w:color w:val="auto"/>
        </w:rPr>
        <w:t>A forbearance plan is a short-term loss mitigation option that grants a period of time (typically in 6-month increments and generally not exceeding a total of 12 months) during which the borrower’s monthly payment obligations are reduced or suspended. Borrowers may exit a forbearance plan by repaying all past due amounts to fully reinstate the loan, paying off the loan in full, or entering into another loss mitigation option, such as a repayment plan, a payment deferral, or a loan modification. As of June 30, 2023, the unpaid principal balance of single-family loans in forbearance was $8.5 billion, or 0.2% of our single-family conventional guaranty book of business, compared with $11.9 billion, or 0.3% of our single-family conventional guaranty book of business, as of December 31, 2022.</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34</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-28575</wp:posOffset>
            </wp:positionV>
            <wp:extent cx="3365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-28575</wp:posOffset>
            </wp:positionV>
            <wp:extent cx="3365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00" w:top="250" w:right="339" w:bottom="1440" w:gutter="0" w:footer="0" w:header="0"/>
        </w:sectPr>
      </w:pPr>
    </w:p>
    <w:bookmarkStart w:id="37" w:name="page38"/>
    <w:bookmarkEnd w:id="37"/>
    <w:p>
      <w:pPr>
        <w:ind w:left="608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9"/>
          <w:szCs w:val="19"/>
          <w:i w:val="1"/>
          <w:iCs w:val="1"/>
          <w:color w:val="05314D"/>
        </w:rPr>
        <w:t>Loan Workout Metrics</w:t>
      </w:r>
    </w:p>
    <w:p>
      <w:pPr>
        <w:spacing w:after="0" w:line="90"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As a part of our credit risk management efforts, loan workouts represent actions we take to help reinstate loans to current status and help homeowners stay in their home or to otherwise avoid foreclosure. Our loan workouts reflect various types of home retention solutions, including repayment plans, payment deferrals, and loan modifications. Our loan workouts also include foreclosure alternatives, such as short sales and deeds-in-lieu of foreclosure.</w:t>
      </w:r>
    </w:p>
    <w:p>
      <w:pPr>
        <w:spacing w:after="0" w:line="69"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The chart below displays the unpaid principal balance of our completed single-family loan workouts by type, as well as the number of loan workouts, for the first half of 2022 compared with the first half of 2023. This table does not include loans in an active forbearance arrangement, trial modifications, loans to certain borrowers who have received bankruptcy relief and repayment plans that have been initiated but not completed.</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5314D"/>
        </w:rPr>
        <w:t>Completed Loan Workout Activity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5314D"/>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8890</wp:posOffset>
            </wp:positionV>
            <wp:extent cx="5730240" cy="28651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30240" cy="286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40" w:hanging="237"/>
        <w:spacing w:after="0"/>
        <w:tabs>
          <w:tab w:leader="none" w:pos="240"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There were approximately 16,300 loans and 25,000 loans in a trial modification period that was not yet complete as of June 30, 2023 and 2022, respectively.</w:t>
      </w:r>
    </w:p>
    <w:p>
      <w:pPr>
        <w:spacing w:after="0" w:line="29" w:lineRule="exact"/>
        <w:rPr>
          <w:rFonts w:ascii="Arial" w:cs="Arial" w:eastAsia="Arial" w:hAnsi="Arial"/>
          <w:sz w:val="18"/>
          <w:szCs w:val="18"/>
          <w:color w:val="auto"/>
          <w:vertAlign w:val="superscript"/>
        </w:rPr>
      </w:pPr>
    </w:p>
    <w:p>
      <w:pPr>
        <w:ind w:left="240" w:right="300" w:hanging="237"/>
        <w:spacing w:after="0" w:line="254" w:lineRule="auto"/>
        <w:tabs>
          <w:tab w:leader="none" w:pos="240" w:val="left"/>
        </w:tabs>
        <w:numPr>
          <w:ilvl w:val="0"/>
          <w:numId w:val="42"/>
        </w:numPr>
        <w:rPr>
          <w:rFonts w:ascii="Arial" w:cs="Arial" w:eastAsia="Arial" w:hAnsi="Arial"/>
          <w:sz w:val="9"/>
          <w:szCs w:val="9"/>
          <w:color w:val="auto"/>
        </w:rPr>
      </w:pPr>
      <w:r>
        <w:rPr>
          <w:rFonts w:ascii="Arial" w:cs="Arial" w:eastAsia="Arial" w:hAnsi="Arial"/>
          <w:sz w:val="14"/>
          <w:szCs w:val="14"/>
          <w:color w:val="auto"/>
        </w:rPr>
        <w:t>Other was $237 million and $212 million for the first half of 2023 and the first half of 2022, respectively. Other includes repayment plans and foreclosure alternatives. Repayment plans reflect only those plans associated with loans that were 60 days or more delinquent.</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The overall decline in loan workout activity was driven by fewer outstanding forbearances in the first half of 2023 compared with the first half of 2022.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Forbearances often result in a loan workout in order to resolve the loan’s delinquency.</w:t>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i w:val="1"/>
          <w:iCs w:val="1"/>
          <w:color w:val="05314D"/>
        </w:rPr>
        <w:t>Updated Payment Deferral Workout Option</w:t>
      </w:r>
    </w:p>
    <w:p>
      <w:pPr>
        <w:spacing w:after="0" w:line="90"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In March 2023, FHFA announced an update to our standard payment deferral workout option to allow borrowers who have resolved their financial hardship to defer two to six months of past-due mortgage payments as a non-interest bearing balance that is due at maturity of the mortgage loan or earlier upon sale or transfer of the property or payoff of the interest-bearing balance. Our current payment deferral workout option generally allows borrowers to defer up to two months of past-due payments. This update does not impact disaster payment deferrals or COVID-19 payment deferrals, which allow for up to 12 or 18 months of past-due payments, respectively, to be deferred. Servicers have until October 1, 2023 to implement the updated payment deferral requirements, and may voluntarily implement them as early as July 1, 2023.</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35</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38" w:name="page39"/>
    <w:bookmarkEnd w:id="38"/>
    <w:p>
      <w:pPr>
        <w:ind w:left="608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9"/>
          <w:szCs w:val="19"/>
          <w:i w:val="1"/>
          <w:iCs w:val="1"/>
          <w:color w:val="05314D"/>
        </w:rPr>
        <w:t>REO Management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If a loan defaults, we may acquire the property through foreclosure or a deed-in-lieu of foreclosure. The table below displays our REO activity by region.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Regional REO acquisition trends generally follow a pattern that is similar to, but lags, that of regional delinquency trends.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Single-Family REO Properties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280" w:type="dxa"/>
            <w:vAlign w:val="bottom"/>
            <w:tcBorders>
              <w:top w:val="single" w:sz="8" w:color="2C6937"/>
            </w:tcBorders>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440" w:type="dxa"/>
            <w:vAlign w:val="bottom"/>
            <w:tcBorders>
              <w:top w:val="single" w:sz="8" w:color="2C6937"/>
              <w:bottom w:val="single" w:sz="8" w:color="2C6937"/>
            </w:tcBorders>
          </w:tcPr>
          <w:p>
            <w:pPr>
              <w:spacing w:after="0"/>
              <w:rPr>
                <w:sz w:val="17"/>
                <w:szCs w:val="17"/>
                <w:color w:val="auto"/>
              </w:rPr>
            </w:pPr>
          </w:p>
        </w:tc>
        <w:tc>
          <w:tcPr>
            <w:tcW w:w="3100" w:type="dxa"/>
            <w:vAlign w:val="bottom"/>
            <w:tcBorders>
              <w:top w:val="single" w:sz="8" w:color="2C6937"/>
              <w:bottom w:val="single" w:sz="8" w:color="2C6937"/>
            </w:tcBorders>
            <w:gridSpan w:val="5"/>
          </w:tcPr>
          <w:p>
            <w:pPr>
              <w:jc w:val="right"/>
              <w:ind w:right="403"/>
              <w:spacing w:after="0"/>
              <w:rPr>
                <w:sz w:val="20"/>
                <w:szCs w:val="20"/>
                <w:color w:val="auto"/>
              </w:rPr>
            </w:pPr>
            <w:r>
              <w:rPr>
                <w:rFonts w:ascii="Arial" w:cs="Arial" w:eastAsia="Arial" w:hAnsi="Arial"/>
                <w:sz w:val="14"/>
                <w:szCs w:val="14"/>
                <w:b w:val="1"/>
                <w:bCs w:val="1"/>
                <w:color w:val="auto"/>
              </w:rPr>
              <w:t>For the Six Months Ended June 30,</w:t>
            </w:r>
          </w:p>
        </w:tc>
        <w:tc>
          <w:tcPr>
            <w:tcW w:w="280" w:type="dxa"/>
            <w:vAlign w:val="bottom"/>
            <w:tcBorders>
              <w:top w:val="single" w:sz="8" w:color="2C6937"/>
              <w:bottom w:val="single" w:sz="8" w:color="2C6937"/>
            </w:tcBorders>
          </w:tcPr>
          <w:p>
            <w:pPr>
              <w:spacing w:after="0"/>
              <w:rPr>
                <w:sz w:val="17"/>
                <w:szCs w:val="17"/>
                <w:color w:val="auto"/>
              </w:rPr>
            </w:pPr>
          </w:p>
        </w:tc>
      </w:tr>
      <w:tr>
        <w:trPr>
          <w:trHeight w:val="185"/>
        </w:trPr>
        <w:tc>
          <w:tcPr>
            <w:tcW w:w="7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jc w:val="right"/>
              <w:ind w:right="404"/>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jc w:val="right"/>
              <w:ind w:right="403"/>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2C6937"/>
            </w:tcBorders>
          </w:tcPr>
          <w:p>
            <w:pPr>
              <w:spacing w:after="0"/>
              <w:rPr>
                <w:sz w:val="16"/>
                <w:szCs w:val="16"/>
                <w:color w:val="auto"/>
              </w:rPr>
            </w:pPr>
          </w:p>
        </w:tc>
      </w:tr>
      <w:tr>
        <w:trPr>
          <w:trHeight w:val="207"/>
        </w:trPr>
        <w:tc>
          <w:tcPr>
            <w:tcW w:w="7420" w:type="dxa"/>
            <w:vAlign w:val="bottom"/>
            <w:gridSpan w:val="2"/>
          </w:tcPr>
          <w:p>
            <w:pPr>
              <w:ind w:left="20"/>
              <w:spacing w:after="0"/>
              <w:rPr>
                <w:sz w:val="20"/>
                <w:szCs w:val="20"/>
                <w:color w:val="auto"/>
              </w:rPr>
            </w:pPr>
            <w:r>
              <w:rPr>
                <w:rFonts w:ascii="Arial" w:cs="Arial" w:eastAsia="Arial" w:hAnsi="Arial"/>
                <w:sz w:val="15"/>
                <w:szCs w:val="15"/>
                <w:b w:val="1"/>
                <w:bCs w:val="1"/>
                <w:color w:val="auto"/>
              </w:rPr>
              <w:t>Single-family REO properties (number of properties):</w:t>
            </w: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61"/>
        </w:trPr>
        <w:tc>
          <w:tcPr>
            <w:tcW w:w="7420" w:type="dxa"/>
            <w:vAlign w:val="bottom"/>
            <w:gridSpan w:val="2"/>
          </w:tcPr>
          <w:p>
            <w:pPr>
              <w:ind w:left="180"/>
              <w:spacing w:after="0"/>
              <w:rPr>
                <w:sz w:val="20"/>
                <w:szCs w:val="20"/>
                <w:color w:val="auto"/>
              </w:rPr>
            </w:pPr>
            <w:r>
              <w:rPr>
                <w:rFonts w:ascii="Arial" w:cs="Arial" w:eastAsia="Arial" w:hAnsi="Arial"/>
                <w:sz w:val="15"/>
                <w:szCs w:val="15"/>
                <w:color w:val="auto"/>
              </w:rPr>
              <w:t>Beginning of period inventory of single-family REO properties</w:t>
            </w:r>
            <w:r>
              <w:rPr>
                <w:rFonts w:ascii="Arial" w:cs="Arial" w:eastAsia="Arial" w:hAnsi="Arial"/>
                <w:sz w:val="20"/>
                <w:szCs w:val="20"/>
                <w:color w:val="auto"/>
                <w:vertAlign w:val="superscript"/>
              </w:rPr>
              <w:t>(1)</w:t>
            </w:r>
          </w:p>
        </w:tc>
        <w:tc>
          <w:tcPr>
            <w:tcW w:w="4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8,779</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7,166</w:t>
            </w:r>
          </w:p>
        </w:tc>
        <w:tc>
          <w:tcPr>
            <w:tcW w:w="280" w:type="dxa"/>
            <w:vAlign w:val="bottom"/>
          </w:tcPr>
          <w:p>
            <w:pPr>
              <w:spacing w:after="0"/>
              <w:rPr>
                <w:sz w:val="22"/>
                <w:szCs w:val="22"/>
                <w:color w:val="auto"/>
              </w:rPr>
            </w:pPr>
          </w:p>
        </w:tc>
      </w:tr>
      <w:tr>
        <w:trPr>
          <w:trHeight w:val="240"/>
        </w:trPr>
        <w:tc>
          <w:tcPr>
            <w:tcW w:w="7420" w:type="dxa"/>
            <w:vAlign w:val="bottom"/>
            <w:gridSpan w:val="2"/>
          </w:tcPr>
          <w:p>
            <w:pPr>
              <w:ind w:left="320"/>
              <w:spacing w:after="0"/>
              <w:rPr>
                <w:sz w:val="20"/>
                <w:szCs w:val="20"/>
                <w:color w:val="auto"/>
              </w:rPr>
            </w:pPr>
            <w:r>
              <w:rPr>
                <w:rFonts w:ascii="Arial" w:cs="Arial" w:eastAsia="Arial" w:hAnsi="Arial"/>
                <w:sz w:val="15"/>
                <w:szCs w:val="15"/>
                <w:b w:val="1"/>
                <w:bCs w:val="1"/>
                <w:color w:val="auto"/>
              </w:rPr>
              <w:t>Acquisitions by geographic area:</w:t>
            </w:r>
            <w:r>
              <w:rPr>
                <w:rFonts w:ascii="Arial" w:cs="Arial" w:eastAsia="Arial" w:hAnsi="Arial"/>
                <w:sz w:val="20"/>
                <w:szCs w:val="20"/>
                <w:b w:val="1"/>
                <w:bCs w:val="1"/>
                <w:color w:val="auto"/>
                <w:vertAlign w:val="superscript"/>
              </w:rPr>
              <w:t>(2)</w:t>
            </w: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34"/>
        </w:trPr>
        <w:tc>
          <w:tcPr>
            <w:tcW w:w="7420" w:type="dxa"/>
            <w:vAlign w:val="bottom"/>
            <w:gridSpan w:val="2"/>
          </w:tcPr>
          <w:p>
            <w:pPr>
              <w:ind w:left="480"/>
              <w:spacing w:after="0"/>
              <w:rPr>
                <w:sz w:val="20"/>
                <w:szCs w:val="20"/>
                <w:color w:val="auto"/>
              </w:rPr>
            </w:pPr>
            <w:r>
              <w:rPr>
                <w:rFonts w:ascii="Arial" w:cs="Arial" w:eastAsia="Arial" w:hAnsi="Arial"/>
                <w:sz w:val="15"/>
                <w:szCs w:val="15"/>
                <w:color w:val="auto"/>
              </w:rPr>
              <w:t>Midwest</w:t>
            </w: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624</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760</w:t>
            </w:r>
          </w:p>
        </w:tc>
        <w:tc>
          <w:tcPr>
            <w:tcW w:w="280" w:type="dxa"/>
            <w:vAlign w:val="bottom"/>
          </w:tcPr>
          <w:p>
            <w:pPr>
              <w:spacing w:after="0"/>
              <w:rPr>
                <w:sz w:val="20"/>
                <w:szCs w:val="20"/>
                <w:color w:val="auto"/>
              </w:rPr>
            </w:pPr>
          </w:p>
        </w:tc>
      </w:tr>
      <w:tr>
        <w:trPr>
          <w:trHeight w:val="232"/>
        </w:trPr>
        <w:tc>
          <w:tcPr>
            <w:tcW w:w="7420" w:type="dxa"/>
            <w:vAlign w:val="bottom"/>
            <w:gridSpan w:val="2"/>
          </w:tcPr>
          <w:p>
            <w:pPr>
              <w:ind w:left="480"/>
              <w:spacing w:after="0"/>
              <w:rPr>
                <w:sz w:val="20"/>
                <w:szCs w:val="20"/>
                <w:color w:val="auto"/>
              </w:rPr>
            </w:pPr>
            <w:r>
              <w:rPr>
                <w:rFonts w:ascii="Arial" w:cs="Arial" w:eastAsia="Arial" w:hAnsi="Arial"/>
                <w:sz w:val="15"/>
                <w:szCs w:val="15"/>
                <w:color w:val="auto"/>
              </w:rPr>
              <w:t>Northeast</w:t>
            </w: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479</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550</w:t>
            </w:r>
          </w:p>
        </w:tc>
        <w:tc>
          <w:tcPr>
            <w:tcW w:w="280" w:type="dxa"/>
            <w:vAlign w:val="bottom"/>
          </w:tcPr>
          <w:p>
            <w:pPr>
              <w:spacing w:after="0"/>
              <w:rPr>
                <w:sz w:val="20"/>
                <w:szCs w:val="20"/>
                <w:color w:val="auto"/>
              </w:rPr>
            </w:pPr>
          </w:p>
        </w:tc>
      </w:tr>
      <w:tr>
        <w:trPr>
          <w:trHeight w:val="245"/>
        </w:trPr>
        <w:tc>
          <w:tcPr>
            <w:tcW w:w="7420" w:type="dxa"/>
            <w:vAlign w:val="bottom"/>
            <w:gridSpan w:val="2"/>
          </w:tcPr>
          <w:p>
            <w:pPr>
              <w:ind w:left="480"/>
              <w:spacing w:after="0"/>
              <w:rPr>
                <w:sz w:val="20"/>
                <w:szCs w:val="20"/>
                <w:color w:val="auto"/>
              </w:rPr>
            </w:pPr>
            <w:r>
              <w:rPr>
                <w:rFonts w:ascii="Arial" w:cs="Arial" w:eastAsia="Arial" w:hAnsi="Arial"/>
                <w:sz w:val="15"/>
                <w:szCs w:val="15"/>
                <w:color w:val="auto"/>
              </w:rPr>
              <w:t>Southeast</w:t>
            </w: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524</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509</w:t>
            </w:r>
          </w:p>
        </w:tc>
        <w:tc>
          <w:tcPr>
            <w:tcW w:w="280" w:type="dxa"/>
            <w:vAlign w:val="bottom"/>
          </w:tcPr>
          <w:p>
            <w:pPr>
              <w:spacing w:after="0"/>
              <w:rPr>
                <w:sz w:val="21"/>
                <w:szCs w:val="21"/>
                <w:color w:val="auto"/>
              </w:rPr>
            </w:pPr>
          </w:p>
        </w:tc>
      </w:tr>
      <w:tr>
        <w:trPr>
          <w:trHeight w:val="232"/>
        </w:trPr>
        <w:tc>
          <w:tcPr>
            <w:tcW w:w="7420" w:type="dxa"/>
            <w:vAlign w:val="bottom"/>
            <w:gridSpan w:val="2"/>
          </w:tcPr>
          <w:p>
            <w:pPr>
              <w:ind w:left="480"/>
              <w:spacing w:after="0"/>
              <w:rPr>
                <w:sz w:val="20"/>
                <w:szCs w:val="20"/>
                <w:color w:val="auto"/>
              </w:rPr>
            </w:pPr>
            <w:r>
              <w:rPr>
                <w:rFonts w:ascii="Arial" w:cs="Arial" w:eastAsia="Arial" w:hAnsi="Arial"/>
                <w:sz w:val="15"/>
                <w:szCs w:val="15"/>
                <w:color w:val="auto"/>
              </w:rPr>
              <w:t>Southwest</w:t>
            </w: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400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351</w:t>
            </w:r>
          </w:p>
        </w:tc>
        <w:tc>
          <w:tcPr>
            <w:tcW w:w="280" w:type="dxa"/>
            <w:vAlign w:val="bottom"/>
          </w:tcPr>
          <w:p>
            <w:pPr>
              <w:spacing w:after="0"/>
              <w:rPr>
                <w:sz w:val="20"/>
                <w:szCs w:val="20"/>
                <w:color w:val="auto"/>
              </w:rPr>
            </w:pPr>
          </w:p>
        </w:tc>
      </w:tr>
      <w:tr>
        <w:trPr>
          <w:trHeight w:val="226"/>
        </w:trPr>
        <w:tc>
          <w:tcPr>
            <w:tcW w:w="7280" w:type="dxa"/>
            <w:vAlign w:val="bottom"/>
            <w:tcBorders>
              <w:bottom w:val="single" w:sz="8" w:color="2C6937"/>
            </w:tcBorders>
          </w:tcPr>
          <w:p>
            <w:pPr>
              <w:ind w:left="480"/>
              <w:spacing w:after="0"/>
              <w:rPr>
                <w:sz w:val="20"/>
                <w:szCs w:val="20"/>
                <w:color w:val="auto"/>
              </w:rPr>
            </w:pPr>
            <w:r>
              <w:rPr>
                <w:rFonts w:ascii="Arial" w:cs="Arial" w:eastAsia="Arial" w:hAnsi="Arial"/>
                <w:sz w:val="15"/>
                <w:szCs w:val="15"/>
                <w:color w:val="auto"/>
              </w:rPr>
              <w:t>West</w:t>
            </w:r>
          </w:p>
        </w:tc>
        <w:tc>
          <w:tcPr>
            <w:tcW w:w="140" w:type="dxa"/>
            <w:vAlign w:val="bottom"/>
          </w:tcPr>
          <w:p>
            <w:pPr>
              <w:spacing w:after="0"/>
              <w:rPr>
                <w:sz w:val="19"/>
                <w:szCs w:val="19"/>
                <w:color w:val="auto"/>
              </w:rPr>
            </w:pPr>
          </w:p>
        </w:tc>
        <w:tc>
          <w:tcPr>
            <w:tcW w:w="440" w:type="dxa"/>
            <w:vAlign w:val="bottom"/>
            <w:tcBorders>
              <w:bottom w:val="single" w:sz="8" w:color="2C6937"/>
            </w:tcBorders>
          </w:tcPr>
          <w:p>
            <w:pPr>
              <w:spacing w:after="0"/>
              <w:rPr>
                <w:sz w:val="19"/>
                <w:szCs w:val="19"/>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2C6937"/>
            </w:tcBorders>
          </w:tcPr>
          <w:p>
            <w:pPr>
              <w:spacing w:after="0"/>
              <w:rPr>
                <w:sz w:val="19"/>
                <w:szCs w:val="19"/>
                <w:color w:val="auto"/>
              </w:rPr>
            </w:pPr>
          </w:p>
        </w:tc>
        <w:tc>
          <w:tcPr>
            <w:tcW w:w="11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112</w:t>
            </w:r>
          </w:p>
        </w:tc>
        <w:tc>
          <w:tcPr>
            <w:tcW w:w="280" w:type="dxa"/>
            <w:vAlign w:val="bottom"/>
          </w:tcPr>
          <w:p>
            <w:pPr>
              <w:spacing w:after="0"/>
              <w:rPr>
                <w:sz w:val="19"/>
                <w:szCs w:val="19"/>
                <w:color w:val="auto"/>
              </w:rPr>
            </w:pPr>
          </w:p>
        </w:tc>
      </w:tr>
      <w:tr>
        <w:trPr>
          <w:trHeight w:val="255"/>
        </w:trPr>
        <w:tc>
          <w:tcPr>
            <w:tcW w:w="7420" w:type="dxa"/>
            <w:vAlign w:val="bottom"/>
            <w:gridSpan w:val="2"/>
          </w:tcPr>
          <w:p>
            <w:pPr>
              <w:ind w:left="320"/>
              <w:spacing w:after="0"/>
              <w:rPr>
                <w:sz w:val="20"/>
                <w:szCs w:val="20"/>
                <w:color w:val="auto"/>
              </w:rPr>
            </w:pPr>
            <w:r>
              <w:rPr>
                <w:rFonts w:ascii="Arial" w:cs="Arial" w:eastAsia="Arial" w:hAnsi="Arial"/>
                <w:sz w:val="15"/>
                <w:szCs w:val="15"/>
                <w:color w:val="auto"/>
              </w:rPr>
              <w:t>Total REO acquisitions</w:t>
            </w:r>
            <w:r>
              <w:rPr>
                <w:rFonts w:ascii="Arial" w:cs="Arial" w:eastAsia="Arial" w:hAnsi="Arial"/>
                <w:sz w:val="20"/>
                <w:szCs w:val="20"/>
                <w:color w:val="auto"/>
                <w:vertAlign w:val="superscript"/>
              </w:rPr>
              <w:t>(1)</w:t>
            </w:r>
          </w:p>
        </w:tc>
        <w:tc>
          <w:tcPr>
            <w:tcW w:w="4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2,217</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2,282</w:t>
            </w:r>
          </w:p>
        </w:tc>
        <w:tc>
          <w:tcPr>
            <w:tcW w:w="280" w:type="dxa"/>
            <w:vAlign w:val="bottom"/>
          </w:tcPr>
          <w:p>
            <w:pPr>
              <w:spacing w:after="0"/>
              <w:rPr>
                <w:sz w:val="22"/>
                <w:szCs w:val="22"/>
                <w:color w:val="auto"/>
              </w:rPr>
            </w:pPr>
          </w:p>
        </w:tc>
      </w:tr>
      <w:tr>
        <w:trPr>
          <w:trHeight w:val="214"/>
        </w:trPr>
        <w:tc>
          <w:tcPr>
            <w:tcW w:w="728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Dispositions of REO</w:t>
            </w:r>
          </w:p>
        </w:tc>
        <w:tc>
          <w:tcPr>
            <w:tcW w:w="140" w:type="dxa"/>
            <w:vAlign w:val="bottom"/>
          </w:tcPr>
          <w:p>
            <w:pPr>
              <w:spacing w:after="0"/>
              <w:rPr>
                <w:sz w:val="18"/>
                <w:szCs w:val="18"/>
                <w:color w:val="auto"/>
              </w:rPr>
            </w:pPr>
          </w:p>
        </w:tc>
        <w:tc>
          <w:tcPr>
            <w:tcW w:w="440" w:type="dxa"/>
            <w:vAlign w:val="bottom"/>
            <w:tcBorders>
              <w:bottom w:val="single" w:sz="8" w:color="2C6937"/>
            </w:tcBorders>
          </w:tcPr>
          <w:p>
            <w:pPr>
              <w:spacing w:after="0"/>
              <w:rPr>
                <w:sz w:val="18"/>
                <w:szCs w:val="18"/>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(2,381)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2C6937"/>
            </w:tcBorders>
          </w:tcPr>
          <w:p>
            <w:pPr>
              <w:spacing w:after="0"/>
              <w:rPr>
                <w:sz w:val="18"/>
                <w:szCs w:val="18"/>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(1,811)</w:t>
            </w:r>
          </w:p>
        </w:tc>
        <w:tc>
          <w:tcPr>
            <w:tcW w:w="280" w:type="dxa"/>
            <w:vAlign w:val="bottom"/>
          </w:tcPr>
          <w:p>
            <w:pPr>
              <w:spacing w:after="0"/>
              <w:rPr>
                <w:sz w:val="18"/>
                <w:szCs w:val="18"/>
                <w:color w:val="auto"/>
              </w:rPr>
            </w:pPr>
          </w:p>
        </w:tc>
      </w:tr>
      <w:tr>
        <w:trPr>
          <w:trHeight w:val="238"/>
        </w:trPr>
        <w:tc>
          <w:tcPr>
            <w:tcW w:w="728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End of period inventory of single-family REO properties</w:t>
            </w:r>
            <w:r>
              <w:rPr>
                <w:rFonts w:ascii="Arial" w:cs="Arial" w:eastAsia="Arial" w:hAnsi="Arial"/>
                <w:sz w:val="20"/>
                <w:szCs w:val="20"/>
                <w:color w:val="auto"/>
                <w:vertAlign w:val="superscript"/>
              </w:rPr>
              <w:t>(1)</w:t>
            </w:r>
          </w:p>
        </w:tc>
        <w:tc>
          <w:tcPr>
            <w:tcW w:w="14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8,615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7,637</w:t>
            </w:r>
          </w:p>
        </w:tc>
        <w:tc>
          <w:tcPr>
            <w:tcW w:w="280" w:type="dxa"/>
            <w:vAlign w:val="bottom"/>
          </w:tcPr>
          <w:p>
            <w:pPr>
              <w:spacing w:after="0"/>
              <w:rPr>
                <w:sz w:val="20"/>
                <w:szCs w:val="20"/>
                <w:color w:val="auto"/>
              </w:rPr>
            </w:pPr>
          </w:p>
        </w:tc>
      </w:tr>
      <w:tr>
        <w:trPr>
          <w:trHeight w:val="20"/>
        </w:trPr>
        <w:tc>
          <w:tcPr>
            <w:tcW w:w="7280" w:type="dxa"/>
            <w:vAlign w:val="bottom"/>
            <w:tcBorders>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2C6937"/>
            </w:tcBorders>
          </w:tcPr>
          <w:p>
            <w:pPr>
              <w:spacing w:after="0" w:line="20" w:lineRule="exact"/>
              <w:rPr>
                <w:sz w:val="1"/>
                <w:szCs w:val="1"/>
                <w:color w:val="auto"/>
              </w:rPr>
            </w:pPr>
          </w:p>
        </w:tc>
        <w:tc>
          <w:tcPr>
            <w:tcW w:w="1120" w:type="dxa"/>
            <w:vAlign w:val="bottom"/>
            <w:tcBorders>
              <w:bottom w:val="single" w:sz="8" w:color="2C6937"/>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tcBorders>
              <w:bottom w:val="single" w:sz="8" w:color="2C6937"/>
            </w:tcBorders>
          </w:tcPr>
          <w:p>
            <w:pPr>
              <w:spacing w:after="0" w:line="20" w:lineRule="exact"/>
              <w:rPr>
                <w:sz w:val="1"/>
                <w:szCs w:val="1"/>
                <w:color w:val="auto"/>
              </w:rPr>
            </w:pPr>
          </w:p>
        </w:tc>
        <w:tc>
          <w:tcPr>
            <w:tcW w:w="1120" w:type="dxa"/>
            <w:vAlign w:val="bottom"/>
            <w:tcBorders>
              <w:bottom w:val="single" w:sz="8" w:color="2C6937"/>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30"/>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Carrying value of single-family REO properties (dollars in millions)</w:t>
            </w:r>
          </w:p>
        </w:tc>
        <w:tc>
          <w:tcPr>
            <w:tcW w:w="440" w:type="dxa"/>
            <w:vAlign w:val="bottom"/>
          </w:tcPr>
          <w:p>
            <w:pPr>
              <w:jc w:val="right"/>
              <w:ind w:right="263"/>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1,332</w:t>
            </w:r>
          </w:p>
        </w:tc>
        <w:tc>
          <w:tcPr>
            <w:tcW w:w="860" w:type="dxa"/>
            <w:vAlign w:val="bottom"/>
            <w:gridSpan w:val="3"/>
          </w:tcPr>
          <w:p>
            <w:pPr>
              <w:jc w:val="right"/>
              <w:ind w:right="340"/>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1,137</w:t>
            </w:r>
          </w:p>
        </w:tc>
        <w:tc>
          <w:tcPr>
            <w:tcW w:w="280" w:type="dxa"/>
            <w:vAlign w:val="bottom"/>
          </w:tcPr>
          <w:p>
            <w:pPr>
              <w:spacing w:after="0"/>
              <w:rPr>
                <w:sz w:val="20"/>
                <w:szCs w:val="20"/>
                <w:color w:val="auto"/>
              </w:rPr>
            </w:pPr>
          </w:p>
        </w:tc>
      </w:tr>
      <w:tr>
        <w:trPr>
          <w:trHeight w:val="243"/>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Single-family foreclosure rate</w:t>
            </w:r>
            <w:r>
              <w:rPr>
                <w:rFonts w:ascii="Arial" w:cs="Arial" w:eastAsia="Arial" w:hAnsi="Arial"/>
                <w:sz w:val="20"/>
                <w:szCs w:val="20"/>
                <w:color w:val="auto"/>
                <w:vertAlign w:val="superscript"/>
              </w:rPr>
              <w:t>(3)</w:t>
            </w: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0.03</w:t>
            </w:r>
          </w:p>
        </w:tc>
        <w:tc>
          <w:tcPr>
            <w:tcW w:w="3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0.03</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45"/>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REO net sales price to unpaid principal balance</w:t>
            </w:r>
            <w:r>
              <w:rPr>
                <w:rFonts w:ascii="Arial" w:cs="Arial" w:eastAsia="Arial" w:hAnsi="Arial"/>
                <w:sz w:val="20"/>
                <w:szCs w:val="20"/>
                <w:color w:val="auto"/>
                <w:vertAlign w:val="superscript"/>
              </w:rPr>
              <w:t>(4)</w:t>
            </w: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126</w:t>
            </w:r>
          </w:p>
        </w:tc>
        <w:tc>
          <w:tcPr>
            <w:tcW w:w="3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117</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65"/>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Short sales net sales price to unpaid principal balance</w:t>
            </w:r>
            <w:r>
              <w:rPr>
                <w:rFonts w:ascii="Arial" w:cs="Arial" w:eastAsia="Arial" w:hAnsi="Arial"/>
                <w:sz w:val="20"/>
                <w:szCs w:val="20"/>
                <w:color w:val="auto"/>
                <w:vertAlign w:val="superscript"/>
              </w:rPr>
              <w:t>(5)</w:t>
            </w:r>
          </w:p>
        </w:tc>
        <w:tc>
          <w:tcPr>
            <w:tcW w:w="4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91</w:t>
            </w:r>
          </w:p>
        </w:tc>
        <w:tc>
          <w:tcPr>
            <w:tcW w:w="3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91</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40" w:lineRule="exact"/>
        <w:rPr>
          <w:sz w:val="20"/>
          <w:szCs w:val="20"/>
          <w:color w:val="auto"/>
        </w:rPr>
      </w:pPr>
    </w:p>
    <w:p>
      <w:pPr>
        <w:ind w:left="240" w:hanging="237"/>
        <w:spacing w:after="0"/>
        <w:tabs>
          <w:tab w:leader="none" w:pos="240"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Includes held-for-use properties, which are reported in our condensed consolidated balance sheets as a component of “Other assets.”</w:t>
      </w:r>
    </w:p>
    <w:p>
      <w:pPr>
        <w:spacing w:after="0" w:line="41" w:lineRule="exact"/>
        <w:rPr>
          <w:rFonts w:ascii="Arial" w:cs="Arial" w:eastAsia="Arial" w:hAnsi="Arial"/>
          <w:sz w:val="18"/>
          <w:szCs w:val="18"/>
          <w:color w:val="auto"/>
          <w:vertAlign w:val="superscript"/>
        </w:rPr>
      </w:pPr>
    </w:p>
    <w:p>
      <w:pPr>
        <w:ind w:left="240" w:hanging="237"/>
        <w:spacing w:after="0" w:line="201" w:lineRule="auto"/>
        <w:tabs>
          <w:tab w:leader="none" w:pos="240" w:val="left"/>
        </w:tabs>
        <w:numPr>
          <w:ilvl w:val="0"/>
          <w:numId w:val="43"/>
        </w:numPr>
        <w:rPr>
          <w:rFonts w:ascii="Arial" w:cs="Arial" w:eastAsia="Arial" w:hAnsi="Arial"/>
          <w:sz w:val="17"/>
          <w:szCs w:val="17"/>
          <w:color w:val="auto"/>
          <w:vertAlign w:val="superscript"/>
        </w:rPr>
      </w:pPr>
      <w:r>
        <w:rPr>
          <w:rFonts w:ascii="Arial" w:cs="Arial" w:eastAsia="Arial" w:hAnsi="Arial"/>
          <w:sz w:val="13"/>
          <w:szCs w:val="13"/>
          <w:color w:val="auto"/>
        </w:rPr>
        <w:t>See footnote 9 to the “Key Risk Characteristics of Single-Family Conventional Business Volume and Guaranty Book of Business” table for states included in each geographic region.</w:t>
      </w:r>
    </w:p>
    <w:p>
      <w:pPr>
        <w:spacing w:after="0" w:line="42" w:lineRule="exact"/>
        <w:rPr>
          <w:rFonts w:ascii="Arial" w:cs="Arial" w:eastAsia="Arial" w:hAnsi="Arial"/>
          <w:sz w:val="17"/>
          <w:szCs w:val="17"/>
          <w:color w:val="auto"/>
          <w:vertAlign w:val="superscript"/>
        </w:rPr>
      </w:pPr>
    </w:p>
    <w:p>
      <w:pPr>
        <w:ind w:left="240" w:right="60" w:hanging="237"/>
        <w:spacing w:after="0" w:line="208" w:lineRule="auto"/>
        <w:tabs>
          <w:tab w:leader="none" w:pos="240"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Estimated based on the annualized total number of properties acquired through foreclosure or deeds-in-lieu of foreclosure as a percentage of the total number of loans in our single-family conventional guaranty book of business as of the end of each period.</w:t>
      </w:r>
    </w:p>
    <w:p>
      <w:pPr>
        <w:spacing w:after="0" w:line="32" w:lineRule="exact"/>
        <w:rPr>
          <w:rFonts w:ascii="Arial" w:cs="Arial" w:eastAsia="Arial" w:hAnsi="Arial"/>
          <w:sz w:val="18"/>
          <w:szCs w:val="18"/>
          <w:color w:val="auto"/>
          <w:vertAlign w:val="superscript"/>
        </w:rPr>
      </w:pPr>
    </w:p>
    <w:p>
      <w:pPr>
        <w:ind w:left="240" w:right="160" w:hanging="237"/>
        <w:spacing w:after="0" w:line="231" w:lineRule="auto"/>
        <w:tabs>
          <w:tab w:leader="none" w:pos="240"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Calculated as the amount of sale proceeds received on disposition of REO properties during the respective periods, excluding those subject to repurchase requests made to our sellers or servicers, divided by the aggregate unpaid principal balance of the related loans at the time of foreclosure. Net sales price represents the contract sales price less selling costs for the property and other charges paid by the seller at closing, and excludes the costs associated with any property repairs or improvements.</w:t>
      </w:r>
    </w:p>
    <w:p>
      <w:pPr>
        <w:spacing w:after="0" w:line="32" w:lineRule="exact"/>
        <w:rPr>
          <w:rFonts w:ascii="Arial" w:cs="Arial" w:eastAsia="Arial" w:hAnsi="Arial"/>
          <w:sz w:val="18"/>
          <w:szCs w:val="18"/>
          <w:color w:val="auto"/>
          <w:vertAlign w:val="superscript"/>
        </w:rPr>
      </w:pPr>
    </w:p>
    <w:p>
      <w:pPr>
        <w:ind w:left="240" w:right="140" w:hanging="237"/>
        <w:spacing w:after="0" w:line="214" w:lineRule="auto"/>
        <w:tabs>
          <w:tab w:leader="none" w:pos="240"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Calculated as the amount of sale proceeds received on properties sold in short sale transactions during the respective periods divided by the aggregate unpaid principal balance of the related loans. Net sales price includes borrower relocation incentive payments and subordinate lien(s) negotiated payoffs.</w:t>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i w:val="1"/>
          <w:iCs w:val="1"/>
          <w:color w:val="05314D"/>
        </w:rPr>
        <w:t>Single-Family Credit Loss Performance Metrics and Loan Sale Performance</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single-family credit loss performance metrics and loan sale performance measures below present information about losses or gains we realized on our single-family loans during the periods presented. For the purposes of our single-family credit loss performance metrics, credit losses or gains represents write-offs net of recoveries and foreclosed property income or expense. The amount of these losses or gains in a given period is driven by foreclosures, pre-foreclosure sales, post-foreclosure REO activity, mortgage loan redesignations, and other events that trigger write-offs and recoveries. The single-family credit loss metrics we present are not defined terms and may not be calculated in the same manner as similarly titled measures reported by other companies. Management uses these measures to evaluate the effectiveness of our single-family credit risk management strategies in conjunction with leading indicators such as serious delinquency and forbearance rates, which are potential indicators of future realized single-family credit losses. We believe these measures provide useful information about our single-family credit performance and the factors that impact it.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36</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39" w:name="page40"/>
    <w:bookmarkEnd w:id="39"/>
    <w:p>
      <w:pPr>
        <w:ind w:left="608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360"/>
        <w:spacing w:after="0" w:line="267" w:lineRule="auto"/>
        <w:rPr>
          <w:sz w:val="20"/>
          <w:szCs w:val="20"/>
          <w:color w:val="auto"/>
        </w:rPr>
      </w:pPr>
      <w:r>
        <w:rPr>
          <w:rFonts w:ascii="Arial" w:cs="Arial" w:eastAsia="Arial" w:hAnsi="Arial"/>
          <w:sz w:val="16"/>
          <w:szCs w:val="16"/>
          <w:color w:val="auto"/>
        </w:rPr>
        <w:t>The table below displays the components of our single-family credit loss performance metrics. Because sales of nonperforming and reperforming loans have been a part of our credit loss mitigation strategy in recent periods, we also provide information in the table below on our loan sale performance through the “Gains (losses) on sales and other valuation adjustments” line item.</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Single-Family Credit Loss Performance Metrics and Loan Sale Performance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000" w:type="dxa"/>
            <w:vAlign w:val="bottom"/>
            <w:tcBorders>
              <w:top w:val="single" w:sz="8" w:color="2C6937"/>
            </w:tcBorders>
          </w:tcPr>
          <w:p>
            <w:pPr>
              <w:spacing w:after="0"/>
              <w:rPr>
                <w:sz w:val="14"/>
                <w:szCs w:val="14"/>
                <w:color w:val="auto"/>
              </w:rPr>
            </w:pPr>
          </w:p>
        </w:tc>
        <w:tc>
          <w:tcPr>
            <w:tcW w:w="80" w:type="dxa"/>
            <w:vAlign w:val="bottom"/>
            <w:tcBorders>
              <w:top w:val="single" w:sz="8" w:color="2C6937"/>
            </w:tcBorders>
          </w:tcPr>
          <w:p>
            <w:pPr>
              <w:spacing w:after="0"/>
              <w:rPr>
                <w:sz w:val="14"/>
                <w:szCs w:val="14"/>
                <w:color w:val="auto"/>
              </w:rPr>
            </w:pPr>
          </w:p>
        </w:tc>
        <w:tc>
          <w:tcPr>
            <w:tcW w:w="2540" w:type="dxa"/>
            <w:vAlign w:val="bottom"/>
            <w:tcBorders>
              <w:top w:val="single" w:sz="8" w:color="2C6937"/>
            </w:tcBorders>
            <w:gridSpan w:val="5"/>
          </w:tcPr>
          <w:p>
            <w:pPr>
              <w:jc w:val="right"/>
              <w:ind w:right="143"/>
              <w:spacing w:after="0" w:line="168" w:lineRule="exact"/>
              <w:rPr>
                <w:sz w:val="20"/>
                <w:szCs w:val="20"/>
                <w:color w:val="auto"/>
              </w:rPr>
            </w:pPr>
            <w:r>
              <w:rPr>
                <w:rFonts w:ascii="Arial" w:cs="Arial" w:eastAsia="Arial" w:hAnsi="Arial"/>
                <w:sz w:val="15"/>
                <w:szCs w:val="15"/>
                <w:b w:val="1"/>
                <w:bCs w:val="1"/>
                <w:color w:val="auto"/>
              </w:rPr>
              <w:t>For the Three Months Ended</w:t>
            </w:r>
          </w:p>
        </w:tc>
        <w:tc>
          <w:tcPr>
            <w:tcW w:w="100" w:type="dxa"/>
            <w:vAlign w:val="bottom"/>
            <w:tcBorders>
              <w:top w:val="single" w:sz="8" w:color="2C6937"/>
            </w:tcBorders>
          </w:tcPr>
          <w:p>
            <w:pPr>
              <w:spacing w:after="0"/>
              <w:rPr>
                <w:sz w:val="14"/>
                <w:szCs w:val="14"/>
                <w:color w:val="auto"/>
              </w:rPr>
            </w:pPr>
          </w:p>
        </w:tc>
        <w:tc>
          <w:tcPr>
            <w:tcW w:w="100" w:type="dxa"/>
            <w:vAlign w:val="bottom"/>
            <w:tcBorders>
              <w:top w:val="single" w:sz="8" w:color="2C6937"/>
            </w:tcBorders>
          </w:tcPr>
          <w:p>
            <w:pPr>
              <w:spacing w:after="0"/>
              <w:rPr>
                <w:sz w:val="14"/>
                <w:szCs w:val="14"/>
                <w:color w:val="auto"/>
              </w:rPr>
            </w:pPr>
          </w:p>
        </w:tc>
        <w:tc>
          <w:tcPr>
            <w:tcW w:w="2420" w:type="dxa"/>
            <w:vAlign w:val="bottom"/>
            <w:tcBorders>
              <w:top w:val="single" w:sz="8" w:color="2C6937"/>
            </w:tcBorders>
            <w:gridSpan w:val="4"/>
          </w:tcPr>
          <w:p>
            <w:pPr>
              <w:jc w:val="right"/>
              <w:ind w:right="23"/>
              <w:spacing w:after="0" w:line="168" w:lineRule="exact"/>
              <w:rPr>
                <w:sz w:val="20"/>
                <w:szCs w:val="20"/>
                <w:color w:val="auto"/>
              </w:rPr>
            </w:pPr>
            <w:r>
              <w:rPr>
                <w:rFonts w:ascii="Arial" w:cs="Arial" w:eastAsia="Arial" w:hAnsi="Arial"/>
                <w:sz w:val="15"/>
                <w:szCs w:val="15"/>
                <w:b w:val="1"/>
                <w:bCs w:val="1"/>
                <w:color w:val="auto"/>
              </w:rPr>
              <w:t>For the Six Months Ended June</w:t>
            </w:r>
          </w:p>
        </w:tc>
      </w:tr>
      <w:tr>
        <w:trPr>
          <w:trHeight w:val="206"/>
        </w:trPr>
        <w:tc>
          <w:tcPr>
            <w:tcW w:w="6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bottom w:val="single" w:sz="8" w:color="2C6937"/>
            </w:tcBorders>
          </w:tcPr>
          <w:p>
            <w:pPr>
              <w:spacing w:after="0"/>
              <w:rPr>
                <w:sz w:val="17"/>
                <w:szCs w:val="17"/>
                <w:color w:val="auto"/>
              </w:rPr>
            </w:pPr>
          </w:p>
        </w:tc>
        <w:tc>
          <w:tcPr>
            <w:tcW w:w="840" w:type="dxa"/>
            <w:vAlign w:val="bottom"/>
            <w:tcBorders>
              <w:bottom w:val="single" w:sz="8" w:color="2C6937"/>
            </w:tcBorders>
            <w:gridSpan w:val="3"/>
          </w:tcPr>
          <w:p>
            <w:pPr>
              <w:jc w:val="right"/>
              <w:ind w:right="23"/>
              <w:spacing w:after="0"/>
              <w:rPr>
                <w:sz w:val="20"/>
                <w:szCs w:val="20"/>
                <w:color w:val="auto"/>
              </w:rPr>
            </w:pPr>
            <w:r>
              <w:rPr>
                <w:rFonts w:ascii="Arial" w:cs="Arial" w:eastAsia="Arial" w:hAnsi="Arial"/>
                <w:sz w:val="15"/>
                <w:szCs w:val="15"/>
                <w:b w:val="1"/>
                <w:bCs w:val="1"/>
                <w:color w:val="auto"/>
              </w:rPr>
              <w:t>June 30,</w:t>
            </w:r>
          </w:p>
        </w:tc>
        <w:tc>
          <w:tcPr>
            <w:tcW w:w="86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480" w:type="dxa"/>
            <w:vAlign w:val="bottom"/>
            <w:tcBorders>
              <w:bottom w:val="single" w:sz="8" w:color="2C6937"/>
            </w:tcBorders>
            <w:gridSpan w:val="3"/>
          </w:tcPr>
          <w:p>
            <w:pPr>
              <w:jc w:val="right"/>
              <w:ind w:right="143"/>
              <w:spacing w:after="0"/>
              <w:rPr>
                <w:sz w:val="20"/>
                <w:szCs w:val="20"/>
                <w:color w:val="auto"/>
              </w:rPr>
            </w:pPr>
            <w:r>
              <w:rPr>
                <w:rFonts w:ascii="Arial" w:cs="Arial" w:eastAsia="Arial" w:hAnsi="Arial"/>
                <w:sz w:val="15"/>
                <w:szCs w:val="15"/>
                <w:b w:val="1"/>
                <w:bCs w:val="1"/>
                <w:color w:val="auto"/>
              </w:rPr>
              <w:t>30,</w:t>
            </w:r>
          </w:p>
        </w:tc>
        <w:tc>
          <w:tcPr>
            <w:tcW w:w="940" w:type="dxa"/>
            <w:vAlign w:val="bottom"/>
            <w:tcBorders>
              <w:bottom w:val="single" w:sz="8" w:color="2C6937"/>
            </w:tcBorders>
          </w:tcPr>
          <w:p>
            <w:pPr>
              <w:spacing w:after="0"/>
              <w:rPr>
                <w:sz w:val="17"/>
                <w:szCs w:val="17"/>
                <w:color w:val="auto"/>
              </w:rPr>
            </w:pPr>
          </w:p>
        </w:tc>
      </w:tr>
      <w:tr>
        <w:trPr>
          <w:trHeight w:val="199"/>
        </w:trPr>
        <w:tc>
          <w:tcPr>
            <w:tcW w:w="6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2023</w:t>
            </w:r>
          </w:p>
        </w:tc>
        <w:tc>
          <w:tcPr>
            <w:tcW w:w="38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36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jc w:val="right"/>
              <w:ind w:right="363"/>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100" w:type="dxa"/>
            <w:vAlign w:val="bottom"/>
            <w:tcBorders>
              <w:bottom w:val="single" w:sz="8" w:color="2C6937"/>
            </w:tcBorders>
          </w:tcPr>
          <w:p>
            <w:pPr>
              <w:jc w:val="right"/>
              <w:ind w:right="343"/>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2C6937"/>
            </w:tcBorders>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tcPr>
          <w:p>
            <w:pPr>
              <w:jc w:val="right"/>
              <w:ind w:right="363"/>
              <w:spacing w:after="0"/>
              <w:rPr>
                <w:sz w:val="20"/>
                <w:szCs w:val="20"/>
                <w:color w:val="auto"/>
              </w:rPr>
            </w:pPr>
            <w:r>
              <w:rPr>
                <w:rFonts w:ascii="Arial" w:cs="Arial" w:eastAsia="Arial" w:hAnsi="Arial"/>
                <w:sz w:val="15"/>
                <w:szCs w:val="15"/>
                <w:b w:val="1"/>
                <w:bCs w:val="1"/>
                <w:color w:val="auto"/>
              </w:rPr>
              <w:t>2022</w:t>
            </w:r>
          </w:p>
        </w:tc>
      </w:tr>
      <w:tr>
        <w:trPr>
          <w:trHeight w:val="296"/>
        </w:trPr>
        <w:tc>
          <w:tcPr>
            <w:tcW w:w="6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gridSpan w:val="4"/>
          </w:tcPr>
          <w:p>
            <w:pPr>
              <w:jc w:val="right"/>
              <w:ind w:right="463"/>
              <w:spacing w:after="0"/>
              <w:rPr>
                <w:sz w:val="20"/>
                <w:szCs w:val="20"/>
                <w:color w:val="auto"/>
              </w:rPr>
            </w:pPr>
            <w:r>
              <w:rPr>
                <w:rFonts w:ascii="Arial" w:cs="Arial" w:eastAsia="Arial" w:hAnsi="Arial"/>
                <w:sz w:val="15"/>
                <w:szCs w:val="15"/>
                <w:b w:val="1"/>
                <w:bCs w:val="1"/>
                <w:color w:val="auto"/>
              </w:rPr>
              <w:t>(Dollars in millions)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5"/>
        </w:trPr>
        <w:tc>
          <w:tcPr>
            <w:tcW w:w="6080" w:type="dxa"/>
            <w:vAlign w:val="bottom"/>
            <w:gridSpan w:val="2"/>
          </w:tcPr>
          <w:p>
            <w:pPr>
              <w:ind w:left="20"/>
              <w:spacing w:after="0"/>
              <w:rPr>
                <w:sz w:val="20"/>
                <w:szCs w:val="20"/>
                <w:color w:val="auto"/>
              </w:rPr>
            </w:pPr>
            <w:r>
              <w:rPr>
                <w:rFonts w:ascii="Arial" w:cs="Arial" w:eastAsia="Arial" w:hAnsi="Arial"/>
                <w:sz w:val="15"/>
                <w:szCs w:val="15"/>
                <w:color w:val="auto"/>
              </w:rPr>
              <w:t>Write-offs</w:t>
            </w:r>
          </w:p>
        </w:tc>
        <w:tc>
          <w:tcPr>
            <w:tcW w:w="840" w:type="dxa"/>
            <w:vAlign w:val="bottom"/>
          </w:tcPr>
          <w:p>
            <w:pPr>
              <w:jc w:val="right"/>
              <w:ind w:right="643"/>
              <w:spacing w:after="0"/>
              <w:rPr>
                <w:sz w:val="20"/>
                <w:szCs w:val="20"/>
                <w:color w:val="auto"/>
              </w:rPr>
            </w:pPr>
            <w:r>
              <w:rPr>
                <w:rFonts w:ascii="Arial" w:cs="Arial" w:eastAsia="Arial" w:hAnsi="Arial"/>
                <w:sz w:val="15"/>
                <w:szCs w:val="15"/>
                <w:b w:val="1"/>
                <w:bCs w:val="1"/>
                <w:color w:val="auto"/>
              </w:rPr>
              <w:t>$</w:t>
            </w:r>
          </w:p>
        </w:tc>
        <w:tc>
          <w:tcPr>
            <w:tcW w:w="380" w:type="dxa"/>
            <w:vAlign w:val="bottom"/>
          </w:tcPr>
          <w:p>
            <w:pPr>
              <w:jc w:val="right"/>
              <w:spacing w:after="0"/>
              <w:rPr>
                <w:sz w:val="20"/>
                <w:szCs w:val="20"/>
                <w:color w:val="auto"/>
              </w:rPr>
            </w:pPr>
            <w:r>
              <w:rPr>
                <w:rFonts w:ascii="Arial" w:cs="Arial" w:eastAsia="Arial" w:hAnsi="Arial"/>
                <w:sz w:val="15"/>
                <w:szCs w:val="15"/>
                <w:b w:val="1"/>
                <w:bCs w:val="1"/>
                <w:color w:val="auto"/>
              </w:rPr>
              <w:t>(55)</w:t>
            </w:r>
          </w:p>
        </w:tc>
        <w:tc>
          <w:tcPr>
            <w:tcW w:w="460" w:type="dxa"/>
            <w:vAlign w:val="bottom"/>
            <w:gridSpan w:val="2"/>
          </w:tcPr>
          <w:p>
            <w:pPr>
              <w:jc w:val="right"/>
              <w:ind w:right="183"/>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(40)</w:t>
            </w:r>
          </w:p>
        </w:tc>
        <w:tc>
          <w:tcPr>
            <w:tcW w:w="20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(99)</w:t>
            </w:r>
          </w:p>
        </w:tc>
        <w:tc>
          <w:tcPr>
            <w:tcW w:w="380" w:type="dxa"/>
            <w:vAlign w:val="bottom"/>
            <w:gridSpan w:val="2"/>
          </w:tcPr>
          <w:p>
            <w:pPr>
              <w:jc w:val="right"/>
              <w:ind w:right="103"/>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(56)</w:t>
            </w:r>
          </w:p>
        </w:tc>
      </w:tr>
      <w:tr>
        <w:trPr>
          <w:trHeight w:val="300"/>
        </w:trPr>
        <w:tc>
          <w:tcPr>
            <w:tcW w:w="6080" w:type="dxa"/>
            <w:vAlign w:val="bottom"/>
            <w:gridSpan w:val="2"/>
          </w:tcPr>
          <w:p>
            <w:pPr>
              <w:ind w:left="20"/>
              <w:spacing w:after="0"/>
              <w:rPr>
                <w:sz w:val="20"/>
                <w:szCs w:val="20"/>
                <w:color w:val="auto"/>
              </w:rPr>
            </w:pPr>
            <w:r>
              <w:rPr>
                <w:rFonts w:ascii="Arial" w:cs="Arial" w:eastAsia="Arial" w:hAnsi="Arial"/>
                <w:sz w:val="15"/>
                <w:szCs w:val="15"/>
                <w:color w:val="auto"/>
              </w:rPr>
              <w:t>Recoveries</w:t>
            </w:r>
          </w:p>
        </w:tc>
        <w:tc>
          <w:tcPr>
            <w:tcW w:w="8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5"/>
                <w:szCs w:val="15"/>
                <w:b w:val="1"/>
                <w:bCs w:val="1"/>
                <w:color w:val="auto"/>
              </w:rPr>
              <w:t>29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107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124</w:t>
            </w:r>
          </w:p>
        </w:tc>
      </w:tr>
      <w:tr>
        <w:trPr>
          <w:trHeight w:val="210"/>
        </w:trPr>
        <w:tc>
          <w:tcPr>
            <w:tcW w:w="60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Foreclosed property income (expense)</w:t>
            </w:r>
          </w:p>
        </w:tc>
        <w:tc>
          <w:tcPr>
            <w:tcW w:w="80" w:type="dxa"/>
            <w:vAlign w:val="bottom"/>
          </w:tcPr>
          <w:p>
            <w:pPr>
              <w:spacing w:after="0"/>
              <w:rPr>
                <w:sz w:val="18"/>
                <w:szCs w:val="18"/>
                <w:color w:val="auto"/>
              </w:rPr>
            </w:pPr>
          </w:p>
        </w:tc>
        <w:tc>
          <w:tcPr>
            <w:tcW w:w="840" w:type="dxa"/>
            <w:vAlign w:val="bottom"/>
            <w:tcBorders>
              <w:bottom w:val="single" w:sz="8" w:color="2C6937"/>
            </w:tcBorders>
          </w:tcPr>
          <w:p>
            <w:pPr>
              <w:spacing w:after="0"/>
              <w:rPr>
                <w:sz w:val="18"/>
                <w:szCs w:val="18"/>
                <w:color w:val="auto"/>
              </w:rPr>
            </w:pPr>
          </w:p>
        </w:tc>
        <w:tc>
          <w:tcPr>
            <w:tcW w:w="3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(22)</w:t>
            </w:r>
          </w:p>
        </w:tc>
        <w:tc>
          <w:tcPr>
            <w:tcW w:w="100" w:type="dxa"/>
            <w:vAlign w:val="bottom"/>
          </w:tcPr>
          <w:p>
            <w:pPr>
              <w:spacing w:after="0"/>
              <w:rPr>
                <w:sz w:val="18"/>
                <w:szCs w:val="18"/>
                <w:color w:val="auto"/>
              </w:rPr>
            </w:pPr>
          </w:p>
        </w:tc>
        <w:tc>
          <w:tcPr>
            <w:tcW w:w="36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(33)</w:t>
            </w:r>
          </w:p>
        </w:tc>
        <w:tc>
          <w:tcPr>
            <w:tcW w:w="10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w:t>
            </w:r>
          </w:p>
        </w:tc>
      </w:tr>
      <w:tr>
        <w:trPr>
          <w:trHeight w:val="322"/>
        </w:trPr>
        <w:tc>
          <w:tcPr>
            <w:tcW w:w="6080" w:type="dxa"/>
            <w:vAlign w:val="bottom"/>
            <w:gridSpan w:val="2"/>
          </w:tcPr>
          <w:p>
            <w:pPr>
              <w:ind w:left="180"/>
              <w:spacing w:after="0"/>
              <w:rPr>
                <w:sz w:val="20"/>
                <w:szCs w:val="20"/>
                <w:color w:val="auto"/>
              </w:rPr>
            </w:pPr>
            <w:r>
              <w:rPr>
                <w:rFonts w:ascii="Arial" w:cs="Arial" w:eastAsia="Arial" w:hAnsi="Arial"/>
                <w:sz w:val="15"/>
                <w:szCs w:val="15"/>
                <w:color w:val="auto"/>
              </w:rPr>
              <w:t>Credit gains (losses)</w:t>
            </w:r>
          </w:p>
        </w:tc>
        <w:tc>
          <w:tcPr>
            <w:tcW w:w="8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5"/>
                <w:szCs w:val="15"/>
                <w:b w:val="1"/>
                <w:bCs w:val="1"/>
                <w:color w:val="auto"/>
              </w:rPr>
              <w:t>(48)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(25)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77</w:t>
            </w:r>
          </w:p>
        </w:tc>
      </w:tr>
      <w:tr>
        <w:trPr>
          <w:trHeight w:val="303"/>
        </w:trPr>
        <w:tc>
          <w:tcPr>
            <w:tcW w:w="60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Write-offs on the redesignation of mortgage loans from HFI to HFS</w:t>
            </w:r>
            <w:r>
              <w:rPr>
                <w:rFonts w:ascii="Arial" w:cs="Arial" w:eastAsia="Arial" w:hAnsi="Arial"/>
                <w:sz w:val="20"/>
                <w:szCs w:val="20"/>
                <w:color w:val="auto"/>
                <w:vertAlign w:val="superscript"/>
              </w:rPr>
              <w:t>(1)</w:t>
            </w:r>
          </w:p>
        </w:tc>
        <w:tc>
          <w:tcPr>
            <w:tcW w:w="80" w:type="dxa"/>
            <w:vAlign w:val="bottom"/>
          </w:tcPr>
          <w:p>
            <w:pPr>
              <w:spacing w:after="0"/>
              <w:rPr>
                <w:sz w:val="24"/>
                <w:szCs w:val="24"/>
                <w:color w:val="auto"/>
              </w:rPr>
            </w:pPr>
          </w:p>
        </w:tc>
        <w:tc>
          <w:tcPr>
            <w:tcW w:w="840" w:type="dxa"/>
            <w:vAlign w:val="bottom"/>
            <w:tcBorders>
              <w:bottom w:val="single" w:sz="8" w:color="2C6937"/>
            </w:tcBorders>
          </w:tcPr>
          <w:p>
            <w:pPr>
              <w:spacing w:after="0"/>
              <w:rPr>
                <w:sz w:val="24"/>
                <w:szCs w:val="24"/>
                <w:color w:val="auto"/>
              </w:rPr>
            </w:pPr>
          </w:p>
        </w:tc>
        <w:tc>
          <w:tcPr>
            <w:tcW w:w="3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4"/>
                <w:szCs w:val="24"/>
                <w:color w:val="auto"/>
              </w:rPr>
            </w:pPr>
          </w:p>
        </w:tc>
        <w:tc>
          <w:tcPr>
            <w:tcW w:w="360" w:type="dxa"/>
            <w:vAlign w:val="bottom"/>
            <w:tcBorders>
              <w:bottom w:val="single" w:sz="8" w:color="2C6937"/>
            </w:tcBorders>
          </w:tcPr>
          <w:p>
            <w:pPr>
              <w:spacing w:after="0"/>
              <w:rPr>
                <w:sz w:val="24"/>
                <w:szCs w:val="24"/>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(209)</w:t>
            </w:r>
          </w:p>
        </w:tc>
        <w:tc>
          <w:tcPr>
            <w:tcW w:w="100" w:type="dxa"/>
            <w:vAlign w:val="bottom"/>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(222)</w:t>
            </w:r>
          </w:p>
        </w:tc>
      </w:tr>
      <w:tr>
        <w:trPr>
          <w:trHeight w:val="244"/>
        </w:trPr>
        <w:tc>
          <w:tcPr>
            <w:tcW w:w="6080" w:type="dxa"/>
            <w:vAlign w:val="bottom"/>
            <w:gridSpan w:val="2"/>
          </w:tcPr>
          <w:p>
            <w:pPr>
              <w:ind w:left="180"/>
              <w:spacing w:after="0"/>
              <w:rPr>
                <w:sz w:val="20"/>
                <w:szCs w:val="20"/>
                <w:color w:val="auto"/>
              </w:rPr>
            </w:pPr>
            <w:r>
              <w:rPr>
                <w:rFonts w:ascii="Arial" w:cs="Arial" w:eastAsia="Arial" w:hAnsi="Arial"/>
                <w:sz w:val="15"/>
                <w:szCs w:val="15"/>
                <w:color w:val="auto"/>
              </w:rPr>
              <w:t>Net credit gains (losses) and write-offs on redesignations</w:t>
            </w:r>
          </w:p>
        </w:tc>
        <w:tc>
          <w:tcPr>
            <w:tcW w:w="8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5"/>
                <w:szCs w:val="15"/>
                <w:b w:val="1"/>
                <w:bCs w:val="1"/>
                <w:color w:val="auto"/>
              </w:rPr>
              <w:t>(48)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(186)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(145)</w:t>
            </w:r>
          </w:p>
        </w:tc>
      </w:tr>
      <w:tr>
        <w:trPr>
          <w:trHeight w:val="303"/>
        </w:trPr>
        <w:tc>
          <w:tcPr>
            <w:tcW w:w="60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Gains (losses) on sales and other valuation adjustments</w:t>
            </w:r>
            <w:r>
              <w:rPr>
                <w:rFonts w:ascii="Arial" w:cs="Arial" w:eastAsia="Arial" w:hAnsi="Arial"/>
                <w:sz w:val="20"/>
                <w:szCs w:val="20"/>
                <w:color w:val="auto"/>
                <w:vertAlign w:val="superscript"/>
              </w:rPr>
              <w:t>(2)</w:t>
            </w:r>
          </w:p>
        </w:tc>
        <w:tc>
          <w:tcPr>
            <w:tcW w:w="80" w:type="dxa"/>
            <w:vAlign w:val="bottom"/>
          </w:tcPr>
          <w:p>
            <w:pPr>
              <w:spacing w:after="0"/>
              <w:rPr>
                <w:sz w:val="24"/>
                <w:szCs w:val="24"/>
                <w:color w:val="auto"/>
              </w:rPr>
            </w:pPr>
          </w:p>
        </w:tc>
        <w:tc>
          <w:tcPr>
            <w:tcW w:w="840" w:type="dxa"/>
            <w:vAlign w:val="bottom"/>
            <w:tcBorders>
              <w:bottom w:val="single" w:sz="8" w:color="2C6937"/>
            </w:tcBorders>
          </w:tcPr>
          <w:p>
            <w:pPr>
              <w:spacing w:after="0"/>
              <w:rPr>
                <w:sz w:val="24"/>
                <w:szCs w:val="24"/>
                <w:color w:val="auto"/>
              </w:rPr>
            </w:pPr>
          </w:p>
        </w:tc>
        <w:tc>
          <w:tcPr>
            <w:tcW w:w="3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23</w:t>
            </w:r>
          </w:p>
        </w:tc>
        <w:tc>
          <w:tcPr>
            <w:tcW w:w="100" w:type="dxa"/>
            <w:vAlign w:val="bottom"/>
          </w:tcPr>
          <w:p>
            <w:pPr>
              <w:spacing w:after="0"/>
              <w:rPr>
                <w:sz w:val="24"/>
                <w:szCs w:val="24"/>
                <w:color w:val="auto"/>
              </w:rPr>
            </w:pPr>
          </w:p>
        </w:tc>
        <w:tc>
          <w:tcPr>
            <w:tcW w:w="360" w:type="dxa"/>
            <w:vAlign w:val="bottom"/>
            <w:tcBorders>
              <w:bottom w:val="single" w:sz="8" w:color="2C6937"/>
            </w:tcBorders>
          </w:tcPr>
          <w:p>
            <w:pPr>
              <w:spacing w:after="0"/>
              <w:rPr>
                <w:sz w:val="24"/>
                <w:szCs w:val="24"/>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(24)</w:t>
            </w:r>
          </w:p>
        </w:tc>
        <w:tc>
          <w:tcPr>
            <w:tcW w:w="100" w:type="dxa"/>
            <w:vAlign w:val="bottom"/>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(49)</w:t>
            </w:r>
          </w:p>
        </w:tc>
        <w:tc>
          <w:tcPr>
            <w:tcW w:w="100" w:type="dxa"/>
            <w:vAlign w:val="bottom"/>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(91)</w:t>
            </w:r>
          </w:p>
        </w:tc>
      </w:tr>
      <w:tr>
        <w:trPr>
          <w:trHeight w:val="268"/>
        </w:trPr>
        <w:tc>
          <w:tcPr>
            <w:tcW w:w="6080" w:type="dxa"/>
            <w:vAlign w:val="bottom"/>
            <w:gridSpan w:val="2"/>
          </w:tcPr>
          <w:p>
            <w:pPr>
              <w:ind w:left="180"/>
              <w:spacing w:after="0"/>
              <w:rPr>
                <w:sz w:val="20"/>
                <w:szCs w:val="20"/>
                <w:color w:val="auto"/>
              </w:rPr>
            </w:pPr>
            <w:r>
              <w:rPr>
                <w:rFonts w:ascii="Arial" w:cs="Arial" w:eastAsia="Arial" w:hAnsi="Arial"/>
                <w:sz w:val="15"/>
                <w:szCs w:val="15"/>
                <w:color w:val="auto"/>
              </w:rPr>
              <w:t>Net credit gains (losses), write-offs on redesignations and gains (losses) on sales</w:t>
            </w:r>
          </w:p>
        </w:tc>
        <w:tc>
          <w:tcPr>
            <w:tcW w:w="8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27"/>
        </w:trPr>
        <w:tc>
          <w:tcPr>
            <w:tcW w:w="600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and other valuation adjustments</w:t>
            </w:r>
          </w:p>
        </w:tc>
        <w:tc>
          <w:tcPr>
            <w:tcW w:w="80" w:type="dxa"/>
            <w:vAlign w:val="bottom"/>
          </w:tcPr>
          <w:p>
            <w:pPr>
              <w:spacing w:after="0"/>
              <w:rPr>
                <w:sz w:val="19"/>
                <w:szCs w:val="19"/>
                <w:color w:val="auto"/>
              </w:rPr>
            </w:pPr>
          </w:p>
        </w:tc>
        <w:tc>
          <w:tcPr>
            <w:tcW w:w="840" w:type="dxa"/>
            <w:vAlign w:val="bottom"/>
            <w:tcBorders>
              <w:bottom w:val="single" w:sz="8" w:color="2C6937"/>
            </w:tcBorders>
          </w:tcPr>
          <w:p>
            <w:pPr>
              <w:jc w:val="right"/>
              <w:ind w:right="643"/>
              <w:spacing w:after="0"/>
              <w:rPr>
                <w:sz w:val="20"/>
                <w:szCs w:val="20"/>
                <w:color w:val="auto"/>
              </w:rPr>
            </w:pPr>
            <w:r>
              <w:rPr>
                <w:rFonts w:ascii="Arial" w:cs="Arial" w:eastAsia="Arial" w:hAnsi="Arial"/>
                <w:sz w:val="15"/>
                <w:szCs w:val="15"/>
                <w:b w:val="1"/>
                <w:bCs w:val="1"/>
                <w:color w:val="auto"/>
              </w:rPr>
              <w:t>$</w:t>
            </w:r>
          </w:p>
        </w:tc>
        <w:tc>
          <w:tcPr>
            <w:tcW w:w="3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(25)</w:t>
            </w:r>
          </w:p>
        </w:tc>
        <w:tc>
          <w:tcPr>
            <w:tcW w:w="100" w:type="dxa"/>
            <w:vAlign w:val="bottom"/>
          </w:tcPr>
          <w:p>
            <w:pPr>
              <w:spacing w:after="0"/>
              <w:rPr>
                <w:sz w:val="19"/>
                <w:szCs w:val="19"/>
                <w:color w:val="auto"/>
              </w:rPr>
            </w:pPr>
          </w:p>
        </w:tc>
        <w:tc>
          <w:tcPr>
            <w:tcW w:w="36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(210)</w:t>
            </w:r>
          </w:p>
        </w:tc>
        <w:tc>
          <w:tcPr>
            <w:tcW w:w="100" w:type="dxa"/>
            <w:vAlign w:val="bottom"/>
          </w:tcPr>
          <w:p>
            <w:pPr>
              <w:spacing w:after="0"/>
              <w:rPr>
                <w:sz w:val="19"/>
                <w:szCs w:val="19"/>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(74)</w:t>
            </w:r>
          </w:p>
        </w:tc>
        <w:tc>
          <w:tcPr>
            <w:tcW w:w="100" w:type="dxa"/>
            <w:vAlign w:val="bottom"/>
          </w:tcPr>
          <w:p>
            <w:pPr>
              <w:spacing w:after="0"/>
              <w:rPr>
                <w:sz w:val="19"/>
                <w:szCs w:val="19"/>
                <w:color w:val="auto"/>
              </w:rPr>
            </w:pPr>
          </w:p>
        </w:tc>
        <w:tc>
          <w:tcPr>
            <w:tcW w:w="280" w:type="dxa"/>
            <w:vAlign w:val="bottom"/>
            <w:tcBorders>
              <w:bottom w:val="single" w:sz="8" w:color="2C6937"/>
            </w:tcBorders>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(236)</w:t>
            </w:r>
          </w:p>
        </w:tc>
      </w:tr>
      <w:tr>
        <w:trPr>
          <w:trHeight w:val="20"/>
        </w:trPr>
        <w:tc>
          <w:tcPr>
            <w:tcW w:w="600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3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1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r>
      <w:tr>
        <w:trPr>
          <w:trHeight w:val="473"/>
        </w:trPr>
        <w:tc>
          <w:tcPr>
            <w:tcW w:w="6080" w:type="dxa"/>
            <w:vAlign w:val="bottom"/>
            <w:gridSpan w:val="2"/>
          </w:tcPr>
          <w:p>
            <w:pPr>
              <w:ind w:left="20"/>
              <w:spacing w:after="0"/>
              <w:rPr>
                <w:sz w:val="20"/>
                <w:szCs w:val="20"/>
                <w:color w:val="auto"/>
              </w:rPr>
            </w:pPr>
            <w:r>
              <w:rPr>
                <w:rFonts w:ascii="Arial" w:cs="Arial" w:eastAsia="Arial" w:hAnsi="Arial"/>
                <w:sz w:val="15"/>
                <w:szCs w:val="15"/>
                <w:color w:val="auto"/>
              </w:rPr>
              <w:t>Credit gain (loss) ratio (in bps)</w:t>
            </w:r>
            <w:r>
              <w:rPr>
                <w:rFonts w:ascii="Arial" w:cs="Arial" w:eastAsia="Arial" w:hAnsi="Arial"/>
                <w:sz w:val="20"/>
                <w:szCs w:val="20"/>
                <w:color w:val="auto"/>
                <w:vertAlign w:val="superscript"/>
              </w:rPr>
              <w:t>(3)</w:t>
            </w:r>
          </w:p>
        </w:tc>
        <w:tc>
          <w:tcPr>
            <w:tcW w:w="8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5"/>
                <w:szCs w:val="15"/>
                <w:b w:val="1"/>
                <w:bCs w:val="1"/>
                <w:color w:val="auto"/>
              </w:rPr>
              <w:t>(0.5)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0.3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(0.1)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0.4</w:t>
            </w:r>
          </w:p>
        </w:tc>
      </w:tr>
      <w:tr>
        <w:trPr>
          <w:trHeight w:val="180"/>
        </w:trPr>
        <w:tc>
          <w:tcPr>
            <w:tcW w:w="6080" w:type="dxa"/>
            <w:vAlign w:val="bottom"/>
            <w:gridSpan w:val="2"/>
          </w:tcPr>
          <w:p>
            <w:pPr>
              <w:ind w:left="20"/>
              <w:spacing w:after="0"/>
              <w:rPr>
                <w:sz w:val="20"/>
                <w:szCs w:val="20"/>
                <w:color w:val="auto"/>
              </w:rPr>
            </w:pPr>
            <w:r>
              <w:rPr>
                <w:rFonts w:ascii="Arial" w:cs="Arial" w:eastAsia="Arial" w:hAnsi="Arial"/>
                <w:sz w:val="15"/>
                <w:szCs w:val="15"/>
                <w:color w:val="auto"/>
              </w:rPr>
              <w:t>Net credit gains (losses), write-offs on redesignations and gains (losses) on sales and</w:t>
            </w: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65"/>
        </w:trPr>
        <w:tc>
          <w:tcPr>
            <w:tcW w:w="6080" w:type="dxa"/>
            <w:vAlign w:val="bottom"/>
            <w:gridSpan w:val="2"/>
          </w:tcPr>
          <w:p>
            <w:pPr>
              <w:ind w:left="180"/>
              <w:spacing w:after="0"/>
              <w:rPr>
                <w:sz w:val="20"/>
                <w:szCs w:val="20"/>
                <w:color w:val="auto"/>
              </w:rPr>
            </w:pPr>
            <w:r>
              <w:rPr>
                <w:rFonts w:ascii="Arial" w:cs="Arial" w:eastAsia="Arial" w:hAnsi="Arial"/>
                <w:sz w:val="15"/>
                <w:szCs w:val="15"/>
                <w:color w:val="auto"/>
              </w:rPr>
              <w:t>other valuation adjustments ratio (in bps)</w:t>
            </w:r>
            <w:r>
              <w:rPr>
                <w:rFonts w:ascii="Arial" w:cs="Arial" w:eastAsia="Arial" w:hAnsi="Arial"/>
                <w:sz w:val="20"/>
                <w:szCs w:val="20"/>
                <w:color w:val="auto"/>
                <w:vertAlign w:val="superscript"/>
              </w:rPr>
              <w:t>(4)</w:t>
            </w:r>
          </w:p>
        </w:tc>
        <w:tc>
          <w:tcPr>
            <w:tcW w:w="84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5"/>
                <w:szCs w:val="15"/>
                <w:b w:val="1"/>
                <w:bCs w:val="1"/>
                <w:color w:val="auto"/>
              </w:rPr>
              <w:t>(0.3)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(0.4)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(1.3)</w:t>
            </w:r>
          </w:p>
        </w:tc>
      </w:tr>
    </w:tbl>
    <w:p>
      <w:pPr>
        <w:spacing w:after="0" w:line="53" w:lineRule="exact"/>
        <w:rPr>
          <w:sz w:val="20"/>
          <w:szCs w:val="20"/>
          <w:color w:val="auto"/>
        </w:rPr>
      </w:pPr>
    </w:p>
    <w:p>
      <w:pPr>
        <w:ind w:left="240" w:hanging="237"/>
        <w:spacing w:after="0"/>
        <w:tabs>
          <w:tab w:leader="none" w:pos="240" w:val="left"/>
        </w:tabs>
        <w:numPr>
          <w:ilvl w:val="0"/>
          <w:numId w:val="44"/>
        </w:numPr>
        <w:rPr>
          <w:rFonts w:ascii="Arial" w:cs="Arial" w:eastAsia="Arial" w:hAnsi="Arial"/>
          <w:sz w:val="18"/>
          <w:szCs w:val="18"/>
          <w:color w:val="auto"/>
          <w:vertAlign w:val="superscript"/>
        </w:rPr>
      </w:pPr>
      <w:r>
        <w:rPr>
          <w:rFonts w:ascii="Arial" w:cs="Arial" w:eastAsia="Arial" w:hAnsi="Arial"/>
          <w:sz w:val="14"/>
          <w:szCs w:val="14"/>
          <w:color w:val="auto"/>
        </w:rPr>
        <w:t>Consists of the lower of cost or fair value adjustment at time of redesignation.</w:t>
      </w:r>
    </w:p>
    <w:p>
      <w:pPr>
        <w:spacing w:after="0" w:line="29" w:lineRule="exact"/>
        <w:rPr>
          <w:rFonts w:ascii="Arial" w:cs="Arial" w:eastAsia="Arial" w:hAnsi="Arial"/>
          <w:sz w:val="18"/>
          <w:szCs w:val="18"/>
          <w:color w:val="auto"/>
          <w:vertAlign w:val="superscript"/>
        </w:rPr>
      </w:pPr>
    </w:p>
    <w:p>
      <w:pPr>
        <w:ind w:left="240" w:right="200" w:hanging="237"/>
        <w:spacing w:after="0" w:line="254" w:lineRule="auto"/>
        <w:tabs>
          <w:tab w:leader="none" w:pos="240" w:val="left"/>
        </w:tabs>
        <w:numPr>
          <w:ilvl w:val="0"/>
          <w:numId w:val="44"/>
        </w:numPr>
        <w:rPr>
          <w:rFonts w:ascii="Arial" w:cs="Arial" w:eastAsia="Arial" w:hAnsi="Arial"/>
          <w:sz w:val="9"/>
          <w:szCs w:val="9"/>
          <w:color w:val="auto"/>
        </w:rPr>
      </w:pPr>
      <w:r>
        <w:rPr>
          <w:rFonts w:ascii="Arial" w:cs="Arial" w:eastAsia="Arial" w:hAnsi="Arial"/>
          <w:sz w:val="14"/>
          <w:szCs w:val="14"/>
          <w:color w:val="auto"/>
        </w:rPr>
        <w:t>Consists of gains or losses realized on the sales of nonperforming and reperforming mortgage loans during the period and temporary lower-of-cost-or-market adjustments on HFS loans, which are recognized in “Investment gains (losses), net” in our condensed consolidated statements of operations and comprehensive income.</w:t>
      </w:r>
    </w:p>
    <w:p>
      <w:pPr>
        <w:ind w:left="240" w:hanging="237"/>
        <w:spacing w:after="0"/>
        <w:tabs>
          <w:tab w:leader="none" w:pos="240" w:val="left"/>
        </w:tabs>
        <w:numPr>
          <w:ilvl w:val="0"/>
          <w:numId w:val="44"/>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annualized amount of “Credit gains (losses)” divided by the average single-family conventional guaranty book of business during the period.</w:t>
      </w:r>
    </w:p>
    <w:p>
      <w:pPr>
        <w:spacing w:after="0" w:line="41" w:lineRule="exact"/>
        <w:rPr>
          <w:rFonts w:ascii="Arial" w:cs="Arial" w:eastAsia="Arial" w:hAnsi="Arial"/>
          <w:sz w:val="18"/>
          <w:szCs w:val="18"/>
          <w:color w:val="auto"/>
          <w:vertAlign w:val="superscript"/>
        </w:rPr>
      </w:pPr>
    </w:p>
    <w:p>
      <w:pPr>
        <w:ind w:left="240" w:right="240" w:hanging="237"/>
        <w:spacing w:after="0" w:line="216" w:lineRule="auto"/>
        <w:tabs>
          <w:tab w:leader="none" w:pos="240" w:val="left"/>
        </w:tabs>
        <w:numPr>
          <w:ilvl w:val="0"/>
          <w:numId w:val="44"/>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annualized amount of “Net credit gains (losses), write-offs on redesignations and gains (losses) on sales and other valuation adjustments” divided by the average single-family conventional guaranty book of business during the period.</w:t>
      </w:r>
    </w:p>
    <w:p>
      <w:pPr>
        <w:spacing w:after="0" w:line="46" w:lineRule="exact"/>
        <w:rPr>
          <w:sz w:val="20"/>
          <w:szCs w:val="20"/>
          <w:color w:val="auto"/>
        </w:rPr>
      </w:pPr>
    </w:p>
    <w:p>
      <w:pPr>
        <w:jc w:val="both"/>
        <w:ind w:right="220"/>
        <w:spacing w:after="0" w:line="276" w:lineRule="auto"/>
        <w:rPr>
          <w:sz w:val="20"/>
          <w:szCs w:val="20"/>
          <w:color w:val="auto"/>
        </w:rPr>
      </w:pPr>
      <w:r>
        <w:rPr>
          <w:rFonts w:ascii="Arial" w:cs="Arial" w:eastAsia="Arial" w:hAnsi="Arial"/>
          <w:sz w:val="16"/>
          <w:szCs w:val="16"/>
          <w:color w:val="auto"/>
        </w:rPr>
        <w:t>In February 2023, FHFA instructed us to put sales of nonperforming and reperforming loans on hold until further notice. In June 2023, FHFA instructed us that we may resume these loan sales upon implementation of revised loan sale requirements that enhance or expand upon certain consumer protections that existed in our prior requirements. We intend to resume these loan sales in the second half of this year subject to market conditions.</w:t>
      </w:r>
    </w:p>
    <w:p>
      <w:pPr>
        <w:spacing w:after="0" w:line="36"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The decrease in our net credit gains (losses), write-offs on redesignations and gains (losses) on sales and other valuation adjustments in the second quarter and first half of 2023 compared with the second quarter and first half of 2022 was primarily driven by the nonperforming and reperforming loan sales pause described above.</w:t>
      </w:r>
    </w:p>
    <w:p>
      <w:pPr>
        <w:spacing w:after="0" w:line="56" w:lineRule="exact"/>
        <w:rPr>
          <w:sz w:val="20"/>
          <w:szCs w:val="20"/>
          <w:color w:val="auto"/>
        </w:rPr>
      </w:pPr>
    </w:p>
    <w:p>
      <w:pPr>
        <w:ind w:right="380"/>
        <w:spacing w:after="0" w:line="283" w:lineRule="auto"/>
        <w:rPr>
          <w:sz w:val="20"/>
          <w:szCs w:val="20"/>
          <w:color w:val="auto"/>
        </w:rPr>
      </w:pPr>
      <w:r>
        <w:rPr>
          <w:rFonts w:ascii="Arial" w:cs="Arial" w:eastAsia="Arial" w:hAnsi="Arial"/>
          <w:sz w:val="16"/>
          <w:szCs w:val="16"/>
          <w:color w:val="auto"/>
        </w:rPr>
        <w:t>For information on our benefit (provision) for credit losses, which includes changes in our allowance, see “Consolidated Results of Operations—Benefit (Provision) for Credit Losses” and “Single-Family Business Financial Results.”</w:t>
      </w:r>
    </w:p>
    <w:p>
      <w:pPr>
        <w:spacing w:after="0" w:line="93"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Multifamily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52705</wp:posOffset>
            </wp:positionV>
            <wp:extent cx="7138670" cy="165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64"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This section supplements and updates information regarding our Multifamily business segment in our 2022 Form 10-K. See “MD&amp;A—Multifamily Business” in our 2022 Form 10-K for additional information regarding the primary business activities, lenders, competition and market share of our Multifamily business.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37</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840" w:type="dxa"/>
            <w:vAlign w:val="bottom"/>
            <w:tcBorders>
              <w:bottom w:val="single" w:sz="8" w:color="9A9A9A"/>
            </w:tcBorders>
          </w:tcPr>
          <w:p>
            <w:pPr>
              <w:spacing w:after="0"/>
              <w:rPr>
                <w:sz w:val="18"/>
                <w:szCs w:val="18"/>
                <w:color w:val="auto"/>
              </w:rPr>
            </w:pPr>
          </w:p>
        </w:tc>
        <w:tc>
          <w:tcPr>
            <w:tcW w:w="42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40" w:name="page41"/>
    <w:bookmarkEnd w:id="40"/>
    <w:p>
      <w:pPr>
        <w:ind w:left="7440"/>
        <w:spacing w:after="0"/>
        <w:rPr>
          <w:sz w:val="20"/>
          <w:szCs w:val="20"/>
          <w:color w:val="auto"/>
        </w:rPr>
      </w:pPr>
      <w:r>
        <w:rPr>
          <w:rFonts w:ascii="Arial" w:cs="Arial" w:eastAsia="Arial" w:hAnsi="Arial"/>
          <w:sz w:val="14"/>
          <w:szCs w:val="14"/>
          <w:color w:val="05314D"/>
        </w:rPr>
        <w:t>MD&amp;A | Multifamily Business | Multifamily Mortgage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699960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Multifamily Mortgage Market</w:t>
      </w:r>
    </w:p>
    <w:p>
      <w:pPr>
        <w:spacing w:after="0" w:line="12" w:lineRule="exact"/>
        <w:rPr>
          <w:sz w:val="20"/>
          <w:szCs w:val="20"/>
          <w:color w:val="auto"/>
        </w:rPr>
      </w:pPr>
    </w:p>
    <w:p>
      <w:pPr>
        <w:jc w:val="both"/>
        <w:ind w:right="240"/>
        <w:spacing w:after="0" w:line="251" w:lineRule="auto"/>
        <w:rPr>
          <w:sz w:val="20"/>
          <w:szCs w:val="20"/>
          <w:color w:val="auto"/>
        </w:rPr>
      </w:pPr>
      <w:r>
        <w:rPr>
          <w:rFonts w:ascii="Arial" w:cs="Arial" w:eastAsia="Arial" w:hAnsi="Arial"/>
          <w:sz w:val="16"/>
          <w:szCs w:val="16"/>
          <w:color w:val="auto"/>
        </w:rPr>
        <w:t>Multifamily market fundamentals, which include factors such as vacancy rates and rents, improved during the second quarter of 2023, due to slowing but still-positive job growth, elevated single-family housing prices keeping many renters in place and a continued large demographic population between the ages of 20-34, the primary age group that is likely to rent multifamily units.</w:t>
      </w:r>
    </w:p>
    <w:p>
      <w:pPr>
        <w:spacing w:after="0" w:line="38" w:lineRule="exact"/>
        <w:rPr>
          <w:sz w:val="20"/>
          <w:szCs w:val="20"/>
          <w:color w:val="auto"/>
        </w:rPr>
      </w:pPr>
    </w:p>
    <w:p>
      <w:pPr>
        <w:ind w:left="620" w:right="160" w:hanging="307"/>
        <w:spacing w:after="0" w:line="270" w:lineRule="auto"/>
        <w:tabs>
          <w:tab w:leader="none" w:pos="62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Vacancy rates. </w:t>
      </w:r>
      <w:r>
        <w:rPr>
          <w:rFonts w:ascii="Arial" w:cs="Arial" w:eastAsia="Arial" w:hAnsi="Arial"/>
          <w:sz w:val="16"/>
          <w:szCs w:val="16"/>
          <w:color w:val="auto"/>
        </w:rPr>
        <w:t>Based on preliminary third-party data, we estimate that the national multifamily vacancy rate for institutional investment-type</w:t>
      </w:r>
      <w:r>
        <w:rPr>
          <w:rFonts w:ascii="Arial" w:cs="Arial" w:eastAsia="Arial" w:hAnsi="Arial"/>
          <w:sz w:val="16"/>
          <w:szCs w:val="16"/>
          <w:i w:val="1"/>
          <w:iCs w:val="1"/>
          <w:color w:val="auto"/>
        </w:rPr>
        <w:t xml:space="preserve"> </w:t>
      </w:r>
      <w:r>
        <w:rPr>
          <w:rFonts w:ascii="Arial" w:cs="Arial" w:eastAsia="Arial" w:hAnsi="Arial"/>
          <w:sz w:val="16"/>
          <w:szCs w:val="16"/>
          <w:color w:val="auto"/>
        </w:rPr>
        <w:t>apartment properties remained steady at 5.8% as of June 30, 2023, the same estimated level as of March 31, 2023, but up 100 basis points from 4.8% as of June 30, 2022. The estimated average national multifamily vacancy rate over the last 15 years remained at approximately 5.8%.</w:t>
      </w:r>
    </w:p>
    <w:p>
      <w:pPr>
        <w:spacing w:after="0" w:line="36" w:lineRule="exact"/>
        <w:rPr>
          <w:rFonts w:ascii="Arial" w:cs="Arial" w:eastAsia="Arial" w:hAnsi="Arial"/>
          <w:sz w:val="16"/>
          <w:szCs w:val="16"/>
          <w:color w:val="auto"/>
        </w:rPr>
      </w:pPr>
    </w:p>
    <w:p>
      <w:pPr>
        <w:ind w:left="620" w:right="40" w:hanging="307"/>
        <w:spacing w:after="0" w:line="288" w:lineRule="auto"/>
        <w:tabs>
          <w:tab w:leader="none" w:pos="62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Rents</w:t>
      </w:r>
      <w:r>
        <w:rPr>
          <w:rFonts w:ascii="Arial" w:cs="Arial" w:eastAsia="Arial" w:hAnsi="Arial"/>
          <w:sz w:val="16"/>
          <w:szCs w:val="16"/>
          <w:color w:val="auto"/>
        </w:rPr>
        <w:t>. Based on preliminary third-party data, we estimate that effective rents increased 1.0% during the second quarter of 2023, compared with no</w:t>
      </w:r>
      <w:r>
        <w:rPr>
          <w:rFonts w:ascii="Arial" w:cs="Arial" w:eastAsia="Arial" w:hAnsi="Arial"/>
          <w:sz w:val="16"/>
          <w:szCs w:val="16"/>
          <w:i w:val="1"/>
          <w:iCs w:val="1"/>
          <w:color w:val="auto"/>
        </w:rPr>
        <w:t xml:space="preserve"> </w:t>
      </w:r>
      <w:r>
        <w:rPr>
          <w:rFonts w:ascii="Arial" w:cs="Arial" w:eastAsia="Arial" w:hAnsi="Arial"/>
          <w:sz w:val="16"/>
          <w:szCs w:val="16"/>
          <w:color w:val="auto"/>
        </w:rPr>
        <w:t>change in the first quarter of 2023, but down compared to an estimated increase of 2.5% during the second quarter of 2022.</w:t>
      </w:r>
    </w:p>
    <w:p>
      <w:pPr>
        <w:spacing w:after="0" w:line="3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Vacancy rates and rents are important to loan performance because multifamily loans are generally repaid from the cash flows generated by the underlying property. Several years of low vacancy rates and rising rents helped to increase property values in most metropolitan areas, but that trend reversed starting in early 2023. Based on preliminary multifamily property sales data, transaction volumes for the second quarter of 2023 remained well below average levels. As a result of declining transaction volumes, coupled with elevated interest rates, available data suggests capitalization rates increased slightly in the second quarter of 2023.</w:t>
      </w:r>
    </w:p>
    <w:p>
      <w:pPr>
        <w:spacing w:after="0" w:line="64" w:lineRule="exact"/>
        <w:rPr>
          <w:sz w:val="20"/>
          <w:szCs w:val="20"/>
          <w:color w:val="auto"/>
        </w:rPr>
      </w:pPr>
    </w:p>
    <w:p>
      <w:pPr>
        <w:ind w:right="380"/>
        <w:spacing w:after="0" w:line="283" w:lineRule="auto"/>
        <w:rPr>
          <w:sz w:val="20"/>
          <w:szCs w:val="20"/>
          <w:color w:val="auto"/>
        </w:rPr>
      </w:pPr>
      <w:r>
        <w:rPr>
          <w:rFonts w:ascii="Arial" w:cs="Arial" w:eastAsia="Arial" w:hAnsi="Arial"/>
          <w:sz w:val="16"/>
          <w:szCs w:val="16"/>
          <w:color w:val="auto"/>
        </w:rPr>
        <w:t>Multifamily construction underway remains elevated. More than 470,000 multifamily units were delivered in 2022 and we also expect a large number of multifamily units to be delivered in 2023.</w:t>
      </w:r>
    </w:p>
    <w:p>
      <w:pPr>
        <w:spacing w:after="0" w:line="30"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We expect vacancy levels are likely to rise by year end and rent growth in 2023 will remain below recent averages as a result of continued elevated levels of new construction and slowing job growth.</w:t>
      </w: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Multifamily Business Metrics</w:t>
      </w:r>
    </w:p>
    <w:p>
      <w:pPr>
        <w:spacing w:after="0" w:line="90"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Through the secondary mortgage market, we support rental housing for the workforce population, for senior citizens and students, and for households with the greatest economic need. Over 95% of the multifamily units we financed in the second quarter of 2023 that were potentially eligible for housing goals credit were affordable to those earning at or below 120% of the median income in their area, providing support for both workforce housing and affordable housing.</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01543"/>
        </w:rPr>
        <w:t>Multifamily New Business Volume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01543"/>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54610</wp:posOffset>
            </wp:positionV>
            <wp:extent cx="5460365" cy="16370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460365"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40" w:right="80" w:hanging="237"/>
        <w:spacing w:after="0" w:line="223" w:lineRule="auto"/>
        <w:tabs>
          <w:tab w:leader="none" w:pos="24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Reflects unpaid principal balance of multifamily Fannie Mae MBS issued, multifamily loans purchased, and credit enhancements provided on multifamily mortgage assets during the period.</w:t>
      </w:r>
    </w:p>
    <w:p>
      <w:pPr>
        <w:spacing w:after="0" w:line="31" w:lineRule="exact"/>
        <w:rPr>
          <w:rFonts w:ascii="Arial" w:cs="Arial" w:eastAsia="Arial" w:hAnsi="Arial"/>
          <w:sz w:val="18"/>
          <w:szCs w:val="18"/>
          <w:color w:val="auto"/>
          <w:vertAlign w:val="superscript"/>
        </w:rPr>
      </w:pPr>
    </w:p>
    <w:p>
      <w:pPr>
        <w:ind w:left="240" w:right="600" w:hanging="237"/>
        <w:spacing w:after="0" w:line="223" w:lineRule="auto"/>
        <w:tabs>
          <w:tab w:leader="none" w:pos="24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Reflects new units financed by first liens; excludes second liens on units for which we had financed the first lien, as well as manufactured housing rentals. Second liens and manufactured housing rentals are included in unpaid principal balance.</w:t>
      </w:r>
    </w:p>
    <w:p>
      <w:pPr>
        <w:spacing w:after="0" w:line="45"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We had lower multifamily business volumes in the first half of 2023 compared with the first half of 2022, driven by lower overall multifamily market activity. For 2023, FHFA has capped our multifamily loan purchases at $75 billion. FHFA requires that a minimum of 50% of our multifamily loan purchases must be mission-driven, focused on specified affordable and underserved market segments.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For information on how conservatorship may affect our business activities, see “Risk Factors—GSE and Conservatorship Risk” in our 2022 Form 10-K.</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38</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41" w:name="page42"/>
    <w:bookmarkEnd w:id="41"/>
    <w:p>
      <w:pPr>
        <w:ind w:left="7540"/>
        <w:spacing w:after="0"/>
        <w:rPr>
          <w:sz w:val="20"/>
          <w:szCs w:val="20"/>
          <w:color w:val="auto"/>
        </w:rPr>
      </w:pPr>
      <w:r>
        <w:rPr>
          <w:rFonts w:ascii="Arial" w:cs="Arial" w:eastAsia="Arial" w:hAnsi="Arial"/>
          <w:sz w:val="14"/>
          <w:szCs w:val="14"/>
          <w:color w:val="05314D"/>
        </w:rPr>
        <w:t>MD&amp;A | Multifamily Business | Multifamily Business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Presentation of Our Multifamily Guaranty Book of Business</w:t>
      </w:r>
    </w:p>
    <w:p>
      <w:pPr>
        <w:spacing w:after="0" w:line="77"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For purposes of the information reported in this “Multifamily Business” section, we measure our multifamily guaranty book of business using the unpaid principal balance of mortgage loans underlying Fannie Mae MBS. By contrast, the multifamily guaranty book of business presented in the “Composition of Fannie Mae Guaranty Book of Business” table in the “Guaranty Book of Business” section is based on the unpaid principal balance of Fannie Mae MBS outstanding. These amounts differ primarily as a result of payments we receive on underlying loans that have not yet been remitted to the MBS holders.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01543"/>
        </w:rPr>
        <w:t>Multifamily Guaranty Book of Business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01543"/>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54610</wp:posOffset>
            </wp:positionV>
            <wp:extent cx="5485130" cy="19646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485130" cy="196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240" w:right="80" w:hanging="237"/>
        <w:spacing w:after="0" w:line="225" w:lineRule="auto"/>
        <w:tabs>
          <w:tab w:leader="none" w:pos="24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Our multifamily guaranty book of business primarily consists of multifamily mortgage loans underlying Fannie Mae MBS outstanding, multifamily mortgage loans of Fannie Mae held in our retained mortgage portfolio, and other credit enhancements that we provide on multifamily mortgage assets. It does not include non-Fannie Mae multifamily mortgage-related securities held in our retained mortgage portfolio for which we do not provide a guaranty.</w:t>
      </w:r>
    </w:p>
    <w:p>
      <w:pPr>
        <w:spacing w:after="0" w:line="59"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Average charged guaranty fee represents our effective revenue rate relative to the size of our multifamily guaranty book of business. Management uses this metric to assess the return we earn as compensation for the multifamily credit risk we manage. Average charged guaranty fee is impacted by the rate at which loans in our book of business turn over as well as the guaranty fees we charge, which are set at the time we acquire the loans. Our multifamily guaranty fee pricing is primarily based on the individual credit risk characteristics of the loans we acquire and the aggregate credit risk characteristics of our multifamily guaranty book of business. Our multifamily guaranty fee pricing is also influenced by external factors such as the availability of other sources of liquidity, our mission-related goals, the FHFA volume cap, interest rates, MBS spreads, and the management of the overall composition of our multifamily guaranty book of business. The average guaranty fee on our multifamily guaranty book of business decreased as of June 30, 2023 compared with June 30, 2022 due to lower average charged fees on new acquisitions compared to the existing loans in our multifamily guaranty book of business.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39</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840" w:type="dxa"/>
            <w:vAlign w:val="bottom"/>
            <w:tcBorders>
              <w:bottom w:val="single" w:sz="8" w:color="9A9A9A"/>
            </w:tcBorders>
          </w:tcPr>
          <w:p>
            <w:pPr>
              <w:spacing w:after="0"/>
              <w:rPr>
                <w:sz w:val="18"/>
                <w:szCs w:val="18"/>
                <w:color w:val="auto"/>
              </w:rPr>
            </w:pPr>
          </w:p>
        </w:tc>
        <w:tc>
          <w:tcPr>
            <w:tcW w:w="42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42" w:name="page43"/>
    <w:bookmarkEnd w:id="42"/>
    <w:p>
      <w:pPr>
        <w:ind w:left="6940"/>
        <w:spacing w:after="0"/>
        <w:rPr>
          <w:sz w:val="20"/>
          <w:szCs w:val="20"/>
          <w:color w:val="auto"/>
        </w:rPr>
      </w:pPr>
      <w:r>
        <w:rPr>
          <w:rFonts w:ascii="Arial" w:cs="Arial" w:eastAsia="Arial" w:hAnsi="Arial"/>
          <w:sz w:val="14"/>
          <w:szCs w:val="14"/>
          <w:color w:val="05314D"/>
        </w:rPr>
        <w:t>MD&amp;A | Multifamily Business | Multifamily Business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Multifamily Business Financial Results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This section provides a discussion of the primary components of net income for our Multifamily business.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Multifamily Business Financial Results</w:t>
      </w:r>
      <w:r>
        <w:rPr>
          <w:rFonts w:ascii="Arial" w:cs="Arial" w:eastAsia="Arial" w:hAnsi="Arial"/>
          <w:sz w:val="24"/>
          <w:szCs w:val="24"/>
          <w:b w:val="1"/>
          <w:bCs w:val="1"/>
          <w:color w:val="05314D"/>
          <w:vertAlign w:val="superscript"/>
        </w:rPr>
        <w:t>(1)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40" w:type="dxa"/>
            <w:vAlign w:val="bottom"/>
            <w:tcBorders>
              <w:top w:val="single" w:sz="8" w:color="2C6937"/>
            </w:tcBorders>
          </w:tcPr>
          <w:p>
            <w:pPr>
              <w:spacing w:after="0"/>
              <w:rPr>
                <w:sz w:val="12"/>
                <w:szCs w:val="12"/>
                <w:color w:val="auto"/>
              </w:rPr>
            </w:pPr>
          </w:p>
        </w:tc>
        <w:tc>
          <w:tcPr>
            <w:tcW w:w="100" w:type="dxa"/>
            <w:vAlign w:val="bottom"/>
            <w:tcBorders>
              <w:top w:val="single" w:sz="8" w:color="2C6937"/>
            </w:tcBorders>
          </w:tcPr>
          <w:p>
            <w:pPr>
              <w:spacing w:after="0"/>
              <w:rPr>
                <w:sz w:val="12"/>
                <w:szCs w:val="12"/>
                <w:color w:val="auto"/>
              </w:rPr>
            </w:pPr>
          </w:p>
        </w:tc>
        <w:tc>
          <w:tcPr>
            <w:tcW w:w="2280" w:type="dxa"/>
            <w:vAlign w:val="bottom"/>
            <w:tcBorders>
              <w:top w:val="single" w:sz="8" w:color="2C6937"/>
            </w:tcBorders>
            <w:gridSpan w:val="6"/>
          </w:tcPr>
          <w:p>
            <w:pPr>
              <w:ind w:left="20"/>
              <w:spacing w:after="0" w:line="149" w:lineRule="exact"/>
              <w:rPr>
                <w:sz w:val="20"/>
                <w:szCs w:val="20"/>
                <w:color w:val="auto"/>
              </w:rPr>
            </w:pPr>
            <w:r>
              <w:rPr>
                <w:rFonts w:ascii="Arial" w:cs="Arial" w:eastAsia="Arial" w:hAnsi="Arial"/>
                <w:sz w:val="14"/>
                <w:szCs w:val="14"/>
                <w:b w:val="1"/>
                <w:bCs w:val="1"/>
                <w:color w:val="auto"/>
                <w:w w:val="98"/>
              </w:rPr>
              <w:t>For the Three Months Ended June</w:t>
            </w:r>
          </w:p>
        </w:tc>
        <w:tc>
          <w:tcPr>
            <w:tcW w:w="140" w:type="dxa"/>
            <w:vAlign w:val="bottom"/>
            <w:tcBorders>
              <w:top w:val="single" w:sz="8" w:color="2C6937"/>
            </w:tcBorders>
          </w:tcPr>
          <w:p>
            <w:pPr>
              <w:spacing w:after="0"/>
              <w:rPr>
                <w:sz w:val="12"/>
                <w:szCs w:val="12"/>
                <w:color w:val="auto"/>
              </w:rPr>
            </w:pPr>
          </w:p>
        </w:tc>
        <w:tc>
          <w:tcPr>
            <w:tcW w:w="180" w:type="dxa"/>
            <w:vAlign w:val="bottom"/>
            <w:tcBorders>
              <w:top w:val="single" w:sz="8" w:color="2C6937"/>
            </w:tcBorders>
          </w:tcPr>
          <w:p>
            <w:pPr>
              <w:spacing w:after="0"/>
              <w:rPr>
                <w:sz w:val="12"/>
                <w:szCs w:val="12"/>
                <w:color w:val="auto"/>
              </w:rPr>
            </w:pPr>
          </w:p>
        </w:tc>
        <w:tc>
          <w:tcPr>
            <w:tcW w:w="880" w:type="dxa"/>
            <w:vAlign w:val="bottom"/>
            <w:tcBorders>
              <w:top w:val="single" w:sz="8" w:color="2C6937"/>
            </w:tcBorders>
          </w:tcPr>
          <w:p>
            <w:pPr>
              <w:spacing w:after="0"/>
              <w:rPr>
                <w:sz w:val="12"/>
                <w:szCs w:val="12"/>
                <w:color w:val="auto"/>
              </w:rPr>
            </w:pPr>
          </w:p>
        </w:tc>
        <w:tc>
          <w:tcPr>
            <w:tcW w:w="140" w:type="dxa"/>
            <w:vAlign w:val="bottom"/>
            <w:tcBorders>
              <w:top w:val="single" w:sz="8" w:color="2C6937"/>
            </w:tcBorders>
          </w:tcPr>
          <w:p>
            <w:pPr>
              <w:spacing w:after="0"/>
              <w:rPr>
                <w:sz w:val="12"/>
                <w:szCs w:val="12"/>
                <w:color w:val="auto"/>
              </w:rPr>
            </w:pPr>
          </w:p>
        </w:tc>
        <w:tc>
          <w:tcPr>
            <w:tcW w:w="100" w:type="dxa"/>
            <w:vAlign w:val="bottom"/>
            <w:tcBorders>
              <w:top w:val="single" w:sz="8" w:color="2C6937"/>
            </w:tcBorders>
          </w:tcPr>
          <w:p>
            <w:pPr>
              <w:spacing w:after="0"/>
              <w:rPr>
                <w:sz w:val="12"/>
                <w:szCs w:val="12"/>
                <w:color w:val="auto"/>
              </w:rPr>
            </w:pPr>
          </w:p>
        </w:tc>
        <w:tc>
          <w:tcPr>
            <w:tcW w:w="2180" w:type="dxa"/>
            <w:vAlign w:val="bottom"/>
            <w:tcBorders>
              <w:top w:val="single" w:sz="8" w:color="2C6937"/>
            </w:tcBorders>
            <w:gridSpan w:val="5"/>
          </w:tcPr>
          <w:p>
            <w:pPr>
              <w:jc w:val="right"/>
              <w:ind w:right="43"/>
              <w:spacing w:after="0" w:line="149" w:lineRule="exact"/>
              <w:rPr>
                <w:sz w:val="20"/>
                <w:szCs w:val="20"/>
                <w:color w:val="auto"/>
              </w:rPr>
            </w:pPr>
            <w:r>
              <w:rPr>
                <w:rFonts w:ascii="Arial" w:cs="Arial" w:eastAsia="Arial" w:hAnsi="Arial"/>
                <w:sz w:val="14"/>
                <w:szCs w:val="14"/>
                <w:b w:val="1"/>
                <w:bCs w:val="1"/>
                <w:color w:val="auto"/>
                <w:w w:val="97"/>
              </w:rPr>
              <w:t>For the Six Months Ended June</w:t>
            </w:r>
          </w:p>
        </w:tc>
        <w:tc>
          <w:tcPr>
            <w:tcW w:w="140" w:type="dxa"/>
            <w:vAlign w:val="bottom"/>
            <w:tcBorders>
              <w:top w:val="single" w:sz="8" w:color="2C6937"/>
            </w:tcBorders>
          </w:tcPr>
          <w:p>
            <w:pPr>
              <w:spacing w:after="0"/>
              <w:rPr>
                <w:sz w:val="12"/>
                <w:szCs w:val="12"/>
                <w:color w:val="auto"/>
              </w:rPr>
            </w:pPr>
          </w:p>
        </w:tc>
        <w:tc>
          <w:tcPr>
            <w:tcW w:w="180" w:type="dxa"/>
            <w:vAlign w:val="bottom"/>
            <w:tcBorders>
              <w:top w:val="single" w:sz="8" w:color="2C6937"/>
            </w:tcBorders>
          </w:tcPr>
          <w:p>
            <w:pPr>
              <w:spacing w:after="0"/>
              <w:rPr>
                <w:sz w:val="12"/>
                <w:szCs w:val="12"/>
                <w:color w:val="auto"/>
              </w:rPr>
            </w:pPr>
          </w:p>
        </w:tc>
        <w:tc>
          <w:tcPr>
            <w:tcW w:w="880" w:type="dxa"/>
            <w:vAlign w:val="bottom"/>
            <w:tcBorders>
              <w:top w:val="single" w:sz="8" w:color="2C6937"/>
            </w:tcBorders>
          </w:tcPr>
          <w:p>
            <w:pPr>
              <w:spacing w:after="0"/>
              <w:rPr>
                <w:sz w:val="12"/>
                <w:szCs w:val="12"/>
                <w:color w:val="auto"/>
              </w:rPr>
            </w:pPr>
          </w:p>
        </w:tc>
      </w:tr>
      <w:tr>
        <w:trPr>
          <w:trHeight w:val="179"/>
        </w:trPr>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2C6937"/>
            </w:tcBorders>
          </w:tcPr>
          <w:p>
            <w:pPr>
              <w:spacing w:after="0"/>
              <w:rPr>
                <w:sz w:val="15"/>
                <w:szCs w:val="15"/>
                <w:color w:val="auto"/>
              </w:rPr>
            </w:pPr>
          </w:p>
        </w:tc>
        <w:tc>
          <w:tcPr>
            <w:tcW w:w="800" w:type="dxa"/>
            <w:vAlign w:val="bottom"/>
            <w:tcBorders>
              <w:bottom w:val="single" w:sz="8" w:color="2C6937"/>
            </w:tcBorders>
          </w:tcPr>
          <w:p>
            <w:pPr>
              <w:spacing w:after="0"/>
              <w:rPr>
                <w:sz w:val="15"/>
                <w:szCs w:val="15"/>
                <w:color w:val="auto"/>
              </w:rPr>
            </w:pPr>
          </w:p>
        </w:tc>
        <w:tc>
          <w:tcPr>
            <w:tcW w:w="400" w:type="dxa"/>
            <w:vAlign w:val="bottom"/>
            <w:tcBorders>
              <w:bottom w:val="single" w:sz="8" w:color="2C6937"/>
            </w:tcBorders>
            <w:gridSpan w:val="3"/>
          </w:tcPr>
          <w:p>
            <w:pPr>
              <w:jc w:val="right"/>
              <w:ind w:right="200"/>
              <w:spacing w:after="0"/>
              <w:rPr>
                <w:sz w:val="20"/>
                <w:szCs w:val="20"/>
                <w:color w:val="auto"/>
              </w:rPr>
            </w:pPr>
            <w:r>
              <w:rPr>
                <w:rFonts w:ascii="Arial" w:cs="Arial" w:eastAsia="Arial" w:hAnsi="Arial"/>
                <w:sz w:val="14"/>
                <w:szCs w:val="14"/>
                <w:b w:val="1"/>
                <w:bCs w:val="1"/>
                <w:color w:val="auto"/>
                <w:w w:val="92"/>
              </w:rPr>
              <w:t>30,</w:t>
            </w:r>
          </w:p>
        </w:tc>
        <w:tc>
          <w:tcPr>
            <w:tcW w:w="840" w:type="dxa"/>
            <w:vAlign w:val="bottom"/>
            <w:tcBorders>
              <w:bottom w:val="single" w:sz="8" w:color="2C6937"/>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tcPr>
          <w:p>
            <w:pPr>
              <w:spacing w:after="0"/>
              <w:rPr>
                <w:sz w:val="15"/>
                <w:szCs w:val="15"/>
                <w:color w:val="auto"/>
              </w:rPr>
            </w:pPr>
          </w:p>
        </w:tc>
        <w:tc>
          <w:tcPr>
            <w:tcW w:w="420" w:type="dxa"/>
            <w:vAlign w:val="bottom"/>
            <w:tcBorders>
              <w:bottom w:val="single" w:sz="8" w:color="2C6937"/>
            </w:tcBorders>
            <w:gridSpan w:val="3"/>
          </w:tcPr>
          <w:p>
            <w:pPr>
              <w:jc w:val="right"/>
              <w:ind w:right="220"/>
              <w:spacing w:after="0"/>
              <w:rPr>
                <w:sz w:val="20"/>
                <w:szCs w:val="20"/>
                <w:color w:val="auto"/>
              </w:rPr>
            </w:pPr>
            <w:r>
              <w:rPr>
                <w:rFonts w:ascii="Arial" w:cs="Arial" w:eastAsia="Arial" w:hAnsi="Arial"/>
                <w:sz w:val="14"/>
                <w:szCs w:val="14"/>
                <w:b w:val="1"/>
                <w:bCs w:val="1"/>
                <w:color w:val="auto"/>
                <w:w w:val="92"/>
              </w:rPr>
              <w:t>30,</w:t>
            </w:r>
          </w:p>
        </w:tc>
        <w:tc>
          <w:tcPr>
            <w:tcW w:w="820" w:type="dxa"/>
            <w:vAlign w:val="bottom"/>
            <w:tcBorders>
              <w:bottom w:val="single" w:sz="8" w:color="2C6937"/>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5"/>
        </w:trPr>
        <w:tc>
          <w:tcPr>
            <w:tcW w:w="4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ind w:right="283"/>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tcPr>
          <w:p>
            <w:pPr>
              <w:jc w:val="right"/>
              <w:ind w:right="303"/>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gridSpan w:val="2"/>
          </w:tcPr>
          <w:p>
            <w:pPr>
              <w:ind w:left="60"/>
              <w:spacing w:after="0"/>
              <w:rPr>
                <w:sz w:val="20"/>
                <w:szCs w:val="20"/>
                <w:color w:val="auto"/>
              </w:rPr>
            </w:pPr>
            <w:r>
              <w:rPr>
                <w:rFonts w:ascii="Arial" w:cs="Arial" w:eastAsia="Arial" w:hAnsi="Arial"/>
                <w:sz w:val="14"/>
                <w:szCs w:val="14"/>
                <w:b w:val="1"/>
                <w:bCs w:val="1"/>
                <w:color w:val="auto"/>
              </w:rPr>
              <w:t>Variance</w:t>
            </w:r>
          </w:p>
        </w:tc>
        <w:tc>
          <w:tcPr>
            <w:tcW w:w="10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ind w:right="284"/>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ind w:right="303"/>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jc w:val="right"/>
              <w:ind w:right="163"/>
              <w:spacing w:after="0"/>
              <w:rPr>
                <w:sz w:val="20"/>
                <w:szCs w:val="20"/>
                <w:color w:val="auto"/>
              </w:rPr>
            </w:pPr>
            <w:r>
              <w:rPr>
                <w:rFonts w:ascii="Arial" w:cs="Arial" w:eastAsia="Arial" w:hAnsi="Arial"/>
                <w:sz w:val="14"/>
                <w:szCs w:val="14"/>
                <w:b w:val="1"/>
                <w:bCs w:val="1"/>
                <w:color w:val="auto"/>
              </w:rPr>
              <w:t>Variance</w:t>
            </w:r>
          </w:p>
        </w:tc>
      </w:tr>
      <w:tr>
        <w:trPr>
          <w:trHeight w:val="184"/>
        </w:trPr>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gridSpan w:val="4"/>
          </w:tcPr>
          <w:p>
            <w:pPr>
              <w:jc w:val="right"/>
              <w:ind w:right="384"/>
              <w:spacing w:after="0"/>
              <w:rPr>
                <w:sz w:val="20"/>
                <w:szCs w:val="20"/>
                <w:color w:val="auto"/>
              </w:rPr>
            </w:pPr>
            <w:r>
              <w:rPr>
                <w:rFonts w:ascii="Arial" w:cs="Arial" w:eastAsia="Arial" w:hAnsi="Arial"/>
                <w:sz w:val="14"/>
                <w:szCs w:val="14"/>
                <w:b w:val="1"/>
                <w:bCs w:val="1"/>
                <w:color w:val="auto"/>
              </w:rPr>
              <w:t>(Dollars in millions)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6"/>
        </w:trPr>
        <w:tc>
          <w:tcPr>
            <w:tcW w:w="4140" w:type="dxa"/>
            <w:vAlign w:val="bottom"/>
            <w:gridSpan w:val="2"/>
          </w:tcPr>
          <w:p>
            <w:pPr>
              <w:ind w:left="20"/>
              <w:spacing w:after="0"/>
              <w:rPr>
                <w:sz w:val="20"/>
                <w:szCs w:val="20"/>
                <w:color w:val="auto"/>
              </w:rPr>
            </w:pPr>
            <w:r>
              <w:rPr>
                <w:rFonts w:ascii="Arial" w:cs="Arial" w:eastAsia="Arial" w:hAnsi="Arial"/>
                <w:sz w:val="15"/>
                <w:szCs w:val="15"/>
                <w:color w:val="auto"/>
              </w:rPr>
              <w:t>Net interest income</w:t>
            </w:r>
          </w:p>
        </w:tc>
        <w:tc>
          <w:tcPr>
            <w:tcW w:w="24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1,118</w:t>
            </w:r>
          </w:p>
        </w:tc>
        <w:tc>
          <w:tcPr>
            <w:tcW w:w="40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1,235</w:t>
            </w:r>
          </w:p>
        </w:tc>
        <w:tc>
          <w:tcPr>
            <w:tcW w:w="3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(117)</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2,232</w:t>
            </w:r>
          </w:p>
        </w:tc>
        <w:tc>
          <w:tcPr>
            <w:tcW w:w="4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2,379</w:t>
            </w:r>
          </w:p>
        </w:tc>
        <w:tc>
          <w:tcPr>
            <w:tcW w:w="3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(147)</w:t>
            </w:r>
          </w:p>
        </w:tc>
      </w:tr>
      <w:tr>
        <w:trPr>
          <w:trHeight w:val="210"/>
        </w:trPr>
        <w:tc>
          <w:tcPr>
            <w:tcW w:w="40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Fee and other income</w:t>
            </w:r>
          </w:p>
        </w:tc>
        <w:tc>
          <w:tcPr>
            <w:tcW w:w="10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18</w:t>
            </w:r>
          </w:p>
        </w:tc>
        <w:tc>
          <w:tcPr>
            <w:tcW w:w="40" w:type="dxa"/>
            <w:vAlign w:val="bottom"/>
            <w:tcBorders>
              <w:bottom w:val="single" w:sz="8" w:color="2C6937"/>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21</w:t>
            </w:r>
          </w:p>
        </w:tc>
        <w:tc>
          <w:tcPr>
            <w:tcW w:w="14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w:t>
            </w:r>
          </w:p>
        </w:tc>
        <w:tc>
          <w:tcPr>
            <w:tcW w:w="140" w:type="dxa"/>
            <w:vAlign w:val="bottom"/>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33</w:t>
            </w:r>
          </w:p>
        </w:tc>
        <w:tc>
          <w:tcPr>
            <w:tcW w:w="20" w:type="dxa"/>
            <w:vAlign w:val="bottom"/>
            <w:tcBorders>
              <w:bottom w:val="single" w:sz="8" w:color="2C6937"/>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43</w:t>
            </w:r>
          </w:p>
        </w:tc>
        <w:tc>
          <w:tcPr>
            <w:tcW w:w="14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w:t>
            </w:r>
          </w:p>
        </w:tc>
      </w:tr>
      <w:tr>
        <w:trPr>
          <w:trHeight w:val="196"/>
        </w:trPr>
        <w:tc>
          <w:tcPr>
            <w:tcW w:w="4140" w:type="dxa"/>
            <w:vAlign w:val="bottom"/>
            <w:gridSpan w:val="2"/>
          </w:tcPr>
          <w:p>
            <w:pPr>
              <w:ind w:left="180"/>
              <w:spacing w:after="0"/>
              <w:rPr>
                <w:sz w:val="20"/>
                <w:szCs w:val="20"/>
                <w:color w:val="auto"/>
              </w:rPr>
            </w:pPr>
            <w:r>
              <w:rPr>
                <w:rFonts w:ascii="Arial" w:cs="Arial" w:eastAsia="Arial" w:hAnsi="Arial"/>
                <w:sz w:val="15"/>
                <w:szCs w:val="15"/>
                <w:color w:val="auto"/>
              </w:rPr>
              <w:t>Net revenues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1,136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1,256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(120)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2,265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2,422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(157)</w:t>
            </w:r>
          </w:p>
        </w:tc>
      </w:tr>
      <w:tr>
        <w:trPr>
          <w:trHeight w:val="206"/>
        </w:trPr>
        <w:tc>
          <w:tcPr>
            <w:tcW w:w="4140" w:type="dxa"/>
            <w:vAlign w:val="bottom"/>
            <w:gridSpan w:val="2"/>
          </w:tcPr>
          <w:p>
            <w:pPr>
              <w:ind w:left="20"/>
              <w:spacing w:after="0"/>
              <w:rPr>
                <w:sz w:val="20"/>
                <w:szCs w:val="20"/>
                <w:color w:val="auto"/>
              </w:rPr>
            </w:pPr>
            <w:r>
              <w:rPr>
                <w:rFonts w:ascii="Arial" w:cs="Arial" w:eastAsia="Arial" w:hAnsi="Arial"/>
                <w:sz w:val="15"/>
                <w:szCs w:val="15"/>
                <w:color w:val="auto"/>
              </w:rPr>
              <w:t>Fair value losses, net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(56)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43</w:t>
            </w:r>
          </w:p>
        </w:tc>
      </w:tr>
      <w:tr>
        <w:trPr>
          <w:trHeight w:val="206"/>
        </w:trPr>
        <w:tc>
          <w:tcPr>
            <w:tcW w:w="4140" w:type="dxa"/>
            <w:vAlign w:val="bottom"/>
            <w:gridSpan w:val="2"/>
          </w:tcPr>
          <w:p>
            <w:pPr>
              <w:ind w:left="20"/>
              <w:spacing w:after="0"/>
              <w:rPr>
                <w:sz w:val="20"/>
                <w:szCs w:val="20"/>
                <w:color w:val="auto"/>
              </w:rPr>
            </w:pPr>
            <w:r>
              <w:rPr>
                <w:rFonts w:ascii="Arial" w:cs="Arial" w:eastAsia="Arial" w:hAnsi="Arial"/>
                <w:sz w:val="15"/>
                <w:szCs w:val="15"/>
                <w:color w:val="auto"/>
              </w:rPr>
              <w:t>Administrative expenses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(146)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(294)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(249)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(45)</w:t>
            </w:r>
          </w:p>
        </w:tc>
      </w:tr>
      <w:tr>
        <w:trPr>
          <w:trHeight w:val="203"/>
        </w:trPr>
        <w:tc>
          <w:tcPr>
            <w:tcW w:w="4140" w:type="dxa"/>
            <w:vAlign w:val="bottom"/>
            <w:gridSpan w:val="2"/>
          </w:tcPr>
          <w:p>
            <w:pPr>
              <w:ind w:left="20"/>
              <w:spacing w:after="0"/>
              <w:rPr>
                <w:sz w:val="20"/>
                <w:szCs w:val="20"/>
                <w:color w:val="auto"/>
              </w:rPr>
            </w:pPr>
            <w:r>
              <w:rPr>
                <w:rFonts w:ascii="Arial" w:cs="Arial" w:eastAsia="Arial" w:hAnsi="Arial"/>
                <w:sz w:val="15"/>
                <w:szCs w:val="15"/>
                <w:color w:val="auto"/>
              </w:rPr>
              <w:t>Benefit (provision) for credit losses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(152)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(140)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(331)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18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(349)</w:t>
            </w:r>
          </w:p>
        </w:tc>
      </w:tr>
      <w:tr>
        <w:trPr>
          <w:trHeight w:val="219"/>
        </w:trPr>
        <w:tc>
          <w:tcPr>
            <w:tcW w:w="4140" w:type="dxa"/>
            <w:vAlign w:val="bottom"/>
            <w:gridSpan w:val="2"/>
          </w:tcPr>
          <w:p>
            <w:pPr>
              <w:ind w:left="20"/>
              <w:spacing w:after="0" w:line="219" w:lineRule="exact"/>
              <w:rPr>
                <w:sz w:val="20"/>
                <w:szCs w:val="20"/>
                <w:color w:val="auto"/>
              </w:rPr>
            </w:pPr>
            <w:r>
              <w:rPr>
                <w:rFonts w:ascii="Arial" w:cs="Arial" w:eastAsia="Arial" w:hAnsi="Arial"/>
                <w:sz w:val="15"/>
                <w:szCs w:val="15"/>
                <w:color w:val="auto"/>
              </w:rPr>
              <w:t>Credit enhancement expense</w:t>
            </w:r>
            <w:r>
              <w:rPr>
                <w:rFonts w:ascii="Arial" w:cs="Arial" w:eastAsia="Arial" w:hAnsi="Arial"/>
                <w:sz w:val="20"/>
                <w:szCs w:val="20"/>
                <w:color w:val="auto"/>
                <w:vertAlign w:val="superscript"/>
              </w:rPr>
              <w:t>(2)</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(57)</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(111)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(130)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223"/>
        </w:trPr>
        <w:tc>
          <w:tcPr>
            <w:tcW w:w="4140" w:type="dxa"/>
            <w:vAlign w:val="bottom"/>
            <w:gridSpan w:val="2"/>
          </w:tcPr>
          <w:p>
            <w:pPr>
              <w:ind w:left="20"/>
              <w:spacing w:after="0" w:line="223" w:lineRule="exact"/>
              <w:rPr>
                <w:sz w:val="20"/>
                <w:szCs w:val="20"/>
                <w:color w:val="auto"/>
              </w:rPr>
            </w:pPr>
            <w:r>
              <w:rPr>
                <w:rFonts w:ascii="Arial" w:cs="Arial" w:eastAsia="Arial" w:hAnsi="Arial"/>
                <w:sz w:val="15"/>
                <w:szCs w:val="15"/>
                <w:color w:val="auto"/>
              </w:rPr>
              <w:t>Change in expected credit enhancement recoveries</w:t>
            </w:r>
            <w:r>
              <w:rPr>
                <w:rFonts w:ascii="Arial" w:cs="Arial" w:eastAsia="Arial" w:hAnsi="Arial"/>
                <w:sz w:val="20"/>
                <w:szCs w:val="20"/>
                <w:color w:val="auto"/>
                <w:vertAlign w:val="superscript"/>
              </w:rPr>
              <w:t>(3)</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63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88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101</w:t>
            </w:r>
          </w:p>
        </w:tc>
      </w:tr>
      <w:tr>
        <w:trPr>
          <w:trHeight w:val="210"/>
        </w:trPr>
        <w:tc>
          <w:tcPr>
            <w:tcW w:w="4040" w:type="dxa"/>
            <w:vAlign w:val="bottom"/>
            <w:tcBorders>
              <w:bottom w:val="single" w:sz="8" w:color="2C6937"/>
            </w:tcBorders>
          </w:tcPr>
          <w:p>
            <w:pPr>
              <w:ind w:left="20"/>
              <w:spacing w:after="0" w:line="209" w:lineRule="exact"/>
              <w:rPr>
                <w:sz w:val="20"/>
                <w:szCs w:val="20"/>
                <w:color w:val="auto"/>
              </w:rPr>
            </w:pPr>
            <w:r>
              <w:rPr>
                <w:rFonts w:ascii="Arial" w:cs="Arial" w:eastAsia="Arial" w:hAnsi="Arial"/>
                <w:sz w:val="15"/>
                <w:szCs w:val="15"/>
                <w:color w:val="auto"/>
              </w:rPr>
              <w:t>Other expenses, net</w:t>
            </w:r>
            <w:r>
              <w:rPr>
                <w:rFonts w:ascii="Arial" w:cs="Arial" w:eastAsia="Arial" w:hAnsi="Arial"/>
                <w:sz w:val="20"/>
                <w:szCs w:val="20"/>
                <w:color w:val="auto"/>
                <w:vertAlign w:val="superscript"/>
              </w:rPr>
              <w:t>(4)</w:t>
            </w:r>
          </w:p>
        </w:tc>
        <w:tc>
          <w:tcPr>
            <w:tcW w:w="10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(56)</w:t>
            </w:r>
          </w:p>
        </w:tc>
        <w:tc>
          <w:tcPr>
            <w:tcW w:w="40" w:type="dxa"/>
            <w:vAlign w:val="bottom"/>
            <w:tcBorders>
              <w:bottom w:val="single" w:sz="8" w:color="2C6937"/>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(59)</w:t>
            </w:r>
          </w:p>
        </w:tc>
        <w:tc>
          <w:tcPr>
            <w:tcW w:w="14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w:t>
            </w:r>
          </w:p>
        </w:tc>
        <w:tc>
          <w:tcPr>
            <w:tcW w:w="140" w:type="dxa"/>
            <w:vAlign w:val="bottom"/>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(66)</w:t>
            </w:r>
          </w:p>
        </w:tc>
        <w:tc>
          <w:tcPr>
            <w:tcW w:w="20" w:type="dxa"/>
            <w:vAlign w:val="bottom"/>
            <w:tcBorders>
              <w:bottom w:val="single" w:sz="8" w:color="2C6937"/>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(128)</w:t>
            </w:r>
          </w:p>
        </w:tc>
        <w:tc>
          <w:tcPr>
            <w:tcW w:w="14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62</w:t>
            </w:r>
          </w:p>
        </w:tc>
      </w:tr>
      <w:tr>
        <w:trPr>
          <w:trHeight w:val="196"/>
        </w:trPr>
        <w:tc>
          <w:tcPr>
            <w:tcW w:w="4140" w:type="dxa"/>
            <w:vAlign w:val="bottom"/>
            <w:gridSpan w:val="2"/>
          </w:tcPr>
          <w:p>
            <w:pPr>
              <w:ind w:left="20"/>
              <w:spacing w:after="0"/>
              <w:rPr>
                <w:sz w:val="20"/>
                <w:szCs w:val="20"/>
                <w:color w:val="auto"/>
              </w:rPr>
            </w:pPr>
            <w:r>
              <w:rPr>
                <w:rFonts w:ascii="Arial" w:cs="Arial" w:eastAsia="Arial" w:hAnsi="Arial"/>
                <w:sz w:val="15"/>
                <w:szCs w:val="15"/>
                <w:color w:val="auto"/>
              </w:rPr>
              <w:t>Income before federal income taxes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732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981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(249)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1,533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1,859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(326)</w:t>
            </w:r>
          </w:p>
        </w:tc>
      </w:tr>
      <w:tr>
        <w:trPr>
          <w:trHeight w:val="210"/>
        </w:trPr>
        <w:tc>
          <w:tcPr>
            <w:tcW w:w="40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Provision for federal income taxes</w:t>
            </w:r>
          </w:p>
        </w:tc>
        <w:tc>
          <w:tcPr>
            <w:tcW w:w="10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(132)</w:t>
            </w:r>
          </w:p>
        </w:tc>
        <w:tc>
          <w:tcPr>
            <w:tcW w:w="40" w:type="dxa"/>
            <w:vAlign w:val="bottom"/>
            <w:tcBorders>
              <w:bottom w:val="single" w:sz="8" w:color="2C6937"/>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(214)</w:t>
            </w:r>
          </w:p>
        </w:tc>
        <w:tc>
          <w:tcPr>
            <w:tcW w:w="14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82</w:t>
            </w:r>
          </w:p>
        </w:tc>
        <w:tc>
          <w:tcPr>
            <w:tcW w:w="140" w:type="dxa"/>
            <w:vAlign w:val="bottom"/>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(293)</w:t>
            </w:r>
          </w:p>
        </w:tc>
        <w:tc>
          <w:tcPr>
            <w:tcW w:w="20" w:type="dxa"/>
            <w:vAlign w:val="bottom"/>
            <w:tcBorders>
              <w:bottom w:val="single" w:sz="8" w:color="2C6937"/>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(393)</w:t>
            </w:r>
          </w:p>
        </w:tc>
        <w:tc>
          <w:tcPr>
            <w:tcW w:w="14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100</w:t>
            </w:r>
          </w:p>
        </w:tc>
      </w:tr>
      <w:tr>
        <w:trPr>
          <w:trHeight w:val="199"/>
        </w:trPr>
        <w:tc>
          <w:tcPr>
            <w:tcW w:w="4140" w:type="dxa"/>
            <w:vAlign w:val="bottom"/>
            <w:gridSpan w:val="2"/>
          </w:tcPr>
          <w:p>
            <w:pPr>
              <w:ind w:left="180"/>
              <w:spacing w:after="0"/>
              <w:rPr>
                <w:sz w:val="20"/>
                <w:szCs w:val="20"/>
                <w:color w:val="auto"/>
              </w:rPr>
            </w:pPr>
            <w:r>
              <w:rPr>
                <w:rFonts w:ascii="Arial" w:cs="Arial" w:eastAsia="Arial" w:hAnsi="Arial"/>
                <w:sz w:val="15"/>
                <w:szCs w:val="15"/>
                <w:color w:val="auto"/>
              </w:rPr>
              <w:t>Net income</w:t>
            </w:r>
          </w:p>
        </w:tc>
        <w:tc>
          <w:tcPr>
            <w:tcW w:w="24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600</w:t>
            </w:r>
          </w:p>
        </w:tc>
        <w:tc>
          <w:tcPr>
            <w:tcW w:w="40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767</w:t>
            </w:r>
          </w:p>
        </w:tc>
        <w:tc>
          <w:tcPr>
            <w:tcW w:w="3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(167)</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1,240</w:t>
            </w:r>
          </w:p>
        </w:tc>
        <w:tc>
          <w:tcPr>
            <w:tcW w:w="4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1,466</w:t>
            </w:r>
          </w:p>
        </w:tc>
        <w:tc>
          <w:tcPr>
            <w:tcW w:w="3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(226)</w:t>
            </w:r>
          </w:p>
        </w:tc>
      </w:tr>
      <w:tr>
        <w:trPr>
          <w:trHeight w:val="20"/>
        </w:trPr>
        <w:tc>
          <w:tcPr>
            <w:tcW w:w="40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r>
    </w:tbl>
    <w:p>
      <w:pPr>
        <w:spacing w:after="0" w:line="91" w:lineRule="exact"/>
        <w:rPr>
          <w:sz w:val="20"/>
          <w:szCs w:val="20"/>
          <w:color w:val="auto"/>
        </w:rPr>
      </w:pPr>
    </w:p>
    <w:p>
      <w:pPr>
        <w:ind w:left="240" w:hanging="237"/>
        <w:spacing w:after="0"/>
        <w:tabs>
          <w:tab w:leader="none" w:pos="24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See “Note 9, Segment Reporting” for information about our segment allocation methodology.</w:t>
      </w:r>
    </w:p>
    <w:p>
      <w:pPr>
        <w:spacing w:after="0" w:line="41" w:lineRule="exact"/>
        <w:rPr>
          <w:rFonts w:ascii="Arial" w:cs="Arial" w:eastAsia="Arial" w:hAnsi="Arial"/>
          <w:sz w:val="18"/>
          <w:szCs w:val="18"/>
          <w:color w:val="auto"/>
          <w:vertAlign w:val="superscript"/>
        </w:rPr>
      </w:pPr>
    </w:p>
    <w:p>
      <w:pPr>
        <w:ind w:left="240" w:right="480" w:hanging="237"/>
        <w:spacing w:after="0" w:line="208" w:lineRule="auto"/>
        <w:tabs>
          <w:tab w:leader="none" w:pos="24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Primarily consists of costs associated with our Multifamily CIRT</w:t>
      </w:r>
      <w:r>
        <w:rPr>
          <w:rFonts w:ascii="Arial" w:cs="Arial" w:eastAsia="Arial" w:hAnsi="Arial"/>
          <w:sz w:val="17"/>
          <w:szCs w:val="17"/>
          <w:color w:val="auto"/>
          <w:vertAlign w:val="superscript"/>
        </w:rPr>
        <w:t>TM</w:t>
      </w:r>
      <w:r>
        <w:rPr>
          <w:rFonts w:ascii="Arial" w:cs="Arial" w:eastAsia="Arial" w:hAnsi="Arial"/>
          <w:sz w:val="14"/>
          <w:szCs w:val="14"/>
          <w:color w:val="auto"/>
        </w:rPr>
        <w:t xml:space="preserve"> (“MCIRT</w:t>
      </w:r>
      <w:r>
        <w:rPr>
          <w:rFonts w:ascii="Arial" w:cs="Arial" w:eastAsia="Arial" w:hAnsi="Arial"/>
          <w:sz w:val="17"/>
          <w:szCs w:val="17"/>
          <w:color w:val="auto"/>
          <w:vertAlign w:val="superscript"/>
        </w:rPr>
        <w:t>TM</w:t>
      </w:r>
      <w:r>
        <w:rPr>
          <w:rFonts w:ascii="Arial" w:cs="Arial" w:eastAsia="Arial" w:hAnsi="Arial"/>
          <w:sz w:val="14"/>
          <w:szCs w:val="14"/>
          <w:color w:val="auto"/>
        </w:rPr>
        <w:t>”) and Multifamily Connecticut Avenue Securities</w:t>
      </w:r>
      <w:r>
        <w:rPr>
          <w:rFonts w:ascii="Arial" w:cs="Arial" w:eastAsia="Arial" w:hAnsi="Arial"/>
          <w:sz w:val="17"/>
          <w:szCs w:val="17"/>
          <w:color w:val="auto"/>
          <w:vertAlign w:val="superscript"/>
        </w:rPr>
        <w:t>TM</w:t>
      </w:r>
      <w:r>
        <w:rPr>
          <w:rFonts w:ascii="Arial" w:cs="Arial" w:eastAsia="Arial" w:hAnsi="Arial"/>
          <w:sz w:val="14"/>
          <w:szCs w:val="14"/>
          <w:color w:val="auto"/>
        </w:rPr>
        <w:t xml:space="preserve"> (“MCAS</w:t>
      </w:r>
      <w:r>
        <w:rPr>
          <w:rFonts w:ascii="Arial" w:cs="Arial" w:eastAsia="Arial" w:hAnsi="Arial"/>
          <w:sz w:val="17"/>
          <w:szCs w:val="17"/>
          <w:color w:val="auto"/>
          <w:vertAlign w:val="superscript"/>
        </w:rPr>
        <w:t>TM</w:t>
      </w:r>
      <w:r>
        <w:rPr>
          <w:rFonts w:ascii="Arial" w:cs="Arial" w:eastAsia="Arial" w:hAnsi="Arial"/>
          <w:sz w:val="14"/>
          <w:szCs w:val="14"/>
          <w:color w:val="auto"/>
        </w:rPr>
        <w:t>”) programs as well as amortization expense for certain lender risk-sharing programs.</w:t>
      </w:r>
    </w:p>
    <w:p>
      <w:pPr>
        <w:spacing w:after="0" w:line="28" w:lineRule="exact"/>
        <w:rPr>
          <w:rFonts w:ascii="Arial" w:cs="Arial" w:eastAsia="Arial" w:hAnsi="Arial"/>
          <w:sz w:val="18"/>
          <w:szCs w:val="18"/>
          <w:color w:val="auto"/>
          <w:vertAlign w:val="superscript"/>
        </w:rPr>
      </w:pPr>
    </w:p>
    <w:p>
      <w:pPr>
        <w:ind w:left="240" w:hanging="237"/>
        <w:spacing w:after="0"/>
        <w:tabs>
          <w:tab w:leader="none" w:pos="240" w:val="left"/>
        </w:tabs>
        <w:numPr>
          <w:ilvl w:val="0"/>
          <w:numId w:val="48"/>
        </w:numPr>
        <w:rPr>
          <w:rFonts w:ascii="Arial" w:cs="Arial" w:eastAsia="Arial" w:hAnsi="Arial"/>
          <w:sz w:val="17"/>
          <w:szCs w:val="17"/>
          <w:color w:val="auto"/>
          <w:vertAlign w:val="superscript"/>
        </w:rPr>
      </w:pPr>
      <w:r>
        <w:rPr>
          <w:rFonts w:ascii="Arial" w:cs="Arial" w:eastAsia="Arial" w:hAnsi="Arial"/>
          <w:sz w:val="13"/>
          <w:szCs w:val="13"/>
          <w:color w:val="auto"/>
        </w:rPr>
        <w:t>Consists of change in benefits recognized from our freestanding credit enhancements that primarily relate to our Delegated Underwriting and Servicing (“DUS</w:t>
      </w:r>
      <w:r>
        <w:rPr>
          <w:rFonts w:ascii="Arial" w:cs="Arial" w:eastAsia="Arial" w:hAnsi="Arial"/>
          <w:sz w:val="16"/>
          <w:szCs w:val="16"/>
          <w:color w:val="auto"/>
          <w:vertAlign w:val="superscript"/>
        </w:rPr>
        <w:t>®</w:t>
      </w:r>
      <w:r>
        <w:rPr>
          <w:rFonts w:ascii="Arial" w:cs="Arial" w:eastAsia="Arial" w:hAnsi="Arial"/>
          <w:sz w:val="13"/>
          <w:szCs w:val="13"/>
          <w:color w:val="auto"/>
        </w:rPr>
        <w:t>”) lender risk-sharing.</w:t>
      </w:r>
    </w:p>
    <w:p>
      <w:pPr>
        <w:spacing w:after="0" w:line="24" w:lineRule="exact"/>
        <w:rPr>
          <w:rFonts w:ascii="Arial" w:cs="Arial" w:eastAsia="Arial" w:hAnsi="Arial"/>
          <w:sz w:val="17"/>
          <w:szCs w:val="17"/>
          <w:color w:val="auto"/>
          <w:vertAlign w:val="superscript"/>
        </w:rPr>
      </w:pPr>
    </w:p>
    <w:p>
      <w:pPr>
        <w:ind w:left="240" w:right="80" w:hanging="237"/>
        <w:spacing w:after="0" w:line="216" w:lineRule="auto"/>
        <w:tabs>
          <w:tab w:leader="none" w:pos="24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Consists of investment gains or losses, foreclosed property income (expense), gains or losses from partnership investments, debt extinguishment gains or losses, and other income or expenses.</w:t>
      </w:r>
    </w:p>
    <w:p>
      <w:pPr>
        <w:spacing w:after="0" w:line="9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Net Interest Income</w:t>
      </w:r>
    </w:p>
    <w:p>
      <w:pPr>
        <w:spacing w:after="0" w:line="71" w:lineRule="exact"/>
        <w:rPr>
          <w:sz w:val="20"/>
          <w:szCs w:val="20"/>
          <w:color w:val="auto"/>
        </w:rPr>
      </w:pPr>
    </w:p>
    <w:p>
      <w:pPr>
        <w:jc w:val="both"/>
        <w:ind w:right="180"/>
        <w:spacing w:after="0" w:line="267" w:lineRule="auto"/>
        <w:rPr>
          <w:sz w:val="20"/>
          <w:szCs w:val="20"/>
          <w:color w:val="auto"/>
        </w:rPr>
      </w:pPr>
      <w:r>
        <w:rPr>
          <w:rFonts w:ascii="Arial" w:cs="Arial" w:eastAsia="Arial" w:hAnsi="Arial"/>
          <w:sz w:val="16"/>
          <w:szCs w:val="16"/>
          <w:color w:val="auto"/>
        </w:rPr>
        <w:t>Net interest income decreased in the second quarter and first half of 2023 compared with the second quarter and first half of 2022 due to lower liquidation volumes and therefore lower yield maintenance income, as well as lower average charged guaranty fees, partially offset by an increase in our multifamily guaranty book of business.</w:t>
      </w:r>
    </w:p>
    <w:p>
      <w:pPr>
        <w:spacing w:after="0" w:line="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Benefit (Provision) for Credit Losses</w:t>
      </w:r>
    </w:p>
    <w:p>
      <w:pPr>
        <w:spacing w:after="0" w:line="84"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auto"/>
        </w:rPr>
        <w:t>Our multifamily provision for credit losses for the second quarter and first half of 2023 was primarily driven by decreases in estimated multifamily property values.</w:t>
      </w:r>
    </w:p>
    <w:p>
      <w:pPr>
        <w:spacing w:after="0" w:line="17" w:lineRule="exact"/>
        <w:rPr>
          <w:sz w:val="20"/>
          <w:szCs w:val="20"/>
          <w:color w:val="auto"/>
        </w:rPr>
      </w:pPr>
    </w:p>
    <w:p>
      <w:pPr>
        <w:ind w:right="660"/>
        <w:spacing w:after="0" w:line="283" w:lineRule="auto"/>
        <w:rPr>
          <w:sz w:val="20"/>
          <w:szCs w:val="20"/>
          <w:color w:val="auto"/>
        </w:rPr>
      </w:pPr>
      <w:r>
        <w:rPr>
          <w:rFonts w:ascii="Arial" w:cs="Arial" w:eastAsia="Arial" w:hAnsi="Arial"/>
          <w:sz w:val="16"/>
          <w:szCs w:val="16"/>
          <w:color w:val="auto"/>
        </w:rPr>
        <w:t>Provision for credit losses for the second quarter of 2022 was the result of an increase in our credit loss reserves primarily due to higher actual and projected interest rates, partially offset by solid multifamily market fundamentals.</w:t>
      </w:r>
    </w:p>
    <w:p>
      <w:pPr>
        <w:spacing w:after="0" w:line="30" w:lineRule="exact"/>
        <w:rPr>
          <w:sz w:val="20"/>
          <w:szCs w:val="20"/>
          <w:color w:val="auto"/>
        </w:rPr>
      </w:pPr>
    </w:p>
    <w:p>
      <w:pPr>
        <w:ind w:right="2700"/>
        <w:spacing w:after="0" w:line="283" w:lineRule="auto"/>
        <w:rPr>
          <w:sz w:val="20"/>
          <w:szCs w:val="20"/>
          <w:color w:val="auto"/>
        </w:rPr>
      </w:pPr>
      <w:r>
        <w:rPr>
          <w:rFonts w:ascii="Arial" w:cs="Arial" w:eastAsia="Arial" w:hAnsi="Arial"/>
          <w:sz w:val="16"/>
          <w:szCs w:val="16"/>
          <w:color w:val="auto"/>
        </w:rPr>
        <w:t>Benefit for credit losses for the first half of 2022 was primarily driven by solid multifamily market fundamentals, partially offset by higher actual and projected interest rates.</w:t>
      </w:r>
    </w:p>
    <w:p>
      <w:pPr>
        <w:spacing w:after="0" w:line="30" w:lineRule="exact"/>
        <w:rPr>
          <w:sz w:val="20"/>
          <w:szCs w:val="20"/>
          <w:color w:val="auto"/>
        </w:rPr>
      </w:pPr>
    </w:p>
    <w:p>
      <w:pPr>
        <w:ind w:right="520"/>
        <w:spacing w:after="0" w:line="300" w:lineRule="auto"/>
        <w:rPr>
          <w:sz w:val="20"/>
          <w:szCs w:val="20"/>
          <w:color w:val="auto"/>
        </w:rPr>
      </w:pPr>
      <w:r>
        <w:rPr>
          <w:rFonts w:ascii="Arial" w:cs="Arial" w:eastAsia="Arial" w:hAnsi="Arial"/>
          <w:sz w:val="16"/>
          <w:szCs w:val="16"/>
          <w:color w:val="auto"/>
        </w:rPr>
        <w:t>See “Consolidated Results of Operations—Benefit (Provision) for Credit Losses” for more information on our multifamily benefit or provision for credit losses.</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40</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840" w:type="dxa"/>
            <w:vAlign w:val="bottom"/>
            <w:tcBorders>
              <w:bottom w:val="single" w:sz="8" w:color="9A9A9A"/>
            </w:tcBorders>
          </w:tcPr>
          <w:p>
            <w:pPr>
              <w:spacing w:after="0"/>
              <w:rPr>
                <w:sz w:val="18"/>
                <w:szCs w:val="18"/>
                <w:color w:val="auto"/>
              </w:rPr>
            </w:pPr>
          </w:p>
        </w:tc>
        <w:tc>
          <w:tcPr>
            <w:tcW w:w="42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43" w:name="page44"/>
    <w:bookmarkEnd w:id="43"/>
    <w:p>
      <w:pPr>
        <w:ind w:left="6440"/>
        <w:spacing w:after="0"/>
        <w:rPr>
          <w:sz w:val="20"/>
          <w:szCs w:val="20"/>
          <w:color w:val="auto"/>
        </w:rPr>
      </w:pPr>
      <w:r>
        <w:rPr>
          <w:rFonts w:ascii="Arial" w:cs="Arial" w:eastAsia="Arial" w:hAnsi="Arial"/>
          <w:sz w:val="14"/>
          <w:szCs w:val="14"/>
          <w:color w:val="05314D"/>
        </w:rPr>
        <w:t>MD&amp;A | Multifamily Business | Multifamily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Multifamily Mortgage Credit Risk Management</w:t>
      </w:r>
    </w:p>
    <w:p>
      <w:pPr>
        <w:spacing w:after="0" w:line="77" w:lineRule="exact"/>
        <w:rPr>
          <w:sz w:val="20"/>
          <w:szCs w:val="20"/>
          <w:color w:val="auto"/>
        </w:rPr>
      </w:pPr>
    </w:p>
    <w:p>
      <w:pPr>
        <w:ind w:right="540"/>
        <w:spacing w:after="0" w:line="283" w:lineRule="auto"/>
        <w:rPr>
          <w:sz w:val="20"/>
          <w:szCs w:val="20"/>
          <w:color w:val="auto"/>
        </w:rPr>
      </w:pPr>
      <w:r>
        <w:rPr>
          <w:rFonts w:ascii="Arial" w:cs="Arial" w:eastAsia="Arial" w:hAnsi="Arial"/>
          <w:sz w:val="16"/>
          <w:szCs w:val="16"/>
          <w:color w:val="auto"/>
        </w:rPr>
        <w:t>This section supplements and updates our discussion of multifamily mortgage credit risk management in our 2022 Form 10-K in “MD&amp;A—Multifamily Business—Multifamily Mortgage Credit Risk Management.”</w:t>
      </w:r>
    </w:p>
    <w:p>
      <w:pPr>
        <w:spacing w:after="0" w:line="7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Multifamily Acquisition Policy and Underwriting Standards</w:t>
      </w:r>
    </w:p>
    <w:p>
      <w:pPr>
        <w:spacing w:after="0" w:line="71" w:lineRule="exact"/>
        <w:rPr>
          <w:sz w:val="20"/>
          <w:szCs w:val="20"/>
          <w:color w:val="auto"/>
        </w:rPr>
      </w:pPr>
    </w:p>
    <w:p>
      <w:pPr>
        <w:ind w:right="240"/>
        <w:spacing w:after="0" w:line="267" w:lineRule="auto"/>
        <w:rPr>
          <w:sz w:val="20"/>
          <w:szCs w:val="20"/>
          <w:color w:val="auto"/>
        </w:rPr>
      </w:pPr>
      <w:r>
        <w:rPr>
          <w:rFonts w:ascii="Arial" w:cs="Arial" w:eastAsia="Arial" w:hAnsi="Arial"/>
          <w:sz w:val="16"/>
          <w:szCs w:val="16"/>
          <w:color w:val="auto"/>
        </w:rPr>
        <w:t>The following table displays certain key risk characteristics of our multifamily guaranty book of business that we use to evaluate the risk profile and credit quality of our multifamily loans. For information on our multifamily acquisition policy and underwriting standards, see “MD&amp;A—Multifamily Business— Multifamily Mortgage Credit Risk Management—Multifamily Acquisition Policy and Underwriting Standards” in our 2022 Form 10-K.</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Key Risk Characteristics of Multifamily 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7138670" cy="165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5340" w:type="dxa"/>
            <w:vAlign w:val="bottom"/>
          </w:tcPr>
          <w:p>
            <w:pPr>
              <w:spacing w:after="0"/>
              <w:rPr>
                <w:sz w:val="17"/>
                <w:szCs w:val="17"/>
                <w:color w:val="auto"/>
              </w:rPr>
            </w:pPr>
          </w:p>
        </w:tc>
        <w:tc>
          <w:tcPr>
            <w:tcW w:w="1480" w:type="dxa"/>
            <w:vAlign w:val="bottom"/>
            <w:tcBorders>
              <w:bottom w:val="single" w:sz="8" w:color="2C6937"/>
            </w:tcBorders>
          </w:tcPr>
          <w:p>
            <w:pPr>
              <w:spacing w:after="0"/>
              <w:rPr>
                <w:sz w:val="17"/>
                <w:szCs w:val="17"/>
                <w:color w:val="auto"/>
              </w:rPr>
            </w:pPr>
          </w:p>
        </w:tc>
        <w:tc>
          <w:tcPr>
            <w:tcW w:w="36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500" w:type="dxa"/>
            <w:vAlign w:val="bottom"/>
            <w:tcBorders>
              <w:bottom w:val="single" w:sz="8" w:color="2C6937"/>
            </w:tcBorders>
          </w:tcPr>
          <w:p>
            <w:pPr>
              <w:jc w:val="center"/>
              <w:ind w:left="311"/>
              <w:spacing w:after="0"/>
              <w:rPr>
                <w:sz w:val="20"/>
                <w:szCs w:val="20"/>
                <w:color w:val="auto"/>
              </w:rPr>
            </w:pPr>
            <w:r>
              <w:rPr>
                <w:rFonts w:ascii="Arial" w:cs="Arial" w:eastAsia="Arial" w:hAnsi="Arial"/>
                <w:sz w:val="14"/>
                <w:szCs w:val="14"/>
                <w:b w:val="1"/>
                <w:bCs w:val="1"/>
                <w:color w:val="auto"/>
              </w:rPr>
              <w:t>As of</w:t>
            </w:r>
          </w:p>
        </w:tc>
        <w:tc>
          <w:tcPr>
            <w:tcW w:w="38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480" w:type="dxa"/>
            <w:vAlign w:val="bottom"/>
            <w:tcBorders>
              <w:bottom w:val="single" w:sz="8" w:color="2C6937"/>
            </w:tcBorders>
          </w:tcPr>
          <w:p>
            <w:pPr>
              <w:spacing w:after="0"/>
              <w:rPr>
                <w:sz w:val="17"/>
                <w:szCs w:val="17"/>
                <w:color w:val="auto"/>
              </w:rPr>
            </w:pPr>
          </w:p>
        </w:tc>
        <w:tc>
          <w:tcPr>
            <w:tcW w:w="380" w:type="dxa"/>
            <w:vAlign w:val="bottom"/>
            <w:tcBorders>
              <w:bottom w:val="single" w:sz="8" w:color="2C6937"/>
            </w:tcBorders>
          </w:tcPr>
          <w:p>
            <w:pPr>
              <w:spacing w:after="0"/>
              <w:rPr>
                <w:sz w:val="17"/>
                <w:szCs w:val="17"/>
                <w:color w:val="auto"/>
              </w:rPr>
            </w:pPr>
          </w:p>
        </w:tc>
      </w:tr>
      <w:tr>
        <w:trPr>
          <w:trHeight w:val="180"/>
        </w:trPr>
        <w:tc>
          <w:tcPr>
            <w:tcW w:w="5340" w:type="dxa"/>
            <w:vAlign w:val="bottom"/>
          </w:tcPr>
          <w:p>
            <w:pPr>
              <w:spacing w:after="0"/>
              <w:rPr>
                <w:sz w:val="15"/>
                <w:szCs w:val="15"/>
                <w:color w:val="auto"/>
              </w:rPr>
            </w:pPr>
          </w:p>
        </w:tc>
        <w:tc>
          <w:tcPr>
            <w:tcW w:w="1480" w:type="dxa"/>
            <w:vAlign w:val="bottom"/>
            <w:tcBorders>
              <w:bottom w:val="single" w:sz="8" w:color="2C6937"/>
            </w:tcBorders>
          </w:tcPr>
          <w:p>
            <w:pPr>
              <w:jc w:val="right"/>
              <w:ind w:right="44"/>
              <w:spacing w:after="0"/>
              <w:rPr>
                <w:sz w:val="20"/>
                <w:szCs w:val="20"/>
                <w:color w:val="auto"/>
              </w:rPr>
            </w:pPr>
            <w:r>
              <w:rPr>
                <w:rFonts w:ascii="Arial" w:cs="Arial" w:eastAsia="Arial" w:hAnsi="Arial"/>
                <w:sz w:val="14"/>
                <w:szCs w:val="14"/>
                <w:b w:val="1"/>
                <w:bCs w:val="1"/>
                <w:color w:val="auto"/>
              </w:rPr>
              <w:t>June 30, 2023</w:t>
            </w:r>
          </w:p>
        </w:tc>
        <w:tc>
          <w:tcPr>
            <w:tcW w:w="360" w:type="dxa"/>
            <w:vAlign w:val="bottom"/>
            <w:tcBorders>
              <w:bottom w:val="single" w:sz="8" w:color="2C6937"/>
            </w:tcBorders>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tcBorders>
              <w:bottom w:val="single" w:sz="8" w:color="2C6937"/>
            </w:tcBorders>
            <w:gridSpan w:val="2"/>
          </w:tcPr>
          <w:p>
            <w:pPr>
              <w:jc w:val="center"/>
              <w:spacing w:after="0"/>
              <w:rPr>
                <w:sz w:val="20"/>
                <w:szCs w:val="20"/>
                <w:color w:val="auto"/>
              </w:rPr>
            </w:pPr>
            <w:r>
              <w:rPr>
                <w:rFonts w:ascii="Arial" w:cs="Arial" w:eastAsia="Arial" w:hAnsi="Arial"/>
                <w:sz w:val="14"/>
                <w:szCs w:val="14"/>
                <w:b w:val="1"/>
                <w:bCs w:val="1"/>
                <w:color w:val="auto"/>
                <w:w w:val="98"/>
              </w:rPr>
              <w:t>December 31, 2022</w:t>
            </w:r>
          </w:p>
        </w:tc>
        <w:tc>
          <w:tcPr>
            <w:tcW w:w="140" w:type="dxa"/>
            <w:vAlign w:val="bottom"/>
          </w:tcPr>
          <w:p>
            <w:pPr>
              <w:spacing w:after="0"/>
              <w:rPr>
                <w:sz w:val="15"/>
                <w:szCs w:val="15"/>
                <w:color w:val="auto"/>
              </w:rPr>
            </w:pPr>
          </w:p>
        </w:tc>
        <w:tc>
          <w:tcPr>
            <w:tcW w:w="1480" w:type="dxa"/>
            <w:vAlign w:val="bottom"/>
            <w:tcBorders>
              <w:bottom w:val="single" w:sz="8" w:color="2C6937"/>
            </w:tcBorders>
          </w:tcPr>
          <w:p>
            <w:pPr>
              <w:jc w:val="right"/>
              <w:ind w:right="31"/>
              <w:spacing w:after="0"/>
              <w:rPr>
                <w:sz w:val="20"/>
                <w:szCs w:val="20"/>
                <w:color w:val="auto"/>
              </w:rPr>
            </w:pPr>
            <w:r>
              <w:rPr>
                <w:rFonts w:ascii="Arial" w:cs="Arial" w:eastAsia="Arial" w:hAnsi="Arial"/>
                <w:sz w:val="14"/>
                <w:szCs w:val="14"/>
                <w:b w:val="1"/>
                <w:bCs w:val="1"/>
                <w:color w:val="auto"/>
              </w:rPr>
              <w:t>June 30, 2022</w:t>
            </w:r>
          </w:p>
        </w:tc>
        <w:tc>
          <w:tcPr>
            <w:tcW w:w="380" w:type="dxa"/>
            <w:vAlign w:val="bottom"/>
            <w:tcBorders>
              <w:bottom w:val="single" w:sz="8" w:color="2C6937"/>
            </w:tcBorders>
          </w:tcPr>
          <w:p>
            <w:pPr>
              <w:spacing w:after="0"/>
              <w:rPr>
                <w:sz w:val="15"/>
                <w:szCs w:val="15"/>
                <w:color w:val="auto"/>
              </w:rPr>
            </w:pPr>
          </w:p>
        </w:tc>
      </w:tr>
      <w:tr>
        <w:trPr>
          <w:trHeight w:val="231"/>
        </w:trPr>
        <w:tc>
          <w:tcPr>
            <w:tcW w:w="5340" w:type="dxa"/>
            <w:vAlign w:val="bottom"/>
          </w:tcPr>
          <w:p>
            <w:pPr>
              <w:spacing w:after="0"/>
              <w:rPr>
                <w:sz w:val="20"/>
                <w:szCs w:val="20"/>
                <w:color w:val="auto"/>
              </w:rPr>
            </w:pPr>
            <w:r>
              <w:rPr>
                <w:rFonts w:ascii="Arial" w:cs="Arial" w:eastAsia="Arial" w:hAnsi="Arial"/>
                <w:sz w:val="15"/>
                <w:szCs w:val="15"/>
                <w:color w:val="auto"/>
              </w:rPr>
              <w:t>Weighted-average original LTV ratio</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64</w:t>
            </w:r>
          </w:p>
        </w:tc>
        <w:tc>
          <w:tcPr>
            <w:tcW w:w="36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64</w:t>
            </w:r>
          </w:p>
        </w:tc>
        <w:tc>
          <w:tcPr>
            <w:tcW w:w="38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65</w:t>
            </w:r>
          </w:p>
        </w:tc>
        <w:tc>
          <w:tcPr>
            <w:tcW w:w="380" w:type="dxa"/>
            <w:vAlign w:val="bottom"/>
          </w:tcPr>
          <w:p>
            <w:pPr>
              <w:jc w:val="right"/>
              <w:ind w:right="103"/>
              <w:spacing w:after="0"/>
              <w:rPr>
                <w:sz w:val="20"/>
                <w:szCs w:val="20"/>
                <w:color w:val="auto"/>
              </w:rPr>
            </w:pPr>
            <w:r>
              <w:rPr>
                <w:rFonts w:ascii="Arial" w:cs="Arial" w:eastAsia="Arial" w:hAnsi="Arial"/>
                <w:sz w:val="15"/>
                <w:szCs w:val="15"/>
                <w:color w:val="auto"/>
              </w:rPr>
              <w:t>%</w:t>
            </w:r>
          </w:p>
        </w:tc>
      </w:tr>
      <w:tr>
        <w:trPr>
          <w:trHeight w:val="245"/>
        </w:trPr>
        <w:tc>
          <w:tcPr>
            <w:tcW w:w="5340" w:type="dxa"/>
            <w:vAlign w:val="bottom"/>
          </w:tcPr>
          <w:p>
            <w:pPr>
              <w:spacing w:after="0"/>
              <w:rPr>
                <w:sz w:val="20"/>
                <w:szCs w:val="20"/>
                <w:color w:val="auto"/>
              </w:rPr>
            </w:pPr>
            <w:r>
              <w:rPr>
                <w:rFonts w:ascii="Arial" w:cs="Arial" w:eastAsia="Arial" w:hAnsi="Arial"/>
                <w:sz w:val="15"/>
                <w:szCs w:val="15"/>
                <w:color w:val="auto"/>
              </w:rPr>
              <w:t>Original LTV ratio greater than 80%</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360" w:type="dxa"/>
            <w:vAlign w:val="bottom"/>
          </w:tcPr>
          <w:p>
            <w:pPr>
              <w:spacing w:after="0"/>
              <w:rPr>
                <w:sz w:val="21"/>
                <w:szCs w:val="21"/>
                <w:color w:val="auto"/>
              </w:rPr>
            </w:pP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1</w:t>
            </w:r>
          </w:p>
        </w:tc>
        <w:tc>
          <w:tcPr>
            <w:tcW w:w="380" w:type="dxa"/>
            <w:vAlign w:val="bottom"/>
          </w:tcPr>
          <w:p>
            <w:pPr>
              <w:spacing w:after="0"/>
              <w:rPr>
                <w:sz w:val="21"/>
                <w:szCs w:val="21"/>
                <w:color w:val="auto"/>
              </w:rPr>
            </w:pP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1</w:t>
            </w:r>
          </w:p>
        </w:tc>
        <w:tc>
          <w:tcPr>
            <w:tcW w:w="380" w:type="dxa"/>
            <w:vAlign w:val="bottom"/>
          </w:tcPr>
          <w:p>
            <w:pPr>
              <w:spacing w:after="0"/>
              <w:rPr>
                <w:sz w:val="21"/>
                <w:szCs w:val="21"/>
                <w:color w:val="auto"/>
              </w:rPr>
            </w:pPr>
          </w:p>
        </w:tc>
      </w:tr>
      <w:tr>
        <w:trPr>
          <w:trHeight w:val="243"/>
        </w:trPr>
        <w:tc>
          <w:tcPr>
            <w:tcW w:w="5340" w:type="dxa"/>
            <w:vAlign w:val="bottom"/>
          </w:tcPr>
          <w:p>
            <w:pPr>
              <w:spacing w:after="0"/>
              <w:rPr>
                <w:sz w:val="20"/>
                <w:szCs w:val="20"/>
                <w:color w:val="auto"/>
              </w:rPr>
            </w:pPr>
            <w:r>
              <w:rPr>
                <w:rFonts w:ascii="Arial" w:cs="Arial" w:eastAsia="Arial" w:hAnsi="Arial"/>
                <w:sz w:val="15"/>
                <w:szCs w:val="15"/>
                <w:color w:val="auto"/>
              </w:rPr>
              <w:t>Original Debt Service Coverage Ratio (“DSCR”) less than or equal to 1.10</w:t>
            </w:r>
            <w:r>
              <w:rPr>
                <w:rFonts w:ascii="Arial" w:cs="Arial" w:eastAsia="Arial" w:hAnsi="Arial"/>
                <w:sz w:val="20"/>
                <w:szCs w:val="20"/>
                <w:color w:val="auto"/>
                <w:vertAlign w:val="superscript"/>
              </w:rPr>
              <w:t>(1)</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12</w:t>
            </w:r>
          </w:p>
        </w:tc>
        <w:tc>
          <w:tcPr>
            <w:tcW w:w="360" w:type="dxa"/>
            <w:vAlign w:val="bottom"/>
          </w:tcPr>
          <w:p>
            <w:pPr>
              <w:spacing w:after="0"/>
              <w:rPr>
                <w:sz w:val="21"/>
                <w:szCs w:val="21"/>
                <w:color w:val="auto"/>
              </w:rPr>
            </w:pP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12</w:t>
            </w:r>
          </w:p>
        </w:tc>
        <w:tc>
          <w:tcPr>
            <w:tcW w:w="380" w:type="dxa"/>
            <w:vAlign w:val="bottom"/>
          </w:tcPr>
          <w:p>
            <w:pPr>
              <w:spacing w:after="0"/>
              <w:rPr>
                <w:sz w:val="21"/>
                <w:szCs w:val="21"/>
                <w:color w:val="auto"/>
              </w:rPr>
            </w:pP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12</w:t>
            </w:r>
          </w:p>
        </w:tc>
        <w:tc>
          <w:tcPr>
            <w:tcW w:w="380" w:type="dxa"/>
            <w:vAlign w:val="bottom"/>
          </w:tcPr>
          <w:p>
            <w:pPr>
              <w:spacing w:after="0"/>
              <w:rPr>
                <w:sz w:val="21"/>
                <w:szCs w:val="21"/>
                <w:color w:val="auto"/>
              </w:rPr>
            </w:pPr>
          </w:p>
        </w:tc>
      </w:tr>
      <w:tr>
        <w:trPr>
          <w:trHeight w:val="221"/>
        </w:trPr>
        <w:tc>
          <w:tcPr>
            <w:tcW w:w="5340" w:type="dxa"/>
            <w:vAlign w:val="bottom"/>
          </w:tcPr>
          <w:p>
            <w:pPr>
              <w:spacing w:after="0"/>
              <w:rPr>
                <w:sz w:val="20"/>
                <w:szCs w:val="20"/>
                <w:color w:val="auto"/>
              </w:rPr>
            </w:pPr>
            <w:r>
              <w:rPr>
                <w:rFonts w:ascii="Arial" w:cs="Arial" w:eastAsia="Arial" w:hAnsi="Arial"/>
                <w:sz w:val="15"/>
                <w:szCs w:val="15"/>
                <w:color w:val="auto"/>
              </w:rPr>
              <w:t>Full term interest-only loans</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40</w:t>
            </w:r>
          </w:p>
        </w:tc>
        <w:tc>
          <w:tcPr>
            <w:tcW w:w="36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38</w:t>
            </w:r>
          </w:p>
        </w:tc>
        <w:tc>
          <w:tcPr>
            <w:tcW w:w="38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35</w:t>
            </w:r>
          </w:p>
        </w:tc>
        <w:tc>
          <w:tcPr>
            <w:tcW w:w="380" w:type="dxa"/>
            <w:vAlign w:val="bottom"/>
          </w:tcPr>
          <w:p>
            <w:pPr>
              <w:spacing w:after="0"/>
              <w:rPr>
                <w:sz w:val="19"/>
                <w:szCs w:val="19"/>
                <w:color w:val="auto"/>
              </w:rPr>
            </w:pPr>
          </w:p>
        </w:tc>
      </w:tr>
      <w:tr>
        <w:trPr>
          <w:trHeight w:val="256"/>
        </w:trPr>
        <w:tc>
          <w:tcPr>
            <w:tcW w:w="5340" w:type="dxa"/>
            <w:vAlign w:val="bottom"/>
          </w:tcPr>
          <w:p>
            <w:pPr>
              <w:spacing w:after="0"/>
              <w:rPr>
                <w:sz w:val="20"/>
                <w:szCs w:val="20"/>
                <w:color w:val="auto"/>
              </w:rPr>
            </w:pPr>
            <w:r>
              <w:rPr>
                <w:rFonts w:ascii="Arial" w:cs="Arial" w:eastAsia="Arial" w:hAnsi="Arial"/>
                <w:sz w:val="15"/>
                <w:szCs w:val="15"/>
                <w:color w:val="auto"/>
              </w:rPr>
              <w:t>Partial term interest-only loans</w:t>
            </w:r>
            <w:r>
              <w:rPr>
                <w:rFonts w:ascii="Arial" w:cs="Arial" w:eastAsia="Arial" w:hAnsi="Arial"/>
                <w:sz w:val="20"/>
                <w:szCs w:val="20"/>
                <w:color w:val="auto"/>
                <w:vertAlign w:val="superscript"/>
              </w:rPr>
              <w:t>(2)</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48</w:t>
            </w:r>
          </w:p>
        </w:tc>
        <w:tc>
          <w:tcPr>
            <w:tcW w:w="360" w:type="dxa"/>
            <w:vAlign w:val="bottom"/>
          </w:tcPr>
          <w:p>
            <w:pPr>
              <w:spacing w:after="0"/>
              <w:rPr>
                <w:sz w:val="22"/>
                <w:szCs w:val="22"/>
                <w:color w:val="auto"/>
              </w:rPr>
            </w:pP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49</w:t>
            </w:r>
          </w:p>
        </w:tc>
        <w:tc>
          <w:tcPr>
            <w:tcW w:w="380" w:type="dxa"/>
            <w:vAlign w:val="bottom"/>
          </w:tcPr>
          <w:p>
            <w:pPr>
              <w:spacing w:after="0"/>
              <w:rPr>
                <w:sz w:val="22"/>
                <w:szCs w:val="22"/>
                <w:color w:val="auto"/>
              </w:rPr>
            </w:pP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50</w:t>
            </w:r>
          </w:p>
        </w:tc>
        <w:tc>
          <w:tcPr>
            <w:tcW w:w="380" w:type="dxa"/>
            <w:vAlign w:val="bottom"/>
          </w:tcPr>
          <w:p>
            <w:pPr>
              <w:spacing w:after="0"/>
              <w:rPr>
                <w:sz w:val="22"/>
                <w:szCs w:val="22"/>
                <w:color w:val="auto"/>
              </w:rPr>
            </w:pPr>
          </w:p>
        </w:tc>
      </w:tr>
      <w:tr>
        <w:trPr>
          <w:trHeight w:val="221"/>
        </w:trPr>
        <w:tc>
          <w:tcPr>
            <w:tcW w:w="5340" w:type="dxa"/>
            <w:vAlign w:val="bottom"/>
          </w:tcPr>
          <w:p>
            <w:pPr>
              <w:spacing w:after="0"/>
              <w:rPr>
                <w:sz w:val="20"/>
                <w:szCs w:val="20"/>
                <w:color w:val="auto"/>
              </w:rPr>
            </w:pPr>
            <w:r>
              <w:rPr>
                <w:rFonts w:ascii="Arial" w:cs="Arial" w:eastAsia="Arial" w:hAnsi="Arial"/>
                <w:sz w:val="15"/>
                <w:szCs w:val="15"/>
                <w:color w:val="auto"/>
              </w:rPr>
              <w:t>Adjustable-rate mortgages</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10</w:t>
            </w:r>
          </w:p>
        </w:tc>
        <w:tc>
          <w:tcPr>
            <w:tcW w:w="36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11</w:t>
            </w:r>
          </w:p>
        </w:tc>
        <w:tc>
          <w:tcPr>
            <w:tcW w:w="38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10</w:t>
            </w:r>
          </w:p>
        </w:tc>
        <w:tc>
          <w:tcPr>
            <w:tcW w:w="380" w:type="dxa"/>
            <w:vAlign w:val="bottom"/>
          </w:tcPr>
          <w:p>
            <w:pPr>
              <w:spacing w:after="0"/>
              <w:rPr>
                <w:sz w:val="19"/>
                <w:szCs w:val="19"/>
                <w:color w:val="auto"/>
              </w:rPr>
            </w:pPr>
          </w:p>
        </w:tc>
      </w:tr>
    </w:tbl>
    <w:p>
      <w:pPr>
        <w:spacing w:after="0" w:line="117" w:lineRule="exact"/>
        <w:rPr>
          <w:sz w:val="20"/>
          <w:szCs w:val="20"/>
          <w:color w:val="auto"/>
        </w:rPr>
      </w:pPr>
    </w:p>
    <w:p>
      <w:pPr>
        <w:ind w:left="240" w:right="140" w:hanging="237"/>
        <w:spacing w:after="0" w:line="231" w:lineRule="auto"/>
        <w:tabs>
          <w:tab w:leader="none" w:pos="240" w:val="left"/>
        </w:tabs>
        <w:numPr>
          <w:ilvl w:val="0"/>
          <w:numId w:val="49"/>
        </w:numPr>
        <w:rPr>
          <w:rFonts w:ascii="Arial" w:cs="Arial" w:eastAsia="Arial" w:hAnsi="Arial"/>
          <w:sz w:val="18"/>
          <w:szCs w:val="18"/>
          <w:color w:val="auto"/>
          <w:vertAlign w:val="superscript"/>
        </w:rPr>
      </w:pPr>
      <w:r>
        <w:rPr>
          <w:rFonts w:ascii="Arial" w:cs="Arial" w:eastAsia="Arial" w:hAnsi="Arial"/>
          <w:sz w:val="14"/>
          <w:szCs w:val="14"/>
          <w:color w:val="auto"/>
        </w:rPr>
        <w:t>The original DSCR is calculated using the underwritten debt service payments for the loan, which assumes both principal and interest payments, including stressed assumptions in certain cases, rather than the actual debt service payments. Depending on the loan’s interest rate and structure, using the underwritten debt service payments will often result in a more conservative estimate of the debt service payments (for example, loans with an interest-only period).</w:t>
      </w:r>
    </w:p>
    <w:p>
      <w:pPr>
        <w:spacing w:after="0" w:line="19" w:lineRule="exact"/>
        <w:rPr>
          <w:rFonts w:ascii="Arial" w:cs="Arial" w:eastAsia="Arial" w:hAnsi="Arial"/>
          <w:sz w:val="18"/>
          <w:szCs w:val="18"/>
          <w:color w:val="auto"/>
          <w:vertAlign w:val="superscript"/>
        </w:rPr>
      </w:pPr>
    </w:p>
    <w:p>
      <w:pPr>
        <w:ind w:left="240" w:hanging="237"/>
        <w:spacing w:after="0"/>
        <w:tabs>
          <w:tab w:leader="none" w:pos="240" w:val="left"/>
        </w:tabs>
        <w:numPr>
          <w:ilvl w:val="0"/>
          <w:numId w:val="49"/>
        </w:numPr>
        <w:rPr>
          <w:rFonts w:ascii="Arial" w:cs="Arial" w:eastAsia="Arial" w:hAnsi="Arial"/>
          <w:sz w:val="9"/>
          <w:szCs w:val="9"/>
          <w:color w:val="auto"/>
        </w:rPr>
      </w:pPr>
      <w:r>
        <w:rPr>
          <w:rFonts w:ascii="Arial" w:cs="Arial" w:eastAsia="Arial" w:hAnsi="Arial"/>
          <w:sz w:val="14"/>
          <w:szCs w:val="14"/>
          <w:color w:val="auto"/>
        </w:rPr>
        <w:t>Consists of mortgage loans that were underwritten with an interest-only term, regardless of whether the loan is currently in its interest-only period.</w:t>
      </w:r>
    </w:p>
    <w:p>
      <w:pPr>
        <w:spacing w:after="0" w:line="72"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We provide additional information on the credit characteristics of our multifamily loans in quarterly financial supplements, which we furnish to the SEC with current reports on Form 8-K.</w:t>
      </w:r>
    </w:p>
    <w:p>
      <w:pPr>
        <w:spacing w:after="0" w:line="7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Transfer of Multifamily Mortgage Credit Risk</w:t>
      </w:r>
    </w:p>
    <w:p>
      <w:pPr>
        <w:spacing w:after="0" w:line="65" w:lineRule="exact"/>
        <w:rPr>
          <w:sz w:val="20"/>
          <w:szCs w:val="20"/>
          <w:color w:val="auto"/>
        </w:rPr>
      </w:pPr>
    </w:p>
    <w:p>
      <w:pPr>
        <w:ind w:right="600"/>
        <w:spacing w:after="0"/>
        <w:rPr>
          <w:sz w:val="20"/>
          <w:szCs w:val="20"/>
          <w:color w:val="auto"/>
        </w:rPr>
      </w:pPr>
      <w:r>
        <w:rPr>
          <w:rFonts w:ascii="Arial" w:cs="Arial" w:eastAsia="Arial" w:hAnsi="Arial"/>
          <w:sz w:val="16"/>
          <w:szCs w:val="16"/>
          <w:color w:val="auto"/>
        </w:rPr>
        <w:t>We primarily transfer credit risk on the multifamily loans we guarantee through our Delegated Underwriting and Servicing (“DUS</w:t>
      </w:r>
      <w:r>
        <w:rPr>
          <w:rFonts w:ascii="Arial" w:cs="Arial" w:eastAsia="Arial" w:hAnsi="Arial"/>
          <w:sz w:val="21"/>
          <w:szCs w:val="21"/>
          <w:color w:val="auto"/>
          <w:vertAlign w:val="superscript"/>
        </w:rPr>
        <w:t>®</w:t>
      </w:r>
      <w:r>
        <w:rPr>
          <w:rFonts w:ascii="Arial" w:cs="Arial" w:eastAsia="Arial" w:hAnsi="Arial"/>
          <w:sz w:val="16"/>
          <w:szCs w:val="16"/>
          <w:color w:val="auto"/>
        </w:rPr>
        <w:t>”) program, which delegates to DUS lenders the ability to underwrite and service multifamily loans, in accordance with our standards and requirements. See “MD&amp;A— Multifamily Business—Multifamily Mortgage Credit Risk Management—Transfer of Multifamily Mortgage Credit Risk</w:t>
      </w:r>
      <w:r>
        <w:rPr>
          <w:rFonts w:ascii="Arial" w:cs="Arial" w:eastAsia="Arial" w:hAnsi="Arial"/>
          <w:sz w:val="16"/>
          <w:szCs w:val="16"/>
          <w:color w:val="05314D"/>
        </w:rPr>
        <w:t>”</w:t>
      </w:r>
      <w:r>
        <w:rPr>
          <w:rFonts w:ascii="Arial" w:cs="Arial" w:eastAsia="Arial" w:hAnsi="Arial"/>
          <w:sz w:val="16"/>
          <w:szCs w:val="16"/>
          <w:color w:val="auto"/>
        </w:rPr>
        <w:t xml:space="preserve"> in our 2022 Form 10-K for a description of our DUS program.</w:t>
      </w:r>
    </w:p>
    <w:p>
      <w:pPr>
        <w:spacing w:after="0" w:line="77"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Our DUS model typically results in our lenders sharing approximately one-third of the credit risk on our multifamily loans, either on a pro-rata or tiered basis. Loans serviced by DUS lenders and their affiliates represented substantially all of our multifamily guaranty book of business as of June 30, 2023 and December 31, 2022. In certain situations, we do not allow the lenders to fully share in one-third of the credit risk, but have them share in a smaller portion, to reduce the risk that the counterparty will fail to meet its loss sharing responsibility to us in the event of a borrower default.</w:t>
      </w:r>
    </w:p>
    <w:p>
      <w:pPr>
        <w:spacing w:after="0" w:line="47" w:lineRule="exact"/>
        <w:rPr>
          <w:sz w:val="20"/>
          <w:szCs w:val="20"/>
          <w:color w:val="auto"/>
        </w:rPr>
      </w:pPr>
    </w:p>
    <w:p>
      <w:pPr>
        <w:ind w:right="480"/>
        <w:spacing w:after="0" w:line="283" w:lineRule="auto"/>
        <w:rPr>
          <w:sz w:val="20"/>
          <w:szCs w:val="20"/>
          <w:color w:val="auto"/>
        </w:rPr>
      </w:pPr>
      <w:r>
        <w:rPr>
          <w:rFonts w:ascii="Arial" w:cs="Arial" w:eastAsia="Arial" w:hAnsi="Arial"/>
          <w:sz w:val="16"/>
          <w:szCs w:val="16"/>
          <w:color w:val="auto"/>
        </w:rPr>
        <w:t>While not a large portion of our multifamily guaranty book of business, our non-DUS lenders typically also have lender risk-sharing, where the lenders typically share or absorb losses based on a negotiated percentage of the loan or the pool balance.</w:t>
      </w:r>
    </w:p>
    <w:p>
      <w:pPr>
        <w:spacing w:after="0" w:line="36" w:lineRule="exact"/>
        <w:rPr>
          <w:sz w:val="20"/>
          <w:szCs w:val="20"/>
          <w:color w:val="auto"/>
        </w:rPr>
      </w:pPr>
    </w:p>
    <w:p>
      <w:pPr>
        <w:ind w:right="80"/>
        <w:spacing w:after="0" w:line="224" w:lineRule="auto"/>
        <w:rPr>
          <w:sz w:val="20"/>
          <w:szCs w:val="20"/>
          <w:color w:val="auto"/>
        </w:rPr>
      </w:pPr>
      <w:r>
        <w:rPr>
          <w:rFonts w:ascii="Arial" w:cs="Arial" w:eastAsia="Arial" w:hAnsi="Arial"/>
          <w:sz w:val="16"/>
          <w:szCs w:val="16"/>
          <w:color w:val="auto"/>
        </w:rPr>
        <w:t>To complement our front-end lender-risk sharing program, we engage in back-end credit risk transfer transactions through our Multifamily CIRT</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(“MCIRT</w:t>
      </w:r>
      <w:r>
        <w:rPr>
          <w:rFonts w:ascii="Arial" w:cs="Arial" w:eastAsia="Arial" w:hAnsi="Arial"/>
          <w:sz w:val="21"/>
          <w:szCs w:val="21"/>
          <w:color w:val="auto"/>
          <w:vertAlign w:val="superscript"/>
        </w:rPr>
        <w:t>TM</w:t>
      </w:r>
      <w:r>
        <w:rPr>
          <w:rFonts w:ascii="Arial" w:cs="Arial" w:eastAsia="Arial" w:hAnsi="Arial"/>
          <w:sz w:val="16"/>
          <w:szCs w:val="16"/>
          <w:color w:val="auto"/>
        </w:rPr>
        <w:t>”) and Multifamily Connecticut Avenue Securities</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(“MCAS</w:t>
      </w:r>
      <w:r>
        <w:rPr>
          <w:rFonts w:ascii="Arial" w:cs="Arial" w:eastAsia="Arial" w:hAnsi="Arial"/>
          <w:sz w:val="21"/>
          <w:szCs w:val="21"/>
          <w:color w:val="auto"/>
          <w:vertAlign w:val="superscript"/>
        </w:rPr>
        <w:t>TM</w:t>
      </w:r>
      <w:r>
        <w:rPr>
          <w:rFonts w:ascii="Arial" w:cs="Arial" w:eastAsia="Arial" w:hAnsi="Arial"/>
          <w:sz w:val="16"/>
          <w:szCs w:val="16"/>
          <w:color w:val="auto"/>
        </w:rPr>
        <w:t>”) transactions. Through these transactions, we transfer a portion of the credit risk associated with a reference pool of multifamily mortgage loans to insurers, reinsurers, or investors. We completed one MCIRT transaction in the first half of 2023.</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41</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44" w:name="page45"/>
    <w:bookmarkEnd w:id="44"/>
    <w:p>
      <w:pPr>
        <w:ind w:left="6440"/>
        <w:spacing w:after="0"/>
        <w:rPr>
          <w:sz w:val="20"/>
          <w:szCs w:val="20"/>
          <w:color w:val="auto"/>
        </w:rPr>
      </w:pPr>
      <w:r>
        <w:rPr>
          <w:rFonts w:ascii="Arial" w:cs="Arial" w:eastAsia="Arial" w:hAnsi="Arial"/>
          <w:sz w:val="14"/>
          <w:szCs w:val="14"/>
          <w:color w:val="05314D"/>
        </w:rPr>
        <w:t>MD&amp;A | Multifamily Business | Multifamily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40"/>
        <w:spacing w:after="0" w:line="267" w:lineRule="auto"/>
        <w:rPr>
          <w:sz w:val="20"/>
          <w:szCs w:val="20"/>
          <w:color w:val="auto"/>
        </w:rPr>
      </w:pPr>
      <w:r>
        <w:rPr>
          <w:rFonts w:ascii="Arial" w:cs="Arial" w:eastAsia="Arial" w:hAnsi="Arial"/>
          <w:sz w:val="16"/>
          <w:szCs w:val="16"/>
          <w:color w:val="auto"/>
        </w:rPr>
        <w:t>The table below displays the total unpaid principal balance of multifamily loans and the percentage of our multifamily guaranty book of business, based on unpaid principal balance, that is covered by a back-end credit risk transfer transaction. The table does not reflect front-end lender risk-sharing arrangements, as only a small portion of our multifamily guaranty book of business is not covered by these arrangements.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Multifamily Loans in Back-End Credit Risk Transfer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38670" cy="165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3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80" w:type="dxa"/>
            <w:vAlign w:val="bottom"/>
            <w:tcBorders>
              <w:bottom w:val="single" w:sz="8" w:color="2C6937"/>
            </w:tcBorders>
            <w:gridSpan w:val="3"/>
          </w:tcPr>
          <w:p>
            <w:pPr>
              <w:jc w:val="right"/>
              <w:ind w:right="40"/>
              <w:spacing w:after="0"/>
              <w:rPr>
                <w:sz w:val="20"/>
                <w:szCs w:val="20"/>
                <w:color w:val="auto"/>
              </w:rPr>
            </w:pPr>
            <w:r>
              <w:rPr>
                <w:rFonts w:ascii="Arial" w:cs="Arial" w:eastAsia="Arial" w:hAnsi="Arial"/>
                <w:sz w:val="14"/>
                <w:szCs w:val="14"/>
                <w:b w:val="1"/>
                <w:bCs w:val="1"/>
                <w:color w:val="auto"/>
              </w:rPr>
              <w:t>As of</w:t>
            </w:r>
          </w:p>
        </w:tc>
        <w:tc>
          <w:tcPr>
            <w:tcW w:w="13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620" w:type="dxa"/>
            <w:vAlign w:val="bottom"/>
            <w:tcBorders>
              <w:bottom w:val="single" w:sz="8" w:color="2C6937"/>
            </w:tcBorders>
          </w:tcPr>
          <w:p>
            <w:pPr>
              <w:spacing w:after="0"/>
              <w:rPr>
                <w:sz w:val="17"/>
                <w:szCs w:val="17"/>
                <w:color w:val="auto"/>
              </w:rPr>
            </w:pPr>
          </w:p>
        </w:tc>
      </w:tr>
      <w:tr>
        <w:trPr>
          <w:trHeight w:val="193"/>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3060" w:type="dxa"/>
            <w:vAlign w:val="bottom"/>
            <w:tcBorders>
              <w:bottom w:val="single" w:sz="8" w:color="2C6937"/>
            </w:tcBorders>
            <w:gridSpan w:val="3"/>
          </w:tcPr>
          <w:p>
            <w:pPr>
              <w:jc w:val="right"/>
              <w:ind w:right="1090"/>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3060" w:type="dxa"/>
            <w:vAlign w:val="bottom"/>
            <w:tcBorders>
              <w:bottom w:val="single" w:sz="8" w:color="2C6937"/>
            </w:tcBorders>
            <w:gridSpan w:val="3"/>
          </w:tcPr>
          <w:p>
            <w:pPr>
              <w:jc w:val="right"/>
              <w:ind w:right="909"/>
              <w:spacing w:after="0"/>
              <w:rPr>
                <w:sz w:val="20"/>
                <w:szCs w:val="20"/>
                <w:color w:val="auto"/>
              </w:rPr>
            </w:pPr>
            <w:r>
              <w:rPr>
                <w:rFonts w:ascii="Arial" w:cs="Arial" w:eastAsia="Arial" w:hAnsi="Arial"/>
                <w:sz w:val="14"/>
                <w:szCs w:val="14"/>
                <w:b w:val="1"/>
                <w:bCs w:val="1"/>
                <w:color w:val="auto"/>
              </w:rPr>
              <w:t>December 31, 2022</w:t>
            </w:r>
          </w:p>
        </w:tc>
      </w:tr>
      <w:tr>
        <w:trPr>
          <w:trHeight w:val="163"/>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7"/>
              </w:rPr>
              <w:t>Percentage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7"/>
              </w:rPr>
              <w:t>Percentage of</w:t>
            </w:r>
          </w:p>
        </w:tc>
      </w:tr>
      <w:tr>
        <w:trPr>
          <w:trHeight w:val="168"/>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ind w:right="147"/>
              <w:spacing w:after="0"/>
              <w:rPr>
                <w:sz w:val="20"/>
                <w:szCs w:val="20"/>
                <w:color w:val="auto"/>
              </w:rPr>
            </w:pPr>
            <w:r>
              <w:rPr>
                <w:rFonts w:ascii="Arial" w:cs="Arial" w:eastAsia="Arial" w:hAnsi="Arial"/>
                <w:sz w:val="14"/>
                <w:szCs w:val="14"/>
                <w:b w:val="1"/>
                <w:bCs w:val="1"/>
                <w:color w:val="auto"/>
                <w:w w:val="99"/>
              </w:rPr>
              <w:t>Unpaid Principal</w:t>
            </w:r>
          </w:p>
        </w:tc>
        <w:tc>
          <w:tcPr>
            <w:tcW w:w="10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8"/>
              </w:rPr>
              <w:t>Multifamily Guaranty</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ind w:right="127"/>
              <w:spacing w:after="0"/>
              <w:rPr>
                <w:sz w:val="20"/>
                <w:szCs w:val="20"/>
                <w:color w:val="auto"/>
              </w:rPr>
            </w:pPr>
            <w:r>
              <w:rPr>
                <w:rFonts w:ascii="Arial" w:cs="Arial" w:eastAsia="Arial" w:hAnsi="Arial"/>
                <w:sz w:val="14"/>
                <w:szCs w:val="14"/>
                <w:b w:val="1"/>
                <w:bCs w:val="1"/>
                <w:color w:val="auto"/>
              </w:rPr>
              <w:t>Unpaid Principal</w:t>
            </w:r>
          </w:p>
        </w:tc>
        <w:tc>
          <w:tcPr>
            <w:tcW w:w="10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8"/>
              </w:rPr>
              <w:t>Multifamily Guaranty</w:t>
            </w:r>
          </w:p>
        </w:tc>
      </w:tr>
      <w:tr>
        <w:trPr>
          <w:trHeight w:val="198"/>
        </w:trPr>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340" w:type="dxa"/>
            <w:vAlign w:val="bottom"/>
            <w:tcBorders>
              <w:bottom w:val="single" w:sz="8" w:color="2C6937"/>
            </w:tcBorders>
          </w:tcPr>
          <w:p>
            <w:pPr>
              <w:jc w:val="right"/>
              <w:ind w:right="427"/>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2C6937"/>
            </w:tcBorders>
          </w:tcPr>
          <w:p>
            <w:pPr>
              <w:spacing w:after="0"/>
              <w:rPr>
                <w:sz w:val="17"/>
                <w:szCs w:val="17"/>
                <w:color w:val="auto"/>
              </w:rPr>
            </w:pPr>
          </w:p>
        </w:tc>
        <w:tc>
          <w:tcPr>
            <w:tcW w:w="162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8"/>
              </w:rPr>
              <w:t>Book of Business</w:t>
            </w:r>
          </w:p>
        </w:tc>
        <w:tc>
          <w:tcPr>
            <w:tcW w:w="10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340" w:type="dxa"/>
            <w:vAlign w:val="bottom"/>
            <w:tcBorders>
              <w:bottom w:val="single" w:sz="8" w:color="2C6937"/>
            </w:tcBorders>
          </w:tcPr>
          <w:p>
            <w:pPr>
              <w:jc w:val="right"/>
              <w:ind w:right="407"/>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2C6937"/>
            </w:tcBorders>
          </w:tcPr>
          <w:p>
            <w:pPr>
              <w:spacing w:after="0"/>
              <w:rPr>
                <w:sz w:val="17"/>
                <w:szCs w:val="17"/>
                <w:color w:val="auto"/>
              </w:rPr>
            </w:pPr>
          </w:p>
        </w:tc>
        <w:tc>
          <w:tcPr>
            <w:tcW w:w="162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8"/>
              </w:rPr>
              <w:t>Book of Business</w:t>
            </w:r>
          </w:p>
        </w:tc>
      </w:tr>
      <w:tr>
        <w:trPr>
          <w:trHeight w:val="205"/>
        </w:trPr>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20" w:type="dxa"/>
            <w:vAlign w:val="bottom"/>
            <w:gridSpan w:val="4"/>
          </w:tcPr>
          <w:p>
            <w:pPr>
              <w:jc w:val="right"/>
              <w:ind w:right="847"/>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53"/>
        </w:trPr>
        <w:tc>
          <w:tcPr>
            <w:tcW w:w="4700" w:type="dxa"/>
            <w:vAlign w:val="bottom"/>
            <w:gridSpan w:val="2"/>
          </w:tcPr>
          <w:p>
            <w:pPr>
              <w:ind w:left="20"/>
              <w:spacing w:after="0"/>
              <w:rPr>
                <w:sz w:val="20"/>
                <w:szCs w:val="20"/>
                <w:color w:val="auto"/>
              </w:rPr>
            </w:pPr>
            <w:r>
              <w:rPr>
                <w:rFonts w:ascii="Arial" w:cs="Arial" w:eastAsia="Arial" w:hAnsi="Arial"/>
                <w:sz w:val="15"/>
                <w:szCs w:val="15"/>
                <w:color w:val="auto"/>
              </w:rPr>
              <w:t>MCIRT</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340" w:type="dxa"/>
            <w:vAlign w:val="bottom"/>
          </w:tcPr>
          <w:p>
            <w:pPr>
              <w:jc w:val="right"/>
              <w:ind w:right="7"/>
              <w:spacing w:after="0"/>
              <w:rPr>
                <w:sz w:val="20"/>
                <w:szCs w:val="20"/>
                <w:color w:val="auto"/>
              </w:rPr>
            </w:pPr>
            <w:r>
              <w:rPr>
                <w:rFonts w:ascii="Arial" w:cs="Arial" w:eastAsia="Arial" w:hAnsi="Arial"/>
                <w:sz w:val="15"/>
                <w:szCs w:val="15"/>
                <w:b w:val="1"/>
                <w:bCs w:val="1"/>
                <w:color w:val="auto"/>
              </w:rPr>
              <w:t>91,903</w:t>
            </w:r>
          </w:p>
        </w:tc>
        <w:tc>
          <w:tcPr>
            <w:tcW w:w="1720" w:type="dxa"/>
            <w:vAlign w:val="bottom"/>
            <w:gridSpan w:val="2"/>
          </w:tcPr>
          <w:p>
            <w:pPr>
              <w:jc w:val="right"/>
              <w:spacing w:after="0"/>
              <w:rPr>
                <w:sz w:val="20"/>
                <w:szCs w:val="20"/>
                <w:color w:val="auto"/>
              </w:rPr>
            </w:pPr>
            <w:r>
              <w:rPr>
                <w:rFonts w:ascii="Arial" w:cs="Arial" w:eastAsia="Arial" w:hAnsi="Arial"/>
                <w:sz w:val="15"/>
                <w:szCs w:val="15"/>
                <w:b w:val="1"/>
                <w:bCs w:val="1"/>
                <w:color w:val="auto"/>
              </w:rPr>
              <w:t>20 %</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7"/>
              <w:spacing w:after="0"/>
              <w:rPr>
                <w:sz w:val="20"/>
                <w:szCs w:val="20"/>
                <w:color w:val="auto"/>
              </w:rPr>
            </w:pPr>
            <w:r>
              <w:rPr>
                <w:rFonts w:ascii="Arial" w:cs="Arial" w:eastAsia="Arial" w:hAnsi="Arial"/>
                <w:sz w:val="15"/>
                <w:szCs w:val="15"/>
                <w:color w:val="auto"/>
              </w:rPr>
              <w:t>87,682</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20 %</w:t>
            </w:r>
          </w:p>
        </w:tc>
      </w:tr>
      <w:tr>
        <w:trPr>
          <w:trHeight w:val="239"/>
        </w:trPr>
        <w:tc>
          <w:tcPr>
            <w:tcW w:w="4600" w:type="dxa"/>
            <w:vAlign w:val="bottom"/>
            <w:tcBorders>
              <w:bottom w:val="single" w:sz="8" w:color="216C2B"/>
            </w:tcBorders>
          </w:tcPr>
          <w:p>
            <w:pPr>
              <w:ind w:left="20"/>
              <w:spacing w:after="0"/>
              <w:rPr>
                <w:sz w:val="20"/>
                <w:szCs w:val="20"/>
                <w:color w:val="auto"/>
              </w:rPr>
            </w:pPr>
            <w:r>
              <w:rPr>
                <w:rFonts w:ascii="Arial" w:cs="Arial" w:eastAsia="Arial" w:hAnsi="Arial"/>
                <w:sz w:val="15"/>
                <w:szCs w:val="15"/>
                <w:color w:val="auto"/>
              </w:rPr>
              <w:t>MCAS</w:t>
            </w:r>
          </w:p>
        </w:tc>
        <w:tc>
          <w:tcPr>
            <w:tcW w:w="10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134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24,996</w:t>
            </w:r>
          </w:p>
        </w:tc>
        <w:tc>
          <w:tcPr>
            <w:tcW w:w="100" w:type="dxa"/>
            <w:vAlign w:val="bottom"/>
          </w:tcPr>
          <w:p>
            <w:pPr>
              <w:spacing w:after="0"/>
              <w:rPr>
                <w:sz w:val="20"/>
                <w:szCs w:val="20"/>
                <w:color w:val="auto"/>
              </w:rPr>
            </w:pPr>
          </w:p>
        </w:tc>
        <w:tc>
          <w:tcPr>
            <w:tcW w:w="1620" w:type="dxa"/>
            <w:vAlign w:val="bottom"/>
            <w:tcBorders>
              <w:bottom w:val="single" w:sz="8" w:color="2C6937"/>
            </w:tcBorders>
          </w:tcPr>
          <w:p>
            <w:pPr>
              <w:jc w:val="right"/>
              <w:ind w:right="130"/>
              <w:spacing w:after="0"/>
              <w:rPr>
                <w:sz w:val="20"/>
                <w:szCs w:val="20"/>
                <w:color w:val="auto"/>
              </w:rPr>
            </w:pPr>
            <w:r>
              <w:rPr>
                <w:rFonts w:ascii="Arial" w:cs="Arial" w:eastAsia="Arial" w:hAnsi="Arial"/>
                <w:sz w:val="15"/>
                <w:szCs w:val="15"/>
                <w:b w:val="1"/>
                <w:bCs w:val="1"/>
                <w:color w:val="auto"/>
              </w:rPr>
              <w:t>6</w:t>
            </w:r>
          </w:p>
        </w:tc>
        <w:tc>
          <w:tcPr>
            <w:tcW w:w="10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134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color w:val="auto"/>
              </w:rPr>
              <w:t>25,071</w:t>
            </w:r>
          </w:p>
        </w:tc>
        <w:tc>
          <w:tcPr>
            <w:tcW w:w="100" w:type="dxa"/>
            <w:vAlign w:val="bottom"/>
          </w:tcPr>
          <w:p>
            <w:pPr>
              <w:spacing w:after="0"/>
              <w:rPr>
                <w:sz w:val="20"/>
                <w:szCs w:val="20"/>
                <w:color w:val="auto"/>
              </w:rPr>
            </w:pPr>
          </w:p>
        </w:tc>
        <w:tc>
          <w:tcPr>
            <w:tcW w:w="1620" w:type="dxa"/>
            <w:vAlign w:val="bottom"/>
            <w:tcBorders>
              <w:bottom w:val="single" w:sz="8" w:color="2C6937"/>
            </w:tcBorders>
          </w:tcPr>
          <w:p>
            <w:pPr>
              <w:jc w:val="right"/>
              <w:ind w:right="129"/>
              <w:spacing w:after="0"/>
              <w:rPr>
                <w:sz w:val="20"/>
                <w:szCs w:val="20"/>
                <w:color w:val="auto"/>
              </w:rPr>
            </w:pPr>
            <w:r>
              <w:rPr>
                <w:rFonts w:ascii="Arial" w:cs="Arial" w:eastAsia="Arial" w:hAnsi="Arial"/>
                <w:sz w:val="15"/>
                <w:szCs w:val="15"/>
                <w:color w:val="auto"/>
              </w:rPr>
              <w:t>6</w:t>
            </w:r>
          </w:p>
        </w:tc>
      </w:tr>
      <w:tr>
        <w:trPr>
          <w:trHeight w:val="225"/>
        </w:trPr>
        <w:tc>
          <w:tcPr>
            <w:tcW w:w="4700" w:type="dxa"/>
            <w:vAlign w:val="bottom"/>
            <w:gridSpan w:val="2"/>
          </w:tcPr>
          <w:p>
            <w:pPr>
              <w:ind w:left="180"/>
              <w:spacing w:after="0"/>
              <w:rPr>
                <w:sz w:val="20"/>
                <w:szCs w:val="20"/>
                <w:color w:val="auto"/>
              </w:rPr>
            </w:pPr>
            <w:r>
              <w:rPr>
                <w:rFonts w:ascii="Arial" w:cs="Arial" w:eastAsia="Arial" w:hAnsi="Arial"/>
                <w:sz w:val="15"/>
                <w:szCs w:val="15"/>
                <w:color w:val="auto"/>
              </w:rPr>
              <w:t>Total</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340" w:type="dxa"/>
            <w:vAlign w:val="bottom"/>
          </w:tcPr>
          <w:p>
            <w:pPr>
              <w:jc w:val="right"/>
              <w:ind w:right="7"/>
              <w:spacing w:after="0"/>
              <w:rPr>
                <w:sz w:val="20"/>
                <w:szCs w:val="20"/>
                <w:color w:val="auto"/>
              </w:rPr>
            </w:pPr>
            <w:r>
              <w:rPr>
                <w:rFonts w:ascii="Arial" w:cs="Arial" w:eastAsia="Arial" w:hAnsi="Arial"/>
                <w:sz w:val="15"/>
                <w:szCs w:val="15"/>
                <w:b w:val="1"/>
                <w:bCs w:val="1"/>
                <w:color w:val="auto"/>
              </w:rPr>
              <w:t>116,899</w:t>
            </w:r>
          </w:p>
        </w:tc>
        <w:tc>
          <w:tcPr>
            <w:tcW w:w="1720" w:type="dxa"/>
            <w:vAlign w:val="bottom"/>
            <w:gridSpan w:val="2"/>
          </w:tcPr>
          <w:p>
            <w:pPr>
              <w:jc w:val="right"/>
              <w:spacing w:after="0"/>
              <w:rPr>
                <w:sz w:val="20"/>
                <w:szCs w:val="20"/>
                <w:color w:val="auto"/>
              </w:rPr>
            </w:pPr>
            <w:r>
              <w:rPr>
                <w:rFonts w:ascii="Arial" w:cs="Arial" w:eastAsia="Arial" w:hAnsi="Arial"/>
                <w:sz w:val="15"/>
                <w:szCs w:val="15"/>
                <w:b w:val="1"/>
                <w:bCs w:val="1"/>
                <w:color w:val="auto"/>
              </w:rPr>
              <w:t>26 %</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7"/>
              <w:spacing w:after="0"/>
              <w:rPr>
                <w:sz w:val="20"/>
                <w:szCs w:val="20"/>
                <w:color w:val="auto"/>
              </w:rPr>
            </w:pPr>
            <w:r>
              <w:rPr>
                <w:rFonts w:ascii="Arial" w:cs="Arial" w:eastAsia="Arial" w:hAnsi="Arial"/>
                <w:sz w:val="15"/>
                <w:szCs w:val="15"/>
                <w:color w:val="auto"/>
              </w:rPr>
              <w:t>112,753</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26 %</w:t>
            </w:r>
          </w:p>
        </w:tc>
      </w:tr>
      <w:tr>
        <w:trPr>
          <w:trHeight w:val="20"/>
        </w:trPr>
        <w:tc>
          <w:tcPr>
            <w:tcW w:w="46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3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3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top w:val="single" w:sz="8" w:color="2C6937"/>
              <w:bottom w:val="single" w:sz="8" w:color="2C6937"/>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Multifamily Portfolio Monitoring</w:t>
      </w:r>
    </w:p>
    <w:p>
      <w:pPr>
        <w:spacing w:after="0" w:line="71"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As part of our ongoing credit risk management process, we and our lenders monitor the performance and risk characteristics of our multifamily loans and the underlying properties on an ongoing basis throughout the loan term at the asset and portfolio level. We generally require lenders to provide quarterly and/or annual financial updates for multifamily loans. We closely monitor loans with an estimated current DSCR below 1.0, as that is an indicator of heightened default risk. The percentage of loans in our multifamily guaranty book of business, calculated based on unpaid principal balance, with a current DSCR less than 1.0 was approximately 3% as of June 30, 2023 and December 31, 2022.</w:t>
      </w:r>
    </w:p>
    <w:p>
      <w:pPr>
        <w:spacing w:after="0" w:line="45"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We manage our exposure to interest-rate risk and monitor changes in interest rates, which can impact multiple aspects of our multifamily loans. Interest rates, especially short-term interest rates, have increased significantly in recent periods and may increase further. Rising interest rates may reduce the ability of multifamily borrowers to refinance their loans, which generally have balloon balances at maturity. We provide additional information on the maturity schedule of our multifamily loans in quarterly financial supplements, which we furnish to the SEC with current reports on Form 8-K and make available on our website.</w:t>
      </w:r>
    </w:p>
    <w:p>
      <w:pPr>
        <w:spacing w:after="0" w:line="245"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Additionally, in a rising rate environment, multifamily borrowers with adjustable-rate mortgages will have higher monthly payments, which may lower their DSCRs. We generally require multifamily borrowers with adjustable-rate mortgages to maintain interest rate caps for the life of the loan to protect against large movements in rates as well as maintain escrows at our servicers to reserve for the cost of replacing these caps. Purchasing or replacing required interest rate caps, especially those with longer terms and/or lower capped interest rates, becomes more expensive as interest rates rise. These elevated costs in recent periods have added pressure to borrowers’ ability to make payments and contributed to the increase in our multifamily serious delinquency rate and criticized loan population in the first half of 2023. In the recent high interest rate environment, more multifamily borrowers have started receiving payments from their interest rate cap providers, which helps to defray the higher cost of debt service and escrow payments. We actively monitor these interest-rate related risks as part of our risk management process.</w:t>
      </w:r>
    </w:p>
    <w:p>
      <w:pPr>
        <w:spacing w:after="0" w:line="49"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We also monitor for risks manifesting within specific property types. A property type we have been monitoring closely is seniors housing, primarily independent living and assisted living facilities, some of which may have a limited capacity devoted to memory care. Seniors housing loans constituted 4% of our multifamily guaranty book of business as of June 30, 2023, based on unpaid principal balance, of which 38% were adjustable-rate mortgages. Seniors housing properties have been disproportionately affected by the COVID-19 pandemic and ongoing economic trends, higher operating costs exacerbated by the increase in inflation, and higher short-term interest rates for adjustable-rate mortgages, resulting in increased costs for these borrowers. We continue to monitor seniors housing loans in our multifamily guaranty book of business closely and actively manage loans that may be at risk of further deterioration or default.</w:t>
      </w:r>
    </w:p>
    <w:p>
      <w:pPr>
        <w:spacing w:after="0" w:line="9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Multifamily Problem Loan Management and Foreclosure Prevention</w:t>
      </w:r>
    </w:p>
    <w:p>
      <w:pPr>
        <w:spacing w:after="0" w:line="71"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In addition to the credit performance information on our multifamily loans provided below, we provide information about multifamily loans that back MBS and whole loan REMICs in the “Data Collections” section of our DUS Disclose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tool, available at www.fanniemae.com/dusdisclose. Information on our website is not incorporated into this report.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42</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45" w:name="page46"/>
    <w:bookmarkEnd w:id="45"/>
    <w:p>
      <w:pPr>
        <w:ind w:left="6440"/>
        <w:spacing w:after="0"/>
        <w:rPr>
          <w:sz w:val="20"/>
          <w:szCs w:val="20"/>
          <w:color w:val="auto"/>
        </w:rPr>
      </w:pPr>
      <w:r>
        <w:rPr>
          <w:rFonts w:ascii="Arial" w:cs="Arial" w:eastAsia="Arial" w:hAnsi="Arial"/>
          <w:sz w:val="14"/>
          <w:szCs w:val="14"/>
          <w:color w:val="05314D"/>
        </w:rPr>
        <w:t>MD&amp;A | Multifamily Business | Multifamily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9"/>
          <w:szCs w:val="19"/>
          <w:i w:val="1"/>
          <w:iCs w:val="1"/>
          <w:color w:val="05314D"/>
        </w:rPr>
        <w:t>Credit Performance Statistics on Multifamily Problem Loans</w:t>
      </w:r>
    </w:p>
    <w:p>
      <w:pPr>
        <w:spacing w:after="0" w:line="90"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The percentage of our multifamily loans in our guaranty book of business that are criticized increased as of June 30, 2023 compared with December 31, 2022, primarily driven by the recent elevated interest-rate environment. This has increased the number of properties reporting low DSCRs in their latest operating statement, particularly those properties financed with adjustable-rate mortgages. Criticized loans substantially consist of loans classified as “Substandard” and also include loans classified as “Special Mention” or “Doubtful.” Substandard loans are loans that have a well-defined weakness that could impact their timely full repayment. While the majority of the substandard loans in our multifamily guaranty book of business are currently making timely payments, we continue to monitor the performance of this population. For more information on our loan classifications based on our internally assigned credit risk ratings, see “Note 3, Mortgage Loans.”</w:t>
      </w:r>
    </w:p>
    <w:p>
      <w:pPr>
        <w:spacing w:after="0" w:line="49" w:lineRule="exact"/>
        <w:rPr>
          <w:sz w:val="20"/>
          <w:szCs w:val="20"/>
          <w:color w:val="auto"/>
        </w:rPr>
      </w:pPr>
    </w:p>
    <w:p>
      <w:pPr>
        <w:ind w:right="340"/>
        <w:spacing w:after="0" w:line="262" w:lineRule="auto"/>
        <w:rPr>
          <w:sz w:val="20"/>
          <w:szCs w:val="20"/>
          <w:color w:val="auto"/>
        </w:rPr>
      </w:pPr>
      <w:r>
        <w:rPr>
          <w:rFonts w:ascii="Arial" w:cs="Arial" w:eastAsia="Arial" w:hAnsi="Arial"/>
          <w:sz w:val="16"/>
          <w:szCs w:val="16"/>
          <w:color w:val="auto"/>
        </w:rPr>
        <w:t>Our multifamily serious delinquency rate increased to 0.37% as of June 30, 2023, compared with 0.24% as of December 31, 2022, largely driven by a seniors housing portfolio. Our multifamily serious delinquency rate consists of multifamily loans that were 60 days or more past due based on unpaid principal balance, expressed as a percentage of our multifamily guaranty book of business. The percentage of loans in our multifamily guaranty book of business that were 180 days or more delinquent was 0.25% as of June 30, 2023, compared with 0.15% as of December 31, 2022.</w:t>
      </w:r>
    </w:p>
    <w:p>
      <w:pPr>
        <w:spacing w:after="0" w:line="60"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Management monitors the multifamily serious delinquency rate as an indicator of potential future credit losses and loss mitigation activities. Serious delinquency rates are reflective of our performance in assessing and managing credit risk associated with multifamily loans in our guaranty book of business. Typically, higher serious delinquency rates result in a higher allowance for loan losses. Our multifamily serious delinquency rate may further increase in the near term as a result of stress in our multifamily guaranty book of business, particularly related to our seniors housing and adjustable-rate mortgages.</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i w:val="1"/>
          <w:iCs w:val="1"/>
          <w:color w:val="05314D"/>
        </w:rPr>
        <w:t>Multifamily REO Management</w:t>
      </w:r>
    </w:p>
    <w:p>
      <w:pPr>
        <w:spacing w:after="0" w:line="77" w:lineRule="exact"/>
        <w:rPr>
          <w:sz w:val="20"/>
          <w:szCs w:val="20"/>
          <w:color w:val="auto"/>
        </w:rPr>
      </w:pPr>
    </w:p>
    <w:p>
      <w:pPr>
        <w:jc w:val="both"/>
        <w:ind w:right="40"/>
        <w:spacing w:after="0" w:line="276" w:lineRule="auto"/>
        <w:rPr>
          <w:sz w:val="20"/>
          <w:szCs w:val="20"/>
          <w:color w:val="auto"/>
        </w:rPr>
      </w:pPr>
      <w:r>
        <w:rPr>
          <w:rFonts w:ascii="Arial" w:cs="Arial" w:eastAsia="Arial" w:hAnsi="Arial"/>
          <w:sz w:val="16"/>
          <w:szCs w:val="16"/>
          <w:color w:val="auto"/>
        </w:rPr>
        <w:t>The number of multifamily foreclosed properties held for sale was 29 properties with a carrying value of $273 million as of June 30, 2023, compared with 28 properties with a carrying value of $278 million as of December 31, 2022. We expect the amount of foreclosures on multifamily loans will increase over the coming year as some borrowers will not successfully cure their delinquencies through a repayment plan or other modification.</w:t>
      </w:r>
    </w:p>
    <w:p>
      <w:pPr>
        <w:spacing w:after="0" w:line="63" w:lineRule="exact"/>
        <w:rPr>
          <w:sz w:val="20"/>
          <w:szCs w:val="20"/>
          <w:color w:val="auto"/>
        </w:rPr>
      </w:pPr>
    </w:p>
    <w:p>
      <w:pPr>
        <w:spacing w:after="0"/>
        <w:rPr>
          <w:sz w:val="20"/>
          <w:szCs w:val="20"/>
          <w:color w:val="auto"/>
        </w:rPr>
      </w:pPr>
      <w:r>
        <w:rPr>
          <w:rFonts w:ascii="Arial" w:cs="Arial" w:eastAsia="Arial" w:hAnsi="Arial"/>
          <w:sz w:val="19"/>
          <w:szCs w:val="19"/>
          <w:i w:val="1"/>
          <w:iCs w:val="1"/>
          <w:color w:val="05314D"/>
        </w:rPr>
        <w:t>Multifamily Credit Loss Performance Metrics</w:t>
      </w:r>
    </w:p>
    <w:p>
      <w:pPr>
        <w:spacing w:after="0" w:line="77"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The amount of multifamily credit losses or gains we realize in a given period is driven by foreclosures, pre-foreclosure sales, post-foreclosure REO activity and other events that trigger write-offs and recoveries. Our multifamily credit loss performance metrics are not defined terms and may not be calculated in the same manner as similarly titled measures reported by other companies. For the purposes of our multifamily credit loss performance metrics, credit losses or gains represents write-offs net of recoveries and foreclosed property income or expense. We believe our multifamily credit losses, and our multifamily credit losses net of freestanding loss-sharing benefit, may be useful to stakeholders because they display our credit losses in the context of our multifamily guaranty book of business, including changes to the benefit we expect to receive from loss-sharing arrangements. Management views multifamily credit losses, net of freestanding loss-sharing arrangements, as a key metric related to our multifamily business model and our strategy to share multifamily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43</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46" w:name="page47"/>
    <w:bookmarkEnd w:id="46"/>
    <w:p>
      <w:pPr>
        <w:ind w:left="6420"/>
        <w:spacing w:after="0"/>
        <w:rPr>
          <w:sz w:val="20"/>
          <w:szCs w:val="20"/>
          <w:color w:val="auto"/>
        </w:rPr>
      </w:pPr>
      <w:r>
        <w:rPr>
          <w:rFonts w:ascii="Arial" w:cs="Arial" w:eastAsia="Arial" w:hAnsi="Arial"/>
          <w:sz w:val="14"/>
          <w:szCs w:val="14"/>
          <w:color w:val="05314D"/>
        </w:rPr>
        <w:t>MD&amp;A | Multifamily Business | Multifamily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15875</wp:posOffset>
            </wp:positionV>
            <wp:extent cx="697484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74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The table below displays the components of our multifamily credit loss performance metrics, as well as our multifamily initial write-off severity rate and write-off loan count.</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Multifamily Credit Loss Performance Metrics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920" w:type="dxa"/>
            <w:vAlign w:val="bottom"/>
            <w:tcBorders>
              <w:top w:val="single" w:sz="8" w:color="2C6937"/>
            </w:tcBorders>
          </w:tcPr>
          <w:p>
            <w:pPr>
              <w:spacing w:after="0"/>
              <w:rPr>
                <w:sz w:val="20"/>
                <w:szCs w:val="20"/>
                <w:color w:val="auto"/>
              </w:rPr>
            </w:pPr>
          </w:p>
        </w:tc>
        <w:tc>
          <w:tcPr>
            <w:tcW w:w="100" w:type="dxa"/>
            <w:vAlign w:val="bottom"/>
            <w:tcBorders>
              <w:top w:val="single" w:sz="8" w:color="2C6937"/>
            </w:tcBorders>
          </w:tcPr>
          <w:p>
            <w:pPr>
              <w:spacing w:after="0"/>
              <w:rPr>
                <w:sz w:val="20"/>
                <w:szCs w:val="20"/>
                <w:color w:val="auto"/>
              </w:rPr>
            </w:pPr>
          </w:p>
        </w:tc>
        <w:tc>
          <w:tcPr>
            <w:tcW w:w="120" w:type="dxa"/>
            <w:vAlign w:val="bottom"/>
            <w:tcBorders>
              <w:top w:val="single" w:sz="8" w:color="2C6937"/>
              <w:bottom w:val="single" w:sz="8" w:color="2C6937"/>
            </w:tcBorders>
          </w:tcPr>
          <w:p>
            <w:pPr>
              <w:spacing w:after="0"/>
              <w:rPr>
                <w:sz w:val="20"/>
                <w:szCs w:val="20"/>
                <w:color w:val="auto"/>
              </w:rPr>
            </w:pPr>
          </w:p>
        </w:tc>
        <w:tc>
          <w:tcPr>
            <w:tcW w:w="2940" w:type="dxa"/>
            <w:vAlign w:val="bottom"/>
            <w:tcBorders>
              <w:top w:val="single" w:sz="8" w:color="2C6937"/>
              <w:bottom w:val="single" w:sz="8" w:color="2C6937"/>
            </w:tcBorders>
            <w:gridSpan w:val="5"/>
          </w:tcPr>
          <w:p>
            <w:pPr>
              <w:jc w:val="right"/>
              <w:ind w:right="63"/>
              <w:spacing w:after="0"/>
              <w:rPr>
                <w:sz w:val="20"/>
                <w:szCs w:val="20"/>
                <w:color w:val="auto"/>
              </w:rPr>
            </w:pPr>
            <w:r>
              <w:rPr>
                <w:rFonts w:ascii="Arial" w:cs="Arial" w:eastAsia="Arial" w:hAnsi="Arial"/>
                <w:sz w:val="15"/>
                <w:szCs w:val="15"/>
                <w:b w:val="1"/>
                <w:bCs w:val="1"/>
                <w:color w:val="auto"/>
              </w:rPr>
              <w:t>For the Three Months Ended June 30,</w:t>
            </w:r>
          </w:p>
        </w:tc>
        <w:tc>
          <w:tcPr>
            <w:tcW w:w="100" w:type="dxa"/>
            <w:vAlign w:val="bottom"/>
            <w:tcBorders>
              <w:top w:val="single" w:sz="8" w:color="2C6937"/>
            </w:tcBorders>
          </w:tcPr>
          <w:p>
            <w:pPr>
              <w:spacing w:after="0"/>
              <w:rPr>
                <w:sz w:val="20"/>
                <w:szCs w:val="20"/>
                <w:color w:val="auto"/>
              </w:rPr>
            </w:pPr>
          </w:p>
        </w:tc>
        <w:tc>
          <w:tcPr>
            <w:tcW w:w="2740" w:type="dxa"/>
            <w:vAlign w:val="bottom"/>
            <w:tcBorders>
              <w:top w:val="single" w:sz="8" w:color="2C6937"/>
              <w:bottom w:val="single" w:sz="8" w:color="2C6937"/>
            </w:tcBorders>
            <w:gridSpan w:val="5"/>
          </w:tcPr>
          <w:p>
            <w:pPr>
              <w:jc w:val="right"/>
              <w:ind w:right="3"/>
              <w:spacing w:after="0"/>
              <w:rPr>
                <w:sz w:val="20"/>
                <w:szCs w:val="20"/>
                <w:color w:val="auto"/>
              </w:rPr>
            </w:pPr>
            <w:r>
              <w:rPr>
                <w:rFonts w:ascii="Arial" w:cs="Arial" w:eastAsia="Arial" w:hAnsi="Arial"/>
                <w:sz w:val="15"/>
                <w:szCs w:val="15"/>
                <w:b w:val="1"/>
                <w:bCs w:val="1"/>
                <w:color w:val="auto"/>
              </w:rPr>
              <w:t>For the Six Months Ended June 30,</w:t>
            </w:r>
          </w:p>
        </w:tc>
        <w:tc>
          <w:tcPr>
            <w:tcW w:w="320" w:type="dxa"/>
            <w:vAlign w:val="bottom"/>
            <w:tcBorders>
              <w:top w:val="single" w:sz="8" w:color="2C6937"/>
              <w:bottom w:val="single" w:sz="8" w:color="2C6937"/>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4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2023</w:t>
            </w:r>
          </w:p>
        </w:tc>
        <w:tc>
          <w:tcPr>
            <w:tcW w:w="420" w:type="dxa"/>
            <w:vAlign w:val="bottom"/>
            <w:tcBorders>
              <w:bottom w:val="single" w:sz="8" w:color="2C6937"/>
            </w:tcBorders>
          </w:tcPr>
          <w:p>
            <w:pPr>
              <w:spacing w:after="0"/>
              <w:rPr>
                <w:sz w:val="17"/>
                <w:szCs w:val="17"/>
                <w:color w:val="auto"/>
              </w:rPr>
            </w:pPr>
          </w:p>
        </w:tc>
        <w:tc>
          <w:tcPr>
            <w:tcW w:w="320" w:type="dxa"/>
            <w:vAlign w:val="bottom"/>
            <w:tcBorders>
              <w:bottom w:val="single" w:sz="8" w:color="2C6937"/>
            </w:tcBorders>
          </w:tcPr>
          <w:p>
            <w:pPr>
              <w:spacing w:after="0"/>
              <w:rPr>
                <w:sz w:val="17"/>
                <w:szCs w:val="17"/>
                <w:color w:val="auto"/>
              </w:rPr>
            </w:pPr>
          </w:p>
        </w:tc>
        <w:tc>
          <w:tcPr>
            <w:tcW w:w="84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2022</w:t>
            </w:r>
          </w:p>
        </w:tc>
        <w:tc>
          <w:tcPr>
            <w:tcW w:w="3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340" w:type="dxa"/>
            <w:vAlign w:val="bottom"/>
            <w:tcBorders>
              <w:bottom w:val="single" w:sz="8" w:color="2C6937"/>
            </w:tcBorders>
          </w:tcPr>
          <w:p>
            <w:pPr>
              <w:spacing w:after="0"/>
              <w:rPr>
                <w:sz w:val="17"/>
                <w:szCs w:val="17"/>
                <w:color w:val="auto"/>
              </w:rPr>
            </w:pPr>
          </w:p>
        </w:tc>
        <w:tc>
          <w:tcPr>
            <w:tcW w:w="820" w:type="dxa"/>
            <w:vAlign w:val="bottom"/>
            <w:tcBorders>
              <w:bottom w:val="single" w:sz="8" w:color="2C6937"/>
            </w:tcBorders>
          </w:tcPr>
          <w:p>
            <w:pPr>
              <w:jc w:val="right"/>
              <w:ind w:right="163"/>
              <w:spacing w:after="0"/>
              <w:rPr>
                <w:sz w:val="20"/>
                <w:szCs w:val="20"/>
                <w:color w:val="auto"/>
              </w:rPr>
            </w:pPr>
            <w:r>
              <w:rPr>
                <w:rFonts w:ascii="Arial" w:cs="Arial" w:eastAsia="Arial" w:hAnsi="Arial"/>
                <w:sz w:val="15"/>
                <w:szCs w:val="15"/>
                <w:b w:val="1"/>
                <w:bCs w:val="1"/>
                <w:color w:val="auto"/>
              </w:rPr>
              <w:t>2023</w:t>
            </w:r>
          </w:p>
        </w:tc>
        <w:tc>
          <w:tcPr>
            <w:tcW w:w="420" w:type="dxa"/>
            <w:vAlign w:val="bottom"/>
            <w:tcBorders>
              <w:bottom w:val="single" w:sz="8" w:color="2C6937"/>
            </w:tcBorders>
          </w:tcPr>
          <w:p>
            <w:pPr>
              <w:spacing w:after="0"/>
              <w:rPr>
                <w:sz w:val="17"/>
                <w:szCs w:val="17"/>
                <w:color w:val="auto"/>
              </w:rPr>
            </w:pPr>
          </w:p>
        </w:tc>
        <w:tc>
          <w:tcPr>
            <w:tcW w:w="340" w:type="dxa"/>
            <w:vAlign w:val="bottom"/>
            <w:tcBorders>
              <w:bottom w:val="single" w:sz="8" w:color="2C6937"/>
            </w:tcBorders>
          </w:tcPr>
          <w:p>
            <w:pPr>
              <w:spacing w:after="0"/>
              <w:rPr>
                <w:sz w:val="17"/>
                <w:szCs w:val="17"/>
                <w:color w:val="auto"/>
              </w:rPr>
            </w:pPr>
          </w:p>
        </w:tc>
        <w:tc>
          <w:tcPr>
            <w:tcW w:w="820" w:type="dxa"/>
            <w:vAlign w:val="bottom"/>
            <w:tcBorders>
              <w:bottom w:val="single" w:sz="8" w:color="2C6937"/>
            </w:tcBorders>
          </w:tcPr>
          <w:p>
            <w:pPr>
              <w:jc w:val="right"/>
              <w:ind w:right="163"/>
              <w:spacing w:after="0"/>
              <w:rPr>
                <w:sz w:val="20"/>
                <w:szCs w:val="20"/>
                <w:color w:val="auto"/>
              </w:rPr>
            </w:pPr>
            <w:r>
              <w:rPr>
                <w:rFonts w:ascii="Arial" w:cs="Arial" w:eastAsia="Arial" w:hAnsi="Arial"/>
                <w:sz w:val="15"/>
                <w:szCs w:val="15"/>
                <w:b w:val="1"/>
                <w:bCs w:val="1"/>
                <w:color w:val="auto"/>
              </w:rPr>
              <w:t>2022</w:t>
            </w:r>
          </w:p>
        </w:tc>
        <w:tc>
          <w:tcPr>
            <w:tcW w:w="32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20" w:type="dxa"/>
            <w:vAlign w:val="bottom"/>
            <w:gridSpan w:val="6"/>
          </w:tcPr>
          <w:p>
            <w:pPr>
              <w:jc w:val="right"/>
              <w:ind w:right="920"/>
              <w:spacing w:after="0"/>
              <w:rPr>
                <w:sz w:val="20"/>
                <w:szCs w:val="20"/>
                <w:color w:val="auto"/>
              </w:rPr>
            </w:pPr>
            <w:r>
              <w:rPr>
                <w:rFonts w:ascii="Arial" w:cs="Arial" w:eastAsia="Arial" w:hAnsi="Arial"/>
                <w:sz w:val="15"/>
                <w:szCs w:val="15"/>
                <w:b w:val="1"/>
                <w:bCs w:val="1"/>
                <w:color w:val="auto"/>
              </w:rPr>
              <w:t>(Dollars in millions)</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5020" w:type="dxa"/>
            <w:vAlign w:val="bottom"/>
            <w:gridSpan w:val="2"/>
          </w:tcPr>
          <w:p>
            <w:pPr>
              <w:ind w:left="20"/>
              <w:spacing w:after="0"/>
              <w:rPr>
                <w:sz w:val="20"/>
                <w:szCs w:val="20"/>
                <w:color w:val="auto"/>
              </w:rPr>
            </w:pPr>
            <w:r>
              <w:rPr>
                <w:rFonts w:ascii="Arial" w:cs="Arial" w:eastAsia="Arial" w:hAnsi="Arial"/>
                <w:sz w:val="15"/>
                <w:szCs w:val="15"/>
                <w:color w:val="auto"/>
              </w:rPr>
              <w:t>Write-offs</w:t>
            </w:r>
            <w:r>
              <w:rPr>
                <w:rFonts w:ascii="Arial" w:cs="Arial" w:eastAsia="Arial" w:hAnsi="Arial"/>
                <w:sz w:val="20"/>
                <w:szCs w:val="20"/>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(17)</w:t>
            </w:r>
          </w:p>
        </w:tc>
        <w:tc>
          <w:tcPr>
            <w:tcW w:w="420" w:type="dxa"/>
            <w:vAlign w:val="bottom"/>
          </w:tcPr>
          <w:p>
            <w:pPr>
              <w:spacing w:after="0"/>
              <w:rPr>
                <w:sz w:val="24"/>
                <w:szCs w:val="24"/>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4"/>
                <w:szCs w:val="24"/>
                <w:color w:val="auto"/>
              </w:rPr>
            </w:pPr>
          </w:p>
        </w:tc>
        <w:tc>
          <w:tcPr>
            <w:tcW w:w="440" w:type="dxa"/>
            <w:vAlign w:val="bottom"/>
            <w:gridSpan w:val="2"/>
          </w:tcPr>
          <w:p>
            <w:pPr>
              <w:jc w:val="right"/>
              <w:ind w:right="163"/>
              <w:spacing w:after="0"/>
              <w:rPr>
                <w:sz w:val="20"/>
                <w:szCs w:val="20"/>
                <w:color w:val="auto"/>
              </w:rPr>
            </w:pPr>
            <w:r>
              <w:rPr>
                <w:rFonts w:ascii="Arial" w:cs="Arial" w:eastAsia="Arial" w:hAnsi="Arial"/>
                <w:sz w:val="15"/>
                <w:szCs w:val="15"/>
                <w:b w:val="1"/>
                <w:bCs w:val="1"/>
                <w:color w:val="auto"/>
              </w:rPr>
              <w:t>$</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(254)</w:t>
            </w:r>
          </w:p>
        </w:tc>
        <w:tc>
          <w:tcPr>
            <w:tcW w:w="420" w:type="dxa"/>
            <w:vAlign w:val="bottom"/>
          </w:tcPr>
          <w:p>
            <w:pPr>
              <w:spacing w:after="0"/>
              <w:rPr>
                <w:sz w:val="24"/>
                <w:szCs w:val="24"/>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020" w:type="dxa"/>
            <w:vAlign w:val="bottom"/>
            <w:gridSpan w:val="2"/>
          </w:tcPr>
          <w:p>
            <w:pPr>
              <w:ind w:left="20"/>
              <w:spacing w:after="0"/>
              <w:rPr>
                <w:sz w:val="20"/>
                <w:szCs w:val="20"/>
                <w:color w:val="auto"/>
              </w:rPr>
            </w:pPr>
            <w:r>
              <w:rPr>
                <w:rFonts w:ascii="Arial" w:cs="Arial" w:eastAsia="Arial" w:hAnsi="Arial"/>
                <w:sz w:val="15"/>
                <w:szCs w:val="15"/>
                <w:color w:val="auto"/>
              </w:rPr>
              <w:t>Recoveries</w:t>
            </w:r>
          </w:p>
        </w:tc>
        <w:tc>
          <w:tcPr>
            <w:tcW w:w="120" w:type="dxa"/>
            <w:vAlign w:val="bottom"/>
          </w:tcPr>
          <w:p>
            <w:pPr>
              <w:spacing w:after="0"/>
              <w:rPr>
                <w:sz w:val="24"/>
                <w:szCs w:val="24"/>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b w:val="1"/>
                <w:bCs w:val="1"/>
                <w:color w:val="auto"/>
              </w:rPr>
              <w:t>1</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10</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10</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17</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49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Foreclosed property expense</w:t>
            </w:r>
          </w:p>
        </w:tc>
        <w:tc>
          <w:tcPr>
            <w:tcW w:w="100" w:type="dxa"/>
            <w:vAlign w:val="bottom"/>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(36)</w:t>
            </w:r>
          </w:p>
        </w:tc>
        <w:tc>
          <w:tcPr>
            <w:tcW w:w="420" w:type="dxa"/>
            <w:vAlign w:val="bottom"/>
          </w:tcPr>
          <w:p>
            <w:pPr>
              <w:spacing w:after="0"/>
              <w:rPr>
                <w:sz w:val="24"/>
                <w:szCs w:val="24"/>
                <w:color w:val="auto"/>
              </w:rPr>
            </w:pPr>
          </w:p>
        </w:tc>
        <w:tc>
          <w:tcPr>
            <w:tcW w:w="32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2C6937"/>
            </w:tcBorders>
          </w:tcPr>
          <w:p>
            <w:pPr>
              <w:spacing w:after="0"/>
              <w:rPr>
                <w:sz w:val="24"/>
                <w:szCs w:val="24"/>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w:t>
            </w:r>
          </w:p>
        </w:tc>
        <w:tc>
          <w:tcPr>
            <w:tcW w:w="420" w:type="dxa"/>
            <w:vAlign w:val="bottom"/>
          </w:tcPr>
          <w:p>
            <w:pPr>
              <w:spacing w:after="0"/>
              <w:rPr>
                <w:sz w:val="24"/>
                <w:szCs w:val="24"/>
                <w:color w:val="auto"/>
              </w:rPr>
            </w:pPr>
          </w:p>
        </w:tc>
        <w:tc>
          <w:tcPr>
            <w:tcW w:w="340" w:type="dxa"/>
            <w:vAlign w:val="bottom"/>
            <w:tcBorders>
              <w:bottom w:val="single" w:sz="8" w:color="2C6937"/>
            </w:tcBorders>
          </w:tcPr>
          <w:p>
            <w:pPr>
              <w:spacing w:after="0"/>
              <w:rPr>
                <w:sz w:val="24"/>
                <w:szCs w:val="24"/>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5020" w:type="dxa"/>
            <w:vAlign w:val="bottom"/>
            <w:gridSpan w:val="2"/>
          </w:tcPr>
          <w:p>
            <w:pPr>
              <w:ind w:left="180"/>
              <w:spacing w:after="0"/>
              <w:rPr>
                <w:sz w:val="20"/>
                <w:szCs w:val="20"/>
                <w:color w:val="auto"/>
              </w:rPr>
            </w:pPr>
            <w:r>
              <w:rPr>
                <w:rFonts w:ascii="Arial" w:cs="Arial" w:eastAsia="Arial" w:hAnsi="Arial"/>
                <w:sz w:val="15"/>
                <w:szCs w:val="15"/>
                <w:color w:val="auto"/>
              </w:rPr>
              <w:t>Credit gains (losses)</w:t>
            </w: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(52)</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(284)</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14</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9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Change in expected credit enhancement recoveries</w:t>
            </w:r>
            <w:r>
              <w:rPr>
                <w:rFonts w:ascii="Arial" w:cs="Arial" w:eastAsia="Arial" w:hAnsi="Arial"/>
                <w:sz w:val="20"/>
                <w:szCs w:val="20"/>
                <w:color w:val="auto"/>
                <w:vertAlign w:val="superscript"/>
              </w:rPr>
              <w:t>(2)</w:t>
            </w:r>
          </w:p>
        </w:tc>
        <w:tc>
          <w:tcPr>
            <w:tcW w:w="100" w:type="dxa"/>
            <w:vAlign w:val="bottom"/>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0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23</w:t>
            </w:r>
          </w:p>
        </w:tc>
        <w:tc>
          <w:tcPr>
            <w:tcW w:w="420" w:type="dxa"/>
            <w:vAlign w:val="bottom"/>
          </w:tcPr>
          <w:p>
            <w:pPr>
              <w:spacing w:after="0"/>
              <w:rPr>
                <w:sz w:val="24"/>
                <w:szCs w:val="24"/>
                <w:color w:val="auto"/>
              </w:rPr>
            </w:pPr>
          </w:p>
        </w:tc>
        <w:tc>
          <w:tcPr>
            <w:tcW w:w="32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2C6937"/>
            </w:tcBorders>
          </w:tcPr>
          <w:p>
            <w:pPr>
              <w:spacing w:after="0"/>
              <w:rPr>
                <w:sz w:val="24"/>
                <w:szCs w:val="24"/>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31</w:t>
            </w:r>
          </w:p>
        </w:tc>
        <w:tc>
          <w:tcPr>
            <w:tcW w:w="420" w:type="dxa"/>
            <w:vAlign w:val="bottom"/>
          </w:tcPr>
          <w:p>
            <w:pPr>
              <w:spacing w:after="0"/>
              <w:rPr>
                <w:sz w:val="24"/>
                <w:szCs w:val="24"/>
                <w:color w:val="auto"/>
              </w:rPr>
            </w:pPr>
          </w:p>
        </w:tc>
        <w:tc>
          <w:tcPr>
            <w:tcW w:w="340" w:type="dxa"/>
            <w:vAlign w:val="bottom"/>
            <w:tcBorders>
              <w:bottom w:val="single" w:sz="8" w:color="2C6937"/>
            </w:tcBorders>
          </w:tcPr>
          <w:p>
            <w:pPr>
              <w:spacing w:after="0"/>
              <w:rPr>
                <w:sz w:val="24"/>
                <w:szCs w:val="24"/>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49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Credit gains (losses), net of freestanding loss-sharing arrangements</w:t>
            </w:r>
          </w:p>
        </w:tc>
        <w:tc>
          <w:tcPr>
            <w:tcW w:w="100" w:type="dxa"/>
            <w:vAlign w:val="bottom"/>
          </w:tcPr>
          <w:p>
            <w:pPr>
              <w:spacing w:after="0"/>
              <w:rPr>
                <w:sz w:val="24"/>
                <w:szCs w:val="24"/>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(29)</w:t>
            </w:r>
          </w:p>
        </w:tc>
        <w:tc>
          <w:tcPr>
            <w:tcW w:w="420" w:type="dxa"/>
            <w:vAlign w:val="bottom"/>
          </w:tcPr>
          <w:p>
            <w:pPr>
              <w:spacing w:after="0"/>
              <w:rPr>
                <w:sz w:val="24"/>
                <w:szCs w:val="24"/>
                <w:color w:val="auto"/>
              </w:rPr>
            </w:pPr>
          </w:p>
        </w:tc>
        <w:tc>
          <w:tcPr>
            <w:tcW w:w="320" w:type="dxa"/>
            <w:vAlign w:val="bottom"/>
            <w:tcBorders>
              <w:bottom w:val="single" w:sz="8" w:color="2C6937"/>
            </w:tcBorders>
          </w:tcPr>
          <w:p>
            <w:pPr>
              <w:jc w:val="right"/>
              <w:ind w:right="143"/>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2C6937"/>
            </w:tcBorders>
          </w:tcPr>
          <w:p>
            <w:pPr>
              <w:jc w:val="right"/>
              <w:ind w:right="16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(253)</w:t>
            </w:r>
          </w:p>
        </w:tc>
        <w:tc>
          <w:tcPr>
            <w:tcW w:w="420" w:type="dxa"/>
            <w:vAlign w:val="bottom"/>
          </w:tcPr>
          <w:p>
            <w:pPr>
              <w:spacing w:after="0"/>
              <w:rPr>
                <w:sz w:val="24"/>
                <w:szCs w:val="24"/>
                <w:color w:val="auto"/>
              </w:rPr>
            </w:pPr>
          </w:p>
        </w:tc>
        <w:tc>
          <w:tcPr>
            <w:tcW w:w="340" w:type="dxa"/>
            <w:vAlign w:val="bottom"/>
            <w:tcBorders>
              <w:bottom w:val="single" w:sz="8" w:color="2C6937"/>
            </w:tcBorders>
          </w:tcPr>
          <w:p>
            <w:pPr>
              <w:jc w:val="right"/>
              <w:ind w:right="163"/>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9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060" w:type="dxa"/>
            <w:vAlign w:val="bottom"/>
            <w:tcBorders>
              <w:bottom w:val="single" w:sz="8" w:color="2C6937"/>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2C6937"/>
            </w:tcBorders>
          </w:tcPr>
          <w:p>
            <w:pPr>
              <w:spacing w:after="0" w:line="20" w:lineRule="exact"/>
              <w:rPr>
                <w:sz w:val="1"/>
                <w:szCs w:val="1"/>
                <w:color w:val="auto"/>
              </w:rPr>
            </w:pPr>
          </w:p>
        </w:tc>
        <w:tc>
          <w:tcPr>
            <w:tcW w:w="820" w:type="dxa"/>
            <w:vAlign w:val="bottom"/>
            <w:tcBorders>
              <w:bottom w:val="single" w:sz="8" w:color="2C6937"/>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bottom w:val="single" w:sz="8" w:color="2C6937"/>
            </w:tcBorders>
          </w:tcPr>
          <w:p>
            <w:pPr>
              <w:spacing w:after="0" w:line="20" w:lineRule="exact"/>
              <w:rPr>
                <w:sz w:val="1"/>
                <w:szCs w:val="1"/>
                <w:color w:val="auto"/>
              </w:rPr>
            </w:pPr>
          </w:p>
        </w:tc>
        <w:tc>
          <w:tcPr>
            <w:tcW w:w="820" w:type="dxa"/>
            <w:vAlign w:val="bottom"/>
            <w:tcBorders>
              <w:bottom w:val="single" w:sz="8" w:color="2C6937"/>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4"/>
        </w:trPr>
        <w:tc>
          <w:tcPr>
            <w:tcW w:w="5020" w:type="dxa"/>
            <w:vAlign w:val="bottom"/>
            <w:gridSpan w:val="2"/>
          </w:tcPr>
          <w:p>
            <w:pPr>
              <w:ind w:left="20"/>
              <w:spacing w:after="0"/>
              <w:rPr>
                <w:sz w:val="20"/>
                <w:szCs w:val="20"/>
                <w:color w:val="auto"/>
              </w:rPr>
            </w:pPr>
            <w:r>
              <w:rPr>
                <w:rFonts w:ascii="Arial" w:cs="Arial" w:eastAsia="Arial" w:hAnsi="Arial"/>
                <w:sz w:val="15"/>
                <w:szCs w:val="15"/>
                <w:color w:val="auto"/>
              </w:rPr>
              <w:t>Credit gain (loss) ratio (in bps)</w:t>
            </w:r>
            <w:r>
              <w:rPr>
                <w:rFonts w:ascii="Arial" w:cs="Arial" w:eastAsia="Arial" w:hAnsi="Arial"/>
                <w:sz w:val="20"/>
                <w:szCs w:val="20"/>
                <w:color w:val="auto"/>
                <w:vertAlign w:val="superscript"/>
              </w:rPr>
              <w:t>(3)</w:t>
            </w: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(4.6)</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0.2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(12.7)</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0.7</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020" w:type="dxa"/>
            <w:vAlign w:val="bottom"/>
            <w:gridSpan w:val="2"/>
          </w:tcPr>
          <w:p>
            <w:pPr>
              <w:ind w:left="20"/>
              <w:spacing w:after="0"/>
              <w:rPr>
                <w:sz w:val="20"/>
                <w:szCs w:val="20"/>
                <w:color w:val="auto"/>
              </w:rPr>
            </w:pPr>
            <w:r>
              <w:rPr>
                <w:rFonts w:ascii="Arial" w:cs="Arial" w:eastAsia="Arial" w:hAnsi="Arial"/>
                <w:sz w:val="15"/>
                <w:szCs w:val="15"/>
                <w:color w:val="auto"/>
              </w:rPr>
              <w:t>Credit gain (loss) ratio, net of freestanding loss-sharing benefit (in bps)</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4920" w:type="dxa"/>
            <w:vAlign w:val="bottom"/>
          </w:tcPr>
          <w:p>
            <w:pPr>
              <w:ind w:left="180"/>
              <w:spacing w:after="0"/>
              <w:rPr>
                <w:sz w:val="20"/>
                <w:szCs w:val="20"/>
                <w:color w:val="auto"/>
              </w:rPr>
            </w:pPr>
            <w:r>
              <w:rPr>
                <w:rFonts w:ascii="Arial" w:cs="Arial" w:eastAsia="Arial" w:hAnsi="Arial"/>
                <w:sz w:val="10"/>
                <w:szCs w:val="10"/>
                <w:color w:val="auto"/>
              </w:rPr>
              <w:t>(2)(3)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(2.6)</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(0.1)</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(11.3)</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0.2</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4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5020" w:type="dxa"/>
            <w:vAlign w:val="bottom"/>
            <w:gridSpan w:val="2"/>
          </w:tcPr>
          <w:p>
            <w:pPr>
              <w:ind w:left="20"/>
              <w:spacing w:after="0"/>
              <w:rPr>
                <w:sz w:val="20"/>
                <w:szCs w:val="20"/>
                <w:color w:val="auto"/>
              </w:rPr>
            </w:pPr>
            <w:r>
              <w:rPr>
                <w:rFonts w:ascii="Arial" w:cs="Arial" w:eastAsia="Arial" w:hAnsi="Arial"/>
                <w:sz w:val="15"/>
                <w:szCs w:val="15"/>
                <w:color w:val="auto"/>
              </w:rPr>
              <w:t>Multifamily initial write-off severity rate</w:t>
            </w:r>
            <w:r>
              <w:rPr>
                <w:rFonts w:ascii="Arial" w:cs="Arial" w:eastAsia="Arial" w:hAnsi="Arial"/>
                <w:sz w:val="20"/>
                <w:szCs w:val="20"/>
                <w:color w:val="auto"/>
                <w:vertAlign w:val="superscript"/>
              </w:rPr>
              <w:t>(4)(5)</w:t>
            </w:r>
          </w:p>
        </w:tc>
        <w:tc>
          <w:tcPr>
            <w:tcW w:w="120" w:type="dxa"/>
            <w:vAlign w:val="bottom"/>
          </w:tcPr>
          <w:p>
            <w:pPr>
              <w:spacing w:after="0"/>
              <w:rPr>
                <w:sz w:val="24"/>
                <w:szCs w:val="2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69.1 %</w:t>
            </w:r>
          </w:p>
        </w:tc>
        <w:tc>
          <w:tcPr>
            <w:tcW w:w="320" w:type="dxa"/>
            <w:vAlign w:val="bottom"/>
          </w:tcPr>
          <w:p>
            <w:pPr>
              <w:spacing w:after="0"/>
              <w:rPr>
                <w:sz w:val="24"/>
                <w:szCs w:val="24"/>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6.9</w:t>
            </w:r>
          </w:p>
        </w:tc>
        <w:tc>
          <w:tcPr>
            <w:tcW w:w="3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13.2 %</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5.6</w:t>
            </w:r>
          </w:p>
        </w:tc>
        <w:tc>
          <w:tcPr>
            <w:tcW w:w="32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09"/>
        </w:trPr>
        <w:tc>
          <w:tcPr>
            <w:tcW w:w="5020" w:type="dxa"/>
            <w:vAlign w:val="bottom"/>
            <w:gridSpan w:val="2"/>
          </w:tcPr>
          <w:p>
            <w:pPr>
              <w:ind w:left="20"/>
              <w:spacing w:after="0"/>
              <w:rPr>
                <w:sz w:val="20"/>
                <w:szCs w:val="20"/>
                <w:color w:val="auto"/>
              </w:rPr>
            </w:pPr>
            <w:r>
              <w:rPr>
                <w:rFonts w:ascii="Arial" w:cs="Arial" w:eastAsia="Arial" w:hAnsi="Arial"/>
                <w:sz w:val="15"/>
                <w:szCs w:val="15"/>
                <w:color w:val="auto"/>
              </w:rPr>
              <w:t>Multifamily write-off loan count</w:t>
            </w:r>
            <w:r>
              <w:rPr>
                <w:rFonts w:ascii="Arial" w:cs="Arial" w:eastAsia="Arial" w:hAnsi="Arial"/>
                <w:sz w:val="20"/>
                <w:szCs w:val="20"/>
                <w:color w:val="auto"/>
                <w:vertAlign w:val="superscript"/>
              </w:rPr>
              <w:t>(6)</w:t>
            </w:r>
          </w:p>
        </w:tc>
        <w:tc>
          <w:tcPr>
            <w:tcW w:w="120" w:type="dxa"/>
            <w:vAlign w:val="bottom"/>
          </w:tcPr>
          <w:p>
            <w:pPr>
              <w:spacing w:after="0"/>
              <w:rPr>
                <w:sz w:val="24"/>
                <w:szCs w:val="24"/>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b w:val="1"/>
                <w:bCs w:val="1"/>
                <w:color w:val="auto"/>
              </w:rPr>
              <w:t>4</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6</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240" w:right="80" w:hanging="237"/>
        <w:spacing w:after="0" w:line="269" w:lineRule="auto"/>
        <w:tabs>
          <w:tab w:leader="none" w:pos="240" w:val="left"/>
        </w:tabs>
        <w:numPr>
          <w:ilvl w:val="0"/>
          <w:numId w:val="50"/>
        </w:numPr>
        <w:rPr>
          <w:rFonts w:ascii="Arial" w:cs="Arial" w:eastAsia="Arial" w:hAnsi="Arial"/>
          <w:sz w:val="9"/>
          <w:szCs w:val="9"/>
          <w:color w:val="auto"/>
        </w:rPr>
      </w:pPr>
      <w:r>
        <w:rPr>
          <w:rFonts w:ascii="Arial" w:cs="Arial" w:eastAsia="Arial" w:hAnsi="Arial"/>
          <w:sz w:val="14"/>
          <w:szCs w:val="14"/>
          <w:color w:val="auto"/>
        </w:rPr>
        <w:t>Represents write-offs when a loan is determined to be uncollectible prior to a liquidation event, which includes foreclosure, a deed-in-lieu of foreclosure or a short-sale (collectively a “liquidation event”), as well as write-offs at liquidation. Write-offs associated with non-REO sales are net of loss sharing.</w:t>
      </w:r>
    </w:p>
    <w:p>
      <w:pPr>
        <w:spacing w:after="0" w:line="12" w:lineRule="exact"/>
        <w:rPr>
          <w:rFonts w:ascii="Arial" w:cs="Arial" w:eastAsia="Arial" w:hAnsi="Arial"/>
          <w:sz w:val="9"/>
          <w:szCs w:val="9"/>
          <w:color w:val="auto"/>
        </w:rPr>
      </w:pPr>
    </w:p>
    <w:p>
      <w:pPr>
        <w:ind w:left="240" w:right="360" w:hanging="237"/>
        <w:spacing w:after="0" w:line="231" w:lineRule="auto"/>
        <w:tabs>
          <w:tab w:leader="none" w:pos="240"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Represents changes to the benefit we expect to receive only from write-offs as a result of certain freestanding loss-sharing arrangements, primarily multifamily DUS lender risk-sharing transactions. Changes to the expected benefits we will receive are recorded in “Change in expected credit enhancement recoveries” in our condensed consolidated statements of operations and comprehensive income.</w:t>
      </w:r>
    </w:p>
    <w:p>
      <w:pPr>
        <w:spacing w:after="0" w:line="19" w:lineRule="exact"/>
        <w:rPr>
          <w:rFonts w:ascii="Arial" w:cs="Arial" w:eastAsia="Arial" w:hAnsi="Arial"/>
          <w:sz w:val="18"/>
          <w:szCs w:val="18"/>
          <w:color w:val="auto"/>
          <w:vertAlign w:val="superscript"/>
        </w:rPr>
      </w:pPr>
    </w:p>
    <w:p>
      <w:pPr>
        <w:ind w:left="240" w:right="120" w:hanging="237"/>
        <w:spacing w:after="0" w:line="269" w:lineRule="auto"/>
        <w:tabs>
          <w:tab w:leader="none" w:pos="240" w:val="left"/>
        </w:tabs>
        <w:numPr>
          <w:ilvl w:val="0"/>
          <w:numId w:val="50"/>
        </w:numPr>
        <w:rPr>
          <w:rFonts w:ascii="Arial" w:cs="Arial" w:eastAsia="Arial" w:hAnsi="Arial"/>
          <w:sz w:val="9"/>
          <w:szCs w:val="9"/>
          <w:color w:val="auto"/>
        </w:rPr>
      </w:pPr>
      <w:r>
        <w:rPr>
          <w:rFonts w:ascii="Arial" w:cs="Arial" w:eastAsia="Arial" w:hAnsi="Arial"/>
          <w:sz w:val="14"/>
          <w:szCs w:val="14"/>
          <w:color w:val="auto"/>
        </w:rPr>
        <w:t>Calculated based on the annualized amount of “Credit gains (losses)” and “Credit gains (losses), net of freestanding loss-sharing arrangements,” divided by the average multifamily guaranty book of business during the period.</w:t>
      </w:r>
    </w:p>
    <w:p>
      <w:pPr>
        <w:ind w:left="240" w:hanging="237"/>
        <w:spacing w:after="0"/>
        <w:tabs>
          <w:tab w:leader="none" w:pos="240"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Rate is calculated as the initial write-off amount divided by the average defaulted unpaid principal balance.</w:t>
      </w:r>
    </w:p>
    <w:p>
      <w:pPr>
        <w:spacing w:after="0" w:line="41" w:lineRule="exact"/>
        <w:rPr>
          <w:rFonts w:ascii="Arial" w:cs="Arial" w:eastAsia="Arial" w:hAnsi="Arial"/>
          <w:sz w:val="18"/>
          <w:szCs w:val="18"/>
          <w:color w:val="auto"/>
          <w:vertAlign w:val="superscript"/>
        </w:rPr>
      </w:pPr>
    </w:p>
    <w:p>
      <w:pPr>
        <w:ind w:left="240" w:right="100" w:hanging="237"/>
        <w:spacing w:after="0" w:line="216" w:lineRule="auto"/>
        <w:tabs>
          <w:tab w:leader="none" w:pos="240"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Consists of write-offs associated with a liquidation event. The rate excludes any costs, gains or losses associated with REO after initial acquisition through final disposition. The rate also excludes write-offs when a loan is determined to be uncollectible prior to a liquidation event. Write-offs are net of lender loss-sharing agreements.</w:t>
      </w:r>
    </w:p>
    <w:p>
      <w:pPr>
        <w:ind w:left="240" w:hanging="237"/>
        <w:spacing w:after="0"/>
        <w:tabs>
          <w:tab w:leader="none" w:pos="240"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The multifamily write-off loan count includes only write-offs associated with a liquidation event.</w:t>
      </w:r>
    </w:p>
    <w:p>
      <w:pPr>
        <w:spacing w:after="0" w:line="55" w:lineRule="exact"/>
        <w:rPr>
          <w:sz w:val="20"/>
          <w:szCs w:val="20"/>
          <w:color w:val="auto"/>
        </w:rPr>
      </w:pPr>
    </w:p>
    <w:p>
      <w:pPr>
        <w:ind w:right="280"/>
        <w:spacing w:after="0" w:line="269" w:lineRule="auto"/>
        <w:rPr>
          <w:sz w:val="20"/>
          <w:szCs w:val="20"/>
          <w:color w:val="auto"/>
        </w:rPr>
      </w:pPr>
      <w:r>
        <w:rPr>
          <w:rFonts w:ascii="Arial" w:cs="Arial" w:eastAsia="Arial" w:hAnsi="Arial"/>
          <w:sz w:val="16"/>
          <w:szCs w:val="16"/>
          <w:color w:val="auto"/>
        </w:rPr>
        <w:t>Our multifamily credit losses increased in the first half of 2023 compared with the first half of 2022 primarily driven by the write-off of a seniors housing portfolio during the first quarter of 2023. As discussed above in “Multifamily Portfolio Monitoring,” seniors housing loans in our guaranty book of business have been disproportionately affected by the COVID-19 pandemic and ongoing economic trends, as well as other factors.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44</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47" w:name="page48"/>
    <w:bookmarkEnd w:id="47"/>
    <w:p>
      <w:pPr>
        <w:ind w:left="7260"/>
        <w:spacing w:after="0"/>
        <w:rPr>
          <w:sz w:val="20"/>
          <w:szCs w:val="20"/>
          <w:color w:val="auto"/>
        </w:rPr>
      </w:pPr>
      <w:r>
        <w:rPr>
          <w:rFonts w:ascii="Arial" w:cs="Arial" w:eastAsia="Arial" w:hAnsi="Arial"/>
          <w:sz w:val="13"/>
          <w:szCs w:val="13"/>
          <w:color w:val="05314D"/>
        </w:rPr>
        <w:t>MD&amp;A | Consolidated Credit Ratios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04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0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Consolidated Credit Ratios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52705</wp:posOffset>
            </wp:positionV>
            <wp:extent cx="7138670" cy="165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64"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The table below displays select credit ratios on our single-family conventional guaranty book of business and our multifamily guaranty book of business, as well as the inputs used in calculating these ratios.</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Consolidated Credit Ratios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38670" cy="165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64" w:lineRule="exact"/>
        <w:rPr>
          <w:sz w:val="20"/>
          <w:szCs w:val="20"/>
          <w:color w:val="auto"/>
        </w:rPr>
      </w:pPr>
    </w:p>
    <w:p>
      <w:pPr>
        <w:ind w:left="6980"/>
        <w:spacing w:after="0"/>
        <w:rPr>
          <w:sz w:val="20"/>
          <w:szCs w:val="20"/>
          <w:color w:val="auto"/>
        </w:rPr>
      </w:pPr>
      <w:r>
        <w:rPr>
          <w:rFonts w:ascii="Arial" w:cs="Arial" w:eastAsia="Arial" w:hAnsi="Arial"/>
          <w:sz w:val="15"/>
          <w:szCs w:val="15"/>
          <w:b w:val="1"/>
          <w:bCs w:val="1"/>
          <w:color w:val="auto"/>
        </w:rPr>
        <w:t>As of</w:t>
      </w:r>
    </w:p>
    <w:p>
      <w:pPr>
        <w:spacing w:after="0" w:line="35" w:lineRule="exact"/>
        <w:rPr>
          <w:sz w:val="20"/>
          <w:szCs w:val="20"/>
          <w:color w:val="auto"/>
        </w:rPr>
      </w:pPr>
    </w:p>
    <w:tbl>
      <w:tblPr>
        <w:tblLayout w:type="fixed"/>
        <w:tblInd w:w="3060" w:type="dxa"/>
        <w:tblCellMar>
          <w:top w:w="0" w:type="dxa"/>
          <w:left w:w="0" w:type="dxa"/>
          <w:bottom w:w="0" w:type="dxa"/>
          <w:right w:w="0" w:type="dxa"/>
        </w:tblCellMar>
      </w:tblPr>
      <w:tr>
        <w:trPr>
          <w:trHeight w:val="206"/>
        </w:trPr>
        <w:tc>
          <w:tcPr>
            <w:tcW w:w="1320" w:type="dxa"/>
            <w:vAlign w:val="bottom"/>
            <w:tcBorders>
              <w:top w:val="single" w:sz="8" w:color="216C2B"/>
              <w:bottom w:val="single" w:sz="8" w:color="2C6937"/>
            </w:tcBorders>
          </w:tcPr>
          <w:p>
            <w:pPr>
              <w:spacing w:after="0"/>
              <w:rPr>
                <w:sz w:val="17"/>
                <w:szCs w:val="17"/>
                <w:color w:val="auto"/>
              </w:rPr>
            </w:pPr>
          </w:p>
        </w:tc>
        <w:tc>
          <w:tcPr>
            <w:tcW w:w="1280" w:type="dxa"/>
            <w:vAlign w:val="bottom"/>
            <w:tcBorders>
              <w:top w:val="single" w:sz="8" w:color="216C2B"/>
              <w:bottom w:val="single" w:sz="8" w:color="2C6937"/>
            </w:tcBorders>
          </w:tcPr>
          <w:p>
            <w:pPr>
              <w:ind w:left="220"/>
              <w:spacing w:after="0"/>
              <w:rPr>
                <w:sz w:val="20"/>
                <w:szCs w:val="20"/>
                <w:color w:val="auto"/>
              </w:rPr>
            </w:pPr>
            <w:r>
              <w:rPr>
                <w:rFonts w:ascii="Arial" w:cs="Arial" w:eastAsia="Arial" w:hAnsi="Arial"/>
                <w:sz w:val="15"/>
                <w:szCs w:val="15"/>
                <w:b w:val="1"/>
                <w:bCs w:val="1"/>
                <w:color w:val="auto"/>
              </w:rPr>
              <w:t>June 30, 2023</w:t>
            </w:r>
          </w:p>
        </w:tc>
        <w:tc>
          <w:tcPr>
            <w:tcW w:w="1440" w:type="dxa"/>
            <w:vAlign w:val="bottom"/>
            <w:tcBorders>
              <w:top w:val="single" w:sz="8" w:color="216C2B"/>
              <w:bottom w:val="single" w:sz="8" w:color="2C6937"/>
            </w:tcBorders>
          </w:tcPr>
          <w:p>
            <w:pPr>
              <w:spacing w:after="0"/>
              <w:rPr>
                <w:sz w:val="17"/>
                <w:szCs w:val="17"/>
                <w:color w:val="auto"/>
              </w:rPr>
            </w:pPr>
          </w:p>
        </w:tc>
        <w:tc>
          <w:tcPr>
            <w:tcW w:w="100" w:type="dxa"/>
            <w:vAlign w:val="bottom"/>
            <w:tcBorders>
              <w:top w:val="single" w:sz="8" w:color="216C2B"/>
            </w:tcBorders>
          </w:tcPr>
          <w:p>
            <w:pPr>
              <w:spacing w:after="0"/>
              <w:rPr>
                <w:sz w:val="17"/>
                <w:szCs w:val="17"/>
                <w:color w:val="auto"/>
              </w:rPr>
            </w:pPr>
          </w:p>
        </w:tc>
        <w:tc>
          <w:tcPr>
            <w:tcW w:w="1220" w:type="dxa"/>
            <w:vAlign w:val="bottom"/>
            <w:tcBorders>
              <w:top w:val="single" w:sz="8" w:color="216C2B"/>
              <w:bottom w:val="single" w:sz="8" w:color="2C6937"/>
            </w:tcBorders>
          </w:tcPr>
          <w:p>
            <w:pPr>
              <w:spacing w:after="0"/>
              <w:rPr>
                <w:sz w:val="17"/>
                <w:szCs w:val="17"/>
                <w:color w:val="auto"/>
              </w:rPr>
            </w:pPr>
          </w:p>
        </w:tc>
        <w:tc>
          <w:tcPr>
            <w:tcW w:w="1580" w:type="dxa"/>
            <w:vAlign w:val="bottom"/>
            <w:tcBorders>
              <w:top w:val="single" w:sz="8" w:color="216C2B"/>
              <w:bottom w:val="single" w:sz="8" w:color="2C6937"/>
            </w:tcBorders>
          </w:tcPr>
          <w:p>
            <w:pPr>
              <w:ind w:left="140"/>
              <w:spacing w:after="0"/>
              <w:rPr>
                <w:sz w:val="20"/>
                <w:szCs w:val="20"/>
                <w:color w:val="auto"/>
              </w:rPr>
            </w:pPr>
            <w:r>
              <w:rPr>
                <w:rFonts w:ascii="Arial" w:cs="Arial" w:eastAsia="Arial" w:hAnsi="Arial"/>
                <w:sz w:val="15"/>
                <w:szCs w:val="15"/>
                <w:b w:val="1"/>
                <w:bCs w:val="1"/>
                <w:color w:val="auto"/>
              </w:rPr>
              <w:t>December 31, 2022</w:t>
            </w:r>
          </w:p>
        </w:tc>
        <w:tc>
          <w:tcPr>
            <w:tcW w:w="1240" w:type="dxa"/>
            <w:vAlign w:val="bottom"/>
            <w:tcBorders>
              <w:top w:val="single" w:sz="8" w:color="216C2B"/>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32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Single-family</w:t>
            </w:r>
          </w:p>
        </w:tc>
        <w:tc>
          <w:tcPr>
            <w:tcW w:w="1280" w:type="dxa"/>
            <w:vAlign w:val="bottom"/>
            <w:vMerge w:val="restart"/>
          </w:tcPr>
          <w:p>
            <w:pPr>
              <w:ind w:left="260"/>
              <w:spacing w:after="0"/>
              <w:rPr>
                <w:sz w:val="20"/>
                <w:szCs w:val="20"/>
                <w:color w:val="auto"/>
              </w:rPr>
            </w:pPr>
            <w:r>
              <w:rPr>
                <w:rFonts w:ascii="Arial" w:cs="Arial" w:eastAsia="Arial" w:hAnsi="Arial"/>
                <w:sz w:val="15"/>
                <w:szCs w:val="15"/>
                <w:b w:val="1"/>
                <w:bCs w:val="1"/>
                <w:color w:val="auto"/>
              </w:rPr>
              <w:t>Multifamily</w:t>
            </w:r>
          </w:p>
        </w:tc>
        <w:tc>
          <w:tcPr>
            <w:tcW w:w="1440" w:type="dxa"/>
            <w:vAlign w:val="bottom"/>
            <w:vMerge w:val="restart"/>
          </w:tcPr>
          <w:p>
            <w:pPr>
              <w:ind w:left="120"/>
              <w:spacing w:after="0"/>
              <w:rPr>
                <w:sz w:val="20"/>
                <w:szCs w:val="20"/>
                <w:color w:val="auto"/>
              </w:rPr>
            </w:pPr>
            <w:r>
              <w:rPr>
                <w:rFonts w:ascii="Arial" w:cs="Arial" w:eastAsia="Arial" w:hAnsi="Arial"/>
                <w:sz w:val="15"/>
                <w:szCs w:val="15"/>
                <w:b w:val="1"/>
                <w:bCs w:val="1"/>
                <w:color w:val="auto"/>
                <w:w w:val="96"/>
              </w:rPr>
              <w:t>Consolidated Total</w:t>
            </w:r>
          </w:p>
        </w:tc>
        <w:tc>
          <w:tcPr>
            <w:tcW w:w="100" w:type="dxa"/>
            <w:vAlign w:val="bottom"/>
          </w:tcPr>
          <w:p>
            <w:pPr>
              <w:spacing w:after="0"/>
              <w:rPr>
                <w:sz w:val="11"/>
                <w:szCs w:val="11"/>
                <w:color w:val="auto"/>
              </w:rPr>
            </w:pPr>
          </w:p>
        </w:tc>
        <w:tc>
          <w:tcPr>
            <w:tcW w:w="122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Single-family</w:t>
            </w:r>
          </w:p>
        </w:tc>
        <w:tc>
          <w:tcPr>
            <w:tcW w:w="1580" w:type="dxa"/>
            <w:vAlign w:val="bottom"/>
            <w:vMerge w:val="restart"/>
          </w:tcPr>
          <w:p>
            <w:pPr>
              <w:ind w:left="380"/>
              <w:spacing w:after="0"/>
              <w:rPr>
                <w:sz w:val="20"/>
                <w:szCs w:val="20"/>
                <w:color w:val="auto"/>
              </w:rPr>
            </w:pPr>
            <w:r>
              <w:rPr>
                <w:rFonts w:ascii="Arial" w:cs="Arial" w:eastAsia="Arial" w:hAnsi="Arial"/>
                <w:sz w:val="15"/>
                <w:szCs w:val="15"/>
                <w:b w:val="1"/>
                <w:bCs w:val="1"/>
                <w:color w:val="auto"/>
              </w:rPr>
              <w:t>Multifamily</w:t>
            </w:r>
          </w:p>
        </w:tc>
        <w:tc>
          <w:tcPr>
            <w:tcW w:w="1240" w:type="dxa"/>
            <w:vAlign w:val="bottom"/>
          </w:tcPr>
          <w:p>
            <w:pPr>
              <w:jc w:val="center"/>
              <w:ind w:right="7"/>
              <w:spacing w:after="0" w:line="135" w:lineRule="exact"/>
              <w:rPr>
                <w:sz w:val="20"/>
                <w:szCs w:val="20"/>
                <w:color w:val="auto"/>
              </w:rPr>
            </w:pPr>
            <w:r>
              <w:rPr>
                <w:rFonts w:ascii="Arial" w:cs="Arial" w:eastAsia="Arial" w:hAnsi="Arial"/>
                <w:sz w:val="15"/>
                <w:szCs w:val="15"/>
                <w:b w:val="1"/>
                <w:bCs w:val="1"/>
                <w:color w:val="auto"/>
                <w:w w:val="96"/>
              </w:rPr>
              <w:t>Consolidated</w:t>
            </w:r>
          </w:p>
        </w:tc>
        <w:tc>
          <w:tcPr>
            <w:tcW w:w="0" w:type="dxa"/>
            <w:vAlign w:val="bottom"/>
          </w:tcPr>
          <w:p>
            <w:pPr>
              <w:spacing w:after="0"/>
              <w:rPr>
                <w:sz w:val="1"/>
                <w:szCs w:val="1"/>
                <w:color w:val="auto"/>
              </w:rPr>
            </w:pPr>
          </w:p>
        </w:tc>
      </w:tr>
      <w:tr>
        <w:trPr>
          <w:trHeight w:val="204"/>
        </w:trPr>
        <w:tc>
          <w:tcPr>
            <w:tcW w:w="132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240" w:type="dxa"/>
            <w:vAlign w:val="bottom"/>
          </w:tcPr>
          <w:p>
            <w:pPr>
              <w:jc w:val="center"/>
              <w:ind w:right="27"/>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1270</wp:posOffset>
            </wp:positionV>
            <wp:extent cx="519811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98110" cy="8255"/>
                    </a:xfrm>
                    <a:prstGeom prst="rect">
                      <a:avLst/>
                    </a:prstGeom>
                    <a:noFill/>
                  </pic:spPr>
                </pic:pic>
              </a:graphicData>
            </a:graphic>
          </wp:anchor>
        </w:drawing>
      </w:r>
    </w:p>
    <w:p>
      <w:pPr>
        <w:ind w:left="6480"/>
        <w:spacing w:after="0"/>
        <w:rPr>
          <w:sz w:val="20"/>
          <w:szCs w:val="20"/>
          <w:color w:val="auto"/>
        </w:rPr>
      </w:pPr>
      <w:r>
        <w:rPr>
          <w:rFonts w:ascii="Arial" w:cs="Arial" w:eastAsia="Arial" w:hAnsi="Arial"/>
          <w:sz w:val="15"/>
          <w:szCs w:val="15"/>
          <w:b w:val="1"/>
          <w:bCs w:val="1"/>
          <w:color w:val="auto"/>
        </w:rPr>
        <w:t>(Dollars 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Credit loss reserves as a percentage of:</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22"/>
        </w:trPr>
        <w:tc>
          <w:tcPr>
            <w:tcW w:w="2960" w:type="dxa"/>
            <w:vAlign w:val="bottom"/>
          </w:tcPr>
          <w:p>
            <w:pPr>
              <w:ind w:left="180"/>
              <w:spacing w:after="0"/>
              <w:rPr>
                <w:sz w:val="20"/>
                <w:szCs w:val="20"/>
                <w:color w:val="auto"/>
              </w:rPr>
            </w:pPr>
            <w:r>
              <w:rPr>
                <w:rFonts w:ascii="Arial" w:cs="Arial" w:eastAsia="Arial" w:hAnsi="Arial"/>
                <w:sz w:val="15"/>
                <w:szCs w:val="15"/>
                <w:color w:val="auto"/>
              </w:rPr>
              <w:t>Guaranty book of business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0.22</w:t>
            </w:r>
          </w:p>
        </w:tc>
        <w:tc>
          <w:tcPr>
            <w:tcW w:w="380" w:type="dxa"/>
            <w:vAlign w:val="bottom"/>
          </w:tcPr>
          <w:p>
            <w:pPr>
              <w:jc w:val="right"/>
              <w:ind w:right="167"/>
              <w:spacing w:after="0"/>
              <w:rPr>
                <w:sz w:val="20"/>
                <w:szCs w:val="20"/>
                <w:color w:val="auto"/>
              </w:rPr>
            </w:pPr>
            <w:r>
              <w:rPr>
                <w:rFonts w:ascii="Arial" w:cs="Arial" w:eastAsia="Arial" w:hAnsi="Arial"/>
                <w:sz w:val="15"/>
                <w:szCs w:val="15"/>
                <w:b w:val="1"/>
                <w:bCs w:val="1"/>
                <w:color w:val="auto"/>
                <w:w w:val="89"/>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0.44</w:t>
            </w:r>
          </w:p>
        </w:tc>
        <w:tc>
          <w:tcPr>
            <w:tcW w:w="400" w:type="dxa"/>
            <w:vAlign w:val="bottom"/>
          </w:tcPr>
          <w:p>
            <w:pPr>
              <w:jc w:val="right"/>
              <w:ind w:right="167"/>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0.25</w:t>
            </w:r>
          </w:p>
        </w:tc>
        <w:tc>
          <w:tcPr>
            <w:tcW w:w="380" w:type="dxa"/>
            <w:vAlign w:val="bottom"/>
          </w:tcPr>
          <w:p>
            <w:pPr>
              <w:jc w:val="right"/>
              <w:ind w:right="167"/>
              <w:spacing w:after="0"/>
              <w:rPr>
                <w:sz w:val="20"/>
                <w:szCs w:val="20"/>
                <w:color w:val="auto"/>
              </w:rPr>
            </w:pPr>
            <w:r>
              <w:rPr>
                <w:rFonts w:ascii="Arial" w:cs="Arial" w:eastAsia="Arial" w:hAnsi="Arial"/>
                <w:sz w:val="15"/>
                <w:szCs w:val="15"/>
                <w:b w:val="1"/>
                <w:bCs w:val="1"/>
                <w:color w:val="auto"/>
                <w:w w:val="89"/>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0.26</w:t>
            </w:r>
          </w:p>
        </w:tc>
        <w:tc>
          <w:tcPr>
            <w:tcW w:w="380" w:type="dxa"/>
            <w:vAlign w:val="bottom"/>
          </w:tcPr>
          <w:p>
            <w:pPr>
              <w:jc w:val="right"/>
              <w:ind w:right="167"/>
              <w:spacing w:after="0"/>
              <w:rPr>
                <w:sz w:val="20"/>
                <w:szCs w:val="20"/>
                <w:color w:val="auto"/>
              </w:rPr>
            </w:pPr>
            <w:r>
              <w:rPr>
                <w:rFonts w:ascii="Arial" w:cs="Arial" w:eastAsia="Arial" w:hAnsi="Arial"/>
                <w:sz w:val="15"/>
                <w:szCs w:val="15"/>
                <w:color w:val="auto"/>
                <w:w w:val="89"/>
              </w:rPr>
              <w:t>%</w:t>
            </w:r>
          </w:p>
        </w:tc>
        <w:tc>
          <w:tcPr>
            <w:tcW w:w="240" w:type="dxa"/>
            <w:vAlign w:val="bottom"/>
          </w:tcPr>
          <w:p>
            <w:pPr>
              <w:spacing w:after="0"/>
              <w:rPr>
                <w:sz w:val="19"/>
                <w:szCs w:val="19"/>
                <w:color w:val="auto"/>
              </w:rPr>
            </w:pPr>
          </w:p>
        </w:tc>
        <w:tc>
          <w:tcPr>
            <w:tcW w:w="740" w:type="dxa"/>
            <w:vAlign w:val="bottom"/>
          </w:tcPr>
          <w:p>
            <w:pPr>
              <w:jc w:val="right"/>
              <w:ind w:right="7"/>
              <w:spacing w:after="0"/>
              <w:rPr>
                <w:sz w:val="20"/>
                <w:szCs w:val="20"/>
                <w:color w:val="auto"/>
              </w:rPr>
            </w:pPr>
            <w:r>
              <w:rPr>
                <w:rFonts w:ascii="Arial" w:cs="Arial" w:eastAsia="Arial" w:hAnsi="Arial"/>
                <w:sz w:val="15"/>
                <w:szCs w:val="15"/>
                <w:color w:val="auto"/>
              </w:rPr>
              <w:t>0.43</w:t>
            </w:r>
          </w:p>
        </w:tc>
        <w:tc>
          <w:tcPr>
            <w:tcW w:w="380" w:type="dxa"/>
            <w:vAlign w:val="bottom"/>
          </w:tcPr>
          <w:p>
            <w:pPr>
              <w:jc w:val="right"/>
              <w:ind w:right="167"/>
              <w:spacing w:after="0"/>
              <w:rPr>
                <w:sz w:val="20"/>
                <w:szCs w:val="20"/>
                <w:color w:val="auto"/>
              </w:rPr>
            </w:pPr>
            <w:r>
              <w:rPr>
                <w:rFonts w:ascii="Arial" w:cs="Arial" w:eastAsia="Arial" w:hAnsi="Arial"/>
                <w:sz w:val="15"/>
                <w:szCs w:val="15"/>
                <w:color w:val="auto"/>
                <w:w w:val="89"/>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0.28</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9"/>
        </w:trPr>
        <w:tc>
          <w:tcPr>
            <w:tcW w:w="2960" w:type="dxa"/>
            <w:vAlign w:val="bottom"/>
          </w:tcPr>
          <w:p>
            <w:pPr>
              <w:ind w:left="180"/>
              <w:spacing w:after="0"/>
              <w:rPr>
                <w:sz w:val="20"/>
                <w:szCs w:val="20"/>
                <w:color w:val="auto"/>
              </w:rPr>
            </w:pPr>
            <w:r>
              <w:rPr>
                <w:rFonts w:ascii="Arial" w:cs="Arial" w:eastAsia="Arial" w:hAnsi="Arial"/>
                <w:sz w:val="15"/>
                <w:szCs w:val="15"/>
                <w:color w:val="auto"/>
              </w:rPr>
              <w:t>Nonaccrual loans at amortized cost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43.79</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137.93</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50.68</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90.69</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ind w:right="7"/>
              <w:spacing w:after="0"/>
              <w:rPr>
                <w:sz w:val="20"/>
                <w:szCs w:val="20"/>
                <w:color w:val="auto"/>
              </w:rPr>
            </w:pPr>
            <w:r>
              <w:rPr>
                <w:rFonts w:ascii="Arial" w:cs="Arial" w:eastAsia="Arial" w:hAnsi="Arial"/>
                <w:sz w:val="15"/>
                <w:szCs w:val="15"/>
                <w:color w:val="auto"/>
              </w:rPr>
              <w:t>86.86</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90.03</w:t>
            </w:r>
          </w:p>
        </w:tc>
        <w:tc>
          <w:tcPr>
            <w:tcW w:w="240" w:type="dxa"/>
            <w:vAlign w:val="bottom"/>
          </w:tcPr>
          <w:p>
            <w:pPr>
              <w:spacing w:after="0"/>
              <w:rPr>
                <w:sz w:val="19"/>
                <w:szCs w:val="19"/>
                <w:color w:val="auto"/>
              </w:rPr>
            </w:pPr>
          </w:p>
        </w:tc>
      </w:tr>
      <w:tr>
        <w:trPr>
          <w:trHeight w:val="438"/>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Nonaccrual loans as a percentage of:</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2"/>
        </w:trPr>
        <w:tc>
          <w:tcPr>
            <w:tcW w:w="2960" w:type="dxa"/>
            <w:vAlign w:val="bottom"/>
          </w:tcPr>
          <w:p>
            <w:pPr>
              <w:ind w:left="180"/>
              <w:spacing w:after="0"/>
              <w:rPr>
                <w:sz w:val="20"/>
                <w:szCs w:val="20"/>
                <w:color w:val="auto"/>
              </w:rPr>
            </w:pPr>
            <w:r>
              <w:rPr>
                <w:rFonts w:ascii="Arial" w:cs="Arial" w:eastAsia="Arial" w:hAnsi="Arial"/>
                <w:sz w:val="15"/>
                <w:szCs w:val="15"/>
                <w:color w:val="auto"/>
              </w:rPr>
              <w:t>Guaranty book of business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0.51</w:t>
            </w:r>
          </w:p>
        </w:tc>
        <w:tc>
          <w:tcPr>
            <w:tcW w:w="380" w:type="dxa"/>
            <w:vAlign w:val="bottom"/>
          </w:tcPr>
          <w:p>
            <w:pPr>
              <w:jc w:val="right"/>
              <w:ind w:right="167"/>
              <w:spacing w:after="0"/>
              <w:rPr>
                <w:sz w:val="20"/>
                <w:szCs w:val="20"/>
                <w:color w:val="auto"/>
              </w:rPr>
            </w:pPr>
            <w:r>
              <w:rPr>
                <w:rFonts w:ascii="Arial" w:cs="Arial" w:eastAsia="Arial" w:hAnsi="Arial"/>
                <w:sz w:val="15"/>
                <w:szCs w:val="15"/>
                <w:b w:val="1"/>
                <w:bCs w:val="1"/>
                <w:color w:val="auto"/>
                <w:w w:val="89"/>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0.32</w:t>
            </w:r>
          </w:p>
        </w:tc>
        <w:tc>
          <w:tcPr>
            <w:tcW w:w="400" w:type="dxa"/>
            <w:vAlign w:val="bottom"/>
          </w:tcPr>
          <w:p>
            <w:pPr>
              <w:jc w:val="right"/>
              <w:ind w:right="167"/>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0.48</w:t>
            </w:r>
          </w:p>
        </w:tc>
        <w:tc>
          <w:tcPr>
            <w:tcW w:w="380" w:type="dxa"/>
            <w:vAlign w:val="bottom"/>
          </w:tcPr>
          <w:p>
            <w:pPr>
              <w:jc w:val="right"/>
              <w:ind w:right="167"/>
              <w:spacing w:after="0"/>
              <w:rPr>
                <w:sz w:val="20"/>
                <w:szCs w:val="20"/>
                <w:color w:val="auto"/>
              </w:rPr>
            </w:pPr>
            <w:r>
              <w:rPr>
                <w:rFonts w:ascii="Arial" w:cs="Arial" w:eastAsia="Arial" w:hAnsi="Arial"/>
                <w:sz w:val="15"/>
                <w:szCs w:val="15"/>
                <w:b w:val="1"/>
                <w:bCs w:val="1"/>
                <w:color w:val="auto"/>
                <w:w w:val="89"/>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0.29</w:t>
            </w:r>
          </w:p>
        </w:tc>
        <w:tc>
          <w:tcPr>
            <w:tcW w:w="380" w:type="dxa"/>
            <w:vAlign w:val="bottom"/>
          </w:tcPr>
          <w:p>
            <w:pPr>
              <w:jc w:val="right"/>
              <w:ind w:right="167"/>
              <w:spacing w:after="0"/>
              <w:rPr>
                <w:sz w:val="20"/>
                <w:szCs w:val="20"/>
                <w:color w:val="auto"/>
              </w:rPr>
            </w:pPr>
            <w:r>
              <w:rPr>
                <w:rFonts w:ascii="Arial" w:cs="Arial" w:eastAsia="Arial" w:hAnsi="Arial"/>
                <w:sz w:val="15"/>
                <w:szCs w:val="15"/>
                <w:color w:val="auto"/>
                <w:w w:val="89"/>
              </w:rPr>
              <w:t>%</w:t>
            </w:r>
          </w:p>
        </w:tc>
        <w:tc>
          <w:tcPr>
            <w:tcW w:w="240" w:type="dxa"/>
            <w:vAlign w:val="bottom"/>
          </w:tcPr>
          <w:p>
            <w:pPr>
              <w:spacing w:after="0"/>
              <w:rPr>
                <w:sz w:val="20"/>
                <w:szCs w:val="20"/>
                <w:color w:val="auto"/>
              </w:rPr>
            </w:pPr>
          </w:p>
        </w:tc>
        <w:tc>
          <w:tcPr>
            <w:tcW w:w="740" w:type="dxa"/>
            <w:vAlign w:val="bottom"/>
          </w:tcPr>
          <w:p>
            <w:pPr>
              <w:jc w:val="right"/>
              <w:ind w:right="7"/>
              <w:spacing w:after="0"/>
              <w:rPr>
                <w:sz w:val="20"/>
                <w:szCs w:val="20"/>
                <w:color w:val="auto"/>
              </w:rPr>
            </w:pPr>
            <w:r>
              <w:rPr>
                <w:rFonts w:ascii="Arial" w:cs="Arial" w:eastAsia="Arial" w:hAnsi="Arial"/>
                <w:sz w:val="15"/>
                <w:szCs w:val="15"/>
                <w:color w:val="auto"/>
              </w:rPr>
              <w:t>0.50</w:t>
            </w:r>
          </w:p>
        </w:tc>
        <w:tc>
          <w:tcPr>
            <w:tcW w:w="380" w:type="dxa"/>
            <w:vAlign w:val="bottom"/>
          </w:tcPr>
          <w:p>
            <w:pPr>
              <w:jc w:val="right"/>
              <w:ind w:right="167"/>
              <w:spacing w:after="0"/>
              <w:rPr>
                <w:sz w:val="20"/>
                <w:szCs w:val="20"/>
                <w:color w:val="auto"/>
              </w:rPr>
            </w:pPr>
            <w:r>
              <w:rPr>
                <w:rFonts w:ascii="Arial" w:cs="Arial" w:eastAsia="Arial" w:hAnsi="Arial"/>
                <w:sz w:val="15"/>
                <w:szCs w:val="15"/>
                <w:color w:val="auto"/>
                <w:w w:val="89"/>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0.31</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84"/>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Select financial information used in</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4"/>
        </w:trPr>
        <w:tc>
          <w:tcPr>
            <w:tcW w:w="2960" w:type="dxa"/>
            <w:vAlign w:val="bottom"/>
          </w:tcPr>
          <w:p>
            <w:pPr>
              <w:ind w:left="180"/>
              <w:spacing w:after="0"/>
              <w:rPr>
                <w:sz w:val="20"/>
                <w:szCs w:val="20"/>
                <w:color w:val="auto"/>
              </w:rPr>
            </w:pPr>
            <w:r>
              <w:rPr>
                <w:rFonts w:ascii="Arial" w:cs="Arial" w:eastAsia="Arial" w:hAnsi="Arial"/>
                <w:sz w:val="15"/>
                <w:szCs w:val="15"/>
                <w:b w:val="1"/>
                <w:bCs w:val="1"/>
                <w:color w:val="auto"/>
              </w:rPr>
              <w:t>calculating credit ratios: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3"/>
        </w:trPr>
        <w:tc>
          <w:tcPr>
            <w:tcW w:w="2960" w:type="dxa"/>
            <w:vAlign w:val="bottom"/>
          </w:tcPr>
          <w:p>
            <w:pPr>
              <w:ind w:left="180"/>
              <w:spacing w:after="0"/>
              <w:rPr>
                <w:sz w:val="20"/>
                <w:szCs w:val="20"/>
                <w:color w:val="auto"/>
              </w:rPr>
            </w:pPr>
            <w:r>
              <w:rPr>
                <w:rFonts w:ascii="Arial" w:cs="Arial" w:eastAsia="Arial" w:hAnsi="Arial"/>
                <w:sz w:val="15"/>
                <w:szCs w:val="15"/>
                <w:color w:val="auto"/>
              </w:rPr>
              <w:t>Credit loss reserves</w:t>
            </w:r>
            <w:r>
              <w:rPr>
                <w:rFonts w:ascii="Arial" w:cs="Arial" w:eastAsia="Arial" w:hAnsi="Arial"/>
                <w:sz w:val="18"/>
                <w:szCs w:val="18"/>
                <w:color w:val="auto"/>
                <w:vertAlign w:val="superscript"/>
              </w:rPr>
              <w:t>(1)</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(8,039)</w:t>
            </w:r>
          </w:p>
        </w:tc>
        <w:tc>
          <w:tcPr>
            <w:tcW w:w="380" w:type="dxa"/>
            <w:vAlign w:val="bottom"/>
          </w:tcPr>
          <w:p>
            <w:pPr>
              <w:spacing w:after="0"/>
              <w:rPr>
                <w:sz w:val="20"/>
                <w:szCs w:val="20"/>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(2,000)</w:t>
            </w:r>
          </w:p>
        </w:tc>
        <w:tc>
          <w:tcPr>
            <w:tcW w:w="400" w:type="dxa"/>
            <w:vAlign w:val="bottom"/>
          </w:tcPr>
          <w:p>
            <w:pPr>
              <w:spacing w:after="0"/>
              <w:rPr>
                <w:sz w:val="20"/>
                <w:szCs w:val="20"/>
                <w:color w:val="auto"/>
              </w:rPr>
            </w:pPr>
          </w:p>
        </w:tc>
        <w:tc>
          <w:tcPr>
            <w:tcW w:w="220" w:type="dxa"/>
            <w:vAlign w:val="bottom"/>
          </w:tcPr>
          <w:p>
            <w:pPr>
              <w:jc w:val="right"/>
              <w:ind w:right="47"/>
              <w:spacing w:after="0"/>
              <w:rPr>
                <w:sz w:val="20"/>
                <w:szCs w:val="20"/>
                <w:color w:val="auto"/>
              </w:rPr>
            </w:pPr>
            <w:r>
              <w:rPr>
                <w:rFonts w:ascii="Arial" w:cs="Arial" w:eastAsia="Arial" w:hAnsi="Arial"/>
                <w:sz w:val="15"/>
                <w:szCs w:val="15"/>
                <w:b w:val="1"/>
                <w:bCs w:val="1"/>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(10,039)</w:t>
            </w:r>
          </w:p>
        </w:tc>
        <w:tc>
          <w:tcPr>
            <w:tcW w:w="380" w:type="dxa"/>
            <w:vAlign w:val="bottom"/>
          </w:tcPr>
          <w:p>
            <w:pPr>
              <w:spacing w:after="0"/>
              <w:rPr>
                <w:sz w:val="20"/>
                <w:szCs w:val="20"/>
                <w:color w:val="auto"/>
              </w:rPr>
            </w:pP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(9,554)</w:t>
            </w:r>
          </w:p>
        </w:tc>
        <w:tc>
          <w:tcPr>
            <w:tcW w:w="380" w:type="dxa"/>
            <w:vAlign w:val="bottom"/>
          </w:tcPr>
          <w:p>
            <w:pPr>
              <w:spacing w:after="0"/>
              <w:rPr>
                <w:sz w:val="20"/>
                <w:szCs w:val="20"/>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(1,911)</w:t>
            </w:r>
          </w:p>
        </w:tc>
        <w:tc>
          <w:tcPr>
            <w:tcW w:w="380" w:type="dxa"/>
            <w:vAlign w:val="bottom"/>
          </w:tcPr>
          <w:p>
            <w:pPr>
              <w:spacing w:after="0"/>
              <w:rPr>
                <w:sz w:val="20"/>
                <w:szCs w:val="20"/>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(11,465)</w:t>
            </w:r>
          </w:p>
        </w:tc>
        <w:tc>
          <w:tcPr>
            <w:tcW w:w="240" w:type="dxa"/>
            <w:vAlign w:val="bottom"/>
          </w:tcPr>
          <w:p>
            <w:pPr>
              <w:spacing w:after="0"/>
              <w:rPr>
                <w:sz w:val="20"/>
                <w:szCs w:val="20"/>
                <w:color w:val="auto"/>
              </w:rPr>
            </w:pPr>
          </w:p>
        </w:tc>
      </w:tr>
      <w:tr>
        <w:trPr>
          <w:trHeight w:val="233"/>
        </w:trPr>
        <w:tc>
          <w:tcPr>
            <w:tcW w:w="2960" w:type="dxa"/>
            <w:vAlign w:val="bottom"/>
          </w:tcPr>
          <w:p>
            <w:pPr>
              <w:ind w:left="180"/>
              <w:spacing w:after="0"/>
              <w:rPr>
                <w:sz w:val="20"/>
                <w:szCs w:val="20"/>
                <w:color w:val="auto"/>
              </w:rPr>
            </w:pPr>
            <w:r>
              <w:rPr>
                <w:rFonts w:ascii="Arial" w:cs="Arial" w:eastAsia="Arial" w:hAnsi="Arial"/>
                <w:sz w:val="15"/>
                <w:szCs w:val="15"/>
                <w:color w:val="auto"/>
              </w:rPr>
              <w:t>Guaranty book of business</w:t>
            </w:r>
            <w:r>
              <w:rPr>
                <w:rFonts w:ascii="Arial" w:cs="Arial" w:eastAsia="Arial" w:hAnsi="Arial"/>
                <w:sz w:val="18"/>
                <w:szCs w:val="18"/>
                <w:color w:val="auto"/>
                <w:vertAlign w:val="superscript"/>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3,632,404</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454,710</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4,087,114</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3,635,237</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ind w:right="7"/>
              <w:spacing w:after="0"/>
              <w:rPr>
                <w:sz w:val="20"/>
                <w:szCs w:val="20"/>
                <w:color w:val="auto"/>
              </w:rPr>
            </w:pPr>
            <w:r>
              <w:rPr>
                <w:rFonts w:ascii="Arial" w:cs="Arial" w:eastAsia="Arial" w:hAnsi="Arial"/>
                <w:sz w:val="15"/>
                <w:szCs w:val="15"/>
                <w:color w:val="auto"/>
              </w:rPr>
              <w:t>440,424</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4,075,661</w:t>
            </w:r>
          </w:p>
        </w:tc>
        <w:tc>
          <w:tcPr>
            <w:tcW w:w="240" w:type="dxa"/>
            <w:vAlign w:val="bottom"/>
          </w:tcPr>
          <w:p>
            <w:pPr>
              <w:spacing w:after="0"/>
              <w:rPr>
                <w:sz w:val="20"/>
                <w:szCs w:val="20"/>
                <w:color w:val="auto"/>
              </w:rPr>
            </w:pPr>
          </w:p>
        </w:tc>
      </w:tr>
      <w:tr>
        <w:trPr>
          <w:trHeight w:val="209"/>
        </w:trPr>
        <w:tc>
          <w:tcPr>
            <w:tcW w:w="2960" w:type="dxa"/>
            <w:vAlign w:val="bottom"/>
          </w:tcPr>
          <w:p>
            <w:pPr>
              <w:ind w:left="180"/>
              <w:spacing w:after="0"/>
              <w:rPr>
                <w:sz w:val="20"/>
                <w:szCs w:val="20"/>
                <w:color w:val="auto"/>
              </w:rPr>
            </w:pPr>
            <w:r>
              <w:rPr>
                <w:rFonts w:ascii="Arial" w:cs="Arial" w:eastAsia="Arial" w:hAnsi="Arial"/>
                <w:sz w:val="15"/>
                <w:szCs w:val="15"/>
                <w:color w:val="auto"/>
              </w:rPr>
              <w:t>Nonaccrual loans at amortized cost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18,357</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1,450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19,807</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10,535</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7"/>
              <w:spacing w:after="0"/>
              <w:rPr>
                <w:sz w:val="20"/>
                <w:szCs w:val="20"/>
                <w:color w:val="auto"/>
              </w:rPr>
            </w:pPr>
            <w:r>
              <w:rPr>
                <w:rFonts w:ascii="Arial" w:cs="Arial" w:eastAsia="Arial" w:hAnsi="Arial"/>
                <w:sz w:val="15"/>
                <w:szCs w:val="15"/>
                <w:color w:val="auto"/>
              </w:rPr>
              <w:t>2,200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12,735</w:t>
            </w:r>
          </w:p>
        </w:tc>
        <w:tc>
          <w:tcPr>
            <w:tcW w:w="240" w:type="dxa"/>
            <w:vAlign w:val="bottom"/>
          </w:tcPr>
          <w:p>
            <w:pPr>
              <w:spacing w:after="0"/>
              <w:rPr>
                <w:sz w:val="18"/>
                <w:szCs w:val="18"/>
                <w:color w:val="auto"/>
              </w:rPr>
            </w:pPr>
          </w:p>
        </w:tc>
      </w:tr>
      <w:tr>
        <w:trPr>
          <w:trHeight w:val="438"/>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Components of credit loss reserves: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2"/>
        </w:trPr>
        <w:tc>
          <w:tcPr>
            <w:tcW w:w="2960" w:type="dxa"/>
            <w:vAlign w:val="bottom"/>
          </w:tcPr>
          <w:p>
            <w:pPr>
              <w:ind w:left="180"/>
              <w:spacing w:after="0"/>
              <w:rPr>
                <w:sz w:val="20"/>
                <w:szCs w:val="20"/>
                <w:color w:val="auto"/>
              </w:rPr>
            </w:pPr>
            <w:r>
              <w:rPr>
                <w:rFonts w:ascii="Arial" w:cs="Arial" w:eastAsia="Arial" w:hAnsi="Arial"/>
                <w:sz w:val="15"/>
                <w:szCs w:val="15"/>
                <w:color w:val="auto"/>
              </w:rPr>
              <w:t>Allowance for loan losses</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(7,990)</w:t>
            </w:r>
          </w:p>
        </w:tc>
        <w:tc>
          <w:tcPr>
            <w:tcW w:w="380" w:type="dxa"/>
            <w:vAlign w:val="bottom"/>
          </w:tcPr>
          <w:p>
            <w:pPr>
              <w:spacing w:after="0"/>
              <w:rPr>
                <w:sz w:val="20"/>
                <w:szCs w:val="20"/>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(1,992)</w:t>
            </w:r>
          </w:p>
        </w:tc>
        <w:tc>
          <w:tcPr>
            <w:tcW w:w="400" w:type="dxa"/>
            <w:vAlign w:val="bottom"/>
          </w:tcPr>
          <w:p>
            <w:pPr>
              <w:spacing w:after="0"/>
              <w:rPr>
                <w:sz w:val="20"/>
                <w:szCs w:val="20"/>
                <w:color w:val="auto"/>
              </w:rPr>
            </w:pPr>
          </w:p>
        </w:tc>
        <w:tc>
          <w:tcPr>
            <w:tcW w:w="220" w:type="dxa"/>
            <w:vAlign w:val="bottom"/>
          </w:tcPr>
          <w:p>
            <w:pPr>
              <w:jc w:val="right"/>
              <w:ind w:right="47"/>
              <w:spacing w:after="0"/>
              <w:rPr>
                <w:sz w:val="20"/>
                <w:szCs w:val="20"/>
                <w:color w:val="auto"/>
              </w:rPr>
            </w:pPr>
            <w:r>
              <w:rPr>
                <w:rFonts w:ascii="Arial" w:cs="Arial" w:eastAsia="Arial" w:hAnsi="Arial"/>
                <w:sz w:val="15"/>
                <w:szCs w:val="15"/>
                <w:b w:val="1"/>
                <w:bCs w:val="1"/>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(9,982)</w:t>
            </w:r>
          </w:p>
        </w:tc>
        <w:tc>
          <w:tcPr>
            <w:tcW w:w="380" w:type="dxa"/>
            <w:vAlign w:val="bottom"/>
          </w:tcPr>
          <w:p>
            <w:pPr>
              <w:spacing w:after="0"/>
              <w:rPr>
                <w:sz w:val="20"/>
                <w:szCs w:val="20"/>
                <w:color w:val="auto"/>
              </w:rPr>
            </w:pP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(9,443)</w:t>
            </w:r>
          </w:p>
        </w:tc>
        <w:tc>
          <w:tcPr>
            <w:tcW w:w="380" w:type="dxa"/>
            <w:vAlign w:val="bottom"/>
          </w:tcPr>
          <w:p>
            <w:pPr>
              <w:spacing w:after="0"/>
              <w:rPr>
                <w:sz w:val="20"/>
                <w:szCs w:val="20"/>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(1,904)</w:t>
            </w:r>
          </w:p>
        </w:tc>
        <w:tc>
          <w:tcPr>
            <w:tcW w:w="380" w:type="dxa"/>
            <w:vAlign w:val="bottom"/>
          </w:tcPr>
          <w:p>
            <w:pPr>
              <w:spacing w:after="0"/>
              <w:rPr>
                <w:sz w:val="20"/>
                <w:szCs w:val="20"/>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(11,347)</w:t>
            </w:r>
          </w:p>
        </w:tc>
        <w:tc>
          <w:tcPr>
            <w:tcW w:w="240" w:type="dxa"/>
            <w:vAlign w:val="bottom"/>
          </w:tcPr>
          <w:p>
            <w:pPr>
              <w:spacing w:after="0"/>
              <w:rPr>
                <w:sz w:val="20"/>
                <w:szCs w:val="20"/>
                <w:color w:val="auto"/>
              </w:rPr>
            </w:pPr>
          </w:p>
        </w:tc>
      </w:tr>
      <w:tr>
        <w:trPr>
          <w:trHeight w:val="219"/>
        </w:trPr>
        <w:tc>
          <w:tcPr>
            <w:tcW w:w="2960" w:type="dxa"/>
            <w:vAlign w:val="bottom"/>
          </w:tcPr>
          <w:p>
            <w:pPr>
              <w:ind w:left="180"/>
              <w:spacing w:after="0"/>
              <w:rPr>
                <w:sz w:val="20"/>
                <w:szCs w:val="20"/>
                <w:color w:val="auto"/>
              </w:rPr>
            </w:pPr>
            <w:r>
              <w:rPr>
                <w:rFonts w:ascii="Arial" w:cs="Arial" w:eastAsia="Arial" w:hAnsi="Arial"/>
                <w:sz w:val="15"/>
                <w:szCs w:val="15"/>
                <w:color w:val="auto"/>
              </w:rPr>
              <w:t>Allowance for accrued interest receivable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(49)</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(49)</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(111)</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(111)</w:t>
            </w:r>
          </w:p>
        </w:tc>
        <w:tc>
          <w:tcPr>
            <w:tcW w:w="240" w:type="dxa"/>
            <w:vAlign w:val="bottom"/>
          </w:tcPr>
          <w:p>
            <w:pPr>
              <w:spacing w:after="0"/>
              <w:rPr>
                <w:sz w:val="19"/>
                <w:szCs w:val="19"/>
                <w:color w:val="auto"/>
              </w:rPr>
            </w:pPr>
          </w:p>
        </w:tc>
      </w:tr>
      <w:tr>
        <w:trPr>
          <w:trHeight w:val="230"/>
        </w:trPr>
        <w:tc>
          <w:tcPr>
            <w:tcW w:w="296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Reserve for guaranty losses</w:t>
            </w:r>
            <w:r>
              <w:rPr>
                <w:rFonts w:ascii="Arial" w:cs="Arial" w:eastAsia="Arial" w:hAnsi="Arial"/>
                <w:sz w:val="9"/>
                <w:szCs w:val="9"/>
                <w:color w:val="auto"/>
              </w:rPr>
              <w:t>(3)</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w:t>
            </w:r>
          </w:p>
        </w:tc>
        <w:tc>
          <w:tcPr>
            <w:tcW w:w="380" w:type="dxa"/>
            <w:vAlign w:val="bottom"/>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w:t>
            </w:r>
          </w:p>
        </w:tc>
        <w:tc>
          <w:tcPr>
            <w:tcW w:w="400" w:type="dxa"/>
            <w:vAlign w:val="bottom"/>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w:t>
            </w:r>
          </w:p>
        </w:tc>
        <w:tc>
          <w:tcPr>
            <w:tcW w:w="38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w:t>
            </w:r>
          </w:p>
        </w:tc>
        <w:tc>
          <w:tcPr>
            <w:tcW w:w="380" w:type="dxa"/>
            <w:vAlign w:val="bottom"/>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w:t>
            </w:r>
          </w:p>
        </w:tc>
        <w:tc>
          <w:tcPr>
            <w:tcW w:w="240" w:type="dxa"/>
            <w:vAlign w:val="bottom"/>
          </w:tcPr>
          <w:p>
            <w:pPr>
              <w:spacing w:after="0"/>
              <w:rPr>
                <w:sz w:val="19"/>
                <w:szCs w:val="19"/>
                <w:color w:val="auto"/>
              </w:rPr>
            </w:pPr>
          </w:p>
        </w:tc>
      </w:tr>
      <w:tr>
        <w:trPr>
          <w:trHeight w:val="225"/>
        </w:trPr>
        <w:tc>
          <w:tcPr>
            <w:tcW w:w="2960" w:type="dxa"/>
            <w:vAlign w:val="bottom"/>
          </w:tcPr>
          <w:p>
            <w:pPr>
              <w:ind w:left="320"/>
              <w:spacing w:after="0"/>
              <w:rPr>
                <w:sz w:val="20"/>
                <w:szCs w:val="20"/>
                <w:color w:val="auto"/>
              </w:rPr>
            </w:pPr>
            <w:r>
              <w:rPr>
                <w:rFonts w:ascii="Arial" w:cs="Arial" w:eastAsia="Arial" w:hAnsi="Arial"/>
                <w:sz w:val="15"/>
                <w:szCs w:val="15"/>
                <w:color w:val="auto"/>
              </w:rPr>
              <w:t>Total credit loss reserves</w:t>
            </w:r>
            <w:r>
              <w:rPr>
                <w:rFonts w:ascii="Arial" w:cs="Arial" w:eastAsia="Arial" w:hAnsi="Arial"/>
                <w:sz w:val="18"/>
                <w:szCs w:val="18"/>
                <w:color w:val="auto"/>
                <w:vertAlign w:val="superscript"/>
              </w:rPr>
              <w:t>(1)</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(8,039)</w:t>
            </w:r>
          </w:p>
        </w:tc>
        <w:tc>
          <w:tcPr>
            <w:tcW w:w="38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(2,000)</w:t>
            </w:r>
          </w:p>
        </w:tc>
        <w:tc>
          <w:tcPr>
            <w:tcW w:w="400" w:type="dxa"/>
            <w:vAlign w:val="bottom"/>
          </w:tcPr>
          <w:p>
            <w:pPr>
              <w:spacing w:after="0"/>
              <w:rPr>
                <w:sz w:val="19"/>
                <w:szCs w:val="19"/>
                <w:color w:val="auto"/>
              </w:rPr>
            </w:pPr>
          </w:p>
        </w:tc>
        <w:tc>
          <w:tcPr>
            <w:tcW w:w="220" w:type="dxa"/>
            <w:vAlign w:val="bottom"/>
          </w:tcPr>
          <w:p>
            <w:pPr>
              <w:jc w:val="right"/>
              <w:ind w:right="47"/>
              <w:spacing w:after="0"/>
              <w:rPr>
                <w:sz w:val="20"/>
                <w:szCs w:val="20"/>
                <w:color w:val="auto"/>
              </w:rPr>
            </w:pPr>
            <w:r>
              <w:rPr>
                <w:rFonts w:ascii="Arial" w:cs="Arial" w:eastAsia="Arial" w:hAnsi="Arial"/>
                <w:sz w:val="15"/>
                <w:szCs w:val="15"/>
                <w:b w:val="1"/>
                <w:bCs w:val="1"/>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(10,039)</w:t>
            </w:r>
          </w:p>
        </w:tc>
        <w:tc>
          <w:tcPr>
            <w:tcW w:w="380" w:type="dxa"/>
            <w:vAlign w:val="bottom"/>
          </w:tcPr>
          <w:p>
            <w:pPr>
              <w:spacing w:after="0"/>
              <w:rPr>
                <w:sz w:val="19"/>
                <w:szCs w:val="19"/>
                <w:color w:val="auto"/>
              </w:rPr>
            </w:pP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(9,554)</w:t>
            </w:r>
          </w:p>
        </w:tc>
        <w:tc>
          <w:tcPr>
            <w:tcW w:w="380" w:type="dxa"/>
            <w:vAlign w:val="bottom"/>
          </w:tcPr>
          <w:p>
            <w:pPr>
              <w:spacing w:after="0"/>
              <w:rPr>
                <w:sz w:val="19"/>
                <w:szCs w:val="19"/>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(1,911)</w:t>
            </w:r>
          </w:p>
        </w:tc>
        <w:tc>
          <w:tcPr>
            <w:tcW w:w="38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(11,465)</w:t>
            </w:r>
          </w:p>
        </w:tc>
        <w:tc>
          <w:tcPr>
            <w:tcW w:w="240" w:type="dxa"/>
            <w:vAlign w:val="bottom"/>
          </w:tcPr>
          <w:p>
            <w:pPr>
              <w:spacing w:after="0"/>
              <w:rPr>
                <w:sz w:val="19"/>
                <w:szCs w:val="19"/>
                <w:color w:val="auto"/>
              </w:rPr>
            </w:pPr>
          </w:p>
        </w:tc>
      </w:tr>
      <w:tr>
        <w:trPr>
          <w:trHeight w:val="20"/>
        </w:trPr>
        <w:tc>
          <w:tcPr>
            <w:tcW w:w="29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11" w:lineRule="exact"/>
        <w:rPr>
          <w:sz w:val="20"/>
          <w:szCs w:val="20"/>
          <w:color w:val="auto"/>
        </w:rPr>
      </w:pPr>
    </w:p>
    <w:p>
      <w:pPr>
        <w:ind w:left="240" w:right="40" w:hanging="237"/>
        <w:spacing w:after="0" w:line="269" w:lineRule="auto"/>
        <w:tabs>
          <w:tab w:leader="none" w:pos="240" w:val="left"/>
        </w:tabs>
        <w:numPr>
          <w:ilvl w:val="0"/>
          <w:numId w:val="51"/>
        </w:numPr>
        <w:rPr>
          <w:rFonts w:ascii="Arial" w:cs="Arial" w:eastAsia="Arial" w:hAnsi="Arial"/>
          <w:sz w:val="9"/>
          <w:szCs w:val="9"/>
          <w:color w:val="auto"/>
        </w:rPr>
      </w:pPr>
      <w:r>
        <w:rPr>
          <w:rFonts w:ascii="Arial" w:cs="Arial" w:eastAsia="Arial" w:hAnsi="Arial"/>
          <w:sz w:val="14"/>
          <w:szCs w:val="14"/>
          <w:color w:val="auto"/>
        </w:rPr>
        <w:t>Our multifamily credit loss reserves exclude the expected benefit of freestanding credit enhancements on multifamily loans of $574 million as of June 30, 2023 and $492 million as of December 31, 2022, which are recorded in “Other assets” in our condensed consolidated balance sheets.</w:t>
      </w:r>
    </w:p>
    <w:p>
      <w:pPr>
        <w:ind w:left="240" w:hanging="237"/>
        <w:spacing w:after="0"/>
        <w:tabs>
          <w:tab w:leader="none" w:pos="24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Represents conventional guaranty book of business for single-family.</w:t>
      </w:r>
    </w:p>
    <w:p>
      <w:pPr>
        <w:spacing w:after="0" w:line="41" w:lineRule="exact"/>
        <w:rPr>
          <w:rFonts w:ascii="Arial" w:cs="Arial" w:eastAsia="Arial" w:hAnsi="Arial"/>
          <w:sz w:val="18"/>
          <w:szCs w:val="18"/>
          <w:color w:val="auto"/>
          <w:vertAlign w:val="superscript"/>
        </w:rPr>
      </w:pPr>
    </w:p>
    <w:p>
      <w:pPr>
        <w:ind w:left="240" w:hanging="237"/>
        <w:spacing w:after="0" w:line="190" w:lineRule="auto"/>
        <w:tabs>
          <w:tab w:leader="none" w:pos="24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Reserve for guaranty losses is recorded in “Other liabilities” in our condensed consolidated balance sheets.</w:t>
      </w:r>
    </w:p>
    <w:p>
      <w:pPr>
        <w:spacing w:after="0" w:line="59"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Our single-family nonaccrual loans increased as of June 30, 2023 compared with December 31, 2022 as delinquent loans that may have previously been subject to our COVID-19 nonaccrual policy, which maintained loans on accrual status for at least six months of delinquency, no longer met the requirements of the COVID-19-related guidance effective January 1, 2023. Under our current nonaccrual policy, we generally place a loan on nonaccrual status when the loan is three or more months past due. As a result, the balance of loans on nonaccrual status increased.</w:t>
      </w:r>
    </w:p>
    <w:p>
      <w:pPr>
        <w:spacing w:after="0" w:line="47"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auto"/>
        </w:rPr>
        <w:t>The balance of multifamily loans on nonaccrual decreased as of June 30, 2023 compared with December 31, 2022, primarily as a result of loans returning to accrual status after the completion of a performance period. In addition, write-offs during the first six months of 2023 reduced the amortized cost of multifamily loans on nonaccrual as of June 30, 2023 compared with December 31, 2022.</w:t>
      </w:r>
    </w:p>
    <w:p>
      <w:pPr>
        <w:spacing w:after="0" w:line="36" w:lineRule="exact"/>
        <w:rPr>
          <w:sz w:val="20"/>
          <w:szCs w:val="20"/>
          <w:color w:val="auto"/>
        </w:rPr>
      </w:pPr>
    </w:p>
    <w:p>
      <w:pPr>
        <w:ind w:right="480"/>
        <w:spacing w:after="0" w:line="283" w:lineRule="auto"/>
        <w:rPr>
          <w:sz w:val="20"/>
          <w:szCs w:val="20"/>
          <w:color w:val="auto"/>
        </w:rPr>
      </w:pPr>
      <w:r>
        <w:rPr>
          <w:rFonts w:ascii="Arial" w:cs="Arial" w:eastAsia="Arial" w:hAnsi="Arial"/>
          <w:sz w:val="16"/>
          <w:szCs w:val="16"/>
          <w:color w:val="auto"/>
        </w:rPr>
        <w:t>See “Note 3, Mortgage Loans” for more information on our nonaccrual policy, including additional information about our COVID-19-related nonaccrual policy.</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45</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48" w:name="page49"/>
    <w:bookmarkEnd w:id="48"/>
    <w:p>
      <w:pPr>
        <w:ind w:left="7260"/>
        <w:spacing w:after="0"/>
        <w:rPr>
          <w:sz w:val="20"/>
          <w:szCs w:val="20"/>
          <w:color w:val="auto"/>
        </w:rPr>
      </w:pPr>
      <w:r>
        <w:rPr>
          <w:rFonts w:ascii="Arial" w:cs="Arial" w:eastAsia="Arial" w:hAnsi="Arial"/>
          <w:sz w:val="13"/>
          <w:szCs w:val="13"/>
          <w:color w:val="05314D"/>
        </w:rPr>
        <w:t>MD&amp;A | Consolidated Credit Ratios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04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0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Our single-family credit loss reserves decreased as of June 30, 2023 compared with December 31, 2022 primarily as a result of a benefit for credit losses for the first half of 2023, which reduced our allowance for loan losses. For additional information about our benefit for credit losses, including a description of the primary drivers of the current period benefit, see “Consolidated Results of Operations—Benefit (Provision) for Credit Losses.”</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Consolidated Write-off Ratio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138670" cy="165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740" w:type="dxa"/>
            <w:vAlign w:val="bottom"/>
            <w:gridSpan w:val="9"/>
          </w:tcPr>
          <w:p>
            <w:pPr>
              <w:jc w:val="center"/>
              <w:ind w:right="47"/>
              <w:spacing w:after="0"/>
              <w:rPr>
                <w:sz w:val="20"/>
                <w:szCs w:val="20"/>
                <w:color w:val="auto"/>
              </w:rPr>
            </w:pPr>
            <w:r>
              <w:rPr>
                <w:rFonts w:ascii="Arial" w:cs="Arial" w:eastAsia="Arial" w:hAnsi="Arial"/>
                <w:sz w:val="15"/>
                <w:szCs w:val="15"/>
                <w:b w:val="1"/>
                <w:bCs w:val="1"/>
                <w:color w:val="auto"/>
                <w:w w:val="97"/>
              </w:rPr>
              <w:t>For the Three Months Ended June 30,</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
        </w:trPr>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102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140" w:type="dxa"/>
            <w:vAlign w:val="bottom"/>
            <w:tcBorders>
              <w:bottom w:val="single" w:sz="8" w:color="216C2B"/>
            </w:tcBorders>
          </w:tcPr>
          <w:p>
            <w:pPr>
              <w:spacing w:after="0"/>
              <w:rPr>
                <w:sz w:val="2"/>
                <w:szCs w:val="2"/>
                <w:color w:val="auto"/>
              </w:rPr>
            </w:pPr>
          </w:p>
        </w:tc>
        <w:tc>
          <w:tcPr>
            <w:tcW w:w="980" w:type="dxa"/>
            <w:vAlign w:val="bottom"/>
            <w:tcBorders>
              <w:bottom w:val="single" w:sz="8" w:color="216C2B"/>
            </w:tcBorders>
          </w:tcPr>
          <w:p>
            <w:pPr>
              <w:spacing w:after="0"/>
              <w:rPr>
                <w:sz w:val="2"/>
                <w:szCs w:val="2"/>
                <w:color w:val="auto"/>
              </w:rPr>
            </w:pPr>
          </w:p>
        </w:tc>
        <w:tc>
          <w:tcPr>
            <w:tcW w:w="20" w:type="dxa"/>
            <w:vAlign w:val="bottom"/>
            <w:tcBorders>
              <w:bottom w:val="single" w:sz="8" w:color="216C2B"/>
            </w:tcBorders>
          </w:tcPr>
          <w:p>
            <w:pPr>
              <w:spacing w:after="0"/>
              <w:rPr>
                <w:sz w:val="2"/>
                <w:szCs w:val="2"/>
                <w:color w:val="auto"/>
              </w:rPr>
            </w:pPr>
          </w:p>
        </w:tc>
        <w:tc>
          <w:tcPr>
            <w:tcW w:w="120" w:type="dxa"/>
            <w:vAlign w:val="bottom"/>
            <w:tcBorders>
              <w:bottom w:val="single" w:sz="8" w:color="216C2B"/>
            </w:tcBorders>
          </w:tcPr>
          <w:p>
            <w:pPr>
              <w:spacing w:after="0"/>
              <w:rPr>
                <w:sz w:val="2"/>
                <w:szCs w:val="2"/>
                <w:color w:val="auto"/>
              </w:rPr>
            </w:pPr>
          </w:p>
        </w:tc>
        <w:tc>
          <w:tcPr>
            <w:tcW w:w="240" w:type="dxa"/>
            <w:vAlign w:val="bottom"/>
            <w:tcBorders>
              <w:bottom w:val="single" w:sz="8" w:color="216C2B"/>
            </w:tcBorders>
          </w:tcPr>
          <w:p>
            <w:pPr>
              <w:spacing w:after="0"/>
              <w:rPr>
                <w:sz w:val="2"/>
                <w:szCs w:val="2"/>
                <w:color w:val="auto"/>
              </w:rPr>
            </w:pPr>
          </w:p>
        </w:tc>
        <w:tc>
          <w:tcPr>
            <w:tcW w:w="88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1020" w:type="dxa"/>
            <w:vAlign w:val="bottom"/>
            <w:tcBorders>
              <w:bottom w:val="single" w:sz="8" w:color="216C2B"/>
            </w:tcBorders>
          </w:tcPr>
          <w:p>
            <w:pPr>
              <w:spacing w:after="0"/>
              <w:rPr>
                <w:sz w:val="2"/>
                <w:szCs w:val="2"/>
                <w:color w:val="auto"/>
              </w:rPr>
            </w:pPr>
          </w:p>
        </w:tc>
        <w:tc>
          <w:tcPr>
            <w:tcW w:w="120" w:type="dxa"/>
            <w:vAlign w:val="bottom"/>
            <w:tcBorders>
              <w:bottom w:val="single" w:sz="8" w:color="216C2B"/>
            </w:tcBorders>
          </w:tcPr>
          <w:p>
            <w:pPr>
              <w:spacing w:after="0"/>
              <w:rPr>
                <w:sz w:val="2"/>
                <w:szCs w:val="2"/>
                <w:color w:val="auto"/>
              </w:rPr>
            </w:pPr>
          </w:p>
        </w:tc>
        <w:tc>
          <w:tcPr>
            <w:tcW w:w="140" w:type="dxa"/>
            <w:vAlign w:val="bottom"/>
            <w:tcBorders>
              <w:bottom w:val="single" w:sz="8" w:color="216C2B"/>
            </w:tcBorders>
          </w:tcPr>
          <w:p>
            <w:pPr>
              <w:spacing w:after="0"/>
              <w:rPr>
                <w:sz w:val="2"/>
                <w:szCs w:val="2"/>
                <w:color w:val="auto"/>
              </w:rPr>
            </w:pPr>
          </w:p>
        </w:tc>
        <w:tc>
          <w:tcPr>
            <w:tcW w:w="980" w:type="dxa"/>
            <w:vAlign w:val="bottom"/>
            <w:tcBorders>
              <w:bottom w:val="single" w:sz="8" w:color="216C2B"/>
            </w:tcBorders>
          </w:tcPr>
          <w:p>
            <w:pPr>
              <w:spacing w:after="0"/>
              <w:rPr>
                <w:sz w:val="2"/>
                <w:szCs w:val="2"/>
                <w:color w:val="auto"/>
              </w:rPr>
            </w:pPr>
          </w:p>
        </w:tc>
        <w:tc>
          <w:tcPr>
            <w:tcW w:w="120" w:type="dxa"/>
            <w:vAlign w:val="bottom"/>
            <w:tcBorders>
              <w:bottom w:val="single" w:sz="8" w:color="216C2B"/>
            </w:tcBorders>
          </w:tcPr>
          <w:p>
            <w:pPr>
              <w:spacing w:after="0"/>
              <w:rPr>
                <w:sz w:val="2"/>
                <w:szCs w:val="2"/>
                <w:color w:val="auto"/>
              </w:rPr>
            </w:pPr>
          </w:p>
        </w:tc>
        <w:tc>
          <w:tcPr>
            <w:tcW w:w="240" w:type="dxa"/>
            <w:vAlign w:val="bottom"/>
            <w:tcBorders>
              <w:bottom w:val="single" w:sz="8" w:color="216C2B"/>
            </w:tcBorders>
          </w:tcPr>
          <w:p>
            <w:pPr>
              <w:spacing w:after="0"/>
              <w:rPr>
                <w:sz w:val="2"/>
                <w:szCs w:val="2"/>
                <w:color w:val="auto"/>
              </w:rPr>
            </w:pPr>
          </w:p>
        </w:tc>
        <w:tc>
          <w:tcPr>
            <w:tcW w:w="880" w:type="dxa"/>
            <w:vAlign w:val="bottom"/>
            <w:tcBorders>
              <w:bottom w:val="single" w:sz="8" w:color="216C2B"/>
            </w:tcBorders>
          </w:tcPr>
          <w:p>
            <w:pPr>
              <w:spacing w:after="0"/>
              <w:rPr>
                <w:sz w:val="2"/>
                <w:szCs w:val="2"/>
                <w:color w:val="auto"/>
              </w:rPr>
            </w:pPr>
          </w:p>
        </w:tc>
      </w:tr>
      <w:tr>
        <w:trPr>
          <w:trHeight w:val="186"/>
        </w:trPr>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center"/>
              <w:ind w:right="27"/>
              <w:spacing w:after="0"/>
              <w:rPr>
                <w:sz w:val="20"/>
                <w:szCs w:val="20"/>
                <w:color w:val="auto"/>
              </w:rPr>
            </w:pPr>
            <w:r>
              <w:rPr>
                <w:rFonts w:ascii="Arial" w:cs="Arial" w:eastAsia="Arial" w:hAnsi="Arial"/>
                <w:sz w:val="15"/>
                <w:szCs w:val="15"/>
                <w:b w:val="1"/>
                <w:bCs w:val="1"/>
                <w:color w:val="auto"/>
                <w:w w:val="95"/>
              </w:rPr>
              <w:t>2023</w:t>
            </w:r>
          </w:p>
        </w:tc>
        <w:tc>
          <w:tcPr>
            <w:tcW w:w="2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center"/>
              <w:ind w:right="67"/>
              <w:spacing w:after="0"/>
              <w:rPr>
                <w:sz w:val="20"/>
                <w:szCs w:val="20"/>
                <w:color w:val="auto"/>
              </w:rPr>
            </w:pPr>
            <w:r>
              <w:rPr>
                <w:rFonts w:ascii="Arial" w:cs="Arial" w:eastAsia="Arial" w:hAnsi="Arial"/>
                <w:sz w:val="15"/>
                <w:szCs w:val="15"/>
                <w:b w:val="1"/>
                <w:bCs w:val="1"/>
                <w:color w:val="auto"/>
                <w:w w:val="95"/>
              </w:rPr>
              <w:t>2022</w:t>
            </w:r>
          </w:p>
        </w:tc>
        <w:tc>
          <w:tcPr>
            <w:tcW w:w="12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r>
      <w:tr>
        <w:trPr>
          <w:trHeight w:val="264"/>
        </w:trPr>
        <w:tc>
          <w:tcPr>
            <w:tcW w:w="3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2C6937"/>
            </w:tcBorders>
          </w:tcPr>
          <w:p>
            <w:pPr>
              <w:spacing w:after="0"/>
              <w:rPr>
                <w:sz w:val="22"/>
                <w:szCs w:val="22"/>
                <w:color w:val="auto"/>
              </w:rPr>
            </w:pPr>
          </w:p>
        </w:tc>
        <w:tc>
          <w:tcPr>
            <w:tcW w:w="1020" w:type="dxa"/>
            <w:vAlign w:val="bottom"/>
            <w:tcBorders>
              <w:bottom w:val="single" w:sz="8" w:color="2C6937"/>
            </w:tcBorders>
          </w:tcPr>
          <w:p>
            <w:pPr>
              <w:jc w:val="right"/>
              <w:ind w:right="28"/>
              <w:spacing w:after="0"/>
              <w:rPr>
                <w:sz w:val="20"/>
                <w:szCs w:val="20"/>
                <w:color w:val="auto"/>
              </w:rPr>
            </w:pPr>
            <w:r>
              <w:rPr>
                <w:rFonts w:ascii="Arial" w:cs="Arial" w:eastAsia="Arial" w:hAnsi="Arial"/>
                <w:sz w:val="15"/>
                <w:szCs w:val="15"/>
                <w:b w:val="1"/>
                <w:bCs w:val="1"/>
                <w:color w:val="auto"/>
                <w:w w:val="96"/>
              </w:rPr>
              <w:t>Single-family</w:t>
            </w:r>
          </w:p>
        </w:tc>
        <w:tc>
          <w:tcPr>
            <w:tcW w:w="100" w:type="dxa"/>
            <w:vAlign w:val="bottom"/>
            <w:tcBorders>
              <w:bottom w:val="single" w:sz="8" w:color="2C6937"/>
            </w:tcBorders>
          </w:tcPr>
          <w:p>
            <w:pPr>
              <w:spacing w:after="0"/>
              <w:rPr>
                <w:sz w:val="22"/>
                <w:szCs w:val="22"/>
                <w:color w:val="auto"/>
              </w:rPr>
            </w:pPr>
          </w:p>
        </w:tc>
        <w:tc>
          <w:tcPr>
            <w:tcW w:w="140" w:type="dxa"/>
            <w:vAlign w:val="bottom"/>
            <w:tcBorders>
              <w:bottom w:val="single" w:sz="8" w:color="2C6937"/>
            </w:tcBorders>
          </w:tcPr>
          <w:p>
            <w:pPr>
              <w:spacing w:after="0"/>
              <w:rPr>
                <w:sz w:val="22"/>
                <w:szCs w:val="22"/>
                <w:color w:val="auto"/>
              </w:rPr>
            </w:pPr>
          </w:p>
        </w:tc>
        <w:tc>
          <w:tcPr>
            <w:tcW w:w="980" w:type="dxa"/>
            <w:vAlign w:val="bottom"/>
            <w:tcBorders>
              <w:bottom w:val="single" w:sz="8" w:color="2C6937"/>
            </w:tcBorders>
          </w:tcPr>
          <w:p>
            <w:pPr>
              <w:jc w:val="center"/>
              <w:ind w:right="47"/>
              <w:spacing w:after="0"/>
              <w:rPr>
                <w:sz w:val="20"/>
                <w:szCs w:val="20"/>
                <w:color w:val="auto"/>
              </w:rPr>
            </w:pPr>
            <w:r>
              <w:rPr>
                <w:rFonts w:ascii="Arial" w:cs="Arial" w:eastAsia="Arial" w:hAnsi="Arial"/>
                <w:sz w:val="15"/>
                <w:szCs w:val="15"/>
                <w:b w:val="1"/>
                <w:bCs w:val="1"/>
                <w:color w:val="auto"/>
                <w:w w:val="99"/>
              </w:rPr>
              <w:t>Multifamily</w:t>
            </w:r>
          </w:p>
        </w:tc>
        <w:tc>
          <w:tcPr>
            <w:tcW w:w="20" w:type="dxa"/>
            <w:vAlign w:val="bottom"/>
            <w:tcBorders>
              <w:bottom w:val="single" w:sz="8" w:color="2C6937"/>
            </w:tcBorders>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240" w:type="dxa"/>
            <w:vAlign w:val="bottom"/>
            <w:tcBorders>
              <w:bottom w:val="single" w:sz="8" w:color="2C6937"/>
            </w:tcBorders>
          </w:tcPr>
          <w:p>
            <w:pPr>
              <w:spacing w:after="0"/>
              <w:rPr>
                <w:sz w:val="22"/>
                <w:szCs w:val="22"/>
                <w:color w:val="auto"/>
              </w:rPr>
            </w:pPr>
          </w:p>
        </w:tc>
        <w:tc>
          <w:tcPr>
            <w:tcW w:w="880" w:type="dxa"/>
            <w:vAlign w:val="bottom"/>
            <w:tcBorders>
              <w:bottom w:val="single" w:sz="8" w:color="2C6937"/>
            </w:tcBorders>
          </w:tcPr>
          <w:p>
            <w:pPr>
              <w:jc w:val="right"/>
              <w:ind w:right="327"/>
              <w:spacing w:after="0"/>
              <w:rPr>
                <w:sz w:val="20"/>
                <w:szCs w:val="20"/>
                <w:color w:val="auto"/>
              </w:rPr>
            </w:pPr>
            <w:r>
              <w:rPr>
                <w:rFonts w:ascii="Arial" w:cs="Arial" w:eastAsia="Arial" w:hAnsi="Arial"/>
                <w:sz w:val="15"/>
                <w:szCs w:val="15"/>
                <w:b w:val="1"/>
                <w:bCs w:val="1"/>
                <w:color w:val="auto"/>
              </w:rPr>
              <w:t>Total</w:t>
            </w:r>
          </w:p>
        </w:tc>
        <w:tc>
          <w:tcPr>
            <w:tcW w:w="100" w:type="dxa"/>
            <w:vAlign w:val="bottom"/>
            <w:tcBorders>
              <w:bottom w:val="single" w:sz="8" w:color="2C6937"/>
            </w:tcBorders>
          </w:tcPr>
          <w:p>
            <w:pPr>
              <w:spacing w:after="0"/>
              <w:rPr>
                <w:sz w:val="22"/>
                <w:szCs w:val="22"/>
                <w:color w:val="auto"/>
              </w:rPr>
            </w:pPr>
          </w:p>
        </w:tc>
        <w:tc>
          <w:tcPr>
            <w:tcW w:w="100" w:type="dxa"/>
            <w:vAlign w:val="bottom"/>
            <w:tcBorders>
              <w:bottom w:val="single" w:sz="8" w:color="2C6937"/>
            </w:tcBorders>
          </w:tcPr>
          <w:p>
            <w:pPr>
              <w:spacing w:after="0"/>
              <w:rPr>
                <w:sz w:val="22"/>
                <w:szCs w:val="22"/>
                <w:color w:val="auto"/>
              </w:rPr>
            </w:pPr>
          </w:p>
        </w:tc>
        <w:tc>
          <w:tcPr>
            <w:tcW w:w="1140" w:type="dxa"/>
            <w:vAlign w:val="bottom"/>
            <w:tcBorders>
              <w:bottom w:val="single" w:sz="8" w:color="2C6937"/>
            </w:tcBorders>
            <w:gridSpan w:val="2"/>
          </w:tcPr>
          <w:p>
            <w:pPr>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22"/>
                <w:szCs w:val="22"/>
                <w:color w:val="auto"/>
              </w:rPr>
            </w:pPr>
          </w:p>
        </w:tc>
        <w:tc>
          <w:tcPr>
            <w:tcW w:w="980" w:type="dxa"/>
            <w:vAlign w:val="bottom"/>
            <w:tcBorders>
              <w:bottom w:val="single" w:sz="8" w:color="2C6937"/>
            </w:tcBorders>
          </w:tcPr>
          <w:p>
            <w:pPr>
              <w:jc w:val="center"/>
              <w:ind w:right="67"/>
              <w:spacing w:after="0"/>
              <w:rPr>
                <w:sz w:val="20"/>
                <w:szCs w:val="20"/>
                <w:color w:val="auto"/>
              </w:rPr>
            </w:pPr>
            <w:r>
              <w:rPr>
                <w:rFonts w:ascii="Arial" w:cs="Arial" w:eastAsia="Arial" w:hAnsi="Arial"/>
                <w:sz w:val="15"/>
                <w:szCs w:val="15"/>
                <w:b w:val="1"/>
                <w:bCs w:val="1"/>
                <w:color w:val="auto"/>
                <w:w w:val="96"/>
              </w:rPr>
              <w:t>Multifamily</w:t>
            </w:r>
          </w:p>
        </w:tc>
        <w:tc>
          <w:tcPr>
            <w:tcW w:w="120" w:type="dxa"/>
            <w:vAlign w:val="bottom"/>
            <w:tcBorders>
              <w:bottom w:val="single" w:sz="8" w:color="2C6937"/>
            </w:tcBorders>
          </w:tcPr>
          <w:p>
            <w:pPr>
              <w:spacing w:after="0"/>
              <w:rPr>
                <w:sz w:val="22"/>
                <w:szCs w:val="22"/>
                <w:color w:val="auto"/>
              </w:rPr>
            </w:pPr>
          </w:p>
        </w:tc>
        <w:tc>
          <w:tcPr>
            <w:tcW w:w="240" w:type="dxa"/>
            <w:vAlign w:val="bottom"/>
            <w:tcBorders>
              <w:bottom w:val="single" w:sz="8" w:color="2C6937"/>
            </w:tcBorders>
          </w:tcPr>
          <w:p>
            <w:pPr>
              <w:spacing w:after="0"/>
              <w:rPr>
                <w:sz w:val="22"/>
                <w:szCs w:val="22"/>
                <w:color w:val="auto"/>
              </w:rPr>
            </w:pPr>
          </w:p>
        </w:tc>
        <w:tc>
          <w:tcPr>
            <w:tcW w:w="880" w:type="dxa"/>
            <w:vAlign w:val="bottom"/>
            <w:tcBorders>
              <w:bottom w:val="single" w:sz="8" w:color="2C6937"/>
            </w:tcBorders>
          </w:tcPr>
          <w:p>
            <w:pPr>
              <w:jc w:val="right"/>
              <w:ind w:right="307"/>
              <w:spacing w:after="0"/>
              <w:rPr>
                <w:sz w:val="20"/>
                <w:szCs w:val="20"/>
                <w:color w:val="auto"/>
              </w:rPr>
            </w:pPr>
            <w:r>
              <w:rPr>
                <w:rFonts w:ascii="Arial" w:cs="Arial" w:eastAsia="Arial" w:hAnsi="Arial"/>
                <w:sz w:val="15"/>
                <w:szCs w:val="15"/>
                <w:b w:val="1"/>
                <w:bCs w:val="1"/>
                <w:color w:val="auto"/>
              </w:rPr>
              <w:t>Total</w:t>
            </w:r>
          </w:p>
        </w:tc>
      </w:tr>
      <w:tr>
        <w:trPr>
          <w:trHeight w:val="197"/>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gridSpan w:val="5"/>
          </w:tcPr>
          <w:p>
            <w:pPr>
              <w:jc w:val="center"/>
              <w:ind w:right="360"/>
              <w:spacing w:after="0"/>
              <w:rPr>
                <w:sz w:val="20"/>
                <w:szCs w:val="20"/>
                <w:color w:val="auto"/>
              </w:rPr>
            </w:pPr>
            <w:r>
              <w:rPr>
                <w:rFonts w:ascii="Arial" w:cs="Arial" w:eastAsia="Arial" w:hAnsi="Arial"/>
                <w:sz w:val="15"/>
                <w:szCs w:val="15"/>
                <w:b w:val="1"/>
                <w:bCs w:val="1"/>
                <w:color w:val="auto"/>
                <w:w w:val="96"/>
              </w:rPr>
              <w:t>(Dollars in millions)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1"/>
        </w:trPr>
        <w:tc>
          <w:tcPr>
            <w:tcW w:w="3940" w:type="dxa"/>
            <w:vAlign w:val="bottom"/>
            <w:gridSpan w:val="2"/>
          </w:tcPr>
          <w:p>
            <w:pPr>
              <w:ind w:left="20"/>
              <w:spacing w:after="0"/>
              <w:rPr>
                <w:sz w:val="20"/>
                <w:szCs w:val="20"/>
                <w:color w:val="auto"/>
              </w:rPr>
            </w:pPr>
            <w:r>
              <w:rPr>
                <w:rFonts w:ascii="Arial" w:cs="Arial" w:eastAsia="Arial" w:hAnsi="Arial"/>
                <w:sz w:val="15"/>
                <w:szCs w:val="15"/>
                <w:b w:val="1"/>
                <w:bCs w:val="1"/>
                <w:color w:val="auto"/>
              </w:rPr>
              <w:t>Select credit ratio:</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3"/>
        </w:trPr>
        <w:tc>
          <w:tcPr>
            <w:tcW w:w="3940" w:type="dxa"/>
            <w:vAlign w:val="bottom"/>
            <w:gridSpan w:val="2"/>
          </w:tcPr>
          <w:p>
            <w:pPr>
              <w:ind w:left="180"/>
              <w:spacing w:after="0"/>
              <w:rPr>
                <w:sz w:val="20"/>
                <w:szCs w:val="20"/>
                <w:color w:val="auto"/>
              </w:rPr>
            </w:pPr>
            <w:r>
              <w:rPr>
                <w:rFonts w:ascii="Arial" w:cs="Arial" w:eastAsia="Arial" w:hAnsi="Arial"/>
                <w:sz w:val="15"/>
                <w:szCs w:val="15"/>
                <w:color w:val="auto"/>
              </w:rPr>
              <w:t>Write-offs, net of recoveries annualized, as a</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80"/>
        </w:trPr>
        <w:tc>
          <w:tcPr>
            <w:tcW w:w="3940" w:type="dxa"/>
            <w:vAlign w:val="bottom"/>
            <w:gridSpan w:val="2"/>
          </w:tcPr>
          <w:p>
            <w:pPr>
              <w:ind w:left="320"/>
              <w:spacing w:after="0"/>
              <w:rPr>
                <w:sz w:val="20"/>
                <w:szCs w:val="20"/>
                <w:color w:val="auto"/>
              </w:rPr>
            </w:pPr>
            <w:r>
              <w:rPr>
                <w:rFonts w:ascii="Arial" w:cs="Arial" w:eastAsia="Arial" w:hAnsi="Arial"/>
                <w:sz w:val="15"/>
                <w:szCs w:val="15"/>
                <w:color w:val="auto"/>
              </w:rPr>
              <w:t>percentage of the average guaranty book of business</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9"/>
        </w:trPr>
        <w:tc>
          <w:tcPr>
            <w:tcW w:w="3940" w:type="dxa"/>
            <w:vAlign w:val="bottom"/>
            <w:gridSpan w:val="2"/>
          </w:tcPr>
          <w:p>
            <w:pPr>
              <w:ind w:left="320"/>
              <w:spacing w:after="0"/>
              <w:rPr>
                <w:sz w:val="20"/>
                <w:szCs w:val="20"/>
                <w:color w:val="auto"/>
              </w:rPr>
            </w:pPr>
            <w:r>
              <w:rPr>
                <w:rFonts w:ascii="Arial" w:cs="Arial" w:eastAsia="Arial" w:hAnsi="Arial"/>
                <w:sz w:val="15"/>
                <w:szCs w:val="15"/>
                <w:color w:val="auto"/>
              </w:rPr>
              <w:t>(in bps)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397"/>
        </w:trPr>
        <w:tc>
          <w:tcPr>
            <w:tcW w:w="3940" w:type="dxa"/>
            <w:vAlign w:val="bottom"/>
            <w:gridSpan w:val="2"/>
          </w:tcPr>
          <w:p>
            <w:pPr>
              <w:ind w:left="20"/>
              <w:spacing w:after="0"/>
              <w:rPr>
                <w:sz w:val="20"/>
                <w:szCs w:val="20"/>
                <w:color w:val="auto"/>
              </w:rPr>
            </w:pPr>
            <w:r>
              <w:rPr>
                <w:rFonts w:ascii="Arial" w:cs="Arial" w:eastAsia="Arial" w:hAnsi="Arial"/>
                <w:sz w:val="15"/>
                <w:szCs w:val="15"/>
                <w:b w:val="1"/>
                <w:bCs w:val="1"/>
                <w:color w:val="auto"/>
              </w:rPr>
              <w:t>Select financial information used in calculating credit</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4"/>
        </w:trPr>
        <w:tc>
          <w:tcPr>
            <w:tcW w:w="3940" w:type="dxa"/>
            <w:vAlign w:val="bottom"/>
            <w:gridSpan w:val="2"/>
          </w:tcPr>
          <w:p>
            <w:pPr>
              <w:ind w:left="180"/>
              <w:spacing w:after="0"/>
              <w:rPr>
                <w:sz w:val="20"/>
                <w:szCs w:val="20"/>
                <w:color w:val="auto"/>
              </w:rPr>
            </w:pPr>
            <w:r>
              <w:rPr>
                <w:rFonts w:ascii="Arial" w:cs="Arial" w:eastAsia="Arial" w:hAnsi="Arial"/>
                <w:sz w:val="15"/>
                <w:szCs w:val="15"/>
                <w:b w:val="1"/>
                <w:bCs w:val="1"/>
                <w:color w:val="auto"/>
              </w:rPr>
              <w:t>ratio:</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4"/>
        </w:trPr>
        <w:tc>
          <w:tcPr>
            <w:tcW w:w="3940" w:type="dxa"/>
            <w:vAlign w:val="bottom"/>
            <w:gridSpan w:val="2"/>
          </w:tcPr>
          <w:p>
            <w:pPr>
              <w:ind w:left="280"/>
              <w:spacing w:after="0"/>
              <w:rPr>
                <w:sz w:val="20"/>
                <w:szCs w:val="20"/>
                <w:color w:val="auto"/>
              </w:rPr>
            </w:pPr>
            <w:r>
              <w:rPr>
                <w:rFonts w:ascii="Arial" w:cs="Arial" w:eastAsia="Arial" w:hAnsi="Arial"/>
                <w:sz w:val="15"/>
                <w:szCs w:val="15"/>
                <w:color w:val="auto"/>
              </w:rPr>
              <w:t>Write-offs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55</w:t>
            </w:r>
          </w:p>
        </w:tc>
        <w:tc>
          <w:tcPr>
            <w:tcW w:w="24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17</w:t>
            </w:r>
          </w:p>
        </w:tc>
        <w:tc>
          <w:tcPr>
            <w:tcW w:w="380" w:type="dxa"/>
            <w:vAlign w:val="bottom"/>
            <w:gridSpan w:val="3"/>
          </w:tcPr>
          <w:p>
            <w:pPr>
              <w:jc w:val="right"/>
              <w:ind w:right="87"/>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72</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249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360" w:type="dxa"/>
            <w:vAlign w:val="bottom"/>
            <w:gridSpan w:val="2"/>
          </w:tcPr>
          <w:p>
            <w:pPr>
              <w:jc w:val="right"/>
              <w:ind w:right="67"/>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249</w:t>
            </w:r>
          </w:p>
        </w:tc>
      </w:tr>
      <w:tr>
        <w:trPr>
          <w:trHeight w:val="230"/>
        </w:trPr>
        <w:tc>
          <w:tcPr>
            <w:tcW w:w="3840" w:type="dxa"/>
            <w:vAlign w:val="bottom"/>
            <w:tcBorders>
              <w:bottom w:val="single" w:sz="8" w:color="2C6937"/>
            </w:tcBorders>
          </w:tcPr>
          <w:p>
            <w:pPr>
              <w:ind w:left="280"/>
              <w:spacing w:after="0"/>
              <w:rPr>
                <w:sz w:val="20"/>
                <w:szCs w:val="20"/>
                <w:color w:val="auto"/>
              </w:rPr>
            </w:pPr>
            <w:r>
              <w:rPr>
                <w:rFonts w:ascii="Arial" w:cs="Arial" w:eastAsia="Arial" w:hAnsi="Arial"/>
                <w:sz w:val="15"/>
                <w:szCs w:val="15"/>
                <w:color w:val="auto"/>
              </w:rPr>
              <w:t>Recoveries</w:t>
            </w:r>
          </w:p>
        </w:tc>
        <w:tc>
          <w:tcPr>
            <w:tcW w:w="100" w:type="dxa"/>
            <w:vAlign w:val="bottom"/>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(29)</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w:t>
            </w:r>
          </w:p>
        </w:tc>
        <w:tc>
          <w:tcPr>
            <w:tcW w:w="20" w:type="dxa"/>
            <w:vAlign w:val="bottom"/>
            <w:tcBorders>
              <w:bottom w:val="single" w:sz="8" w:color="2C6937"/>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(30)</w:t>
            </w:r>
          </w:p>
        </w:tc>
        <w:tc>
          <w:tcPr>
            <w:tcW w:w="100" w:type="dxa"/>
            <w:vAlign w:val="bottom"/>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(88)</w:t>
            </w:r>
          </w:p>
        </w:tc>
        <w:tc>
          <w:tcPr>
            <w:tcW w:w="12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(98)</w:t>
            </w:r>
          </w:p>
        </w:tc>
      </w:tr>
      <w:tr>
        <w:trPr>
          <w:trHeight w:val="220"/>
        </w:trPr>
        <w:tc>
          <w:tcPr>
            <w:tcW w:w="384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Write-offs, net of recoveries</w:t>
            </w:r>
          </w:p>
        </w:tc>
        <w:tc>
          <w:tcPr>
            <w:tcW w:w="100" w:type="dxa"/>
            <w:vAlign w:val="bottom"/>
          </w:tcPr>
          <w:p>
            <w:pPr>
              <w:spacing w:after="0"/>
              <w:rPr>
                <w:sz w:val="19"/>
                <w:szCs w:val="19"/>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26</w:t>
            </w:r>
          </w:p>
        </w:tc>
        <w:tc>
          <w:tcPr>
            <w:tcW w:w="100" w:type="dxa"/>
            <w:vAlign w:val="bottom"/>
          </w:tcPr>
          <w:p>
            <w:pPr>
              <w:spacing w:after="0"/>
              <w:rPr>
                <w:sz w:val="19"/>
                <w:szCs w:val="19"/>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16</w:t>
            </w:r>
          </w:p>
        </w:tc>
        <w:tc>
          <w:tcPr>
            <w:tcW w:w="20" w:type="dxa"/>
            <w:vAlign w:val="bottom"/>
            <w:tcBorders>
              <w:bottom w:val="single" w:sz="8" w:color="2C6937"/>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2C6937"/>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42</w:t>
            </w:r>
          </w:p>
        </w:tc>
        <w:tc>
          <w:tcPr>
            <w:tcW w:w="100" w:type="dxa"/>
            <w:vAlign w:val="bottom"/>
          </w:tcPr>
          <w:p>
            <w:pPr>
              <w:spacing w:after="0"/>
              <w:rPr>
                <w:sz w:val="19"/>
                <w:szCs w:val="19"/>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161</w:t>
            </w:r>
          </w:p>
        </w:tc>
        <w:tc>
          <w:tcPr>
            <w:tcW w:w="120" w:type="dxa"/>
            <w:vAlign w:val="bottom"/>
          </w:tcPr>
          <w:p>
            <w:pPr>
              <w:spacing w:after="0"/>
              <w:rPr>
                <w:sz w:val="19"/>
                <w:szCs w:val="19"/>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19"/>
                <w:szCs w:val="19"/>
                <w:color w:val="auto"/>
              </w:rPr>
            </w:pPr>
          </w:p>
        </w:tc>
        <w:tc>
          <w:tcPr>
            <w:tcW w:w="240" w:type="dxa"/>
            <w:vAlign w:val="bottom"/>
            <w:tcBorders>
              <w:bottom w:val="single" w:sz="8" w:color="2C6937"/>
            </w:tcBorders>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151</w:t>
            </w:r>
          </w:p>
        </w:tc>
      </w:tr>
      <w:tr>
        <w:trPr>
          <w:trHeight w:val="24"/>
        </w:trPr>
        <w:tc>
          <w:tcPr>
            <w:tcW w:w="38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980" w:type="dxa"/>
            <w:vAlign w:val="bottom"/>
            <w:tcBorders>
              <w:bottom w:val="single" w:sz="8" w:color="2C6937"/>
            </w:tcBorders>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2C6937"/>
            </w:tcBorders>
          </w:tcPr>
          <w:p>
            <w:pPr>
              <w:spacing w:after="0"/>
              <w:rPr>
                <w:sz w:val="2"/>
                <w:szCs w:val="2"/>
                <w:color w:val="auto"/>
              </w:rPr>
            </w:pPr>
          </w:p>
        </w:tc>
        <w:tc>
          <w:tcPr>
            <w:tcW w:w="8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2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98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2C6937"/>
            </w:tcBorders>
          </w:tcPr>
          <w:p>
            <w:pPr>
              <w:spacing w:after="0"/>
              <w:rPr>
                <w:sz w:val="2"/>
                <w:szCs w:val="2"/>
                <w:color w:val="auto"/>
              </w:rPr>
            </w:pPr>
          </w:p>
        </w:tc>
        <w:tc>
          <w:tcPr>
            <w:tcW w:w="880" w:type="dxa"/>
            <w:vAlign w:val="bottom"/>
            <w:tcBorders>
              <w:bottom w:val="single" w:sz="8" w:color="2C6937"/>
            </w:tcBorders>
          </w:tcPr>
          <w:p>
            <w:pPr>
              <w:spacing w:after="0"/>
              <w:rPr>
                <w:sz w:val="2"/>
                <w:szCs w:val="2"/>
                <w:color w:val="auto"/>
              </w:rPr>
            </w:pPr>
          </w:p>
        </w:tc>
      </w:tr>
      <w:tr>
        <w:trPr>
          <w:trHeight w:val="253"/>
        </w:trPr>
        <w:tc>
          <w:tcPr>
            <w:tcW w:w="3940" w:type="dxa"/>
            <w:vAlign w:val="bottom"/>
            <w:gridSpan w:val="2"/>
          </w:tcPr>
          <w:p>
            <w:pPr>
              <w:ind w:left="180"/>
              <w:spacing w:after="0"/>
              <w:rPr>
                <w:sz w:val="20"/>
                <w:szCs w:val="20"/>
                <w:color w:val="auto"/>
              </w:rPr>
            </w:pPr>
            <w:r>
              <w:rPr>
                <w:rFonts w:ascii="Arial" w:cs="Arial" w:eastAsia="Arial" w:hAnsi="Arial"/>
                <w:sz w:val="15"/>
                <w:szCs w:val="15"/>
                <w:color w:val="auto"/>
              </w:rPr>
              <w:t>Average guaranty book of business</w:t>
            </w:r>
            <w:r>
              <w:rPr>
                <w:rFonts w:ascii="Arial" w:cs="Arial" w:eastAsia="Arial" w:hAnsi="Arial"/>
                <w:sz w:val="18"/>
                <w:szCs w:val="18"/>
                <w:color w:val="auto"/>
                <w:vertAlign w:val="superscript"/>
              </w:rPr>
              <w:t>(1)</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3,630,397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450,067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4,080,464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3,590,621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422,770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4,013,391</w:t>
            </w:r>
          </w:p>
        </w:tc>
      </w:tr>
      <w:tr>
        <w:trPr>
          <w:trHeight w:val="418"/>
        </w:trPr>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216C2B"/>
            </w:tcBorders>
          </w:tcPr>
          <w:p>
            <w:pPr>
              <w:spacing w:after="0"/>
              <w:rPr>
                <w:sz w:val="24"/>
                <w:szCs w:val="24"/>
                <w:color w:val="auto"/>
              </w:rPr>
            </w:pPr>
          </w:p>
        </w:tc>
        <w:tc>
          <w:tcPr>
            <w:tcW w:w="1020" w:type="dxa"/>
            <w:vAlign w:val="bottom"/>
            <w:tcBorders>
              <w:bottom w:val="single" w:sz="8" w:color="216C2B"/>
            </w:tcBorders>
          </w:tcPr>
          <w:p>
            <w:pPr>
              <w:spacing w:after="0"/>
              <w:rPr>
                <w:sz w:val="24"/>
                <w:szCs w:val="24"/>
                <w:color w:val="auto"/>
              </w:rPr>
            </w:pPr>
          </w:p>
        </w:tc>
        <w:tc>
          <w:tcPr>
            <w:tcW w:w="100" w:type="dxa"/>
            <w:vAlign w:val="bottom"/>
            <w:tcBorders>
              <w:bottom w:val="single" w:sz="8" w:color="216C2B"/>
            </w:tcBorders>
          </w:tcPr>
          <w:p>
            <w:pPr>
              <w:spacing w:after="0"/>
              <w:rPr>
                <w:sz w:val="24"/>
                <w:szCs w:val="24"/>
                <w:color w:val="auto"/>
              </w:rPr>
            </w:pPr>
          </w:p>
        </w:tc>
        <w:tc>
          <w:tcPr>
            <w:tcW w:w="140" w:type="dxa"/>
            <w:vAlign w:val="bottom"/>
            <w:tcBorders>
              <w:bottom w:val="single" w:sz="8" w:color="216C2B"/>
            </w:tcBorders>
          </w:tcPr>
          <w:p>
            <w:pPr>
              <w:spacing w:after="0"/>
              <w:rPr>
                <w:sz w:val="24"/>
                <w:szCs w:val="24"/>
                <w:color w:val="auto"/>
              </w:rPr>
            </w:pPr>
          </w:p>
        </w:tc>
        <w:tc>
          <w:tcPr>
            <w:tcW w:w="980" w:type="dxa"/>
            <w:vAlign w:val="bottom"/>
            <w:tcBorders>
              <w:bottom w:val="single" w:sz="8" w:color="216C2B"/>
            </w:tcBorders>
          </w:tcPr>
          <w:p>
            <w:pPr>
              <w:spacing w:after="0"/>
              <w:rPr>
                <w:sz w:val="24"/>
                <w:szCs w:val="24"/>
                <w:color w:val="auto"/>
              </w:rPr>
            </w:pPr>
          </w:p>
        </w:tc>
        <w:tc>
          <w:tcPr>
            <w:tcW w:w="20" w:type="dxa"/>
            <w:vAlign w:val="bottom"/>
            <w:tcBorders>
              <w:bottom w:val="single" w:sz="8" w:color="216C2B"/>
            </w:tcBorders>
          </w:tcPr>
          <w:p>
            <w:pPr>
              <w:spacing w:after="0"/>
              <w:rPr>
                <w:sz w:val="24"/>
                <w:szCs w:val="24"/>
                <w:color w:val="auto"/>
              </w:rPr>
            </w:pPr>
          </w:p>
        </w:tc>
        <w:tc>
          <w:tcPr>
            <w:tcW w:w="2580" w:type="dxa"/>
            <w:vAlign w:val="bottom"/>
            <w:tcBorders>
              <w:bottom w:val="single" w:sz="8" w:color="216C2B"/>
            </w:tcBorders>
            <w:gridSpan w:val="7"/>
          </w:tcPr>
          <w:p>
            <w:pPr>
              <w:jc w:val="center"/>
              <w:spacing w:after="0"/>
              <w:rPr>
                <w:sz w:val="20"/>
                <w:szCs w:val="20"/>
                <w:color w:val="auto"/>
              </w:rPr>
            </w:pPr>
            <w:r>
              <w:rPr>
                <w:rFonts w:ascii="Arial" w:cs="Arial" w:eastAsia="Arial" w:hAnsi="Arial"/>
                <w:sz w:val="15"/>
                <w:szCs w:val="15"/>
                <w:b w:val="1"/>
                <w:bCs w:val="1"/>
                <w:color w:val="auto"/>
                <w:w w:val="97"/>
              </w:rPr>
              <w:t>For the Six Months Ended June 30,</w:t>
            </w:r>
          </w:p>
        </w:tc>
        <w:tc>
          <w:tcPr>
            <w:tcW w:w="140" w:type="dxa"/>
            <w:vAlign w:val="bottom"/>
            <w:tcBorders>
              <w:bottom w:val="single" w:sz="8" w:color="216C2B"/>
            </w:tcBorders>
          </w:tcPr>
          <w:p>
            <w:pPr>
              <w:spacing w:after="0"/>
              <w:rPr>
                <w:sz w:val="24"/>
                <w:szCs w:val="24"/>
                <w:color w:val="auto"/>
              </w:rPr>
            </w:pPr>
          </w:p>
        </w:tc>
        <w:tc>
          <w:tcPr>
            <w:tcW w:w="980" w:type="dxa"/>
            <w:vAlign w:val="bottom"/>
            <w:tcBorders>
              <w:bottom w:val="single" w:sz="8" w:color="216C2B"/>
            </w:tcBorders>
          </w:tcPr>
          <w:p>
            <w:pPr>
              <w:spacing w:after="0"/>
              <w:rPr>
                <w:sz w:val="24"/>
                <w:szCs w:val="24"/>
                <w:color w:val="auto"/>
              </w:rPr>
            </w:pPr>
          </w:p>
        </w:tc>
        <w:tc>
          <w:tcPr>
            <w:tcW w:w="120" w:type="dxa"/>
            <w:vAlign w:val="bottom"/>
            <w:tcBorders>
              <w:bottom w:val="single" w:sz="8" w:color="216C2B"/>
            </w:tcBorders>
          </w:tcPr>
          <w:p>
            <w:pPr>
              <w:spacing w:after="0"/>
              <w:rPr>
                <w:sz w:val="24"/>
                <w:szCs w:val="24"/>
                <w:color w:val="auto"/>
              </w:rPr>
            </w:pPr>
          </w:p>
        </w:tc>
        <w:tc>
          <w:tcPr>
            <w:tcW w:w="240" w:type="dxa"/>
            <w:vAlign w:val="bottom"/>
            <w:tcBorders>
              <w:bottom w:val="single" w:sz="8" w:color="216C2B"/>
            </w:tcBorders>
          </w:tcPr>
          <w:p>
            <w:pPr>
              <w:spacing w:after="0"/>
              <w:rPr>
                <w:sz w:val="24"/>
                <w:szCs w:val="24"/>
                <w:color w:val="auto"/>
              </w:rPr>
            </w:pPr>
          </w:p>
        </w:tc>
        <w:tc>
          <w:tcPr>
            <w:tcW w:w="880" w:type="dxa"/>
            <w:vAlign w:val="bottom"/>
            <w:tcBorders>
              <w:bottom w:val="single" w:sz="8" w:color="216C2B"/>
            </w:tcBorders>
          </w:tcPr>
          <w:p>
            <w:pPr>
              <w:spacing w:after="0"/>
              <w:rPr>
                <w:sz w:val="24"/>
                <w:szCs w:val="24"/>
                <w:color w:val="auto"/>
              </w:rPr>
            </w:pPr>
          </w:p>
        </w:tc>
      </w:tr>
      <w:tr>
        <w:trPr>
          <w:trHeight w:val="203"/>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center"/>
              <w:ind w:right="27"/>
              <w:spacing w:after="0"/>
              <w:rPr>
                <w:sz w:val="20"/>
                <w:szCs w:val="20"/>
                <w:color w:val="auto"/>
              </w:rPr>
            </w:pPr>
            <w:r>
              <w:rPr>
                <w:rFonts w:ascii="Arial" w:cs="Arial" w:eastAsia="Arial" w:hAnsi="Arial"/>
                <w:sz w:val="15"/>
                <w:szCs w:val="15"/>
                <w:b w:val="1"/>
                <w:bCs w:val="1"/>
                <w:color w:val="auto"/>
                <w:w w:val="95"/>
              </w:rPr>
              <w:t>2023</w:t>
            </w:r>
          </w:p>
        </w:tc>
        <w:tc>
          <w:tcPr>
            <w:tcW w:w="2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center"/>
              <w:ind w:right="67"/>
              <w:spacing w:after="0"/>
              <w:rPr>
                <w:sz w:val="20"/>
                <w:szCs w:val="20"/>
                <w:color w:val="auto"/>
              </w:rPr>
            </w:pPr>
            <w:r>
              <w:rPr>
                <w:rFonts w:ascii="Arial" w:cs="Arial" w:eastAsia="Arial" w:hAnsi="Arial"/>
                <w:sz w:val="15"/>
                <w:szCs w:val="15"/>
                <w:b w:val="1"/>
                <w:bCs w:val="1"/>
                <w:color w:val="auto"/>
                <w:w w:val="95"/>
              </w:rPr>
              <w:t>2022</w:t>
            </w:r>
          </w:p>
        </w:tc>
        <w:tc>
          <w:tcPr>
            <w:tcW w:w="120" w:type="dxa"/>
            <w:vAlign w:val="bottom"/>
            <w:tcBorders>
              <w:bottom w:val="single" w:sz="8" w:color="2C6937"/>
            </w:tcBorders>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spacing w:after="0"/>
              <w:rPr>
                <w:sz w:val="17"/>
                <w:szCs w:val="17"/>
                <w:color w:val="auto"/>
              </w:rPr>
            </w:pPr>
          </w:p>
        </w:tc>
      </w:tr>
      <w:tr>
        <w:trPr>
          <w:trHeight w:val="265"/>
        </w:trPr>
        <w:tc>
          <w:tcPr>
            <w:tcW w:w="3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bottom w:val="single" w:sz="8" w:color="2C6937"/>
            </w:tcBorders>
          </w:tcPr>
          <w:p>
            <w:pPr>
              <w:spacing w:after="0"/>
              <w:rPr>
                <w:sz w:val="23"/>
                <w:szCs w:val="23"/>
                <w:color w:val="auto"/>
              </w:rPr>
            </w:pPr>
          </w:p>
        </w:tc>
        <w:tc>
          <w:tcPr>
            <w:tcW w:w="1020" w:type="dxa"/>
            <w:vAlign w:val="bottom"/>
            <w:tcBorders>
              <w:bottom w:val="single" w:sz="8" w:color="2C6937"/>
            </w:tcBorders>
          </w:tcPr>
          <w:p>
            <w:pPr>
              <w:jc w:val="right"/>
              <w:ind w:right="28"/>
              <w:spacing w:after="0"/>
              <w:rPr>
                <w:sz w:val="20"/>
                <w:szCs w:val="20"/>
                <w:color w:val="auto"/>
              </w:rPr>
            </w:pPr>
            <w:r>
              <w:rPr>
                <w:rFonts w:ascii="Arial" w:cs="Arial" w:eastAsia="Arial" w:hAnsi="Arial"/>
                <w:sz w:val="15"/>
                <w:szCs w:val="15"/>
                <w:b w:val="1"/>
                <w:bCs w:val="1"/>
                <w:color w:val="auto"/>
                <w:w w:val="96"/>
              </w:rPr>
              <w:t>Single-family</w:t>
            </w:r>
          </w:p>
        </w:tc>
        <w:tc>
          <w:tcPr>
            <w:tcW w:w="100" w:type="dxa"/>
            <w:vAlign w:val="bottom"/>
            <w:tcBorders>
              <w:bottom w:val="single" w:sz="8" w:color="2C6937"/>
            </w:tcBorders>
          </w:tcPr>
          <w:p>
            <w:pPr>
              <w:spacing w:after="0"/>
              <w:rPr>
                <w:sz w:val="23"/>
                <w:szCs w:val="23"/>
                <w:color w:val="auto"/>
              </w:rPr>
            </w:pPr>
          </w:p>
        </w:tc>
        <w:tc>
          <w:tcPr>
            <w:tcW w:w="140" w:type="dxa"/>
            <w:vAlign w:val="bottom"/>
            <w:tcBorders>
              <w:bottom w:val="single" w:sz="8" w:color="2C6937"/>
            </w:tcBorders>
          </w:tcPr>
          <w:p>
            <w:pPr>
              <w:spacing w:after="0"/>
              <w:rPr>
                <w:sz w:val="23"/>
                <w:szCs w:val="23"/>
                <w:color w:val="auto"/>
              </w:rPr>
            </w:pPr>
          </w:p>
        </w:tc>
        <w:tc>
          <w:tcPr>
            <w:tcW w:w="980" w:type="dxa"/>
            <w:vAlign w:val="bottom"/>
            <w:tcBorders>
              <w:bottom w:val="single" w:sz="8" w:color="2C6937"/>
            </w:tcBorders>
          </w:tcPr>
          <w:p>
            <w:pPr>
              <w:jc w:val="center"/>
              <w:ind w:right="47"/>
              <w:spacing w:after="0"/>
              <w:rPr>
                <w:sz w:val="20"/>
                <w:szCs w:val="20"/>
                <w:color w:val="auto"/>
              </w:rPr>
            </w:pPr>
            <w:r>
              <w:rPr>
                <w:rFonts w:ascii="Arial" w:cs="Arial" w:eastAsia="Arial" w:hAnsi="Arial"/>
                <w:sz w:val="15"/>
                <w:szCs w:val="15"/>
                <w:b w:val="1"/>
                <w:bCs w:val="1"/>
                <w:color w:val="auto"/>
                <w:w w:val="99"/>
              </w:rPr>
              <w:t>Multifamily</w:t>
            </w:r>
          </w:p>
        </w:tc>
        <w:tc>
          <w:tcPr>
            <w:tcW w:w="20" w:type="dxa"/>
            <w:vAlign w:val="bottom"/>
            <w:tcBorders>
              <w:bottom w:val="single" w:sz="8" w:color="2C6937"/>
            </w:tcBorders>
          </w:tcPr>
          <w:p>
            <w:pPr>
              <w:spacing w:after="0"/>
              <w:rPr>
                <w:sz w:val="23"/>
                <w:szCs w:val="23"/>
                <w:color w:val="auto"/>
              </w:rPr>
            </w:pPr>
          </w:p>
        </w:tc>
        <w:tc>
          <w:tcPr>
            <w:tcW w:w="120" w:type="dxa"/>
            <w:vAlign w:val="bottom"/>
            <w:tcBorders>
              <w:bottom w:val="single" w:sz="8" w:color="2C6937"/>
            </w:tcBorders>
          </w:tcPr>
          <w:p>
            <w:pPr>
              <w:spacing w:after="0"/>
              <w:rPr>
                <w:sz w:val="23"/>
                <w:szCs w:val="23"/>
                <w:color w:val="auto"/>
              </w:rPr>
            </w:pPr>
          </w:p>
        </w:tc>
        <w:tc>
          <w:tcPr>
            <w:tcW w:w="240" w:type="dxa"/>
            <w:vAlign w:val="bottom"/>
            <w:tcBorders>
              <w:bottom w:val="single" w:sz="8" w:color="2C6937"/>
            </w:tcBorders>
          </w:tcPr>
          <w:p>
            <w:pPr>
              <w:spacing w:after="0"/>
              <w:rPr>
                <w:sz w:val="23"/>
                <w:szCs w:val="23"/>
                <w:color w:val="auto"/>
              </w:rPr>
            </w:pPr>
          </w:p>
        </w:tc>
        <w:tc>
          <w:tcPr>
            <w:tcW w:w="880" w:type="dxa"/>
            <w:vAlign w:val="bottom"/>
            <w:tcBorders>
              <w:bottom w:val="single" w:sz="8" w:color="2C6937"/>
            </w:tcBorders>
          </w:tcPr>
          <w:p>
            <w:pPr>
              <w:jc w:val="right"/>
              <w:ind w:right="327"/>
              <w:spacing w:after="0"/>
              <w:rPr>
                <w:sz w:val="20"/>
                <w:szCs w:val="20"/>
                <w:color w:val="auto"/>
              </w:rPr>
            </w:pPr>
            <w:r>
              <w:rPr>
                <w:rFonts w:ascii="Arial" w:cs="Arial" w:eastAsia="Arial" w:hAnsi="Arial"/>
                <w:sz w:val="15"/>
                <w:szCs w:val="15"/>
                <w:b w:val="1"/>
                <w:bCs w:val="1"/>
                <w:color w:val="auto"/>
              </w:rPr>
              <w:t>Total</w:t>
            </w:r>
          </w:p>
        </w:tc>
        <w:tc>
          <w:tcPr>
            <w:tcW w:w="100" w:type="dxa"/>
            <w:vAlign w:val="bottom"/>
            <w:tcBorders>
              <w:bottom w:val="single" w:sz="8" w:color="2C6937"/>
            </w:tcBorders>
          </w:tcPr>
          <w:p>
            <w:pPr>
              <w:spacing w:after="0"/>
              <w:rPr>
                <w:sz w:val="23"/>
                <w:szCs w:val="23"/>
                <w:color w:val="auto"/>
              </w:rPr>
            </w:pPr>
          </w:p>
        </w:tc>
        <w:tc>
          <w:tcPr>
            <w:tcW w:w="100" w:type="dxa"/>
            <w:vAlign w:val="bottom"/>
            <w:tcBorders>
              <w:bottom w:val="single" w:sz="8" w:color="2C6937"/>
            </w:tcBorders>
          </w:tcPr>
          <w:p>
            <w:pPr>
              <w:spacing w:after="0"/>
              <w:rPr>
                <w:sz w:val="23"/>
                <w:szCs w:val="23"/>
                <w:color w:val="auto"/>
              </w:rPr>
            </w:pPr>
          </w:p>
        </w:tc>
        <w:tc>
          <w:tcPr>
            <w:tcW w:w="1140" w:type="dxa"/>
            <w:vAlign w:val="bottom"/>
            <w:tcBorders>
              <w:bottom w:val="single" w:sz="8" w:color="2C6937"/>
            </w:tcBorders>
            <w:gridSpan w:val="2"/>
          </w:tcPr>
          <w:p>
            <w:pPr>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23"/>
                <w:szCs w:val="23"/>
                <w:color w:val="auto"/>
              </w:rPr>
            </w:pPr>
          </w:p>
        </w:tc>
        <w:tc>
          <w:tcPr>
            <w:tcW w:w="980" w:type="dxa"/>
            <w:vAlign w:val="bottom"/>
            <w:tcBorders>
              <w:bottom w:val="single" w:sz="8" w:color="2C6937"/>
            </w:tcBorders>
          </w:tcPr>
          <w:p>
            <w:pPr>
              <w:jc w:val="center"/>
              <w:ind w:right="67"/>
              <w:spacing w:after="0"/>
              <w:rPr>
                <w:sz w:val="20"/>
                <w:szCs w:val="20"/>
                <w:color w:val="auto"/>
              </w:rPr>
            </w:pPr>
            <w:r>
              <w:rPr>
                <w:rFonts w:ascii="Arial" w:cs="Arial" w:eastAsia="Arial" w:hAnsi="Arial"/>
                <w:sz w:val="15"/>
                <w:szCs w:val="15"/>
                <w:b w:val="1"/>
                <w:bCs w:val="1"/>
                <w:color w:val="auto"/>
                <w:w w:val="96"/>
              </w:rPr>
              <w:t>Multifamily</w:t>
            </w:r>
          </w:p>
        </w:tc>
        <w:tc>
          <w:tcPr>
            <w:tcW w:w="120" w:type="dxa"/>
            <w:vAlign w:val="bottom"/>
            <w:tcBorders>
              <w:bottom w:val="single" w:sz="8" w:color="2C6937"/>
            </w:tcBorders>
          </w:tcPr>
          <w:p>
            <w:pPr>
              <w:spacing w:after="0"/>
              <w:rPr>
                <w:sz w:val="23"/>
                <w:szCs w:val="23"/>
                <w:color w:val="auto"/>
              </w:rPr>
            </w:pPr>
          </w:p>
        </w:tc>
        <w:tc>
          <w:tcPr>
            <w:tcW w:w="240" w:type="dxa"/>
            <w:vAlign w:val="bottom"/>
            <w:tcBorders>
              <w:bottom w:val="single" w:sz="8" w:color="2C6937"/>
            </w:tcBorders>
          </w:tcPr>
          <w:p>
            <w:pPr>
              <w:spacing w:after="0"/>
              <w:rPr>
                <w:sz w:val="23"/>
                <w:szCs w:val="23"/>
                <w:color w:val="auto"/>
              </w:rPr>
            </w:pPr>
          </w:p>
        </w:tc>
        <w:tc>
          <w:tcPr>
            <w:tcW w:w="880" w:type="dxa"/>
            <w:vAlign w:val="bottom"/>
            <w:tcBorders>
              <w:bottom w:val="single" w:sz="8" w:color="2C6937"/>
            </w:tcBorders>
          </w:tcPr>
          <w:p>
            <w:pPr>
              <w:jc w:val="right"/>
              <w:ind w:right="307"/>
              <w:spacing w:after="0"/>
              <w:rPr>
                <w:sz w:val="20"/>
                <w:szCs w:val="20"/>
                <w:color w:val="auto"/>
              </w:rPr>
            </w:pPr>
            <w:r>
              <w:rPr>
                <w:rFonts w:ascii="Arial" w:cs="Arial" w:eastAsia="Arial" w:hAnsi="Arial"/>
                <w:sz w:val="15"/>
                <w:szCs w:val="15"/>
                <w:b w:val="1"/>
                <w:bCs w:val="1"/>
                <w:color w:val="auto"/>
              </w:rPr>
              <w:t>Total</w:t>
            </w:r>
          </w:p>
        </w:tc>
      </w:tr>
      <w:tr>
        <w:trPr>
          <w:trHeight w:val="191"/>
        </w:trPr>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5"/>
          </w:tcPr>
          <w:p>
            <w:pPr>
              <w:jc w:val="center"/>
              <w:ind w:right="360"/>
              <w:spacing w:after="0"/>
              <w:rPr>
                <w:sz w:val="20"/>
                <w:szCs w:val="20"/>
                <w:color w:val="auto"/>
              </w:rPr>
            </w:pPr>
            <w:r>
              <w:rPr>
                <w:rFonts w:ascii="Arial" w:cs="Arial" w:eastAsia="Arial" w:hAnsi="Arial"/>
                <w:sz w:val="15"/>
                <w:szCs w:val="15"/>
                <w:b w:val="1"/>
                <w:bCs w:val="1"/>
                <w:color w:val="auto"/>
                <w:w w:val="96"/>
              </w:rPr>
              <w:t>(Dollars in millions)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4"/>
        </w:trPr>
        <w:tc>
          <w:tcPr>
            <w:tcW w:w="3940" w:type="dxa"/>
            <w:vAlign w:val="bottom"/>
            <w:gridSpan w:val="2"/>
          </w:tcPr>
          <w:p>
            <w:pPr>
              <w:ind w:left="20"/>
              <w:spacing w:after="0"/>
              <w:rPr>
                <w:sz w:val="20"/>
                <w:szCs w:val="20"/>
                <w:color w:val="auto"/>
              </w:rPr>
            </w:pPr>
            <w:r>
              <w:rPr>
                <w:rFonts w:ascii="Arial" w:cs="Arial" w:eastAsia="Arial" w:hAnsi="Arial"/>
                <w:sz w:val="15"/>
                <w:szCs w:val="15"/>
                <w:b w:val="1"/>
                <w:bCs w:val="1"/>
                <w:color w:val="auto"/>
              </w:rPr>
              <w:t>Select credit ratio:</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3940" w:type="dxa"/>
            <w:vAlign w:val="bottom"/>
            <w:gridSpan w:val="2"/>
          </w:tcPr>
          <w:p>
            <w:pPr>
              <w:ind w:left="180"/>
              <w:spacing w:after="0"/>
              <w:rPr>
                <w:sz w:val="20"/>
                <w:szCs w:val="20"/>
                <w:color w:val="auto"/>
              </w:rPr>
            </w:pPr>
            <w:r>
              <w:rPr>
                <w:rFonts w:ascii="Arial" w:cs="Arial" w:eastAsia="Arial" w:hAnsi="Arial"/>
                <w:sz w:val="15"/>
                <w:szCs w:val="15"/>
                <w:color w:val="auto"/>
              </w:rPr>
              <w:t>Write-offs, net of recoveries annualized, as a</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68"/>
        </w:trPr>
        <w:tc>
          <w:tcPr>
            <w:tcW w:w="3940" w:type="dxa"/>
            <w:vAlign w:val="bottom"/>
            <w:gridSpan w:val="2"/>
          </w:tcPr>
          <w:p>
            <w:pPr>
              <w:ind w:left="320"/>
              <w:spacing w:after="0" w:line="168" w:lineRule="exact"/>
              <w:rPr>
                <w:sz w:val="20"/>
                <w:szCs w:val="20"/>
                <w:color w:val="auto"/>
              </w:rPr>
            </w:pPr>
            <w:r>
              <w:rPr>
                <w:rFonts w:ascii="Arial" w:cs="Arial" w:eastAsia="Arial" w:hAnsi="Arial"/>
                <w:sz w:val="15"/>
                <w:szCs w:val="15"/>
                <w:color w:val="auto"/>
              </w:rPr>
              <w:t>percentage of the average guaranty book of business</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9"/>
        </w:trPr>
        <w:tc>
          <w:tcPr>
            <w:tcW w:w="3940" w:type="dxa"/>
            <w:vAlign w:val="bottom"/>
            <w:gridSpan w:val="2"/>
          </w:tcPr>
          <w:p>
            <w:pPr>
              <w:ind w:left="320"/>
              <w:spacing w:after="0"/>
              <w:rPr>
                <w:sz w:val="20"/>
                <w:szCs w:val="20"/>
                <w:color w:val="auto"/>
              </w:rPr>
            </w:pPr>
            <w:r>
              <w:rPr>
                <w:rFonts w:ascii="Arial" w:cs="Arial" w:eastAsia="Arial" w:hAnsi="Arial"/>
                <w:sz w:val="15"/>
                <w:szCs w:val="15"/>
                <w:color w:val="auto"/>
              </w:rPr>
              <w:t>(in bps)</w:t>
            </w:r>
          </w:p>
        </w:tc>
        <w:tc>
          <w:tcPr>
            <w:tcW w:w="100" w:type="dxa"/>
            <w:vAlign w:val="bottom"/>
          </w:tcPr>
          <w:p>
            <w:pPr>
              <w:spacing w:after="0"/>
              <w:rPr>
                <w:sz w:val="18"/>
                <w:szCs w:val="18"/>
                <w:color w:val="auto"/>
              </w:rPr>
            </w:pPr>
          </w:p>
        </w:tc>
        <w:tc>
          <w:tcPr>
            <w:tcW w:w="1020" w:type="dxa"/>
            <w:vAlign w:val="bottom"/>
          </w:tcPr>
          <w:p>
            <w:pPr>
              <w:jc w:val="right"/>
              <w:ind w:right="48"/>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10.9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0.7</w:t>
            </w:r>
          </w:p>
        </w:tc>
      </w:tr>
      <w:tr>
        <w:trPr>
          <w:trHeight w:val="389"/>
        </w:trPr>
        <w:tc>
          <w:tcPr>
            <w:tcW w:w="3940" w:type="dxa"/>
            <w:vAlign w:val="bottom"/>
            <w:gridSpan w:val="2"/>
          </w:tcPr>
          <w:p>
            <w:pPr>
              <w:ind w:left="20"/>
              <w:spacing w:after="0"/>
              <w:rPr>
                <w:sz w:val="20"/>
                <w:szCs w:val="20"/>
                <w:color w:val="auto"/>
              </w:rPr>
            </w:pPr>
            <w:r>
              <w:rPr>
                <w:rFonts w:ascii="Arial" w:cs="Arial" w:eastAsia="Arial" w:hAnsi="Arial"/>
                <w:sz w:val="15"/>
                <w:szCs w:val="15"/>
                <w:b w:val="1"/>
                <w:bCs w:val="1"/>
                <w:color w:val="auto"/>
              </w:rPr>
              <w:t>Select financial information used in calculating credit</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4"/>
        </w:trPr>
        <w:tc>
          <w:tcPr>
            <w:tcW w:w="3940" w:type="dxa"/>
            <w:vAlign w:val="bottom"/>
            <w:gridSpan w:val="2"/>
          </w:tcPr>
          <w:p>
            <w:pPr>
              <w:ind w:left="180"/>
              <w:spacing w:after="0"/>
              <w:rPr>
                <w:sz w:val="20"/>
                <w:szCs w:val="20"/>
                <w:color w:val="auto"/>
              </w:rPr>
            </w:pPr>
            <w:r>
              <w:rPr>
                <w:rFonts w:ascii="Arial" w:cs="Arial" w:eastAsia="Arial" w:hAnsi="Arial"/>
                <w:sz w:val="15"/>
                <w:szCs w:val="15"/>
                <w:b w:val="1"/>
                <w:bCs w:val="1"/>
                <w:color w:val="auto"/>
              </w:rPr>
              <w:t>ratio:</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9"/>
        </w:trPr>
        <w:tc>
          <w:tcPr>
            <w:tcW w:w="3940" w:type="dxa"/>
            <w:vAlign w:val="bottom"/>
            <w:gridSpan w:val="2"/>
          </w:tcPr>
          <w:p>
            <w:pPr>
              <w:ind w:left="280"/>
              <w:spacing w:after="0"/>
              <w:rPr>
                <w:sz w:val="20"/>
                <w:szCs w:val="20"/>
                <w:color w:val="auto"/>
              </w:rPr>
            </w:pPr>
            <w:r>
              <w:rPr>
                <w:rFonts w:ascii="Arial" w:cs="Arial" w:eastAsia="Arial" w:hAnsi="Arial"/>
                <w:sz w:val="15"/>
                <w:szCs w:val="15"/>
                <w:color w:val="auto"/>
              </w:rPr>
              <w:t>Write-offs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99</w:t>
            </w:r>
          </w:p>
        </w:tc>
        <w:tc>
          <w:tcPr>
            <w:tcW w:w="24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254</w:t>
            </w:r>
          </w:p>
        </w:tc>
        <w:tc>
          <w:tcPr>
            <w:tcW w:w="380" w:type="dxa"/>
            <w:vAlign w:val="bottom"/>
            <w:gridSpan w:val="3"/>
          </w:tcPr>
          <w:p>
            <w:pPr>
              <w:jc w:val="right"/>
              <w:ind w:right="87"/>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353</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278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360" w:type="dxa"/>
            <w:vAlign w:val="bottom"/>
            <w:gridSpan w:val="2"/>
          </w:tcPr>
          <w:p>
            <w:pPr>
              <w:jc w:val="right"/>
              <w:ind w:right="67"/>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278</w:t>
            </w:r>
          </w:p>
        </w:tc>
      </w:tr>
      <w:tr>
        <w:trPr>
          <w:trHeight w:val="230"/>
        </w:trPr>
        <w:tc>
          <w:tcPr>
            <w:tcW w:w="3840" w:type="dxa"/>
            <w:vAlign w:val="bottom"/>
            <w:tcBorders>
              <w:bottom w:val="single" w:sz="8" w:color="2C6937"/>
            </w:tcBorders>
          </w:tcPr>
          <w:p>
            <w:pPr>
              <w:ind w:left="280"/>
              <w:spacing w:after="0"/>
              <w:rPr>
                <w:sz w:val="20"/>
                <w:szCs w:val="20"/>
                <w:color w:val="auto"/>
              </w:rPr>
            </w:pPr>
            <w:r>
              <w:rPr>
                <w:rFonts w:ascii="Arial" w:cs="Arial" w:eastAsia="Arial" w:hAnsi="Arial"/>
                <w:sz w:val="15"/>
                <w:szCs w:val="15"/>
                <w:color w:val="auto"/>
              </w:rPr>
              <w:t>Recoveries</w:t>
            </w:r>
          </w:p>
        </w:tc>
        <w:tc>
          <w:tcPr>
            <w:tcW w:w="100" w:type="dxa"/>
            <w:vAlign w:val="bottom"/>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(107)</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(10)</w:t>
            </w:r>
          </w:p>
        </w:tc>
        <w:tc>
          <w:tcPr>
            <w:tcW w:w="20" w:type="dxa"/>
            <w:vAlign w:val="bottom"/>
            <w:tcBorders>
              <w:bottom w:val="single" w:sz="8" w:color="2C6937"/>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(117)</w:t>
            </w:r>
          </w:p>
        </w:tc>
        <w:tc>
          <w:tcPr>
            <w:tcW w:w="100" w:type="dxa"/>
            <w:vAlign w:val="bottom"/>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(124)</w:t>
            </w:r>
          </w:p>
        </w:tc>
        <w:tc>
          <w:tcPr>
            <w:tcW w:w="12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(17)</w:t>
            </w:r>
          </w:p>
        </w:tc>
        <w:tc>
          <w:tcPr>
            <w:tcW w:w="12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(141)</w:t>
            </w:r>
          </w:p>
        </w:tc>
      </w:tr>
      <w:tr>
        <w:trPr>
          <w:trHeight w:val="225"/>
        </w:trPr>
        <w:tc>
          <w:tcPr>
            <w:tcW w:w="384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Write-offs, net of recoveries</w:t>
            </w:r>
          </w:p>
        </w:tc>
        <w:tc>
          <w:tcPr>
            <w:tcW w:w="100" w:type="dxa"/>
            <w:vAlign w:val="bottom"/>
          </w:tcPr>
          <w:p>
            <w:pPr>
              <w:spacing w:after="0"/>
              <w:rPr>
                <w:sz w:val="19"/>
                <w:szCs w:val="19"/>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w:t>
            </w:r>
          </w:p>
        </w:tc>
        <w:tc>
          <w:tcPr>
            <w:tcW w:w="100" w:type="dxa"/>
            <w:vAlign w:val="bottom"/>
          </w:tcPr>
          <w:p>
            <w:pPr>
              <w:spacing w:after="0"/>
              <w:rPr>
                <w:sz w:val="19"/>
                <w:szCs w:val="19"/>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244</w:t>
            </w:r>
          </w:p>
        </w:tc>
        <w:tc>
          <w:tcPr>
            <w:tcW w:w="20" w:type="dxa"/>
            <w:vAlign w:val="bottom"/>
            <w:tcBorders>
              <w:bottom w:val="single" w:sz="8" w:color="2C6937"/>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2C6937"/>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236</w:t>
            </w:r>
          </w:p>
        </w:tc>
        <w:tc>
          <w:tcPr>
            <w:tcW w:w="100" w:type="dxa"/>
            <w:vAlign w:val="bottom"/>
          </w:tcPr>
          <w:p>
            <w:pPr>
              <w:spacing w:after="0"/>
              <w:rPr>
                <w:sz w:val="19"/>
                <w:szCs w:val="19"/>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154</w:t>
            </w:r>
          </w:p>
        </w:tc>
        <w:tc>
          <w:tcPr>
            <w:tcW w:w="120" w:type="dxa"/>
            <w:vAlign w:val="bottom"/>
          </w:tcPr>
          <w:p>
            <w:pPr>
              <w:spacing w:after="0"/>
              <w:rPr>
                <w:sz w:val="19"/>
                <w:szCs w:val="19"/>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(17)</w:t>
            </w:r>
          </w:p>
        </w:tc>
        <w:tc>
          <w:tcPr>
            <w:tcW w:w="120" w:type="dxa"/>
            <w:vAlign w:val="bottom"/>
          </w:tcPr>
          <w:p>
            <w:pPr>
              <w:spacing w:after="0"/>
              <w:rPr>
                <w:sz w:val="19"/>
                <w:szCs w:val="19"/>
                <w:color w:val="auto"/>
              </w:rPr>
            </w:pPr>
          </w:p>
        </w:tc>
        <w:tc>
          <w:tcPr>
            <w:tcW w:w="240" w:type="dxa"/>
            <w:vAlign w:val="bottom"/>
            <w:tcBorders>
              <w:bottom w:val="single" w:sz="8" w:color="2C6937"/>
            </w:tcBorders>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137</w:t>
            </w:r>
          </w:p>
        </w:tc>
      </w:tr>
      <w:tr>
        <w:trPr>
          <w:trHeight w:val="20"/>
        </w:trPr>
        <w:tc>
          <w:tcPr>
            <w:tcW w:w="38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0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8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02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880" w:type="dxa"/>
            <w:vAlign w:val="bottom"/>
            <w:tcBorders>
              <w:bottom w:val="single" w:sz="8" w:color="2C6937"/>
            </w:tcBorders>
          </w:tcPr>
          <w:p>
            <w:pPr>
              <w:spacing w:after="0" w:line="20" w:lineRule="exact"/>
              <w:rPr>
                <w:sz w:val="1"/>
                <w:szCs w:val="1"/>
                <w:color w:val="auto"/>
              </w:rPr>
            </w:pPr>
          </w:p>
        </w:tc>
      </w:tr>
      <w:tr>
        <w:trPr>
          <w:trHeight w:val="252"/>
        </w:trPr>
        <w:tc>
          <w:tcPr>
            <w:tcW w:w="3940" w:type="dxa"/>
            <w:vAlign w:val="bottom"/>
            <w:gridSpan w:val="2"/>
          </w:tcPr>
          <w:p>
            <w:pPr>
              <w:ind w:left="180"/>
              <w:spacing w:after="0"/>
              <w:rPr>
                <w:sz w:val="20"/>
                <w:szCs w:val="20"/>
                <w:color w:val="auto"/>
              </w:rPr>
            </w:pPr>
            <w:r>
              <w:rPr>
                <w:rFonts w:ascii="Arial" w:cs="Arial" w:eastAsia="Arial" w:hAnsi="Arial"/>
                <w:sz w:val="15"/>
                <w:szCs w:val="15"/>
                <w:color w:val="auto"/>
              </w:rPr>
              <w:t>Average guaranty book of business</w:t>
            </w:r>
            <w:r>
              <w:rPr>
                <w:rFonts w:ascii="Arial" w:cs="Arial" w:eastAsia="Arial" w:hAnsi="Arial"/>
                <w:sz w:val="18"/>
                <w:szCs w:val="18"/>
                <w:color w:val="auto"/>
                <w:vertAlign w:val="superscript"/>
              </w:rPr>
              <w:t>(1)</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3,632,010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446,853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4,078,863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3,554,766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419,544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3,974,310</w:t>
            </w:r>
          </w:p>
        </w:tc>
      </w:tr>
    </w:tbl>
    <w:p>
      <w:pPr>
        <w:spacing w:after="0" w:line="83" w:lineRule="exact"/>
        <w:rPr>
          <w:sz w:val="20"/>
          <w:szCs w:val="20"/>
          <w:color w:val="auto"/>
        </w:rPr>
      </w:pPr>
    </w:p>
    <w:p>
      <w:pPr>
        <w:ind w:left="200" w:hanging="197"/>
        <w:spacing w:after="0"/>
        <w:tabs>
          <w:tab w:leader="none" w:pos="2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Represents credit ratio of less than 0.05 bps.</w:t>
      </w:r>
    </w:p>
    <w:p>
      <w:pPr>
        <w:spacing w:after="0" w:line="13" w:lineRule="exact"/>
        <w:rPr>
          <w:sz w:val="20"/>
          <w:szCs w:val="20"/>
          <w:color w:val="auto"/>
        </w:rPr>
      </w:pPr>
    </w:p>
    <w:p>
      <w:pPr>
        <w:ind w:left="240" w:hanging="237"/>
        <w:spacing w:after="0"/>
        <w:tabs>
          <w:tab w:leader="none" w:pos="24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Average guaranty book of business is based on quarter-end balances.</w:t>
      </w:r>
    </w:p>
    <w:p>
      <w:pPr>
        <w:spacing w:after="0" w:line="121"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44450</wp:posOffset>
            </wp:positionV>
            <wp:extent cx="7138670" cy="165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Liquidity Management</w:t>
      </w:r>
    </w:p>
    <w:p>
      <w:pPr>
        <w:spacing w:after="0" w:line="77"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This section supplements and updates information regarding liquidity management in our 2022 Form 10-K. See “MD&amp;A—Liquidity and Capital Management —Liquidity Management” in our 2022 Form 10-K for additional information, including discussions of our primary sources and uses of funds, our liquidity and funding risk management practices and contingency planning, our liquidity requirements, factors that influence our debt funding activity, factors that may impact our access to or the cost of our debt funding and factors that could adversely affect our liquidity and funding. As of June 30, 2023, we were in compliance with all four components of the liquidity requirements outlined in our 2022 Form 10-K. Also see “Risk Factors—Liquidity and Funding Risk” in our 2022 Form 10-K for a discussion of liquidity and funding risks.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46</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49" w:name="page50"/>
    <w:bookmarkEnd w:id="49"/>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Debt Funding</w:t>
      </w:r>
    </w:p>
    <w:p>
      <w:pPr>
        <w:spacing w:after="0" w:line="71"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We are currently subject to a $270 billion debt limit under our senior preferred stock purchase agreement with Treasury. The unpaid principal balance of our aggregate indebtedness was $142.8 billion as of June 30, 2023. Pursuant to the terms of the senior preferred stock purchase agreement, we are prohibited from issuing debt without the prior consent of Treasury if it would result in our aggregate indebtedness exceeding our outstanding debt limit. The calculation of our indebtedness for purposes of complying with our debt limit reflects the unpaid principal balance and excludes debt basis adjustments and debt of consolidated trusts.</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i w:val="1"/>
          <w:iCs w:val="1"/>
          <w:color w:val="05314D"/>
        </w:rPr>
        <w:t>Outstanding Debt of Fannie Mae</w:t>
      </w:r>
    </w:p>
    <w:p>
      <w:pPr>
        <w:spacing w:after="0" w:line="90" w:lineRule="exact"/>
        <w:rPr>
          <w:sz w:val="20"/>
          <w:szCs w:val="20"/>
          <w:color w:val="auto"/>
        </w:rPr>
      </w:pPr>
    </w:p>
    <w:p>
      <w:pPr>
        <w:ind w:right="140"/>
        <w:spacing w:after="0" w:line="267" w:lineRule="auto"/>
        <w:rPr>
          <w:sz w:val="20"/>
          <w:szCs w:val="20"/>
          <w:color w:val="auto"/>
        </w:rPr>
      </w:pPr>
      <w:r>
        <w:rPr>
          <w:rFonts w:ascii="Arial" w:cs="Arial" w:eastAsia="Arial" w:hAnsi="Arial"/>
          <w:sz w:val="16"/>
          <w:szCs w:val="16"/>
          <w:color w:val="auto"/>
        </w:rPr>
        <w:t>Total outstanding debt of Fannie Mae includes short-term and long-term debt and excludes debt of consolidated trusts. Short-term debt of Fannie Mae consists of borrowings with an original contractual maturity of one year or less and, therefore, does not include the current portion of long-term debt. Long-term debt of Fannie Mae consists of borrowings with an original contractual maturity of greater than one year.</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chart and table display information on our outstanding short-term and long-term debt based on original contractual maturity.</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5314D"/>
        </w:rPr>
        <w:t>Debt of Fannie Mae</w:t>
      </w:r>
      <w:r>
        <w:rPr>
          <w:rFonts w:ascii="Arial" w:cs="Arial" w:eastAsia="Arial" w:hAnsi="Arial"/>
          <w:sz w:val="24"/>
          <w:szCs w:val="24"/>
          <w:b w:val="1"/>
          <w:bCs w:val="1"/>
          <w:color w:val="05314D"/>
          <w:vertAlign w:val="superscript"/>
        </w:rPr>
        <w:t>(1</w:t>
      </w:r>
      <w:r>
        <w:rPr>
          <w:rFonts w:ascii="Arial" w:cs="Arial" w:eastAsia="Arial" w:hAnsi="Arial"/>
          <w:sz w:val="24"/>
          <w:szCs w:val="24"/>
          <w:b w:val="1"/>
          <w:bCs w:val="1"/>
          <w:color w:val="000000"/>
          <w:vertAlign w:val="superscript"/>
        </w:rPr>
        <w:t>)</w:t>
      </w:r>
    </w:p>
    <w:p>
      <w:pPr>
        <w:jc w:val="center"/>
        <w:spacing w:after="0"/>
        <w:rPr>
          <w:sz w:val="20"/>
          <w:szCs w:val="20"/>
          <w:color w:val="auto"/>
        </w:rPr>
      </w:pPr>
      <w:r>
        <w:rPr>
          <w:rFonts w:ascii="Arial" w:cs="Arial" w:eastAsia="Arial" w:hAnsi="Arial"/>
          <w:sz w:val="19"/>
          <w:szCs w:val="19"/>
          <w:b w:val="1"/>
          <w:bCs w:val="1"/>
          <w:color w:val="05314D"/>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1131570</wp:posOffset>
            </wp:positionH>
            <wp:positionV relativeFrom="paragraph">
              <wp:posOffset>8890</wp:posOffset>
            </wp:positionV>
            <wp:extent cx="4886960" cy="28486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886960" cy="284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40" w:right="300" w:hanging="237"/>
        <w:spacing w:after="0" w:line="308" w:lineRule="auto"/>
        <w:tabs>
          <w:tab w:leader="none" w:pos="240" w:val="left"/>
        </w:tabs>
        <w:numPr>
          <w:ilvl w:val="0"/>
          <w:numId w:val="54"/>
        </w:numPr>
        <w:rPr>
          <w:rFonts w:ascii="Arial" w:cs="Arial" w:eastAsia="Arial" w:hAnsi="Arial"/>
          <w:sz w:val="8"/>
          <w:szCs w:val="8"/>
          <w:color w:val="auto"/>
        </w:rPr>
      </w:pPr>
      <w:r>
        <w:rPr>
          <w:rFonts w:ascii="Arial" w:cs="Arial" w:eastAsia="Arial" w:hAnsi="Arial"/>
          <w:sz w:val="13"/>
          <w:szCs w:val="13"/>
          <w:color w:val="auto"/>
        </w:rPr>
        <w:t>Outstanding debt balance consists of the unpaid principal balance, premiums and discounts, fair value adjustments, hedge-related basis adjustments and other cost basis adjustments. Reported amounts include net discount unamortized cost basis adjustments and fair value adjustments of $5.1 billion as of June 30, 2023 and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47</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50" w:name="page51"/>
    <w:bookmarkEnd w:id="50"/>
    <w:p>
      <w:pPr>
        <w:jc w:val="right"/>
        <w:ind w:right="12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Selected Debt Information</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060" w:type="dxa"/>
            <w:vAlign w:val="bottom"/>
            <w:tcBorders>
              <w:top w:val="single" w:sz="8" w:color="2C6937"/>
            </w:tcBorders>
          </w:tcPr>
          <w:p>
            <w:pPr>
              <w:spacing w:after="0"/>
              <w:rPr>
                <w:sz w:val="17"/>
                <w:szCs w:val="17"/>
                <w:color w:val="auto"/>
              </w:rPr>
            </w:pPr>
          </w:p>
        </w:tc>
        <w:tc>
          <w:tcPr>
            <w:tcW w:w="220" w:type="dxa"/>
            <w:vAlign w:val="bottom"/>
            <w:tcBorders>
              <w:top w:val="single" w:sz="8" w:color="2C6937"/>
            </w:tcBorders>
          </w:tcPr>
          <w:p>
            <w:pPr>
              <w:spacing w:after="0"/>
              <w:rPr>
                <w:sz w:val="17"/>
                <w:szCs w:val="17"/>
                <w:color w:val="auto"/>
              </w:rPr>
            </w:pPr>
          </w:p>
        </w:tc>
        <w:tc>
          <w:tcPr>
            <w:tcW w:w="1400" w:type="dxa"/>
            <w:vAlign w:val="bottom"/>
            <w:tcBorders>
              <w:top w:val="single" w:sz="8" w:color="2C6937"/>
              <w:bottom w:val="single" w:sz="8" w:color="2C6937"/>
            </w:tcBorders>
          </w:tcPr>
          <w:p>
            <w:pPr>
              <w:spacing w:after="0"/>
              <w:rPr>
                <w:sz w:val="17"/>
                <w:szCs w:val="17"/>
                <w:color w:val="auto"/>
              </w:rPr>
            </w:pPr>
          </w:p>
        </w:tc>
        <w:tc>
          <w:tcPr>
            <w:tcW w:w="320" w:type="dxa"/>
            <w:vAlign w:val="bottom"/>
            <w:tcBorders>
              <w:top w:val="single" w:sz="8" w:color="2C6937"/>
              <w:bottom w:val="single" w:sz="8" w:color="2C6937"/>
            </w:tcBorders>
          </w:tcPr>
          <w:p>
            <w:pPr>
              <w:spacing w:after="0"/>
              <w:rPr>
                <w:sz w:val="17"/>
                <w:szCs w:val="17"/>
                <w:color w:val="auto"/>
              </w:rPr>
            </w:pPr>
          </w:p>
        </w:tc>
        <w:tc>
          <w:tcPr>
            <w:tcW w:w="480" w:type="dxa"/>
            <w:vAlign w:val="bottom"/>
            <w:tcBorders>
              <w:top w:val="single" w:sz="8" w:color="2C6937"/>
              <w:bottom w:val="single" w:sz="8" w:color="2C6937"/>
            </w:tcBorders>
          </w:tcPr>
          <w:p>
            <w:pPr>
              <w:jc w:val="right"/>
              <w:ind w:right="47"/>
              <w:spacing w:after="0"/>
              <w:rPr>
                <w:sz w:val="20"/>
                <w:szCs w:val="20"/>
                <w:color w:val="auto"/>
              </w:rPr>
            </w:pPr>
            <w:r>
              <w:rPr>
                <w:rFonts w:ascii="Arial" w:cs="Arial" w:eastAsia="Arial" w:hAnsi="Arial"/>
                <w:sz w:val="14"/>
                <w:szCs w:val="14"/>
                <w:b w:val="1"/>
                <w:bCs w:val="1"/>
                <w:color w:val="auto"/>
                <w:w w:val="97"/>
              </w:rPr>
              <w:t>As of</w:t>
            </w:r>
          </w:p>
        </w:tc>
        <w:tc>
          <w:tcPr>
            <w:tcW w:w="1620" w:type="dxa"/>
            <w:vAlign w:val="bottom"/>
            <w:tcBorders>
              <w:top w:val="single" w:sz="8" w:color="2C6937"/>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7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June 30, 2023</w:t>
            </w:r>
          </w:p>
        </w:tc>
        <w:tc>
          <w:tcPr>
            <w:tcW w:w="320" w:type="dxa"/>
            <w:vAlign w:val="bottom"/>
            <w:tcBorders>
              <w:bottom w:val="single" w:sz="8" w:color="2C6937"/>
            </w:tcBorders>
          </w:tcPr>
          <w:p>
            <w:pPr>
              <w:spacing w:after="0"/>
              <w:rPr>
                <w:sz w:val="16"/>
                <w:szCs w:val="16"/>
                <w:color w:val="auto"/>
              </w:rPr>
            </w:pPr>
          </w:p>
        </w:tc>
        <w:tc>
          <w:tcPr>
            <w:tcW w:w="480" w:type="dxa"/>
            <w:vAlign w:val="bottom"/>
            <w:tcBorders>
              <w:bottom w:val="single" w:sz="8" w:color="2C6937"/>
            </w:tcBorders>
          </w:tcPr>
          <w:p>
            <w:pPr>
              <w:spacing w:after="0"/>
              <w:rPr>
                <w:sz w:val="16"/>
                <w:szCs w:val="16"/>
                <w:color w:val="auto"/>
              </w:rPr>
            </w:pPr>
          </w:p>
        </w:tc>
        <w:tc>
          <w:tcPr>
            <w:tcW w:w="1620" w:type="dxa"/>
            <w:vAlign w:val="bottom"/>
            <w:tcBorders>
              <w:bottom w:val="single" w:sz="8" w:color="2C6937"/>
            </w:tcBorders>
          </w:tcPr>
          <w:p>
            <w:pPr>
              <w:jc w:val="right"/>
              <w:ind w:right="224"/>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85"/>
        </w:trPr>
        <w:tc>
          <w:tcPr>
            <w:tcW w:w="706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Selected Weighted-Average Interest Rates</w:t>
            </w:r>
            <w:r>
              <w:rPr>
                <w:rFonts w:ascii="Arial" w:cs="Arial" w:eastAsia="Arial" w:hAnsi="Arial"/>
                <w:sz w:val="20"/>
                <w:szCs w:val="20"/>
                <w:b w:val="1"/>
                <w:bCs w:val="1"/>
                <w:color w:val="auto"/>
                <w:vertAlign w:val="superscript"/>
              </w:rPr>
              <w:t>(1)</w:t>
            </w:r>
          </w:p>
        </w:tc>
        <w:tc>
          <w:tcPr>
            <w:tcW w:w="220" w:type="dxa"/>
            <w:vAlign w:val="bottom"/>
            <w:vMerge w:val="restart"/>
          </w:tcPr>
          <w:p>
            <w:pPr>
              <w:spacing w:after="0"/>
              <w:rPr>
                <w:sz w:val="16"/>
                <w:szCs w:val="16"/>
                <w:color w:val="auto"/>
              </w:rPr>
            </w:pPr>
          </w:p>
        </w:tc>
        <w:tc>
          <w:tcPr>
            <w:tcW w:w="3820" w:type="dxa"/>
            <w:vAlign w:val="bottom"/>
            <w:gridSpan w:val="4"/>
          </w:tcPr>
          <w:p>
            <w:pPr>
              <w:jc w:val="right"/>
              <w:ind w:right="1224"/>
              <w:spacing w:after="0"/>
              <w:rPr>
                <w:sz w:val="20"/>
                <w:szCs w:val="20"/>
                <w:color w:val="auto"/>
              </w:rPr>
            </w:pPr>
            <w:r>
              <w:rPr>
                <w:rFonts w:ascii="Arial" w:cs="Arial" w:eastAsia="Arial" w:hAnsi="Arial"/>
                <w:sz w:val="14"/>
                <w:szCs w:val="14"/>
                <w:b w:val="1"/>
                <w:bCs w:val="1"/>
                <w:color w:val="auto"/>
              </w:rPr>
              <w:t>(Dollars in billions)</w:t>
            </w:r>
          </w:p>
        </w:tc>
        <w:tc>
          <w:tcPr>
            <w:tcW w:w="0" w:type="dxa"/>
            <w:vAlign w:val="bottom"/>
          </w:tcPr>
          <w:p>
            <w:pPr>
              <w:spacing w:after="0"/>
              <w:rPr>
                <w:sz w:val="1"/>
                <w:szCs w:val="1"/>
                <w:color w:val="auto"/>
              </w:rPr>
            </w:pPr>
          </w:p>
        </w:tc>
      </w:tr>
      <w:tr>
        <w:trPr>
          <w:trHeight w:val="213"/>
        </w:trPr>
        <w:tc>
          <w:tcPr>
            <w:tcW w:w="7060" w:type="dxa"/>
            <w:vAlign w:val="bottom"/>
            <w:tcBorders>
              <w:bottom w:val="single" w:sz="8" w:color="2C6937"/>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280" w:type="dxa"/>
            <w:vAlign w:val="bottom"/>
            <w:gridSpan w:val="2"/>
          </w:tcPr>
          <w:p>
            <w:pPr>
              <w:ind w:left="180"/>
              <w:spacing w:after="0"/>
              <w:rPr>
                <w:sz w:val="20"/>
                <w:szCs w:val="20"/>
                <w:color w:val="auto"/>
              </w:rPr>
            </w:pPr>
            <w:r>
              <w:rPr>
                <w:rFonts w:ascii="Arial" w:cs="Arial" w:eastAsia="Arial" w:hAnsi="Arial"/>
                <w:sz w:val="15"/>
                <w:szCs w:val="15"/>
                <w:color w:val="auto"/>
              </w:rPr>
              <w:t>Interest rate on short-term debt</w:t>
            </w:r>
          </w:p>
        </w:tc>
        <w:tc>
          <w:tcPr>
            <w:tcW w:w="1400" w:type="dxa"/>
            <w:vAlign w:val="bottom"/>
          </w:tcPr>
          <w:p>
            <w:pPr>
              <w:spacing w:after="0"/>
              <w:rPr>
                <w:sz w:val="17"/>
                <w:szCs w:val="17"/>
                <w:color w:val="auto"/>
              </w:rPr>
            </w:pPr>
          </w:p>
        </w:tc>
        <w:tc>
          <w:tcPr>
            <w:tcW w:w="800" w:type="dxa"/>
            <w:vAlign w:val="bottom"/>
            <w:gridSpan w:val="2"/>
          </w:tcPr>
          <w:p>
            <w:pPr>
              <w:jc w:val="right"/>
              <w:ind w:right="247"/>
              <w:spacing w:after="0"/>
              <w:rPr>
                <w:sz w:val="20"/>
                <w:szCs w:val="20"/>
                <w:color w:val="auto"/>
              </w:rPr>
            </w:pPr>
            <w:r>
              <w:rPr>
                <w:rFonts w:ascii="Arial" w:cs="Arial" w:eastAsia="Arial" w:hAnsi="Arial"/>
                <w:sz w:val="15"/>
                <w:szCs w:val="15"/>
                <w:b w:val="1"/>
                <w:bCs w:val="1"/>
                <w:color w:val="auto"/>
                <w:w w:val="98"/>
              </w:rPr>
              <w:t>5.05 %</w:t>
            </w:r>
          </w:p>
        </w:tc>
        <w:tc>
          <w:tcPr>
            <w:tcW w:w="1620" w:type="dxa"/>
            <w:vAlign w:val="bottom"/>
          </w:tcPr>
          <w:p>
            <w:pPr>
              <w:jc w:val="right"/>
              <w:spacing w:after="0"/>
              <w:rPr>
                <w:sz w:val="20"/>
                <w:szCs w:val="20"/>
                <w:color w:val="auto"/>
              </w:rPr>
            </w:pPr>
            <w:r>
              <w:rPr>
                <w:rFonts w:ascii="Arial" w:cs="Arial" w:eastAsia="Arial" w:hAnsi="Arial"/>
                <w:sz w:val="15"/>
                <w:szCs w:val="15"/>
                <w:color w:val="auto"/>
              </w:rPr>
              <w:t>3.93 %</w:t>
            </w:r>
          </w:p>
        </w:tc>
        <w:tc>
          <w:tcPr>
            <w:tcW w:w="0" w:type="dxa"/>
            <w:vAlign w:val="bottom"/>
          </w:tcPr>
          <w:p>
            <w:pPr>
              <w:spacing w:after="0"/>
              <w:rPr>
                <w:sz w:val="1"/>
                <w:szCs w:val="1"/>
                <w:color w:val="auto"/>
              </w:rPr>
            </w:pPr>
          </w:p>
        </w:tc>
      </w:tr>
      <w:tr>
        <w:trPr>
          <w:trHeight w:val="206"/>
        </w:trPr>
        <w:tc>
          <w:tcPr>
            <w:tcW w:w="7280" w:type="dxa"/>
            <w:vAlign w:val="bottom"/>
            <w:gridSpan w:val="2"/>
          </w:tcPr>
          <w:p>
            <w:pPr>
              <w:ind w:left="180"/>
              <w:spacing w:after="0"/>
              <w:rPr>
                <w:sz w:val="20"/>
                <w:szCs w:val="20"/>
                <w:color w:val="auto"/>
              </w:rPr>
            </w:pPr>
            <w:r>
              <w:rPr>
                <w:rFonts w:ascii="Arial" w:cs="Arial" w:eastAsia="Arial" w:hAnsi="Arial"/>
                <w:sz w:val="15"/>
                <w:szCs w:val="15"/>
                <w:color w:val="auto"/>
              </w:rPr>
              <w:t>Interest rate on long-term debt, including portion maturing within one year</w:t>
            </w:r>
          </w:p>
        </w:tc>
        <w:tc>
          <w:tcPr>
            <w:tcW w:w="14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5"/>
                <w:szCs w:val="15"/>
                <w:b w:val="1"/>
                <w:bCs w:val="1"/>
                <w:color w:val="auto"/>
                <w:w w:val="95"/>
              </w:rPr>
              <w:t>2.46</w:t>
            </w:r>
          </w:p>
        </w:tc>
        <w:tc>
          <w:tcPr>
            <w:tcW w:w="480" w:type="dxa"/>
            <w:vAlign w:val="bottom"/>
          </w:tcPr>
          <w:p>
            <w:pPr>
              <w:spacing w:after="0"/>
              <w:rPr>
                <w:sz w:val="17"/>
                <w:szCs w:val="17"/>
                <w:color w:val="auto"/>
              </w:rPr>
            </w:pPr>
          </w:p>
        </w:tc>
        <w:tc>
          <w:tcPr>
            <w:tcW w:w="1620" w:type="dxa"/>
            <w:vAlign w:val="bottom"/>
          </w:tcPr>
          <w:p>
            <w:pPr>
              <w:jc w:val="right"/>
              <w:ind w:right="124"/>
              <w:spacing w:after="0"/>
              <w:rPr>
                <w:sz w:val="20"/>
                <w:szCs w:val="20"/>
                <w:color w:val="auto"/>
              </w:rPr>
            </w:pPr>
            <w:r>
              <w:rPr>
                <w:rFonts w:ascii="Arial" w:cs="Arial" w:eastAsia="Arial" w:hAnsi="Arial"/>
                <w:sz w:val="15"/>
                <w:szCs w:val="15"/>
                <w:color w:val="auto"/>
              </w:rPr>
              <w:t>2.23</w:t>
            </w:r>
          </w:p>
        </w:tc>
        <w:tc>
          <w:tcPr>
            <w:tcW w:w="0" w:type="dxa"/>
            <w:vAlign w:val="bottom"/>
          </w:tcPr>
          <w:p>
            <w:pPr>
              <w:spacing w:after="0"/>
              <w:rPr>
                <w:sz w:val="1"/>
                <w:szCs w:val="1"/>
                <w:color w:val="auto"/>
              </w:rPr>
            </w:pPr>
          </w:p>
        </w:tc>
      </w:tr>
      <w:tr>
        <w:trPr>
          <w:trHeight w:val="206"/>
        </w:trPr>
        <w:tc>
          <w:tcPr>
            <w:tcW w:w="7280" w:type="dxa"/>
            <w:vAlign w:val="bottom"/>
            <w:gridSpan w:val="2"/>
          </w:tcPr>
          <w:p>
            <w:pPr>
              <w:ind w:left="180"/>
              <w:spacing w:after="0"/>
              <w:rPr>
                <w:sz w:val="20"/>
                <w:szCs w:val="20"/>
                <w:color w:val="auto"/>
              </w:rPr>
            </w:pPr>
            <w:r>
              <w:rPr>
                <w:rFonts w:ascii="Arial" w:cs="Arial" w:eastAsia="Arial" w:hAnsi="Arial"/>
                <w:sz w:val="15"/>
                <w:szCs w:val="15"/>
                <w:color w:val="auto"/>
              </w:rPr>
              <w:t>Interest rate on callable debt</w:t>
            </w:r>
          </w:p>
        </w:tc>
        <w:tc>
          <w:tcPr>
            <w:tcW w:w="14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5"/>
                <w:szCs w:val="15"/>
                <w:b w:val="1"/>
                <w:bCs w:val="1"/>
                <w:color w:val="auto"/>
                <w:w w:val="95"/>
              </w:rPr>
              <w:t>2.51</w:t>
            </w:r>
          </w:p>
        </w:tc>
        <w:tc>
          <w:tcPr>
            <w:tcW w:w="480" w:type="dxa"/>
            <w:vAlign w:val="bottom"/>
          </w:tcPr>
          <w:p>
            <w:pPr>
              <w:spacing w:after="0"/>
              <w:rPr>
                <w:sz w:val="17"/>
                <w:szCs w:val="17"/>
                <w:color w:val="auto"/>
              </w:rPr>
            </w:pPr>
          </w:p>
        </w:tc>
        <w:tc>
          <w:tcPr>
            <w:tcW w:w="1620" w:type="dxa"/>
            <w:vAlign w:val="bottom"/>
          </w:tcPr>
          <w:p>
            <w:pPr>
              <w:jc w:val="right"/>
              <w:ind w:right="124"/>
              <w:spacing w:after="0"/>
              <w:rPr>
                <w:sz w:val="20"/>
                <w:szCs w:val="20"/>
                <w:color w:val="auto"/>
              </w:rPr>
            </w:pPr>
            <w:r>
              <w:rPr>
                <w:rFonts w:ascii="Arial" w:cs="Arial" w:eastAsia="Arial" w:hAnsi="Arial"/>
                <w:sz w:val="15"/>
                <w:szCs w:val="15"/>
                <w:color w:val="auto"/>
              </w:rPr>
              <w:t>1.79</w:t>
            </w:r>
          </w:p>
        </w:tc>
        <w:tc>
          <w:tcPr>
            <w:tcW w:w="0" w:type="dxa"/>
            <w:vAlign w:val="bottom"/>
          </w:tcPr>
          <w:p>
            <w:pPr>
              <w:spacing w:after="0"/>
              <w:rPr>
                <w:sz w:val="1"/>
                <w:szCs w:val="1"/>
                <w:color w:val="auto"/>
              </w:rPr>
            </w:pPr>
          </w:p>
        </w:tc>
      </w:tr>
      <w:tr>
        <w:trPr>
          <w:trHeight w:val="210"/>
        </w:trPr>
        <w:tc>
          <w:tcPr>
            <w:tcW w:w="706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Selected Maturity Data</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280" w:type="dxa"/>
            <w:vAlign w:val="bottom"/>
            <w:gridSpan w:val="2"/>
          </w:tcPr>
          <w:p>
            <w:pPr>
              <w:ind w:left="180"/>
              <w:spacing w:after="0"/>
              <w:rPr>
                <w:sz w:val="20"/>
                <w:szCs w:val="20"/>
                <w:color w:val="auto"/>
              </w:rPr>
            </w:pPr>
            <w:r>
              <w:rPr>
                <w:rFonts w:ascii="Arial" w:cs="Arial" w:eastAsia="Arial" w:hAnsi="Arial"/>
                <w:sz w:val="15"/>
                <w:szCs w:val="15"/>
                <w:color w:val="auto"/>
              </w:rPr>
              <w:t>Weighted-average maturity of debt maturing within one year (in days)</w:t>
            </w:r>
          </w:p>
        </w:tc>
        <w:tc>
          <w:tcPr>
            <w:tcW w:w="14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5"/>
                <w:szCs w:val="15"/>
                <w:b w:val="1"/>
                <w:bCs w:val="1"/>
                <w:color w:val="auto"/>
              </w:rPr>
              <w:t>119</w:t>
            </w:r>
          </w:p>
        </w:tc>
        <w:tc>
          <w:tcPr>
            <w:tcW w:w="480" w:type="dxa"/>
            <w:vAlign w:val="bottom"/>
          </w:tcPr>
          <w:p>
            <w:pPr>
              <w:spacing w:after="0"/>
              <w:rPr>
                <w:sz w:val="17"/>
                <w:szCs w:val="17"/>
                <w:color w:val="auto"/>
              </w:rPr>
            </w:pPr>
          </w:p>
        </w:tc>
        <w:tc>
          <w:tcPr>
            <w:tcW w:w="1620" w:type="dxa"/>
            <w:vAlign w:val="bottom"/>
          </w:tcPr>
          <w:p>
            <w:pPr>
              <w:jc w:val="right"/>
              <w:ind w:right="124"/>
              <w:spacing w:after="0"/>
              <w:rPr>
                <w:sz w:val="20"/>
                <w:szCs w:val="20"/>
                <w:color w:val="auto"/>
              </w:rPr>
            </w:pPr>
            <w:r>
              <w:rPr>
                <w:rFonts w:ascii="Arial" w:cs="Arial" w:eastAsia="Arial" w:hAnsi="Arial"/>
                <w:sz w:val="15"/>
                <w:szCs w:val="15"/>
                <w:color w:val="auto"/>
              </w:rPr>
              <w:t>156</w:t>
            </w:r>
          </w:p>
        </w:tc>
        <w:tc>
          <w:tcPr>
            <w:tcW w:w="0" w:type="dxa"/>
            <w:vAlign w:val="bottom"/>
          </w:tcPr>
          <w:p>
            <w:pPr>
              <w:spacing w:after="0"/>
              <w:rPr>
                <w:sz w:val="1"/>
                <w:szCs w:val="1"/>
                <w:color w:val="auto"/>
              </w:rPr>
            </w:pPr>
          </w:p>
        </w:tc>
      </w:tr>
      <w:tr>
        <w:trPr>
          <w:trHeight w:val="206"/>
        </w:trPr>
        <w:tc>
          <w:tcPr>
            <w:tcW w:w="7280" w:type="dxa"/>
            <w:vAlign w:val="bottom"/>
            <w:gridSpan w:val="2"/>
          </w:tcPr>
          <w:p>
            <w:pPr>
              <w:ind w:left="180"/>
              <w:spacing w:after="0"/>
              <w:rPr>
                <w:sz w:val="20"/>
                <w:szCs w:val="20"/>
                <w:color w:val="auto"/>
              </w:rPr>
            </w:pPr>
            <w:r>
              <w:rPr>
                <w:rFonts w:ascii="Arial" w:cs="Arial" w:eastAsia="Arial" w:hAnsi="Arial"/>
                <w:sz w:val="15"/>
                <w:szCs w:val="15"/>
                <w:color w:val="auto"/>
              </w:rPr>
              <w:t>Weighted-average maturity of debt maturing in more than one year (in months)</w:t>
            </w:r>
          </w:p>
        </w:tc>
        <w:tc>
          <w:tcPr>
            <w:tcW w:w="14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5"/>
                <w:szCs w:val="15"/>
                <w:b w:val="1"/>
                <w:bCs w:val="1"/>
                <w:color w:val="auto"/>
              </w:rPr>
              <w:t>47</w:t>
            </w:r>
          </w:p>
        </w:tc>
        <w:tc>
          <w:tcPr>
            <w:tcW w:w="480" w:type="dxa"/>
            <w:vAlign w:val="bottom"/>
          </w:tcPr>
          <w:p>
            <w:pPr>
              <w:spacing w:after="0"/>
              <w:rPr>
                <w:sz w:val="17"/>
                <w:szCs w:val="17"/>
                <w:color w:val="auto"/>
              </w:rPr>
            </w:pPr>
          </w:p>
        </w:tc>
        <w:tc>
          <w:tcPr>
            <w:tcW w:w="1620" w:type="dxa"/>
            <w:vAlign w:val="bottom"/>
          </w:tcPr>
          <w:p>
            <w:pPr>
              <w:jc w:val="right"/>
              <w:ind w:right="124"/>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210"/>
        </w:trPr>
        <w:tc>
          <w:tcPr>
            <w:tcW w:w="7280" w:type="dxa"/>
            <w:vAlign w:val="bottom"/>
            <w:gridSpan w:val="2"/>
          </w:tcPr>
          <w:p>
            <w:pPr>
              <w:ind w:left="20"/>
              <w:spacing w:after="0"/>
              <w:rPr>
                <w:sz w:val="20"/>
                <w:szCs w:val="20"/>
                <w:color w:val="auto"/>
              </w:rPr>
            </w:pPr>
            <w:r>
              <w:rPr>
                <w:rFonts w:ascii="Arial" w:cs="Arial" w:eastAsia="Arial" w:hAnsi="Arial"/>
                <w:sz w:val="15"/>
                <w:szCs w:val="15"/>
                <w:b w:val="1"/>
                <w:bCs w:val="1"/>
                <w:color w:val="auto"/>
              </w:rPr>
              <w:t>Other Data</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7060" w:type="dxa"/>
            <w:vAlign w:val="bottom"/>
            <w:tcBorders>
              <w:top w:val="single" w:sz="8" w:color="2C6937"/>
            </w:tcBorders>
          </w:tcPr>
          <w:p>
            <w:pPr>
              <w:ind w:left="180"/>
              <w:spacing w:after="0" w:line="192" w:lineRule="exact"/>
              <w:rPr>
                <w:sz w:val="20"/>
                <w:szCs w:val="20"/>
                <w:color w:val="auto"/>
              </w:rPr>
            </w:pPr>
            <w:r>
              <w:rPr>
                <w:rFonts w:ascii="Arial" w:cs="Arial" w:eastAsia="Arial" w:hAnsi="Arial"/>
                <w:sz w:val="15"/>
                <w:szCs w:val="15"/>
                <w:color w:val="auto"/>
              </w:rPr>
              <w:t>Outstanding callable debt</w:t>
            </w:r>
            <w:r>
              <w:rPr>
                <w:rFonts w:ascii="Arial" w:cs="Arial" w:eastAsia="Arial" w:hAnsi="Arial"/>
                <w:sz w:val="20"/>
                <w:szCs w:val="20"/>
                <w:color w:val="auto"/>
                <w:vertAlign w:val="superscript"/>
              </w:rPr>
              <w:t>(2)</w:t>
            </w:r>
          </w:p>
        </w:tc>
        <w:tc>
          <w:tcPr>
            <w:tcW w:w="220" w:type="dxa"/>
            <w:vAlign w:val="bottom"/>
          </w:tcPr>
          <w:p>
            <w:pPr>
              <w:spacing w:after="0"/>
              <w:rPr>
                <w:sz w:val="16"/>
                <w:szCs w:val="16"/>
                <w:color w:val="auto"/>
              </w:rPr>
            </w:pPr>
          </w:p>
        </w:tc>
        <w:tc>
          <w:tcPr>
            <w:tcW w:w="1400" w:type="dxa"/>
            <w:vAlign w:val="bottom"/>
          </w:tcPr>
          <w:p>
            <w:pPr>
              <w:jc w:val="right"/>
              <w:ind w:right="1228"/>
              <w:spacing w:after="0"/>
              <w:rPr>
                <w:sz w:val="20"/>
                <w:szCs w:val="20"/>
                <w:color w:val="auto"/>
              </w:rPr>
            </w:pPr>
            <w:r>
              <w:rPr>
                <w:rFonts w:ascii="Arial" w:cs="Arial" w:eastAsia="Arial" w:hAnsi="Arial"/>
                <w:sz w:val="15"/>
                <w:szCs w:val="15"/>
                <w:b w:val="1"/>
                <w:bCs w:val="1"/>
                <w:color w:val="auto"/>
                <w:w w:val="95"/>
              </w:rPr>
              <w: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auto"/>
                <w:w w:val="95"/>
              </w:rPr>
              <w:t>48.9</w:t>
            </w:r>
          </w:p>
        </w:tc>
        <w:tc>
          <w:tcPr>
            <w:tcW w:w="48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124"/>
              <w:spacing w:after="0"/>
              <w:rPr>
                <w:sz w:val="20"/>
                <w:szCs w:val="20"/>
                <w:color w:val="auto"/>
              </w:rPr>
            </w:pPr>
            <w:r>
              <w:rPr>
                <w:rFonts w:ascii="Arial" w:cs="Arial" w:eastAsia="Arial" w:hAnsi="Arial"/>
                <w:sz w:val="15"/>
                <w:szCs w:val="15"/>
                <w:color w:val="auto"/>
              </w:rPr>
              <w:t>43.3</w:t>
            </w:r>
          </w:p>
        </w:tc>
        <w:tc>
          <w:tcPr>
            <w:tcW w:w="0" w:type="dxa"/>
            <w:vAlign w:val="bottom"/>
          </w:tcPr>
          <w:p>
            <w:pPr>
              <w:spacing w:after="0"/>
              <w:rPr>
                <w:sz w:val="1"/>
                <w:szCs w:val="1"/>
                <w:color w:val="auto"/>
              </w:rPr>
            </w:pPr>
          </w:p>
        </w:tc>
      </w:tr>
      <w:tr>
        <w:trPr>
          <w:trHeight w:val="264"/>
        </w:trPr>
        <w:tc>
          <w:tcPr>
            <w:tcW w:w="7280" w:type="dxa"/>
            <w:vAlign w:val="bottom"/>
            <w:gridSpan w:val="2"/>
          </w:tcPr>
          <w:p>
            <w:pPr>
              <w:ind w:left="180"/>
              <w:spacing w:after="0"/>
              <w:rPr>
                <w:sz w:val="20"/>
                <w:szCs w:val="20"/>
                <w:color w:val="auto"/>
              </w:rPr>
            </w:pPr>
            <w:r>
              <w:rPr>
                <w:rFonts w:ascii="Arial" w:cs="Arial" w:eastAsia="Arial" w:hAnsi="Arial"/>
                <w:sz w:val="15"/>
                <w:szCs w:val="15"/>
                <w:color w:val="auto"/>
              </w:rPr>
              <w:t>Connecticut Avenue Securities debt</w:t>
            </w:r>
            <w:r>
              <w:rPr>
                <w:rFonts w:ascii="Arial" w:cs="Arial" w:eastAsia="Arial" w:hAnsi="Arial"/>
                <w:sz w:val="20"/>
                <w:szCs w:val="20"/>
                <w:color w:val="auto"/>
                <w:vertAlign w:val="superscript"/>
              </w:rPr>
              <w:t>(3)</w:t>
            </w:r>
          </w:p>
        </w:tc>
        <w:tc>
          <w:tcPr>
            <w:tcW w:w="140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5"/>
                <w:szCs w:val="15"/>
                <w:b w:val="1"/>
                <w:bCs w:val="1"/>
                <w:color w:val="auto"/>
              </w:rPr>
              <w:t>3.8</w:t>
            </w:r>
          </w:p>
        </w:tc>
        <w:tc>
          <w:tcPr>
            <w:tcW w:w="480" w:type="dxa"/>
            <w:vAlign w:val="bottom"/>
          </w:tcPr>
          <w:p>
            <w:pPr>
              <w:spacing w:after="0"/>
              <w:rPr>
                <w:sz w:val="22"/>
                <w:szCs w:val="22"/>
                <w:color w:val="auto"/>
              </w:rPr>
            </w:pPr>
          </w:p>
        </w:tc>
        <w:tc>
          <w:tcPr>
            <w:tcW w:w="1620" w:type="dxa"/>
            <w:vAlign w:val="bottom"/>
          </w:tcPr>
          <w:p>
            <w:pPr>
              <w:jc w:val="right"/>
              <w:ind w:right="124"/>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240" w:hanging="237"/>
        <w:spacing w:after="0"/>
        <w:tabs>
          <w:tab w:leader="none" w:pos="240" w:val="left"/>
        </w:tabs>
        <w:numPr>
          <w:ilvl w:val="0"/>
          <w:numId w:val="55"/>
        </w:numPr>
        <w:rPr>
          <w:rFonts w:ascii="Arial" w:cs="Arial" w:eastAsia="Arial" w:hAnsi="Arial"/>
          <w:sz w:val="9"/>
          <w:szCs w:val="9"/>
          <w:color w:val="auto"/>
        </w:rPr>
      </w:pPr>
      <w:r>
        <w:rPr>
          <w:rFonts w:ascii="Arial" w:cs="Arial" w:eastAsia="Arial" w:hAnsi="Arial"/>
          <w:sz w:val="14"/>
          <w:szCs w:val="14"/>
          <w:color w:val="auto"/>
        </w:rPr>
        <w:t>Excludes the effects of fair value adjustments and hedge-related basis adjustments.</w:t>
      </w:r>
    </w:p>
    <w:p>
      <w:pPr>
        <w:spacing w:after="0" w:line="13" w:lineRule="exact"/>
        <w:rPr>
          <w:rFonts w:ascii="Arial" w:cs="Arial" w:eastAsia="Arial" w:hAnsi="Arial"/>
          <w:sz w:val="9"/>
          <w:szCs w:val="9"/>
          <w:color w:val="auto"/>
        </w:rPr>
      </w:pPr>
    </w:p>
    <w:p>
      <w:pPr>
        <w:ind w:left="240" w:hanging="237"/>
        <w:spacing w:after="0"/>
        <w:tabs>
          <w:tab w:leader="none" w:pos="240"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Includes short-term callable debt of $5.0 billion and $590 million as of June 30, 2023 and December 31, 2022, respectively.</w:t>
      </w:r>
    </w:p>
    <w:p>
      <w:pPr>
        <w:spacing w:after="0" w:line="41" w:lineRule="exact"/>
        <w:rPr>
          <w:rFonts w:ascii="Arial" w:cs="Arial" w:eastAsia="Arial" w:hAnsi="Arial"/>
          <w:sz w:val="18"/>
          <w:szCs w:val="18"/>
          <w:color w:val="auto"/>
          <w:vertAlign w:val="superscript"/>
        </w:rPr>
      </w:pPr>
    </w:p>
    <w:p>
      <w:pPr>
        <w:ind w:left="240" w:right="540" w:hanging="237"/>
        <w:spacing w:after="0" w:line="230" w:lineRule="auto"/>
        <w:tabs>
          <w:tab w:leader="none" w:pos="240" w:val="left"/>
        </w:tabs>
        <w:numPr>
          <w:ilvl w:val="0"/>
          <w:numId w:val="55"/>
        </w:numPr>
        <w:rPr>
          <w:rFonts w:ascii="Arial" w:cs="Arial" w:eastAsia="Arial" w:hAnsi="Arial"/>
          <w:sz w:val="17"/>
          <w:szCs w:val="17"/>
          <w:color w:val="auto"/>
          <w:vertAlign w:val="superscript"/>
        </w:rPr>
      </w:pPr>
      <w:r>
        <w:rPr>
          <w:rFonts w:ascii="Arial" w:cs="Arial" w:eastAsia="Arial" w:hAnsi="Arial"/>
          <w:sz w:val="13"/>
          <w:szCs w:val="13"/>
          <w:color w:val="auto"/>
        </w:rPr>
        <w:t>Represents CAS debt issued prior to November 2018. See “MD&amp;A—Single-Family Business—Single-Family Mortgage Credit Risk Management—Single-Family Credit Enhancement and Transfer of Mortgage Credit Risk—Credit Risk Transfer Transactions” in our 2022 Form 10-K for information regarding our Connecticut Avenue Securities.</w:t>
      </w:r>
    </w:p>
    <w:p>
      <w:pPr>
        <w:spacing w:after="0" w:line="60" w:lineRule="exact"/>
        <w:rPr>
          <w:sz w:val="20"/>
          <w:szCs w:val="20"/>
          <w:color w:val="auto"/>
        </w:rPr>
      </w:pPr>
    </w:p>
    <w:p>
      <w:pPr>
        <w:ind w:right="260"/>
        <w:spacing w:after="0" w:line="283" w:lineRule="auto"/>
        <w:rPr>
          <w:sz w:val="20"/>
          <w:szCs w:val="20"/>
          <w:color w:val="auto"/>
        </w:rPr>
      </w:pPr>
      <w:r>
        <w:rPr>
          <w:rFonts w:ascii="Arial" w:cs="Arial" w:eastAsia="Arial" w:hAnsi="Arial"/>
          <w:sz w:val="16"/>
          <w:szCs w:val="16"/>
          <w:color w:val="auto"/>
        </w:rPr>
        <w:t>We intend to repay our short-term and long-term debt obligations as they become due primarily through cash from business operations, the sale of other liquid assets and the issuance of additional debt securities.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For information on the maturity profile of our outstanding long-term debt, see “Note 7, Short-Term and Long-Term Debt.”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48</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51" w:name="page52"/>
    <w:bookmarkEnd w:id="51"/>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9"/>
          <w:szCs w:val="19"/>
          <w:i w:val="1"/>
          <w:iCs w:val="1"/>
          <w:color w:val="05314D"/>
        </w:rPr>
        <w:t>Debt Funding Activity</w:t>
      </w:r>
    </w:p>
    <w:p>
      <w:pPr>
        <w:spacing w:after="0" w:line="90"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The table below displays activity in debt of Fannie Mae. This activity excludes the debt of consolidated trusts and intraday borrowing. The reported amounts of debt issued and paid off during each period represent the face amount of the debt at issuance and redemption.</w:t>
      </w:r>
    </w:p>
    <w:p>
      <w:pPr>
        <w:spacing w:after="0" w:line="59"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001543"/>
        </w:rPr>
        <w:t>Activity in Debt of Fannie 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26035</wp:posOffset>
            </wp:positionV>
            <wp:extent cx="7073265" cy="165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073265" cy="16510"/>
                    </a:xfrm>
                    <a:prstGeom prst="rect">
                      <a:avLst/>
                    </a:prstGeom>
                    <a:noFill/>
                  </pic:spPr>
                </pic:pic>
              </a:graphicData>
            </a:graphic>
          </wp:anchor>
        </w:drawing>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191"/>
        </w:trPr>
        <w:tc>
          <w:tcPr>
            <w:tcW w:w="53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2700" w:type="dxa"/>
            <w:vAlign w:val="bottom"/>
            <w:tcBorders>
              <w:bottom w:val="single" w:sz="8" w:color="2C6937"/>
            </w:tcBorders>
            <w:gridSpan w:val="3"/>
          </w:tcPr>
          <w:p>
            <w:pPr>
              <w:jc w:val="right"/>
              <w:ind w:right="124"/>
              <w:spacing w:after="0"/>
              <w:rPr>
                <w:sz w:val="20"/>
                <w:szCs w:val="20"/>
                <w:color w:val="auto"/>
              </w:rPr>
            </w:pPr>
            <w:r>
              <w:rPr>
                <w:rFonts w:ascii="Arial" w:cs="Arial" w:eastAsia="Arial" w:hAnsi="Arial"/>
                <w:sz w:val="14"/>
                <w:szCs w:val="14"/>
                <w:b w:val="1"/>
                <w:bCs w:val="1"/>
                <w:color w:val="auto"/>
                <w:w w:val="99"/>
              </w:rPr>
              <w:t>For the Three Months Ended June 30,</w:t>
            </w:r>
          </w:p>
        </w:tc>
        <w:tc>
          <w:tcPr>
            <w:tcW w:w="12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2680" w:type="dxa"/>
            <w:vAlign w:val="bottom"/>
            <w:tcBorders>
              <w:bottom w:val="single" w:sz="8" w:color="2C6937"/>
            </w:tcBorders>
            <w:gridSpan w:val="3"/>
          </w:tcPr>
          <w:p>
            <w:pPr>
              <w:jc w:val="right"/>
              <w:ind w:right="223"/>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74"/>
        </w:trPr>
        <w:tc>
          <w:tcPr>
            <w:tcW w:w="530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1280" w:type="dxa"/>
            <w:vAlign w:val="bottom"/>
            <w:tcBorders>
              <w:bottom w:val="single" w:sz="8" w:color="2C6937"/>
            </w:tcBorders>
          </w:tcPr>
          <w:p>
            <w:pPr>
              <w:jc w:val="right"/>
              <w:ind w:right="524"/>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2C6937"/>
            </w:tcBorders>
          </w:tcPr>
          <w:p>
            <w:pPr>
              <w:spacing w:after="0"/>
              <w:rPr>
                <w:sz w:val="15"/>
                <w:szCs w:val="15"/>
                <w:color w:val="auto"/>
              </w:rPr>
            </w:pPr>
          </w:p>
        </w:tc>
        <w:tc>
          <w:tcPr>
            <w:tcW w:w="1060" w:type="dxa"/>
            <w:vAlign w:val="bottom"/>
            <w:tcBorders>
              <w:bottom w:val="single" w:sz="8" w:color="2C6937"/>
            </w:tcBorders>
          </w:tcPr>
          <w:p>
            <w:pPr>
              <w:jc w:val="right"/>
              <w:ind w:right="46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2C6937"/>
            </w:tcBorders>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1240" w:type="dxa"/>
            <w:vAlign w:val="bottom"/>
            <w:tcBorders>
              <w:bottom w:val="single" w:sz="8" w:color="2C6937"/>
            </w:tcBorders>
          </w:tcPr>
          <w:p>
            <w:pPr>
              <w:jc w:val="right"/>
              <w:ind w:right="524"/>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2C6937"/>
            </w:tcBorders>
          </w:tcPr>
          <w:p>
            <w:pPr>
              <w:spacing w:after="0"/>
              <w:rPr>
                <w:sz w:val="15"/>
                <w:szCs w:val="15"/>
                <w:color w:val="auto"/>
              </w:rPr>
            </w:pPr>
          </w:p>
        </w:tc>
        <w:tc>
          <w:tcPr>
            <w:tcW w:w="1060" w:type="dxa"/>
            <w:vAlign w:val="bottom"/>
            <w:tcBorders>
              <w:bottom w:val="single" w:sz="8" w:color="2C6937"/>
            </w:tcBorders>
          </w:tcPr>
          <w:p>
            <w:pPr>
              <w:jc w:val="right"/>
              <w:ind w:right="46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5"/>
        </w:trPr>
        <w:tc>
          <w:tcPr>
            <w:tcW w:w="530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Issued during the period:</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0" w:type="dxa"/>
            <w:vAlign w:val="bottom"/>
            <w:gridSpan w:val="4"/>
          </w:tcPr>
          <w:p>
            <w:pPr>
              <w:jc w:val="right"/>
              <w:ind w:right="764"/>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300" w:type="dxa"/>
            <w:vAlign w:val="bottom"/>
            <w:tcBorders>
              <w:bottom w:val="single" w:sz="8" w:color="2C6937"/>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300" w:type="dxa"/>
            <w:vAlign w:val="bottom"/>
          </w:tcPr>
          <w:p>
            <w:pPr>
              <w:ind w:left="160"/>
              <w:spacing w:after="0"/>
              <w:rPr>
                <w:sz w:val="20"/>
                <w:szCs w:val="20"/>
                <w:color w:val="auto"/>
              </w:rPr>
            </w:pPr>
            <w:r>
              <w:rPr>
                <w:rFonts w:ascii="Arial" w:cs="Arial" w:eastAsia="Arial" w:hAnsi="Arial"/>
                <w:sz w:val="15"/>
                <w:szCs w:val="15"/>
                <w:color w:val="auto"/>
              </w:rPr>
              <w:t>Short-term:</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300" w:type="dxa"/>
            <w:vAlign w:val="bottom"/>
          </w:tcPr>
          <w:p>
            <w:pPr>
              <w:ind w:left="320"/>
              <w:spacing w:after="0"/>
              <w:rPr>
                <w:sz w:val="20"/>
                <w:szCs w:val="20"/>
                <w:color w:val="auto"/>
              </w:rPr>
            </w:pPr>
            <w:r>
              <w:rPr>
                <w:rFonts w:ascii="Arial" w:cs="Arial" w:eastAsia="Arial" w:hAnsi="Arial"/>
                <w:sz w:val="15"/>
                <w:szCs w:val="15"/>
                <w:color w:val="auto"/>
              </w:rPr>
              <w:t>Amount</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jc w:val="right"/>
              <w:ind w:right="184"/>
              <w:spacing w:after="0"/>
              <w:rPr>
                <w:sz w:val="20"/>
                <w:szCs w:val="20"/>
                <w:color w:val="auto"/>
              </w:rPr>
            </w:pPr>
            <w:r>
              <w:rPr>
                <w:rFonts w:ascii="Arial" w:cs="Arial" w:eastAsia="Arial" w:hAnsi="Arial"/>
                <w:sz w:val="15"/>
                <w:szCs w:val="15"/>
                <w:b w:val="1"/>
                <w:bCs w:val="1"/>
                <w:color w:val="auto"/>
              </w:rPr>
              <w:t>56,045</w:t>
            </w:r>
          </w:p>
        </w:tc>
        <w:tc>
          <w:tcPr>
            <w:tcW w:w="36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4"/>
              <w:spacing w:after="0"/>
              <w:rPr>
                <w:sz w:val="20"/>
                <w:szCs w:val="20"/>
                <w:color w:val="auto"/>
              </w:rPr>
            </w:pPr>
            <w:r>
              <w:rPr>
                <w:rFonts w:ascii="Arial" w:cs="Arial" w:eastAsia="Arial" w:hAnsi="Arial"/>
                <w:sz w:val="15"/>
                <w:szCs w:val="15"/>
                <w:color w:val="auto"/>
              </w:rPr>
              <w:t>19,468</w:t>
            </w:r>
          </w:p>
        </w:tc>
        <w:tc>
          <w:tcPr>
            <w:tcW w:w="30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w:t>
            </w:r>
          </w:p>
        </w:tc>
        <w:tc>
          <w:tcPr>
            <w:tcW w:w="1240" w:type="dxa"/>
            <w:vAlign w:val="bottom"/>
          </w:tcPr>
          <w:p>
            <w:pPr>
              <w:jc w:val="right"/>
              <w:ind w:right="184"/>
              <w:spacing w:after="0"/>
              <w:rPr>
                <w:sz w:val="20"/>
                <w:szCs w:val="20"/>
                <w:color w:val="auto"/>
              </w:rPr>
            </w:pPr>
            <w:r>
              <w:rPr>
                <w:rFonts w:ascii="Arial" w:cs="Arial" w:eastAsia="Arial" w:hAnsi="Arial"/>
                <w:sz w:val="15"/>
                <w:szCs w:val="15"/>
                <w:b w:val="1"/>
                <w:bCs w:val="1"/>
                <w:color w:val="auto"/>
              </w:rPr>
              <w:t>111,151</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3"/>
              <w:spacing w:after="0"/>
              <w:rPr>
                <w:sz w:val="20"/>
                <w:szCs w:val="20"/>
                <w:color w:val="auto"/>
              </w:rPr>
            </w:pPr>
            <w:r>
              <w:rPr>
                <w:rFonts w:ascii="Arial" w:cs="Arial" w:eastAsia="Arial" w:hAnsi="Arial"/>
                <w:sz w:val="15"/>
                <w:szCs w:val="15"/>
                <w:color w:val="auto"/>
              </w:rPr>
              <w:t>67,945</w:t>
            </w:r>
          </w:p>
        </w:tc>
        <w:tc>
          <w:tcPr>
            <w:tcW w:w="0" w:type="dxa"/>
            <w:vAlign w:val="bottom"/>
          </w:tcPr>
          <w:p>
            <w:pPr>
              <w:spacing w:after="0"/>
              <w:rPr>
                <w:sz w:val="1"/>
                <w:szCs w:val="1"/>
                <w:color w:val="auto"/>
              </w:rPr>
            </w:pPr>
          </w:p>
        </w:tc>
      </w:tr>
      <w:tr>
        <w:trPr>
          <w:trHeight w:val="214"/>
        </w:trPr>
        <w:tc>
          <w:tcPr>
            <w:tcW w:w="530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60" w:type="dxa"/>
            <w:vAlign w:val="bottom"/>
          </w:tcPr>
          <w:p>
            <w:pPr>
              <w:spacing w:after="0"/>
              <w:rPr>
                <w:sz w:val="18"/>
                <w:szCs w:val="18"/>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4.68 %</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0.79 %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b w:val="1"/>
                <w:bCs w:val="1"/>
                <w:color w:val="auto"/>
              </w:rPr>
              <w:t>4.53 %</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0.27 %</w:t>
            </w:r>
          </w:p>
        </w:tc>
        <w:tc>
          <w:tcPr>
            <w:tcW w:w="0" w:type="dxa"/>
            <w:vAlign w:val="bottom"/>
          </w:tcPr>
          <w:p>
            <w:pPr>
              <w:spacing w:after="0"/>
              <w:rPr>
                <w:sz w:val="1"/>
                <w:szCs w:val="1"/>
                <w:color w:val="auto"/>
              </w:rPr>
            </w:pPr>
          </w:p>
        </w:tc>
      </w:tr>
      <w:tr>
        <w:trPr>
          <w:trHeight w:val="198"/>
        </w:trPr>
        <w:tc>
          <w:tcPr>
            <w:tcW w:w="5300" w:type="dxa"/>
            <w:vAlign w:val="bottom"/>
          </w:tcPr>
          <w:p>
            <w:pPr>
              <w:ind w:left="160"/>
              <w:spacing w:after="0" w:line="198" w:lineRule="exact"/>
              <w:rPr>
                <w:sz w:val="20"/>
                <w:szCs w:val="20"/>
                <w:color w:val="auto"/>
              </w:rPr>
            </w:pPr>
            <w:r>
              <w:rPr>
                <w:rFonts w:ascii="Arial" w:cs="Arial" w:eastAsia="Arial" w:hAnsi="Arial"/>
                <w:sz w:val="15"/>
                <w:szCs w:val="15"/>
                <w:color w:val="auto"/>
              </w:rPr>
              <w:t>Long-term:</w:t>
            </w:r>
            <w:r>
              <w:rPr>
                <w:rFonts w:ascii="Arial" w:cs="Arial" w:eastAsia="Arial" w:hAnsi="Arial"/>
                <w:sz w:val="20"/>
                <w:szCs w:val="20"/>
                <w:color w:val="auto"/>
                <w:vertAlign w:val="superscript"/>
              </w:rPr>
              <w:t>(1)</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00" w:type="dxa"/>
            <w:vAlign w:val="bottom"/>
          </w:tcPr>
          <w:p>
            <w:pPr>
              <w:ind w:left="320"/>
              <w:spacing w:after="0"/>
              <w:rPr>
                <w:sz w:val="20"/>
                <w:szCs w:val="20"/>
                <w:color w:val="auto"/>
              </w:rPr>
            </w:pPr>
            <w:r>
              <w:rPr>
                <w:rFonts w:ascii="Arial" w:cs="Arial" w:eastAsia="Arial" w:hAnsi="Arial"/>
                <w:sz w:val="15"/>
                <w:szCs w:val="15"/>
                <w:color w:val="auto"/>
              </w:rPr>
              <w:t>Amount</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jc w:val="right"/>
              <w:ind w:right="184"/>
              <w:spacing w:after="0"/>
              <w:rPr>
                <w:sz w:val="20"/>
                <w:szCs w:val="20"/>
                <w:color w:val="auto"/>
              </w:rPr>
            </w:pPr>
            <w:r>
              <w:rPr>
                <w:rFonts w:ascii="Arial" w:cs="Arial" w:eastAsia="Arial" w:hAnsi="Arial"/>
                <w:sz w:val="15"/>
                <w:szCs w:val="15"/>
                <w:b w:val="1"/>
                <w:bCs w:val="1"/>
                <w:color w:val="auto"/>
              </w:rPr>
              <w:t>3,093</w:t>
            </w:r>
          </w:p>
        </w:tc>
        <w:tc>
          <w:tcPr>
            <w:tcW w:w="36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w:t>
            </w:r>
          </w:p>
        </w:tc>
        <w:tc>
          <w:tcPr>
            <w:tcW w:w="1240" w:type="dxa"/>
            <w:vAlign w:val="bottom"/>
          </w:tcPr>
          <w:p>
            <w:pPr>
              <w:jc w:val="right"/>
              <w:ind w:right="184"/>
              <w:spacing w:after="0"/>
              <w:rPr>
                <w:sz w:val="20"/>
                <w:szCs w:val="20"/>
                <w:color w:val="auto"/>
              </w:rPr>
            </w:pPr>
            <w:r>
              <w:rPr>
                <w:rFonts w:ascii="Arial" w:cs="Arial" w:eastAsia="Arial" w:hAnsi="Arial"/>
                <w:sz w:val="15"/>
                <w:szCs w:val="15"/>
                <w:b w:val="1"/>
                <w:bCs w:val="1"/>
                <w:color w:val="auto"/>
              </w:rPr>
              <w:t>5,961</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4"/>
        </w:trPr>
        <w:tc>
          <w:tcPr>
            <w:tcW w:w="530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60" w:type="dxa"/>
            <w:vAlign w:val="bottom"/>
          </w:tcPr>
          <w:p>
            <w:pPr>
              <w:spacing w:after="0"/>
              <w:rPr>
                <w:sz w:val="18"/>
                <w:szCs w:val="18"/>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5.28 %</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b w:val="1"/>
                <w:bCs w:val="1"/>
                <w:color w:val="auto"/>
              </w:rPr>
              <w:t>5.33 %</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196"/>
        </w:trPr>
        <w:tc>
          <w:tcPr>
            <w:tcW w:w="5300" w:type="dxa"/>
            <w:vAlign w:val="bottom"/>
          </w:tcPr>
          <w:p>
            <w:pPr>
              <w:ind w:left="160"/>
              <w:spacing w:after="0"/>
              <w:rPr>
                <w:sz w:val="20"/>
                <w:szCs w:val="20"/>
                <w:color w:val="auto"/>
              </w:rPr>
            </w:pPr>
            <w:r>
              <w:rPr>
                <w:rFonts w:ascii="Arial" w:cs="Arial" w:eastAsia="Arial" w:hAnsi="Arial"/>
                <w:sz w:val="15"/>
                <w:szCs w:val="15"/>
                <w:color w:val="auto"/>
              </w:rPr>
              <w:t>Total issued:</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00" w:type="dxa"/>
            <w:vAlign w:val="bottom"/>
          </w:tcPr>
          <w:p>
            <w:pPr>
              <w:ind w:left="320"/>
              <w:spacing w:after="0"/>
              <w:rPr>
                <w:sz w:val="20"/>
                <w:szCs w:val="20"/>
                <w:color w:val="auto"/>
              </w:rPr>
            </w:pPr>
            <w:r>
              <w:rPr>
                <w:rFonts w:ascii="Arial" w:cs="Arial" w:eastAsia="Arial" w:hAnsi="Arial"/>
                <w:sz w:val="15"/>
                <w:szCs w:val="15"/>
                <w:color w:val="auto"/>
              </w:rPr>
              <w:t>Amount</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jc w:val="right"/>
              <w:ind w:right="184"/>
              <w:spacing w:after="0"/>
              <w:rPr>
                <w:sz w:val="20"/>
                <w:szCs w:val="20"/>
                <w:color w:val="auto"/>
              </w:rPr>
            </w:pPr>
            <w:r>
              <w:rPr>
                <w:rFonts w:ascii="Arial" w:cs="Arial" w:eastAsia="Arial" w:hAnsi="Arial"/>
                <w:sz w:val="15"/>
                <w:szCs w:val="15"/>
                <w:b w:val="1"/>
                <w:bCs w:val="1"/>
                <w:color w:val="auto"/>
              </w:rPr>
              <w:t>59,138</w:t>
            </w:r>
          </w:p>
        </w:tc>
        <w:tc>
          <w:tcPr>
            <w:tcW w:w="36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4"/>
              <w:spacing w:after="0"/>
              <w:rPr>
                <w:sz w:val="20"/>
                <w:szCs w:val="20"/>
                <w:color w:val="auto"/>
              </w:rPr>
            </w:pPr>
            <w:r>
              <w:rPr>
                <w:rFonts w:ascii="Arial" w:cs="Arial" w:eastAsia="Arial" w:hAnsi="Arial"/>
                <w:sz w:val="15"/>
                <w:szCs w:val="15"/>
                <w:color w:val="auto"/>
              </w:rPr>
              <w:t>19,468</w:t>
            </w:r>
          </w:p>
        </w:tc>
        <w:tc>
          <w:tcPr>
            <w:tcW w:w="30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w:t>
            </w:r>
          </w:p>
        </w:tc>
        <w:tc>
          <w:tcPr>
            <w:tcW w:w="1240" w:type="dxa"/>
            <w:vAlign w:val="bottom"/>
          </w:tcPr>
          <w:p>
            <w:pPr>
              <w:jc w:val="right"/>
              <w:ind w:right="184"/>
              <w:spacing w:after="0"/>
              <w:rPr>
                <w:sz w:val="20"/>
                <w:szCs w:val="20"/>
                <w:color w:val="auto"/>
              </w:rPr>
            </w:pPr>
            <w:r>
              <w:rPr>
                <w:rFonts w:ascii="Arial" w:cs="Arial" w:eastAsia="Arial" w:hAnsi="Arial"/>
                <w:sz w:val="15"/>
                <w:szCs w:val="15"/>
                <w:b w:val="1"/>
                <w:bCs w:val="1"/>
                <w:color w:val="auto"/>
              </w:rPr>
              <w:t>117,112</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3"/>
              <w:spacing w:after="0"/>
              <w:rPr>
                <w:sz w:val="20"/>
                <w:szCs w:val="20"/>
                <w:color w:val="auto"/>
              </w:rPr>
            </w:pPr>
            <w:r>
              <w:rPr>
                <w:rFonts w:ascii="Arial" w:cs="Arial" w:eastAsia="Arial" w:hAnsi="Arial"/>
                <w:sz w:val="15"/>
                <w:szCs w:val="15"/>
                <w:color w:val="auto"/>
              </w:rPr>
              <w:t>67,945</w:t>
            </w:r>
          </w:p>
        </w:tc>
        <w:tc>
          <w:tcPr>
            <w:tcW w:w="0" w:type="dxa"/>
            <w:vAlign w:val="bottom"/>
          </w:tcPr>
          <w:p>
            <w:pPr>
              <w:spacing w:after="0"/>
              <w:rPr>
                <w:sz w:val="1"/>
                <w:szCs w:val="1"/>
                <w:color w:val="auto"/>
              </w:rPr>
            </w:pPr>
          </w:p>
        </w:tc>
      </w:tr>
      <w:tr>
        <w:trPr>
          <w:trHeight w:val="206"/>
        </w:trPr>
        <w:tc>
          <w:tcPr>
            <w:tcW w:w="530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6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4.71 %</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0.79 %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b w:val="1"/>
                <w:bCs w:val="1"/>
                <w:color w:val="auto"/>
              </w:rPr>
              <w:t>4.57 %</w:t>
            </w: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0.27 %</w:t>
            </w:r>
          </w:p>
        </w:tc>
        <w:tc>
          <w:tcPr>
            <w:tcW w:w="0" w:type="dxa"/>
            <w:vAlign w:val="bottom"/>
          </w:tcPr>
          <w:p>
            <w:pPr>
              <w:spacing w:after="0"/>
              <w:rPr>
                <w:sz w:val="1"/>
                <w:szCs w:val="1"/>
                <w:color w:val="auto"/>
              </w:rPr>
            </w:pPr>
          </w:p>
        </w:tc>
      </w:tr>
      <w:tr>
        <w:trPr>
          <w:trHeight w:val="210"/>
        </w:trPr>
        <w:tc>
          <w:tcPr>
            <w:tcW w:w="5300" w:type="dxa"/>
            <w:vAlign w:val="bottom"/>
            <w:tcBorders>
              <w:bottom w:val="single" w:sz="8" w:color="2C6937"/>
            </w:tcBorders>
          </w:tcPr>
          <w:p>
            <w:pPr>
              <w:ind w:left="20"/>
              <w:spacing w:after="0" w:line="209" w:lineRule="exact"/>
              <w:rPr>
                <w:sz w:val="20"/>
                <w:szCs w:val="20"/>
                <w:color w:val="auto"/>
              </w:rPr>
            </w:pPr>
            <w:r>
              <w:rPr>
                <w:rFonts w:ascii="Arial" w:cs="Arial" w:eastAsia="Arial" w:hAnsi="Arial"/>
                <w:sz w:val="15"/>
                <w:szCs w:val="15"/>
                <w:b w:val="1"/>
                <w:bCs w:val="1"/>
                <w:color w:val="auto"/>
              </w:rPr>
              <w:t>Paid off during the period:</w:t>
            </w:r>
            <w:r>
              <w:rPr>
                <w:rFonts w:ascii="Arial" w:cs="Arial" w:eastAsia="Arial" w:hAnsi="Arial"/>
                <w:sz w:val="20"/>
                <w:szCs w:val="20"/>
                <w:color w:val="auto"/>
                <w:vertAlign w:val="superscript"/>
              </w:rPr>
              <w:t>(2)</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300" w:type="dxa"/>
            <w:vAlign w:val="bottom"/>
          </w:tcPr>
          <w:p>
            <w:pPr>
              <w:ind w:left="160"/>
              <w:spacing w:after="0"/>
              <w:rPr>
                <w:sz w:val="20"/>
                <w:szCs w:val="20"/>
                <w:color w:val="auto"/>
              </w:rPr>
            </w:pPr>
            <w:r>
              <w:rPr>
                <w:rFonts w:ascii="Arial" w:cs="Arial" w:eastAsia="Arial" w:hAnsi="Arial"/>
                <w:sz w:val="15"/>
                <w:szCs w:val="15"/>
                <w:color w:val="auto"/>
              </w:rPr>
              <w:t>Short-term:</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300" w:type="dxa"/>
            <w:vAlign w:val="bottom"/>
          </w:tcPr>
          <w:p>
            <w:pPr>
              <w:ind w:left="320"/>
              <w:spacing w:after="0"/>
              <w:rPr>
                <w:sz w:val="20"/>
                <w:szCs w:val="20"/>
                <w:color w:val="auto"/>
              </w:rPr>
            </w:pPr>
            <w:r>
              <w:rPr>
                <w:rFonts w:ascii="Arial" w:cs="Arial" w:eastAsia="Arial" w:hAnsi="Arial"/>
                <w:sz w:val="15"/>
                <w:szCs w:val="15"/>
                <w:color w:val="auto"/>
              </w:rPr>
              <w:t>Amount</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jc w:val="right"/>
              <w:ind w:right="184"/>
              <w:spacing w:after="0"/>
              <w:rPr>
                <w:sz w:val="20"/>
                <w:szCs w:val="20"/>
                <w:color w:val="auto"/>
              </w:rPr>
            </w:pPr>
            <w:r>
              <w:rPr>
                <w:rFonts w:ascii="Arial" w:cs="Arial" w:eastAsia="Arial" w:hAnsi="Arial"/>
                <w:sz w:val="15"/>
                <w:szCs w:val="15"/>
                <w:b w:val="1"/>
                <w:bCs w:val="1"/>
                <w:color w:val="auto"/>
              </w:rPr>
              <w:t>54,405</w:t>
            </w:r>
          </w:p>
        </w:tc>
        <w:tc>
          <w:tcPr>
            <w:tcW w:w="36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4"/>
              <w:spacing w:after="0"/>
              <w:rPr>
                <w:sz w:val="20"/>
                <w:szCs w:val="20"/>
                <w:color w:val="auto"/>
              </w:rPr>
            </w:pPr>
            <w:r>
              <w:rPr>
                <w:rFonts w:ascii="Arial" w:cs="Arial" w:eastAsia="Arial" w:hAnsi="Arial"/>
                <w:sz w:val="15"/>
                <w:szCs w:val="15"/>
                <w:color w:val="auto"/>
              </w:rPr>
              <w:t>14,452</w:t>
            </w:r>
          </w:p>
        </w:tc>
        <w:tc>
          <w:tcPr>
            <w:tcW w:w="30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w:t>
            </w:r>
          </w:p>
        </w:tc>
        <w:tc>
          <w:tcPr>
            <w:tcW w:w="1240" w:type="dxa"/>
            <w:vAlign w:val="bottom"/>
          </w:tcPr>
          <w:p>
            <w:pPr>
              <w:jc w:val="right"/>
              <w:ind w:right="184"/>
              <w:spacing w:after="0"/>
              <w:rPr>
                <w:sz w:val="20"/>
                <w:szCs w:val="20"/>
                <w:color w:val="auto"/>
              </w:rPr>
            </w:pPr>
            <w:r>
              <w:rPr>
                <w:rFonts w:ascii="Arial" w:cs="Arial" w:eastAsia="Arial" w:hAnsi="Arial"/>
                <w:sz w:val="15"/>
                <w:szCs w:val="15"/>
                <w:b w:val="1"/>
                <w:bCs w:val="1"/>
                <w:color w:val="auto"/>
              </w:rPr>
              <w:t>105,711</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3"/>
              <w:spacing w:after="0"/>
              <w:rPr>
                <w:sz w:val="20"/>
                <w:szCs w:val="20"/>
                <w:color w:val="auto"/>
              </w:rPr>
            </w:pPr>
            <w:r>
              <w:rPr>
                <w:rFonts w:ascii="Arial" w:cs="Arial" w:eastAsia="Arial" w:hAnsi="Arial"/>
                <w:sz w:val="15"/>
                <w:szCs w:val="15"/>
                <w:color w:val="auto"/>
              </w:rPr>
              <w:t>61,679</w:t>
            </w:r>
          </w:p>
        </w:tc>
        <w:tc>
          <w:tcPr>
            <w:tcW w:w="0" w:type="dxa"/>
            <w:vAlign w:val="bottom"/>
          </w:tcPr>
          <w:p>
            <w:pPr>
              <w:spacing w:after="0"/>
              <w:rPr>
                <w:sz w:val="1"/>
                <w:szCs w:val="1"/>
                <w:color w:val="auto"/>
              </w:rPr>
            </w:pPr>
          </w:p>
        </w:tc>
      </w:tr>
      <w:tr>
        <w:trPr>
          <w:trHeight w:val="214"/>
        </w:trPr>
        <w:tc>
          <w:tcPr>
            <w:tcW w:w="530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60" w:type="dxa"/>
            <w:vAlign w:val="bottom"/>
          </w:tcPr>
          <w:p>
            <w:pPr>
              <w:spacing w:after="0"/>
              <w:rPr>
                <w:sz w:val="18"/>
                <w:szCs w:val="18"/>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4.14 %</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0.45 %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b w:val="1"/>
                <w:bCs w:val="1"/>
                <w:color w:val="auto"/>
              </w:rPr>
              <w:t>4.07 %</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0.14 %</w:t>
            </w:r>
          </w:p>
        </w:tc>
        <w:tc>
          <w:tcPr>
            <w:tcW w:w="0" w:type="dxa"/>
            <w:vAlign w:val="bottom"/>
          </w:tcPr>
          <w:p>
            <w:pPr>
              <w:spacing w:after="0"/>
              <w:rPr>
                <w:sz w:val="1"/>
                <w:szCs w:val="1"/>
                <w:color w:val="auto"/>
              </w:rPr>
            </w:pPr>
          </w:p>
        </w:tc>
      </w:tr>
      <w:tr>
        <w:trPr>
          <w:trHeight w:val="198"/>
        </w:trPr>
        <w:tc>
          <w:tcPr>
            <w:tcW w:w="5300" w:type="dxa"/>
            <w:vAlign w:val="bottom"/>
          </w:tcPr>
          <w:p>
            <w:pPr>
              <w:ind w:left="160"/>
              <w:spacing w:after="0" w:line="198" w:lineRule="exact"/>
              <w:rPr>
                <w:sz w:val="20"/>
                <w:szCs w:val="20"/>
                <w:color w:val="auto"/>
              </w:rPr>
            </w:pPr>
            <w:r>
              <w:rPr>
                <w:rFonts w:ascii="Arial" w:cs="Arial" w:eastAsia="Arial" w:hAnsi="Arial"/>
                <w:sz w:val="15"/>
                <w:szCs w:val="15"/>
                <w:color w:val="auto"/>
              </w:rPr>
              <w:t>Long-term:</w:t>
            </w:r>
            <w:r>
              <w:rPr>
                <w:rFonts w:ascii="Arial" w:cs="Arial" w:eastAsia="Arial" w:hAnsi="Arial"/>
                <w:sz w:val="20"/>
                <w:szCs w:val="20"/>
                <w:color w:val="auto"/>
                <w:vertAlign w:val="superscript"/>
              </w:rPr>
              <w:t>(1)</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00" w:type="dxa"/>
            <w:vAlign w:val="bottom"/>
          </w:tcPr>
          <w:p>
            <w:pPr>
              <w:ind w:left="320"/>
              <w:spacing w:after="0"/>
              <w:rPr>
                <w:sz w:val="20"/>
                <w:szCs w:val="20"/>
                <w:color w:val="auto"/>
              </w:rPr>
            </w:pPr>
            <w:r>
              <w:rPr>
                <w:rFonts w:ascii="Arial" w:cs="Arial" w:eastAsia="Arial" w:hAnsi="Arial"/>
                <w:sz w:val="15"/>
                <w:szCs w:val="15"/>
                <w:color w:val="auto"/>
              </w:rPr>
              <w:t>Amount</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jc w:val="right"/>
              <w:ind w:right="184"/>
              <w:spacing w:after="0"/>
              <w:rPr>
                <w:sz w:val="20"/>
                <w:szCs w:val="20"/>
                <w:color w:val="auto"/>
              </w:rPr>
            </w:pPr>
            <w:r>
              <w:rPr>
                <w:rFonts w:ascii="Arial" w:cs="Arial" w:eastAsia="Arial" w:hAnsi="Arial"/>
                <w:sz w:val="15"/>
                <w:szCs w:val="15"/>
                <w:b w:val="1"/>
                <w:bCs w:val="1"/>
                <w:color w:val="auto"/>
              </w:rPr>
              <w:t>5,782</w:t>
            </w:r>
          </w:p>
        </w:tc>
        <w:tc>
          <w:tcPr>
            <w:tcW w:w="36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4"/>
              <w:spacing w:after="0"/>
              <w:rPr>
                <w:sz w:val="20"/>
                <w:szCs w:val="20"/>
                <w:color w:val="auto"/>
              </w:rPr>
            </w:pPr>
            <w:r>
              <w:rPr>
                <w:rFonts w:ascii="Arial" w:cs="Arial" w:eastAsia="Arial" w:hAnsi="Arial"/>
                <w:sz w:val="15"/>
                <w:szCs w:val="15"/>
                <w:color w:val="auto"/>
              </w:rPr>
              <w:t>38,561</w:t>
            </w:r>
          </w:p>
        </w:tc>
        <w:tc>
          <w:tcPr>
            <w:tcW w:w="30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w:t>
            </w:r>
          </w:p>
        </w:tc>
        <w:tc>
          <w:tcPr>
            <w:tcW w:w="1240" w:type="dxa"/>
            <w:vAlign w:val="bottom"/>
          </w:tcPr>
          <w:p>
            <w:pPr>
              <w:jc w:val="right"/>
              <w:ind w:right="184"/>
              <w:spacing w:after="0"/>
              <w:rPr>
                <w:sz w:val="20"/>
                <w:szCs w:val="20"/>
                <w:color w:val="auto"/>
              </w:rPr>
            </w:pPr>
            <w:r>
              <w:rPr>
                <w:rFonts w:ascii="Arial" w:cs="Arial" w:eastAsia="Arial" w:hAnsi="Arial"/>
                <w:sz w:val="15"/>
                <w:szCs w:val="15"/>
                <w:b w:val="1"/>
                <w:bCs w:val="1"/>
                <w:color w:val="auto"/>
              </w:rPr>
              <w:t>7,887</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3"/>
              <w:spacing w:after="0"/>
              <w:rPr>
                <w:sz w:val="20"/>
                <w:szCs w:val="20"/>
                <w:color w:val="auto"/>
              </w:rPr>
            </w:pPr>
            <w:r>
              <w:rPr>
                <w:rFonts w:ascii="Arial" w:cs="Arial" w:eastAsia="Arial" w:hAnsi="Arial"/>
                <w:sz w:val="15"/>
                <w:szCs w:val="15"/>
                <w:color w:val="auto"/>
              </w:rPr>
              <w:t>58,914</w:t>
            </w:r>
          </w:p>
        </w:tc>
        <w:tc>
          <w:tcPr>
            <w:tcW w:w="0" w:type="dxa"/>
            <w:vAlign w:val="bottom"/>
          </w:tcPr>
          <w:p>
            <w:pPr>
              <w:spacing w:after="0"/>
              <w:rPr>
                <w:sz w:val="1"/>
                <w:szCs w:val="1"/>
                <w:color w:val="auto"/>
              </w:rPr>
            </w:pPr>
          </w:p>
        </w:tc>
      </w:tr>
      <w:tr>
        <w:trPr>
          <w:trHeight w:val="214"/>
        </w:trPr>
        <w:tc>
          <w:tcPr>
            <w:tcW w:w="530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60" w:type="dxa"/>
            <w:vAlign w:val="bottom"/>
          </w:tcPr>
          <w:p>
            <w:pPr>
              <w:spacing w:after="0"/>
              <w:rPr>
                <w:sz w:val="18"/>
                <w:szCs w:val="18"/>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2.45 %</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0.99 %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b w:val="1"/>
                <w:bCs w:val="1"/>
                <w:color w:val="auto"/>
              </w:rPr>
              <w:t>2.55 %</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1.00 %</w:t>
            </w:r>
          </w:p>
        </w:tc>
        <w:tc>
          <w:tcPr>
            <w:tcW w:w="0" w:type="dxa"/>
            <w:vAlign w:val="bottom"/>
          </w:tcPr>
          <w:p>
            <w:pPr>
              <w:spacing w:after="0"/>
              <w:rPr>
                <w:sz w:val="1"/>
                <w:szCs w:val="1"/>
                <w:color w:val="auto"/>
              </w:rPr>
            </w:pPr>
          </w:p>
        </w:tc>
      </w:tr>
      <w:tr>
        <w:trPr>
          <w:trHeight w:val="196"/>
        </w:trPr>
        <w:tc>
          <w:tcPr>
            <w:tcW w:w="5300" w:type="dxa"/>
            <w:vAlign w:val="bottom"/>
          </w:tcPr>
          <w:p>
            <w:pPr>
              <w:ind w:left="160"/>
              <w:spacing w:after="0"/>
              <w:rPr>
                <w:sz w:val="20"/>
                <w:szCs w:val="20"/>
                <w:color w:val="auto"/>
              </w:rPr>
            </w:pPr>
            <w:r>
              <w:rPr>
                <w:rFonts w:ascii="Arial" w:cs="Arial" w:eastAsia="Arial" w:hAnsi="Arial"/>
                <w:sz w:val="15"/>
                <w:szCs w:val="15"/>
                <w:color w:val="auto"/>
              </w:rPr>
              <w:t>Total paid off:</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00" w:type="dxa"/>
            <w:vAlign w:val="bottom"/>
          </w:tcPr>
          <w:p>
            <w:pPr>
              <w:ind w:left="320"/>
              <w:spacing w:after="0"/>
              <w:rPr>
                <w:sz w:val="20"/>
                <w:szCs w:val="20"/>
                <w:color w:val="auto"/>
              </w:rPr>
            </w:pPr>
            <w:r>
              <w:rPr>
                <w:rFonts w:ascii="Arial" w:cs="Arial" w:eastAsia="Arial" w:hAnsi="Arial"/>
                <w:sz w:val="15"/>
                <w:szCs w:val="15"/>
                <w:color w:val="auto"/>
              </w:rPr>
              <w:t>Amount</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jc w:val="right"/>
              <w:ind w:right="184"/>
              <w:spacing w:after="0"/>
              <w:rPr>
                <w:sz w:val="20"/>
                <w:szCs w:val="20"/>
                <w:color w:val="auto"/>
              </w:rPr>
            </w:pPr>
            <w:r>
              <w:rPr>
                <w:rFonts w:ascii="Arial" w:cs="Arial" w:eastAsia="Arial" w:hAnsi="Arial"/>
                <w:sz w:val="15"/>
                <w:szCs w:val="15"/>
                <w:b w:val="1"/>
                <w:bCs w:val="1"/>
                <w:color w:val="auto"/>
              </w:rPr>
              <w:t>60,187</w:t>
            </w:r>
          </w:p>
        </w:tc>
        <w:tc>
          <w:tcPr>
            <w:tcW w:w="36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4"/>
              <w:spacing w:after="0"/>
              <w:rPr>
                <w:sz w:val="20"/>
                <w:szCs w:val="20"/>
                <w:color w:val="auto"/>
              </w:rPr>
            </w:pPr>
            <w:r>
              <w:rPr>
                <w:rFonts w:ascii="Arial" w:cs="Arial" w:eastAsia="Arial" w:hAnsi="Arial"/>
                <w:sz w:val="15"/>
                <w:szCs w:val="15"/>
                <w:color w:val="auto"/>
              </w:rPr>
              <w:t>53,013</w:t>
            </w:r>
          </w:p>
        </w:tc>
        <w:tc>
          <w:tcPr>
            <w:tcW w:w="30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w:t>
            </w:r>
          </w:p>
        </w:tc>
        <w:tc>
          <w:tcPr>
            <w:tcW w:w="1240" w:type="dxa"/>
            <w:vAlign w:val="bottom"/>
          </w:tcPr>
          <w:p>
            <w:pPr>
              <w:jc w:val="right"/>
              <w:ind w:right="184"/>
              <w:spacing w:after="0"/>
              <w:rPr>
                <w:sz w:val="20"/>
                <w:szCs w:val="20"/>
                <w:color w:val="auto"/>
              </w:rPr>
            </w:pPr>
            <w:r>
              <w:rPr>
                <w:rFonts w:ascii="Arial" w:cs="Arial" w:eastAsia="Arial" w:hAnsi="Arial"/>
                <w:sz w:val="15"/>
                <w:szCs w:val="15"/>
                <w:b w:val="1"/>
                <w:bCs w:val="1"/>
                <w:color w:val="auto"/>
              </w:rPr>
              <w:t>113,598</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3"/>
              <w:spacing w:after="0"/>
              <w:rPr>
                <w:sz w:val="20"/>
                <w:szCs w:val="20"/>
                <w:color w:val="auto"/>
              </w:rPr>
            </w:pPr>
            <w:r>
              <w:rPr>
                <w:rFonts w:ascii="Arial" w:cs="Arial" w:eastAsia="Arial" w:hAnsi="Arial"/>
                <w:sz w:val="15"/>
                <w:szCs w:val="15"/>
                <w:color w:val="auto"/>
              </w:rPr>
              <w:t>120,593</w:t>
            </w:r>
          </w:p>
        </w:tc>
        <w:tc>
          <w:tcPr>
            <w:tcW w:w="0" w:type="dxa"/>
            <w:vAlign w:val="bottom"/>
          </w:tcPr>
          <w:p>
            <w:pPr>
              <w:spacing w:after="0"/>
              <w:rPr>
                <w:sz w:val="1"/>
                <w:szCs w:val="1"/>
                <w:color w:val="auto"/>
              </w:rPr>
            </w:pPr>
          </w:p>
        </w:tc>
      </w:tr>
      <w:tr>
        <w:trPr>
          <w:trHeight w:val="216"/>
        </w:trPr>
        <w:tc>
          <w:tcPr>
            <w:tcW w:w="530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60" w:type="dxa"/>
            <w:vAlign w:val="bottom"/>
          </w:tcPr>
          <w:p>
            <w:pPr>
              <w:spacing w:after="0"/>
              <w:rPr>
                <w:sz w:val="18"/>
                <w:szCs w:val="18"/>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3.98 %</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0.84 %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b w:val="1"/>
                <w:bCs w:val="1"/>
                <w:color w:val="auto"/>
              </w:rPr>
              <w:t>3.96 %</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0.56 %</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40" w:right="160" w:hanging="237"/>
        <w:spacing w:after="0" w:line="225" w:lineRule="auto"/>
        <w:tabs>
          <w:tab w:leader="none" w:pos="240" w:val="left"/>
        </w:tabs>
        <w:numPr>
          <w:ilvl w:val="0"/>
          <w:numId w:val="56"/>
        </w:numPr>
        <w:rPr>
          <w:rFonts w:ascii="Arial" w:cs="Arial" w:eastAsia="Arial" w:hAnsi="Arial"/>
          <w:sz w:val="18"/>
          <w:szCs w:val="18"/>
          <w:color w:val="auto"/>
          <w:vertAlign w:val="superscript"/>
        </w:rPr>
      </w:pPr>
      <w:r>
        <w:rPr>
          <w:rFonts w:ascii="Arial" w:cs="Arial" w:eastAsia="Arial" w:hAnsi="Arial"/>
          <w:sz w:val="14"/>
          <w:szCs w:val="14"/>
          <w:color w:val="auto"/>
        </w:rPr>
        <w:t>Includes credit risk-sharing securities issued as CAS debt prior to November 2018. For information on our credit risk transfer transactions, see “MD&amp;A—Single-Family Business— Single-Family Mortgage Credit Risk Management—Single-Family Credit Enhancement and Transfer of Mortgage Credit Risk—Credit Risk Transfer Transactions” in our 2022 Form 10-K.</w:t>
      </w:r>
    </w:p>
    <w:p>
      <w:pPr>
        <w:spacing w:after="0" w:line="32" w:lineRule="exact"/>
        <w:rPr>
          <w:rFonts w:ascii="Arial" w:cs="Arial" w:eastAsia="Arial" w:hAnsi="Arial"/>
          <w:sz w:val="18"/>
          <w:szCs w:val="18"/>
          <w:color w:val="auto"/>
          <w:vertAlign w:val="superscript"/>
        </w:rPr>
      </w:pPr>
    </w:p>
    <w:p>
      <w:pPr>
        <w:ind w:left="240" w:right="240" w:hanging="237"/>
        <w:spacing w:after="0" w:line="269" w:lineRule="auto"/>
        <w:tabs>
          <w:tab w:leader="none" w:pos="240" w:val="left"/>
        </w:tabs>
        <w:numPr>
          <w:ilvl w:val="0"/>
          <w:numId w:val="56"/>
        </w:numPr>
        <w:rPr>
          <w:rFonts w:ascii="Arial" w:cs="Arial" w:eastAsia="Arial" w:hAnsi="Arial"/>
          <w:sz w:val="9"/>
          <w:szCs w:val="9"/>
          <w:color w:val="auto"/>
        </w:rPr>
      </w:pPr>
      <w:r>
        <w:rPr>
          <w:rFonts w:ascii="Arial" w:cs="Arial" w:eastAsia="Arial" w:hAnsi="Arial"/>
          <w:sz w:val="14"/>
          <w:szCs w:val="14"/>
          <w:color w:val="auto"/>
        </w:rPr>
        <w:t>Consists of all payments on debt, including regularly scheduled principal payments, payments at maturity, payments resulting from calls and payments for any other repurchases. Repurchases of debt and early retirements of zero-coupon debt are reported at original face value, which does not equal the amount of actual cash payment.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49</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52" w:name="page53"/>
    <w:bookmarkEnd w:id="52"/>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Other Investments Portfolio</w:t>
      </w:r>
    </w:p>
    <w:p>
      <w:pPr>
        <w:spacing w:after="0" w:line="71" w:lineRule="exact"/>
        <w:rPr>
          <w:sz w:val="20"/>
          <w:szCs w:val="20"/>
          <w:color w:val="auto"/>
        </w:rPr>
      </w:pPr>
    </w:p>
    <w:p>
      <w:pPr>
        <w:ind w:right="240"/>
        <w:spacing w:after="0" w:line="283" w:lineRule="auto"/>
        <w:rPr>
          <w:sz w:val="20"/>
          <w:szCs w:val="20"/>
          <w:color w:val="auto"/>
        </w:rPr>
      </w:pPr>
      <w:r>
        <w:rPr>
          <w:rFonts w:ascii="Arial" w:cs="Arial" w:eastAsia="Arial" w:hAnsi="Arial"/>
          <w:sz w:val="16"/>
          <w:szCs w:val="16"/>
          <w:color w:val="auto"/>
        </w:rPr>
        <w:t>The chart below displays information on the composition of our other investments portfolio. The balance of our other investments portfolio fluctuates as a result of changes in our cash flows, liquidity in the fixed-income markets, and our liquidity risk management framework and practices.</w:t>
      </w:r>
    </w:p>
    <w:p>
      <w:pPr>
        <w:spacing w:after="0" w:line="69"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Our other investments portfolio increased during the first half of 2023 primarily due to our corporate debt issuances outpacing maturities, proceeds from the sale of securities and loans, and the continued accumulation of earnings retained from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1115060</wp:posOffset>
            </wp:positionH>
            <wp:positionV relativeFrom="paragraph">
              <wp:posOffset>-17780</wp:posOffset>
            </wp:positionV>
            <wp:extent cx="4911725" cy="23495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911725"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620"/>
        <w:spacing w:after="0"/>
        <w:rPr>
          <w:sz w:val="20"/>
          <w:szCs w:val="20"/>
          <w:color w:val="auto"/>
        </w:rPr>
      </w:pPr>
      <w:r>
        <w:rPr>
          <w:rFonts w:ascii="Arial" w:cs="Arial" w:eastAsia="Arial" w:hAnsi="Arial"/>
          <w:sz w:val="15"/>
          <w:szCs w:val="15"/>
          <w:color w:val="auto"/>
        </w:rPr>
        <w:t>U.S. Treasury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2073275</wp:posOffset>
            </wp:positionH>
            <wp:positionV relativeFrom="paragraph">
              <wp:posOffset>51435</wp:posOffset>
            </wp:positionV>
            <wp:extent cx="147320" cy="1308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47320" cy="130810"/>
                    </a:xfrm>
                    <a:prstGeom prst="rect">
                      <a:avLst/>
                    </a:prstGeom>
                    <a:noFill/>
                  </pic:spPr>
                </pic:pic>
              </a:graphicData>
            </a:graphic>
          </wp:anchor>
        </w:drawing>
      </w:r>
    </w:p>
    <w:p>
      <w:pPr>
        <w:spacing w:after="0" w:line="65" w:lineRule="exact"/>
        <w:rPr>
          <w:sz w:val="20"/>
          <w:szCs w:val="20"/>
          <w:color w:val="auto"/>
        </w:rPr>
      </w:pPr>
    </w:p>
    <w:p>
      <w:pPr>
        <w:ind w:left="3620"/>
        <w:spacing w:after="0"/>
        <w:rPr>
          <w:sz w:val="20"/>
          <w:szCs w:val="20"/>
          <w:color w:val="auto"/>
        </w:rPr>
      </w:pPr>
      <w:r>
        <w:rPr>
          <w:rFonts w:ascii="Arial" w:cs="Arial" w:eastAsia="Arial" w:hAnsi="Arial"/>
          <w:sz w:val="15"/>
          <w:szCs w:val="15"/>
          <w:color w:val="auto"/>
        </w:rPr>
        <w:t>Securities purchased under agreements to resell</w:t>
      </w:r>
    </w:p>
    <w:p>
      <w:pPr>
        <w:spacing w:after="0" w:line="74" w:lineRule="exact"/>
        <w:rPr>
          <w:sz w:val="20"/>
          <w:szCs w:val="20"/>
          <w:color w:val="auto"/>
        </w:rPr>
      </w:pPr>
    </w:p>
    <w:p>
      <w:pPr>
        <w:ind w:left="3620"/>
        <w:spacing w:after="0"/>
        <w:rPr>
          <w:sz w:val="20"/>
          <w:szCs w:val="20"/>
          <w:color w:val="auto"/>
        </w:rPr>
      </w:pPr>
      <w:r>
        <w:rPr>
          <w:rFonts w:ascii="Arial" w:cs="Arial" w:eastAsia="Arial" w:hAnsi="Arial"/>
          <w:sz w:val="15"/>
          <w:szCs w:val="15"/>
          <w:color w:val="auto"/>
        </w:rPr>
        <w:t>Cash and cash equivalents</w:t>
      </w:r>
      <w:r>
        <w:rPr>
          <w:rFonts w:ascii="Arial" w:cs="Arial" w:eastAsia="Arial" w:hAnsi="Arial"/>
          <w:sz w:val="20"/>
          <w:szCs w:val="2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2073275</wp:posOffset>
            </wp:positionH>
            <wp:positionV relativeFrom="paragraph">
              <wp:posOffset>-140970</wp:posOffset>
            </wp:positionV>
            <wp:extent cx="147320" cy="1308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7320" cy="130810"/>
                    </a:xfrm>
                    <a:prstGeom prst="rect">
                      <a:avLst/>
                    </a:prstGeom>
                    <a:noFill/>
                  </pic:spPr>
                </pic:pic>
              </a:graphicData>
            </a:graphic>
          </wp:anchor>
        </w:drawing>
      </w:r>
    </w:p>
    <w:p>
      <w:pPr>
        <w:spacing w:after="0" w:line="74" w:lineRule="exact"/>
        <w:rPr>
          <w:sz w:val="20"/>
          <w:szCs w:val="20"/>
          <w:color w:val="auto"/>
        </w:rPr>
      </w:pPr>
    </w:p>
    <w:p>
      <w:pPr>
        <w:ind w:left="220" w:hanging="217"/>
        <w:spacing w:after="0"/>
        <w:tabs>
          <w:tab w:leader="none" w:pos="220" w:val="left"/>
        </w:tabs>
        <w:numPr>
          <w:ilvl w:val="0"/>
          <w:numId w:val="57"/>
        </w:numPr>
        <w:rPr>
          <w:rFonts w:ascii="Arial" w:cs="Arial" w:eastAsia="Arial" w:hAnsi="Arial"/>
          <w:sz w:val="9"/>
          <w:szCs w:val="9"/>
          <w:color w:val="auto"/>
        </w:rPr>
      </w:pPr>
      <w:r>
        <w:rPr>
          <w:rFonts w:ascii="Arial" w:cs="Arial" w:eastAsia="Arial" w:hAnsi="Arial"/>
          <w:sz w:val="14"/>
          <w:szCs w:val="14"/>
          <w:color w:val="auto"/>
        </w:rPr>
        <w:t>Cash equivalents are composed of overnight reverse repurchase agreements and U.S. Treasuries, if any, that have a maturity at the date of acquisition of three months or less.</w:t>
      </w:r>
    </w:p>
    <w:p>
      <w:pPr>
        <w:spacing w:after="0" w:line="10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Off-Balance Sheet Arrangements</w:t>
      </w:r>
    </w:p>
    <w:p>
      <w:pPr>
        <w:spacing w:after="0" w:line="71"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We enter into certain business arrangements to facilitate our statutory purpose of providing liquidity to the secondary mortgage market and to reduce our exposure to interest rate fluctuations. Some of these arrangements are not recorded in our condensed consolidated balance sheets or may be recorded in amounts different from the full contract or notional amount of the transaction, depending on the nature or structure of, and the accounting required to be applied to, the arrangement. These arrangements are commonly referred to as “off-balance sheet arrangements” and expose us to potential losses in excess of the amounts recorded in our condensed consolidated balance sheets.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Our off-balance sheet arrangements result primarily from the following:</w:t>
      </w:r>
    </w:p>
    <w:p>
      <w:pPr>
        <w:spacing w:after="0" w:line="87" w:lineRule="exact"/>
        <w:rPr>
          <w:sz w:val="20"/>
          <w:szCs w:val="20"/>
          <w:color w:val="auto"/>
        </w:rPr>
      </w:pPr>
    </w:p>
    <w:p>
      <w:pPr>
        <w:ind w:left="620" w:right="700" w:hanging="307"/>
        <w:spacing w:after="0" w:line="300" w:lineRule="auto"/>
        <w:tabs>
          <w:tab w:leader="none" w:pos="6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our guaranty of mortgage loan securitization and resecuritization transactions over which we have no control, which are reflected in our unconsolidated Fannie Mae MBS net of any beneficial ownership interest we retain, and other financial guarantees that we do not control;</w:t>
      </w:r>
    </w:p>
    <w:p>
      <w:pPr>
        <w:spacing w:after="0" w:line="17" w:lineRule="exact"/>
        <w:rPr>
          <w:rFonts w:ascii="Arial" w:cs="Arial" w:eastAsia="Arial" w:hAnsi="Arial"/>
          <w:sz w:val="16"/>
          <w:szCs w:val="16"/>
          <w:color w:val="auto"/>
        </w:rPr>
      </w:pPr>
    </w:p>
    <w:p>
      <w:pPr>
        <w:ind w:left="620" w:hanging="307"/>
        <w:spacing w:after="0"/>
        <w:tabs>
          <w:tab w:leader="none" w:pos="6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liquidity support transactions; and</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partnership interests.</w:t>
      </w:r>
    </w:p>
    <w:p>
      <w:pPr>
        <w:spacing w:after="0" w:line="87"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total amount of our off-balance sheet exposure related to unconsolidated Fannie Mae MBS net of any beneficial interest that we retain, and other financial guarantees was $237.2 billion as of June 30, 2023 and $246.7 billion as of December 31, 2022. The majority of the other financial guarantees consists of Freddie Mac securities backing Fannie Mae structured securities. See “Guaranty Book of Business” and “Note 6, Financial Guarantees” for more information regarding our maximum exposure to loss on unconsolidated Fannie Mae MBS and Freddie Mac securities.</w:t>
      </w:r>
    </w:p>
    <w:p>
      <w:pPr>
        <w:spacing w:after="0" w:line="42"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Our total outstanding liquidity commitments to advance funds for securities backed by multifamily housing revenue bonds totaled $4.7 billion as of June 30, 2023 and $4.8 billion as of December 31, 2022. These commitments require us to advance funds to third parties that enable them to repurchase tendered bonds or securities that are unable to be remarketed. We hold cash and cash equivalents in our other investments portfolio in excess of these commitments to advance funds.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50</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840" w:type="dxa"/>
            <w:vAlign w:val="bottom"/>
            <w:tcBorders>
              <w:bottom w:val="single" w:sz="8" w:color="9A9A9A"/>
            </w:tcBorders>
          </w:tcPr>
          <w:p>
            <w:pPr>
              <w:spacing w:after="0"/>
              <w:rPr>
                <w:sz w:val="18"/>
                <w:szCs w:val="18"/>
                <w:color w:val="auto"/>
              </w:rPr>
            </w:pPr>
          </w:p>
        </w:tc>
        <w:tc>
          <w:tcPr>
            <w:tcW w:w="42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53" w:name="page54"/>
    <w:bookmarkEnd w:id="53"/>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220"/>
        <w:spacing w:after="0" w:line="268" w:lineRule="auto"/>
        <w:rPr>
          <w:sz w:val="20"/>
          <w:szCs w:val="20"/>
          <w:color w:val="auto"/>
        </w:rPr>
      </w:pPr>
      <w:r>
        <w:rPr>
          <w:rFonts w:ascii="Arial" w:cs="Arial" w:eastAsia="Arial" w:hAnsi="Arial"/>
          <w:sz w:val="16"/>
          <w:szCs w:val="16"/>
          <w:color w:val="auto"/>
        </w:rPr>
        <w:t>We make investments in various limited partnerships and similar legal entities, which consist of low-income housing tax credit investments, community investments and other entities. When we do not have a controlling financial interest in those entities, our condensed consolidated balance sheets reflect only our investment rather than the full amount of the partnership’s assets and liabilities. See “Note 2, Consolidations and Transfers of Financial Assets— Unconsolidated VIEs” for information regarding our limited partnerships and similar legal entities.</w:t>
      </w:r>
    </w:p>
    <w:p>
      <w:pPr>
        <w:spacing w:after="0" w:line="7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Cash Flows</w:t>
      </w:r>
    </w:p>
    <w:p>
      <w:pPr>
        <w:spacing w:after="0" w:line="67" w:lineRule="exact"/>
        <w:rPr>
          <w:sz w:val="20"/>
          <w:szCs w:val="20"/>
          <w:color w:val="auto"/>
        </w:rPr>
      </w:pPr>
    </w:p>
    <w:p>
      <w:pPr>
        <w:jc w:val="both"/>
        <w:ind w:right="80"/>
        <w:spacing w:after="0" w:line="270" w:lineRule="auto"/>
        <w:rPr>
          <w:sz w:val="20"/>
          <w:szCs w:val="20"/>
          <w:color w:val="auto"/>
        </w:rPr>
      </w:pPr>
      <w:r>
        <w:rPr>
          <w:rFonts w:ascii="Arial" w:cs="Arial" w:eastAsia="Arial" w:hAnsi="Arial"/>
          <w:sz w:val="16"/>
          <w:szCs w:val="16"/>
          <w:i w:val="1"/>
          <w:iCs w:val="1"/>
          <w:u w:val="single" w:color="auto"/>
          <w:color w:val="auto"/>
        </w:rPr>
        <w:t>Six Months Ended June 30, 2023</w:t>
      </w:r>
      <w:r>
        <w:rPr>
          <w:rFonts w:ascii="Arial" w:cs="Arial" w:eastAsia="Arial" w:hAnsi="Arial"/>
          <w:sz w:val="16"/>
          <w:szCs w:val="16"/>
          <w:i w:val="1"/>
          <w:iCs w:val="1"/>
          <w:color w:val="auto"/>
        </w:rPr>
        <w:t xml:space="preserve">. </w:t>
      </w:r>
      <w:r>
        <w:rPr>
          <w:rFonts w:ascii="Arial" w:cs="Arial" w:eastAsia="Arial" w:hAnsi="Arial"/>
          <w:sz w:val="16"/>
          <w:szCs w:val="16"/>
          <w:color w:val="auto"/>
        </w:rPr>
        <w:t>Cash, cash equivalents and restricted cash and cash equivalents decreased from $87.8 billion as of December 31, 2022</w:t>
      </w:r>
      <w:r>
        <w:rPr>
          <w:rFonts w:ascii="Arial" w:cs="Arial" w:eastAsia="Arial" w:hAnsi="Arial"/>
          <w:sz w:val="16"/>
          <w:szCs w:val="16"/>
          <w:i w:val="1"/>
          <w:iCs w:val="1"/>
          <w:color w:val="auto"/>
        </w:rPr>
        <w:t xml:space="preserve"> </w:t>
      </w:r>
      <w:r>
        <w:rPr>
          <w:rFonts w:ascii="Arial" w:cs="Arial" w:eastAsia="Arial" w:hAnsi="Arial"/>
          <w:sz w:val="16"/>
          <w:szCs w:val="16"/>
          <w:color w:val="auto"/>
        </w:rPr>
        <w:t>to $79.4 billion as of June 30, 2023. The decrease was primarily driven by cash outflows from (1) payments on outstanding debt of consolidated trusts, (2) purchases of loans held for investment and (3) advances to lenders.</w:t>
      </w:r>
    </w:p>
    <w:p>
      <w:pPr>
        <w:spacing w:after="0" w:line="53" w:lineRule="exact"/>
        <w:rPr>
          <w:sz w:val="20"/>
          <w:szCs w:val="20"/>
          <w:color w:val="auto"/>
        </w:rPr>
      </w:pPr>
    </w:p>
    <w:p>
      <w:pPr>
        <w:ind w:right="240"/>
        <w:spacing w:after="0" w:line="283" w:lineRule="auto"/>
        <w:rPr>
          <w:sz w:val="20"/>
          <w:szCs w:val="20"/>
          <w:color w:val="auto"/>
        </w:rPr>
      </w:pPr>
      <w:r>
        <w:rPr>
          <w:rFonts w:ascii="Arial" w:cs="Arial" w:eastAsia="Arial" w:hAnsi="Arial"/>
          <w:sz w:val="16"/>
          <w:szCs w:val="16"/>
          <w:color w:val="auto"/>
        </w:rPr>
        <w:t>Partially offsetting these cash outflows were cash inflows from (1) proceeds from repayments and sales of loans, (2) the sale of Fannie Mae MBS to third parties, and (3) the issuances of funding debt, which outpaced redemptions.</w:t>
      </w:r>
    </w:p>
    <w:p>
      <w:pPr>
        <w:spacing w:after="0" w:line="26" w:lineRule="exact"/>
        <w:rPr>
          <w:sz w:val="20"/>
          <w:szCs w:val="20"/>
          <w:color w:val="auto"/>
        </w:rPr>
      </w:pPr>
    </w:p>
    <w:p>
      <w:pPr>
        <w:jc w:val="both"/>
        <w:ind w:right="400"/>
        <w:spacing w:after="0" w:line="270" w:lineRule="auto"/>
        <w:rPr>
          <w:sz w:val="20"/>
          <w:szCs w:val="20"/>
          <w:color w:val="auto"/>
        </w:rPr>
      </w:pPr>
      <w:r>
        <w:rPr>
          <w:rFonts w:ascii="Arial" w:cs="Arial" w:eastAsia="Arial" w:hAnsi="Arial"/>
          <w:sz w:val="16"/>
          <w:szCs w:val="16"/>
          <w:i w:val="1"/>
          <w:iCs w:val="1"/>
          <w:u w:val="single" w:color="auto"/>
          <w:color w:val="auto"/>
        </w:rPr>
        <w:t>Six Months Ended June 30, 2022</w:t>
      </w:r>
      <w:r>
        <w:rPr>
          <w:rFonts w:ascii="Arial" w:cs="Arial" w:eastAsia="Arial" w:hAnsi="Arial"/>
          <w:sz w:val="16"/>
          <w:szCs w:val="16"/>
          <w:i w:val="1"/>
          <w:iCs w:val="1"/>
          <w:color w:val="auto"/>
        </w:rPr>
        <w:t xml:space="preserve">. </w:t>
      </w:r>
      <w:r>
        <w:rPr>
          <w:rFonts w:ascii="Arial" w:cs="Arial" w:eastAsia="Arial" w:hAnsi="Arial"/>
          <w:sz w:val="16"/>
          <w:szCs w:val="16"/>
          <w:color w:val="auto"/>
        </w:rPr>
        <w:t>Cash, cash equivalents and restricted cash and cash equivalents decreased from $108.6 billion as of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2021 to $75.9 billion as of June 30, 2022. The decrease was primarily driven by cash outflows from (1) payments on outstanding debt of consolidated trusts, (2) the redemption of funding debt, which outpaced issuances, and (3) purchases of loans held for investment.</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Partially offsetting these cash outflows were cash inflows from (1) the sale of Fannie Mae MBS to third parties and (2) proceeds from repayments of loans.</w:t>
      </w:r>
    </w:p>
    <w:p>
      <w:pPr>
        <w:spacing w:after="0" w:line="13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Credit Ratings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displays our credit ratings issued by the three major credit rating agencies.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05314D"/>
        </w:rPr>
        <w:t>Fannie Mae Credit Ratings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40" w:type="dxa"/>
            <w:vAlign w:val="bottom"/>
            <w:tcBorders>
              <w:top w:val="single" w:sz="8" w:color="2C6937"/>
            </w:tcBorders>
          </w:tcPr>
          <w:p>
            <w:pPr>
              <w:spacing w:after="0"/>
              <w:rPr>
                <w:sz w:val="18"/>
                <w:szCs w:val="18"/>
                <w:color w:val="auto"/>
              </w:rPr>
            </w:pPr>
          </w:p>
        </w:tc>
        <w:tc>
          <w:tcPr>
            <w:tcW w:w="272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2700" w:type="dxa"/>
            <w:vAlign w:val="bottom"/>
            <w:tcBorders>
              <w:top w:val="single" w:sz="8" w:color="2C6937"/>
              <w:bottom w:val="single" w:sz="8" w:color="2C6937"/>
            </w:tcBorders>
          </w:tcPr>
          <w:p>
            <w:pPr>
              <w:ind w:left="780"/>
              <w:spacing w:after="0"/>
              <w:rPr>
                <w:sz w:val="20"/>
                <w:szCs w:val="20"/>
                <w:color w:val="auto"/>
              </w:rPr>
            </w:pPr>
            <w:r>
              <w:rPr>
                <w:rFonts w:ascii="Arial" w:cs="Arial" w:eastAsia="Arial" w:hAnsi="Arial"/>
                <w:sz w:val="15"/>
                <w:szCs w:val="15"/>
                <w:b w:val="1"/>
                <w:bCs w:val="1"/>
                <w:color w:val="auto"/>
              </w:rPr>
              <w:t>June 30, 2023</w:t>
            </w:r>
          </w:p>
        </w:tc>
        <w:tc>
          <w:tcPr>
            <w:tcW w:w="100" w:type="dxa"/>
            <w:vAlign w:val="bottom"/>
            <w:tcBorders>
              <w:top w:val="single" w:sz="8" w:color="2C6937"/>
              <w:bottom w:val="single" w:sz="8" w:color="2C6937"/>
            </w:tcBorders>
          </w:tcPr>
          <w:p>
            <w:pPr>
              <w:spacing w:after="0"/>
              <w:rPr>
                <w:sz w:val="18"/>
                <w:szCs w:val="18"/>
                <w:color w:val="auto"/>
              </w:rPr>
            </w:pPr>
          </w:p>
        </w:tc>
        <w:tc>
          <w:tcPr>
            <w:tcW w:w="2580" w:type="dxa"/>
            <w:vAlign w:val="bottom"/>
            <w:tcBorders>
              <w:top w:val="single" w:sz="8" w:color="2C6937"/>
              <w:bottom w:val="single" w:sz="8" w:color="2C6937"/>
            </w:tcBorders>
          </w:tcPr>
          <w:p>
            <w:pPr>
              <w:spacing w:after="0"/>
              <w:rPr>
                <w:sz w:val="18"/>
                <w:szCs w:val="18"/>
                <w:color w:val="auto"/>
              </w:rPr>
            </w:pPr>
          </w:p>
        </w:tc>
      </w:tr>
      <w:tr>
        <w:trPr>
          <w:trHeight w:val="199"/>
        </w:trPr>
        <w:tc>
          <w:tcPr>
            <w:tcW w:w="3040" w:type="dxa"/>
            <w:vAlign w:val="bottom"/>
          </w:tcPr>
          <w:p>
            <w:pPr>
              <w:spacing w:after="0"/>
              <w:rPr>
                <w:sz w:val="17"/>
                <w:szCs w:val="17"/>
                <w:color w:val="auto"/>
              </w:rPr>
            </w:pPr>
          </w:p>
        </w:tc>
        <w:tc>
          <w:tcPr>
            <w:tcW w:w="2720" w:type="dxa"/>
            <w:vAlign w:val="bottom"/>
            <w:tcBorders>
              <w:bottom w:val="single" w:sz="8" w:color="2C6937"/>
            </w:tcBorders>
          </w:tcPr>
          <w:p>
            <w:pPr>
              <w:jc w:val="center"/>
              <w:spacing w:after="0"/>
              <w:rPr>
                <w:sz w:val="20"/>
                <w:szCs w:val="20"/>
                <w:color w:val="auto"/>
              </w:rPr>
            </w:pPr>
            <w:r>
              <w:rPr>
                <w:rFonts w:ascii="Arial" w:cs="Arial" w:eastAsia="Arial" w:hAnsi="Arial"/>
                <w:sz w:val="15"/>
                <w:szCs w:val="15"/>
                <w:b w:val="1"/>
                <w:bCs w:val="1"/>
                <w:color w:val="auto"/>
              </w:rPr>
              <w:t>S&amp;P</w:t>
            </w:r>
          </w:p>
        </w:tc>
        <w:tc>
          <w:tcPr>
            <w:tcW w:w="100" w:type="dxa"/>
            <w:vAlign w:val="bottom"/>
          </w:tcPr>
          <w:p>
            <w:pPr>
              <w:spacing w:after="0"/>
              <w:rPr>
                <w:sz w:val="17"/>
                <w:szCs w:val="17"/>
                <w:color w:val="auto"/>
              </w:rPr>
            </w:pPr>
          </w:p>
        </w:tc>
        <w:tc>
          <w:tcPr>
            <w:tcW w:w="2700" w:type="dxa"/>
            <w:vAlign w:val="bottom"/>
            <w:tcBorders>
              <w:bottom w:val="single" w:sz="8" w:color="2C6937"/>
            </w:tcBorders>
          </w:tcPr>
          <w:p>
            <w:pPr>
              <w:jc w:val="center"/>
              <w:spacing w:after="0"/>
              <w:rPr>
                <w:sz w:val="20"/>
                <w:szCs w:val="20"/>
                <w:color w:val="auto"/>
              </w:rPr>
            </w:pPr>
            <w:r>
              <w:rPr>
                <w:rFonts w:ascii="Arial" w:cs="Arial" w:eastAsia="Arial" w:hAnsi="Arial"/>
                <w:sz w:val="15"/>
                <w:szCs w:val="15"/>
                <w:b w:val="1"/>
                <w:bCs w:val="1"/>
                <w:color w:val="auto"/>
              </w:rPr>
              <w:t>Moody’s</w:t>
            </w:r>
          </w:p>
        </w:tc>
        <w:tc>
          <w:tcPr>
            <w:tcW w:w="100" w:type="dxa"/>
            <w:vAlign w:val="bottom"/>
          </w:tcPr>
          <w:p>
            <w:pPr>
              <w:spacing w:after="0"/>
              <w:rPr>
                <w:sz w:val="17"/>
                <w:szCs w:val="17"/>
                <w:color w:val="auto"/>
              </w:rPr>
            </w:pPr>
          </w:p>
        </w:tc>
        <w:tc>
          <w:tcPr>
            <w:tcW w:w="2580" w:type="dxa"/>
            <w:vAlign w:val="bottom"/>
            <w:tcBorders>
              <w:bottom w:val="single" w:sz="8" w:color="2C6937"/>
            </w:tcBorders>
          </w:tcPr>
          <w:p>
            <w:pPr>
              <w:ind w:left="1100"/>
              <w:spacing w:after="0"/>
              <w:rPr>
                <w:sz w:val="20"/>
                <w:szCs w:val="20"/>
                <w:color w:val="auto"/>
              </w:rPr>
            </w:pPr>
            <w:r>
              <w:rPr>
                <w:rFonts w:ascii="Arial" w:cs="Arial" w:eastAsia="Arial" w:hAnsi="Arial"/>
                <w:sz w:val="16"/>
                <w:szCs w:val="16"/>
                <w:b w:val="1"/>
                <w:bCs w:val="1"/>
                <w:color w:val="auto"/>
              </w:rPr>
              <w:t>Fitch</w:t>
            </w:r>
          </w:p>
        </w:tc>
      </w:tr>
      <w:tr>
        <w:trPr>
          <w:trHeight w:val="204"/>
        </w:trPr>
        <w:tc>
          <w:tcPr>
            <w:tcW w:w="3040" w:type="dxa"/>
            <w:vAlign w:val="bottom"/>
          </w:tcPr>
          <w:p>
            <w:pPr>
              <w:ind w:left="20"/>
              <w:spacing w:after="0"/>
              <w:rPr>
                <w:sz w:val="20"/>
                <w:szCs w:val="20"/>
                <w:color w:val="auto"/>
              </w:rPr>
            </w:pPr>
            <w:r>
              <w:rPr>
                <w:rFonts w:ascii="Arial" w:cs="Arial" w:eastAsia="Arial" w:hAnsi="Arial"/>
                <w:sz w:val="15"/>
                <w:szCs w:val="15"/>
                <w:color w:val="auto"/>
              </w:rPr>
              <w:t>Long-term senior debt</w:t>
            </w:r>
          </w:p>
        </w:tc>
        <w:tc>
          <w:tcPr>
            <w:tcW w:w="2720" w:type="dxa"/>
            <w:vAlign w:val="bottom"/>
          </w:tcPr>
          <w:p>
            <w:pPr>
              <w:jc w:val="center"/>
              <w:spacing w:after="0" w:line="204" w:lineRule="exact"/>
              <w:rPr>
                <w:sz w:val="20"/>
                <w:szCs w:val="20"/>
                <w:color w:val="auto"/>
              </w:rPr>
            </w:pPr>
            <w:r>
              <w:rPr>
                <w:rFonts w:ascii="Arial" w:cs="Arial" w:eastAsia="Arial" w:hAnsi="Arial"/>
                <w:sz w:val="15"/>
                <w:szCs w:val="15"/>
                <w:color w:val="auto"/>
                <w:w w:val="93"/>
              </w:rPr>
              <w:t>AA+</w:t>
            </w:r>
            <w:r>
              <w:rPr>
                <w:rFonts w:ascii="Arial" w:cs="Arial" w:eastAsia="Arial" w:hAnsi="Arial"/>
                <w:sz w:val="20"/>
                <w:szCs w:val="20"/>
                <w:color w:val="auto"/>
                <w:w w:val="93"/>
                <w:vertAlign w:val="superscript"/>
              </w:rPr>
              <w:t>(1)</w:t>
            </w:r>
          </w:p>
        </w:tc>
        <w:tc>
          <w:tcPr>
            <w:tcW w:w="100" w:type="dxa"/>
            <w:vAlign w:val="bottom"/>
          </w:tcPr>
          <w:p>
            <w:pPr>
              <w:spacing w:after="0"/>
              <w:rPr>
                <w:sz w:val="17"/>
                <w:szCs w:val="17"/>
                <w:color w:val="auto"/>
              </w:rPr>
            </w:pPr>
          </w:p>
        </w:tc>
        <w:tc>
          <w:tcPr>
            <w:tcW w:w="2700" w:type="dxa"/>
            <w:vAlign w:val="bottom"/>
          </w:tcPr>
          <w:p>
            <w:pPr>
              <w:jc w:val="center"/>
              <w:spacing w:after="0" w:line="204" w:lineRule="exact"/>
              <w:rPr>
                <w:sz w:val="20"/>
                <w:szCs w:val="20"/>
                <w:color w:val="auto"/>
              </w:rPr>
            </w:pPr>
            <w:r>
              <w:rPr>
                <w:rFonts w:ascii="Arial" w:cs="Arial" w:eastAsia="Arial" w:hAnsi="Arial"/>
                <w:sz w:val="15"/>
                <w:szCs w:val="15"/>
                <w:color w:val="auto"/>
                <w:w w:val="88"/>
              </w:rPr>
              <w:t>Aaa</w:t>
            </w:r>
            <w:r>
              <w:rPr>
                <w:rFonts w:ascii="Arial" w:cs="Arial" w:eastAsia="Arial" w:hAnsi="Arial"/>
                <w:sz w:val="20"/>
                <w:szCs w:val="20"/>
                <w:color w:val="auto"/>
                <w:w w:val="88"/>
                <w:vertAlign w:val="superscript"/>
              </w:rPr>
              <w:t>(1)</w:t>
            </w:r>
          </w:p>
        </w:tc>
        <w:tc>
          <w:tcPr>
            <w:tcW w:w="100" w:type="dxa"/>
            <w:vAlign w:val="bottom"/>
          </w:tcPr>
          <w:p>
            <w:pPr>
              <w:spacing w:after="0"/>
              <w:rPr>
                <w:sz w:val="17"/>
                <w:szCs w:val="17"/>
                <w:color w:val="auto"/>
              </w:rPr>
            </w:pPr>
          </w:p>
        </w:tc>
        <w:tc>
          <w:tcPr>
            <w:tcW w:w="2580" w:type="dxa"/>
            <w:vAlign w:val="bottom"/>
          </w:tcPr>
          <w:p>
            <w:pPr>
              <w:ind w:left="1080"/>
              <w:spacing w:after="0" w:line="204" w:lineRule="exact"/>
              <w:rPr>
                <w:sz w:val="20"/>
                <w:szCs w:val="20"/>
                <w:color w:val="auto"/>
              </w:rPr>
            </w:pPr>
            <w:r>
              <w:rPr>
                <w:rFonts w:ascii="Arial" w:cs="Arial" w:eastAsia="Arial" w:hAnsi="Arial"/>
                <w:sz w:val="15"/>
                <w:szCs w:val="15"/>
                <w:color w:val="auto"/>
              </w:rPr>
              <w:t>AAA</w:t>
            </w:r>
            <w:r>
              <w:rPr>
                <w:rFonts w:ascii="Arial" w:cs="Arial" w:eastAsia="Arial" w:hAnsi="Arial"/>
                <w:sz w:val="20"/>
                <w:szCs w:val="20"/>
                <w:color w:val="auto"/>
                <w:vertAlign w:val="superscript"/>
              </w:rPr>
              <w:t>(2)</w:t>
            </w:r>
          </w:p>
        </w:tc>
      </w:tr>
      <w:tr>
        <w:trPr>
          <w:trHeight w:val="206"/>
        </w:trPr>
        <w:tc>
          <w:tcPr>
            <w:tcW w:w="3040" w:type="dxa"/>
            <w:vAlign w:val="bottom"/>
          </w:tcPr>
          <w:p>
            <w:pPr>
              <w:ind w:left="20"/>
              <w:spacing w:after="0"/>
              <w:rPr>
                <w:sz w:val="20"/>
                <w:szCs w:val="20"/>
                <w:color w:val="auto"/>
              </w:rPr>
            </w:pPr>
            <w:r>
              <w:rPr>
                <w:rFonts w:ascii="Arial" w:cs="Arial" w:eastAsia="Arial" w:hAnsi="Arial"/>
                <w:sz w:val="15"/>
                <w:szCs w:val="15"/>
                <w:color w:val="auto"/>
              </w:rPr>
              <w:t>Short-term senior debt</w:t>
            </w:r>
          </w:p>
        </w:tc>
        <w:tc>
          <w:tcPr>
            <w:tcW w:w="2720" w:type="dxa"/>
            <w:vAlign w:val="bottom"/>
          </w:tcPr>
          <w:p>
            <w:pPr>
              <w:jc w:val="center"/>
              <w:spacing w:after="0"/>
              <w:rPr>
                <w:sz w:val="20"/>
                <w:szCs w:val="20"/>
                <w:color w:val="auto"/>
              </w:rPr>
            </w:pPr>
            <w:r>
              <w:rPr>
                <w:rFonts w:ascii="Arial" w:cs="Arial" w:eastAsia="Arial" w:hAnsi="Arial"/>
                <w:sz w:val="15"/>
                <w:szCs w:val="15"/>
                <w:color w:val="auto"/>
                <w:w w:val="99"/>
              </w:rPr>
              <w:t>A-1+</w:t>
            </w:r>
          </w:p>
        </w:tc>
        <w:tc>
          <w:tcPr>
            <w:tcW w:w="100" w:type="dxa"/>
            <w:vAlign w:val="bottom"/>
          </w:tcPr>
          <w:p>
            <w:pPr>
              <w:spacing w:after="0"/>
              <w:rPr>
                <w:sz w:val="17"/>
                <w:szCs w:val="17"/>
                <w:color w:val="auto"/>
              </w:rPr>
            </w:pPr>
          </w:p>
        </w:tc>
        <w:tc>
          <w:tcPr>
            <w:tcW w:w="2700" w:type="dxa"/>
            <w:vAlign w:val="bottom"/>
          </w:tcPr>
          <w:p>
            <w:pPr>
              <w:jc w:val="center"/>
              <w:spacing w:after="0"/>
              <w:rPr>
                <w:sz w:val="20"/>
                <w:szCs w:val="20"/>
                <w:color w:val="auto"/>
              </w:rPr>
            </w:pPr>
            <w:r>
              <w:rPr>
                <w:rFonts w:ascii="Arial" w:cs="Arial" w:eastAsia="Arial" w:hAnsi="Arial"/>
                <w:sz w:val="15"/>
                <w:szCs w:val="15"/>
                <w:color w:val="auto"/>
              </w:rPr>
              <w:t>P-1</w:t>
            </w:r>
          </w:p>
        </w:tc>
        <w:tc>
          <w:tcPr>
            <w:tcW w:w="100" w:type="dxa"/>
            <w:vAlign w:val="bottom"/>
          </w:tcPr>
          <w:p>
            <w:pPr>
              <w:spacing w:after="0"/>
              <w:rPr>
                <w:sz w:val="17"/>
                <w:szCs w:val="17"/>
                <w:color w:val="auto"/>
              </w:rPr>
            </w:pPr>
          </w:p>
        </w:tc>
        <w:tc>
          <w:tcPr>
            <w:tcW w:w="2580" w:type="dxa"/>
            <w:vAlign w:val="bottom"/>
          </w:tcPr>
          <w:p>
            <w:pPr>
              <w:jc w:val="center"/>
              <w:spacing w:after="0" w:line="207" w:lineRule="exact"/>
              <w:rPr>
                <w:sz w:val="20"/>
                <w:szCs w:val="20"/>
                <w:color w:val="auto"/>
              </w:rPr>
            </w:pPr>
            <w:r>
              <w:rPr>
                <w:rFonts w:ascii="Arial" w:cs="Arial" w:eastAsia="Arial" w:hAnsi="Arial"/>
                <w:sz w:val="15"/>
                <w:szCs w:val="15"/>
                <w:color w:val="auto"/>
                <w:w w:val="93"/>
              </w:rPr>
              <w:t>F1+</w:t>
            </w:r>
            <w:r>
              <w:rPr>
                <w:rFonts w:ascii="Arial" w:cs="Arial" w:eastAsia="Arial" w:hAnsi="Arial"/>
                <w:sz w:val="20"/>
                <w:szCs w:val="20"/>
                <w:color w:val="auto"/>
                <w:w w:val="93"/>
                <w:vertAlign w:val="superscript"/>
              </w:rPr>
              <w:t>(2)</w:t>
            </w:r>
          </w:p>
        </w:tc>
      </w:tr>
      <w:tr>
        <w:trPr>
          <w:trHeight w:val="196"/>
        </w:trPr>
        <w:tc>
          <w:tcPr>
            <w:tcW w:w="3040" w:type="dxa"/>
            <w:vAlign w:val="bottom"/>
          </w:tcPr>
          <w:p>
            <w:pPr>
              <w:ind w:left="20"/>
              <w:spacing w:after="0"/>
              <w:rPr>
                <w:sz w:val="20"/>
                <w:szCs w:val="20"/>
                <w:color w:val="auto"/>
              </w:rPr>
            </w:pPr>
            <w:r>
              <w:rPr>
                <w:rFonts w:ascii="Arial" w:cs="Arial" w:eastAsia="Arial" w:hAnsi="Arial"/>
                <w:sz w:val="15"/>
                <w:szCs w:val="15"/>
                <w:color w:val="auto"/>
              </w:rPr>
              <w:t>Preferred stock</w:t>
            </w:r>
          </w:p>
        </w:tc>
        <w:tc>
          <w:tcPr>
            <w:tcW w:w="2720" w:type="dxa"/>
            <w:vAlign w:val="bottom"/>
          </w:tcPr>
          <w:p>
            <w:pPr>
              <w:jc w:val="center"/>
              <w:spacing w:after="0"/>
              <w:rPr>
                <w:sz w:val="20"/>
                <w:szCs w:val="20"/>
                <w:color w:val="auto"/>
              </w:rPr>
            </w:pPr>
            <w:r>
              <w:rPr>
                <w:rFonts w:ascii="Arial" w:cs="Arial" w:eastAsia="Arial" w:hAnsi="Arial"/>
                <w:sz w:val="15"/>
                <w:szCs w:val="15"/>
                <w:color w:val="auto"/>
              </w:rPr>
              <w:t>D</w:t>
            </w:r>
          </w:p>
        </w:tc>
        <w:tc>
          <w:tcPr>
            <w:tcW w:w="100" w:type="dxa"/>
            <w:vAlign w:val="bottom"/>
          </w:tcPr>
          <w:p>
            <w:pPr>
              <w:spacing w:after="0"/>
              <w:rPr>
                <w:sz w:val="17"/>
                <w:szCs w:val="17"/>
                <w:color w:val="auto"/>
              </w:rPr>
            </w:pPr>
          </w:p>
        </w:tc>
        <w:tc>
          <w:tcPr>
            <w:tcW w:w="2700" w:type="dxa"/>
            <w:vAlign w:val="bottom"/>
          </w:tcPr>
          <w:p>
            <w:pPr>
              <w:jc w:val="center"/>
              <w:spacing w:after="0"/>
              <w:rPr>
                <w:sz w:val="20"/>
                <w:szCs w:val="20"/>
                <w:color w:val="auto"/>
              </w:rPr>
            </w:pPr>
            <w:r>
              <w:rPr>
                <w:rFonts w:ascii="Arial" w:cs="Arial" w:eastAsia="Arial" w:hAnsi="Arial"/>
                <w:sz w:val="15"/>
                <w:szCs w:val="15"/>
                <w:color w:val="auto"/>
              </w:rPr>
              <w:t>Ca(hyb)</w:t>
            </w:r>
          </w:p>
        </w:tc>
        <w:tc>
          <w:tcPr>
            <w:tcW w:w="100" w:type="dxa"/>
            <w:vAlign w:val="bottom"/>
          </w:tcPr>
          <w:p>
            <w:pPr>
              <w:spacing w:after="0"/>
              <w:rPr>
                <w:sz w:val="17"/>
                <w:szCs w:val="17"/>
                <w:color w:val="auto"/>
              </w:rPr>
            </w:pPr>
          </w:p>
        </w:tc>
        <w:tc>
          <w:tcPr>
            <w:tcW w:w="2580" w:type="dxa"/>
            <w:vAlign w:val="bottom"/>
          </w:tcPr>
          <w:p>
            <w:pPr>
              <w:jc w:val="center"/>
              <w:spacing w:after="0"/>
              <w:rPr>
                <w:sz w:val="20"/>
                <w:szCs w:val="20"/>
                <w:color w:val="auto"/>
              </w:rPr>
            </w:pPr>
            <w:r>
              <w:rPr>
                <w:rFonts w:ascii="Arial" w:cs="Arial" w:eastAsia="Arial" w:hAnsi="Arial"/>
                <w:sz w:val="15"/>
                <w:szCs w:val="15"/>
                <w:color w:val="auto"/>
              </w:rPr>
              <w:t>C/RR6</w:t>
            </w:r>
          </w:p>
        </w:tc>
      </w:tr>
    </w:tbl>
    <w:p>
      <w:pPr>
        <w:spacing w:after="0" w:line="96" w:lineRule="exact"/>
        <w:rPr>
          <w:sz w:val="20"/>
          <w:szCs w:val="20"/>
          <w:color w:val="auto"/>
        </w:rPr>
      </w:pPr>
    </w:p>
    <w:p>
      <w:pPr>
        <w:ind w:left="220" w:hanging="217"/>
        <w:spacing w:after="0"/>
        <w:tabs>
          <w:tab w:leader="none" w:pos="220" w:val="left"/>
        </w:tabs>
        <w:numPr>
          <w:ilvl w:val="0"/>
          <w:numId w:val="59"/>
        </w:numPr>
        <w:rPr>
          <w:rFonts w:ascii="Arial" w:cs="Arial" w:eastAsia="Arial" w:hAnsi="Arial"/>
          <w:sz w:val="18"/>
          <w:szCs w:val="18"/>
          <w:color w:val="auto"/>
          <w:vertAlign w:val="superscript"/>
        </w:rPr>
      </w:pPr>
      <w:r>
        <w:rPr>
          <w:rFonts w:ascii="Arial" w:cs="Arial" w:eastAsia="Arial" w:hAnsi="Arial"/>
          <w:sz w:val="14"/>
          <w:szCs w:val="14"/>
          <w:color w:val="auto"/>
        </w:rPr>
        <w:t>Outlook: Stable.</w:t>
      </w:r>
    </w:p>
    <w:p>
      <w:pPr>
        <w:spacing w:after="0" w:line="41" w:lineRule="exact"/>
        <w:rPr>
          <w:rFonts w:ascii="Arial" w:cs="Arial" w:eastAsia="Arial" w:hAnsi="Arial"/>
          <w:sz w:val="18"/>
          <w:szCs w:val="18"/>
          <w:color w:val="auto"/>
          <w:vertAlign w:val="superscript"/>
        </w:rPr>
      </w:pPr>
    </w:p>
    <w:p>
      <w:pPr>
        <w:ind w:left="220" w:hanging="217"/>
        <w:spacing w:after="0" w:line="190" w:lineRule="auto"/>
        <w:tabs>
          <w:tab w:leader="none" w:pos="220" w:val="left"/>
        </w:tabs>
        <w:numPr>
          <w:ilvl w:val="0"/>
          <w:numId w:val="59"/>
        </w:numPr>
        <w:rPr>
          <w:rFonts w:ascii="Arial" w:cs="Arial" w:eastAsia="Arial" w:hAnsi="Arial"/>
          <w:sz w:val="18"/>
          <w:szCs w:val="18"/>
          <w:color w:val="auto"/>
          <w:vertAlign w:val="superscript"/>
        </w:rPr>
      </w:pPr>
      <w:r>
        <w:rPr>
          <w:rFonts w:ascii="Arial" w:cs="Arial" w:eastAsia="Arial" w:hAnsi="Arial"/>
          <w:sz w:val="14"/>
          <w:szCs w:val="14"/>
          <w:color w:val="auto"/>
        </w:rPr>
        <w:t>Rating Watch Negative.</w:t>
      </w:r>
    </w:p>
    <w:p>
      <w:pPr>
        <w:spacing w:after="0" w:line="8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On May 25, 2023, Fitch Ratings (“Fitch”) placed our ‘AAA’ Long-term Issuer Default Rating, ‘F1+’ Short-term Issuer Default Rating, Government Support Rating and debt ratings on “Rating Watch Negative,” following Fitch’s placement of the United States’ ‘AAA’ Long-term Foreign and Local Currency Issuer Default Ratings on Rating Watch Negative on May 24, 2023. Fitch noted that our Long-Term Issuer Default Rating and Government Support Rating are directly linked to the U.S. government’s Long-Term Issuer Default Ratings, based on Fitch’s view of the U.S. government’s direct financial support of Fannie Mae.</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We have no covenants in our existing debt agreements that would be violated by a downgrade in our credit ratings. However, in connection with certain derivatives counterparties, we could be required to provide additional collateral to or terminate transactions with certain counterparties in the event that our senior unsecured debt ratings are downgraded. For a discussion of additional risks to our business relating to a decrease in our credit ratings, which could include an increase in our borrowing costs and limits on our ability to issue debt, see “MD&amp;A—Liquidity and Capital Management—Liquidity Management— Credit Ratings” and “Risk Factors” in our 2022 Form 10-K.</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51</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840" w:type="dxa"/>
            <w:vAlign w:val="bottom"/>
            <w:tcBorders>
              <w:bottom w:val="single" w:sz="8" w:color="9A9A9A"/>
            </w:tcBorders>
          </w:tcPr>
          <w:p>
            <w:pPr>
              <w:spacing w:after="0"/>
              <w:rPr>
                <w:sz w:val="18"/>
                <w:szCs w:val="18"/>
                <w:color w:val="auto"/>
              </w:rPr>
            </w:pPr>
          </w:p>
        </w:tc>
        <w:tc>
          <w:tcPr>
            <w:tcW w:w="42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54" w:name="page55"/>
    <w:bookmarkEnd w:id="54"/>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Capital Management</w:t>
      </w:r>
    </w:p>
    <w:p>
      <w:pPr>
        <w:spacing w:after="0" w:line="11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Capital Requirements</w:t>
      </w:r>
    </w:p>
    <w:p>
      <w:pPr>
        <w:spacing w:after="0" w:line="97"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The table below sets forth information about our capital requirements under the standardized approach of the enterprise regulatory capital framework. Available capital for purposes of the enterprise regulatory capital framework excludes the stated value of the senior preferred stock ($120.8 billion) and other amounts specified in the Regulatory Capital Components table below. Because of these exclusions, we had a deficit in available capital as of June 30, 2023, even though we had positive net worth under GAAP of $69.0 billion as of June 30, 2023. See “Business—Legislation and Regulation—GSE-Focused Matters—Capital Requirements” in our 2022 Form 10-K for a description of our capital requirements under the enterprise regulatory capital framework. Although the enterprise regulatory capital framework went into effect in February 2021, we are not required to hold capital according to the framework’s requirements until the date of termination of our conservatorship, or such later date as may be ordered by FHFA.</w:t>
      </w:r>
    </w:p>
    <w:p>
      <w:pPr>
        <w:spacing w:after="0" w:line="45" w:lineRule="exact"/>
        <w:rPr>
          <w:sz w:val="20"/>
          <w:szCs w:val="20"/>
          <w:color w:val="auto"/>
        </w:rPr>
      </w:pPr>
    </w:p>
    <w:p>
      <w:pPr>
        <w:ind w:right="180"/>
        <w:spacing w:after="0" w:line="267" w:lineRule="auto"/>
        <w:rPr>
          <w:sz w:val="20"/>
          <w:szCs w:val="20"/>
          <w:color w:val="auto"/>
        </w:rPr>
      </w:pPr>
      <w:r>
        <w:rPr>
          <w:rFonts w:ascii="Arial" w:cs="Arial" w:eastAsia="Arial" w:hAnsi="Arial"/>
          <w:sz w:val="16"/>
          <w:szCs w:val="16"/>
          <w:color w:val="auto"/>
        </w:rPr>
        <w:t>We had a $248 billion shortfall of our available capital (deficit) to the adjusted total capital requirement (including buffers) of $184 billion under the standardized approach of the enterprise regulatory capital framework as of June 30, 2023. Our capital shortfall decreased to $248 billion from $258 billion as of December 31, 2022, primarily as a result of an increase in our retained earnings.</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Capital Metrics under the Enterprise Regulatory Capital Framework as of June 30, 2023</w:t>
      </w:r>
      <w:r>
        <w:rPr>
          <w:rFonts w:ascii="Arial" w:cs="Arial" w:eastAsia="Arial" w:hAnsi="Arial"/>
          <w:sz w:val="24"/>
          <w:szCs w:val="24"/>
          <w:b w:val="1"/>
          <w:bCs w:val="1"/>
          <w:color w:val="05314D"/>
          <w:vertAlign w:val="superscript"/>
        </w:rPr>
        <w:t>(1)</w:t>
      </w:r>
    </w:p>
    <w:tbl>
      <w:tblPr>
        <w:tblLayout w:type="fixed"/>
        <w:tblInd w:w="0" w:type="dxa"/>
        <w:tblCellMar>
          <w:top w:w="0" w:type="dxa"/>
          <w:left w:w="0" w:type="dxa"/>
          <w:bottom w:w="0" w:type="dxa"/>
          <w:right w:w="0" w:type="dxa"/>
        </w:tblCellMar>
      </w:tblPr>
      <w:tr>
        <w:trPr>
          <w:trHeight w:val="198"/>
        </w:trPr>
        <w:tc>
          <w:tcPr>
            <w:tcW w:w="2740" w:type="dxa"/>
            <w:vAlign w:val="bottom"/>
            <w:tcBorders>
              <w:top w:val="single" w:sz="8" w:color="2C6937"/>
            </w:tcBorders>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1240" w:type="dxa"/>
            <w:vAlign w:val="bottom"/>
            <w:tcBorders>
              <w:top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160" w:type="dxa"/>
            <w:vAlign w:val="bottom"/>
            <w:tcBorders>
              <w:top w:val="single" w:sz="8" w:color="2C6937"/>
            </w:tcBorders>
          </w:tcPr>
          <w:p>
            <w:pPr>
              <w:spacing w:after="0"/>
              <w:rPr>
                <w:sz w:val="17"/>
                <w:szCs w:val="17"/>
                <w:color w:val="auto"/>
              </w:rPr>
            </w:pPr>
          </w:p>
        </w:tc>
        <w:tc>
          <w:tcPr>
            <w:tcW w:w="2200" w:type="dxa"/>
            <w:vAlign w:val="bottom"/>
            <w:tcBorders>
              <w:top w:val="single" w:sz="8" w:color="2C6937"/>
            </w:tcBorders>
            <w:gridSpan w:val="3"/>
          </w:tcPr>
          <w:p>
            <w:pPr>
              <w:ind w:left="620"/>
              <w:spacing w:after="0"/>
              <w:rPr>
                <w:sz w:val="20"/>
                <w:szCs w:val="20"/>
                <w:color w:val="auto"/>
              </w:rPr>
            </w:pPr>
            <w:r>
              <w:rPr>
                <w:rFonts w:ascii="Arial" w:cs="Arial" w:eastAsia="Arial" w:hAnsi="Arial"/>
                <w:sz w:val="14"/>
                <w:szCs w:val="14"/>
                <w:b w:val="1"/>
                <w:bCs w:val="1"/>
                <w:color w:val="auto"/>
              </w:rPr>
              <w:t>(Dollars in billions)</w:t>
            </w:r>
          </w:p>
        </w:tc>
        <w:tc>
          <w:tcPr>
            <w:tcW w:w="280" w:type="dxa"/>
            <w:vAlign w:val="bottom"/>
            <w:tcBorders>
              <w:top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1240" w:type="dxa"/>
            <w:vAlign w:val="bottom"/>
            <w:tcBorders>
              <w:top w:val="single" w:sz="8" w:color="2C6937"/>
            </w:tcBorders>
          </w:tcPr>
          <w:p>
            <w:pPr>
              <w:spacing w:after="0"/>
              <w:rPr>
                <w:sz w:val="17"/>
                <w:szCs w:val="17"/>
                <w:color w:val="auto"/>
              </w:rPr>
            </w:pPr>
          </w:p>
        </w:tc>
        <w:tc>
          <w:tcPr>
            <w:tcW w:w="380" w:type="dxa"/>
            <w:vAlign w:val="bottom"/>
            <w:tcBorders>
              <w:top w:val="single" w:sz="8" w:color="2C6937"/>
            </w:tcBorders>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220" w:type="dxa"/>
            <w:vAlign w:val="bottom"/>
            <w:tcBorders>
              <w:top w:val="single" w:sz="8" w:color="2C6937"/>
            </w:tcBorders>
          </w:tcPr>
          <w:p>
            <w:pPr>
              <w:spacing w:after="0"/>
              <w:rPr>
                <w:sz w:val="17"/>
                <w:szCs w:val="17"/>
                <w:color w:val="auto"/>
              </w:rPr>
            </w:pPr>
          </w:p>
        </w:tc>
        <w:tc>
          <w:tcPr>
            <w:tcW w:w="1020" w:type="dxa"/>
            <w:vAlign w:val="bottom"/>
            <w:tcBorders>
              <w:top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480" w:type="dxa"/>
            <w:vAlign w:val="bottom"/>
            <w:tcBorders>
              <w:top w:val="single" w:sz="8" w:color="2C6937"/>
            </w:tcBorders>
          </w:tcPr>
          <w:p>
            <w:pPr>
              <w:spacing w:after="0"/>
              <w:rPr>
                <w:sz w:val="17"/>
                <w:szCs w:val="17"/>
                <w:color w:val="auto"/>
              </w:rPr>
            </w:pPr>
          </w:p>
        </w:tc>
        <w:tc>
          <w:tcPr>
            <w:tcW w:w="760" w:type="dxa"/>
            <w:vAlign w:val="bottom"/>
            <w:tcBorders>
              <w:top w:val="single" w:sz="8" w:color="2C6937"/>
            </w:tcBorders>
          </w:tcPr>
          <w:p>
            <w:pPr>
              <w:spacing w:after="0"/>
              <w:rPr>
                <w:sz w:val="17"/>
                <w:szCs w:val="17"/>
                <w:color w:val="auto"/>
              </w:rPr>
            </w:pPr>
          </w:p>
        </w:tc>
      </w:tr>
      <w:tr>
        <w:trPr>
          <w:trHeight w:val="202"/>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gridSpan w:val="4"/>
          </w:tcPr>
          <w:p>
            <w:pPr>
              <w:ind w:left="20"/>
              <w:spacing w:after="0"/>
              <w:rPr>
                <w:sz w:val="20"/>
                <w:szCs w:val="20"/>
                <w:color w:val="auto"/>
              </w:rPr>
            </w:pPr>
            <w:r>
              <w:rPr>
                <w:rFonts w:ascii="Arial" w:cs="Arial" w:eastAsia="Arial" w:hAnsi="Arial"/>
                <w:sz w:val="15"/>
                <w:szCs w:val="15"/>
                <w:color w:val="auto"/>
              </w:rPr>
              <w:t>Stress capital buffer</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gridSpan w:val="2"/>
          </w:tcPr>
          <w:p>
            <w:pPr>
              <w:jc w:val="right"/>
              <w:ind w:right="311"/>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206"/>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gridSpan w:val="4"/>
          </w:tcPr>
          <w:p>
            <w:pPr>
              <w:ind w:left="20"/>
              <w:spacing w:after="0"/>
              <w:rPr>
                <w:sz w:val="20"/>
                <w:szCs w:val="20"/>
                <w:color w:val="auto"/>
              </w:rPr>
            </w:pPr>
            <w:r>
              <w:rPr>
                <w:rFonts w:ascii="Arial" w:cs="Arial" w:eastAsia="Arial" w:hAnsi="Arial"/>
                <w:sz w:val="15"/>
                <w:szCs w:val="15"/>
                <w:color w:val="auto"/>
              </w:rPr>
              <w:t>Stability capital buffer</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45</w:t>
            </w:r>
          </w:p>
        </w:tc>
      </w:tr>
      <w:tr>
        <w:trPr>
          <w:trHeight w:val="206"/>
        </w:trPr>
        <w:tc>
          <w:tcPr>
            <w:tcW w:w="2740" w:type="dxa"/>
            <w:vAlign w:val="bottom"/>
          </w:tcPr>
          <w:p>
            <w:pPr>
              <w:ind w:left="20"/>
              <w:spacing w:after="0"/>
              <w:rPr>
                <w:sz w:val="20"/>
                <w:szCs w:val="20"/>
                <w:color w:val="auto"/>
              </w:rPr>
            </w:pPr>
            <w:r>
              <w:rPr>
                <w:rFonts w:ascii="Arial" w:cs="Arial" w:eastAsia="Arial" w:hAnsi="Arial"/>
                <w:sz w:val="15"/>
                <w:szCs w:val="15"/>
                <w:color w:val="auto"/>
              </w:rPr>
              <w:t>Adjusted total assets</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124"/>
              <w:spacing w:after="0"/>
              <w:rPr>
                <w:sz w:val="20"/>
                <w:szCs w:val="20"/>
                <w:color w:val="auto"/>
              </w:rPr>
            </w:pPr>
            <w:r>
              <w:rPr>
                <w:rFonts w:ascii="Arial" w:cs="Arial" w:eastAsia="Arial" w:hAnsi="Arial"/>
                <w:sz w:val="15"/>
                <w:szCs w:val="15"/>
                <w:color w:val="auto"/>
              </w:rPr>
              <w:t>4,562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tcBorders>
              <w:bottom w:val="single" w:sz="8" w:color="2C6937"/>
            </w:tcBorders>
            <w:gridSpan w:val="4"/>
          </w:tcPr>
          <w:p>
            <w:pPr>
              <w:ind w:left="20"/>
              <w:spacing w:after="0"/>
              <w:rPr>
                <w:sz w:val="20"/>
                <w:szCs w:val="20"/>
                <w:color w:val="auto"/>
              </w:rPr>
            </w:pPr>
            <w:r>
              <w:rPr>
                <w:rFonts w:ascii="Arial" w:cs="Arial" w:eastAsia="Arial" w:hAnsi="Arial"/>
                <w:sz w:val="15"/>
                <w:szCs w:val="15"/>
                <w:color w:val="auto"/>
              </w:rPr>
              <w:t>Countercyclical capital buffer</w:t>
            </w:r>
          </w:p>
        </w:tc>
        <w:tc>
          <w:tcPr>
            <w:tcW w:w="38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r>
      <w:tr>
        <w:trPr>
          <w:trHeight w:val="202"/>
        </w:trPr>
        <w:tc>
          <w:tcPr>
            <w:tcW w:w="2740" w:type="dxa"/>
            <w:vAlign w:val="bottom"/>
          </w:tcPr>
          <w:p>
            <w:pPr>
              <w:ind w:left="20"/>
              <w:spacing w:after="0"/>
              <w:rPr>
                <w:sz w:val="20"/>
                <w:szCs w:val="20"/>
                <w:color w:val="auto"/>
              </w:rPr>
            </w:pPr>
            <w:r>
              <w:rPr>
                <w:rFonts w:ascii="Arial" w:cs="Arial" w:eastAsia="Arial" w:hAnsi="Arial"/>
                <w:sz w:val="15"/>
                <w:szCs w:val="15"/>
                <w:color w:val="auto"/>
              </w:rPr>
              <w:t>Risk-weighted assets</w:t>
            </w:r>
          </w:p>
        </w:tc>
        <w:tc>
          <w:tcPr>
            <w:tcW w:w="140" w:type="dxa"/>
            <w:vAlign w:val="bottom"/>
          </w:tcPr>
          <w:p>
            <w:pPr>
              <w:spacing w:after="0"/>
              <w:rPr>
                <w:sz w:val="17"/>
                <w:szCs w:val="17"/>
                <w:color w:val="auto"/>
              </w:rPr>
            </w:pPr>
          </w:p>
        </w:tc>
        <w:tc>
          <w:tcPr>
            <w:tcW w:w="1240" w:type="dxa"/>
            <w:vAlign w:val="bottom"/>
          </w:tcPr>
          <w:p>
            <w:pPr>
              <w:jc w:val="right"/>
              <w:ind w:right="124"/>
              <w:spacing w:after="0"/>
              <w:rPr>
                <w:sz w:val="20"/>
                <w:szCs w:val="20"/>
                <w:color w:val="auto"/>
              </w:rPr>
            </w:pPr>
            <w:r>
              <w:rPr>
                <w:rFonts w:ascii="Arial" w:cs="Arial" w:eastAsia="Arial" w:hAnsi="Arial"/>
                <w:sz w:val="15"/>
                <w:szCs w:val="15"/>
                <w:color w:val="auto"/>
              </w:rPr>
              <w:t>1,316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80" w:type="dxa"/>
            <w:vAlign w:val="bottom"/>
            <w:gridSpan w:val="7"/>
          </w:tcPr>
          <w:p>
            <w:pPr>
              <w:ind w:left="20"/>
              <w:spacing w:after="0"/>
              <w:rPr>
                <w:sz w:val="20"/>
                <w:szCs w:val="20"/>
                <w:color w:val="auto"/>
              </w:rPr>
            </w:pPr>
            <w:r>
              <w:rPr>
                <w:rFonts w:ascii="Arial" w:cs="Arial" w:eastAsia="Arial" w:hAnsi="Arial"/>
                <w:sz w:val="15"/>
                <w:szCs w:val="15"/>
                <w:color w:val="auto"/>
              </w:rPr>
              <w:t>Prescribed capital conservation buffer amount</w:t>
            </w:r>
          </w:p>
        </w:tc>
        <w:tc>
          <w:tcPr>
            <w:tcW w:w="1020" w:type="dxa"/>
            <w:vAlign w:val="bottom"/>
          </w:tcPr>
          <w:p>
            <w:pPr>
              <w:spacing w:after="0"/>
              <w:rPr>
                <w:sz w:val="17"/>
                <w:szCs w:val="17"/>
                <w:color w:val="auto"/>
              </w:rPr>
            </w:pPr>
          </w:p>
        </w:tc>
        <w:tc>
          <w:tcPr>
            <w:tcW w:w="580" w:type="dxa"/>
            <w:vAlign w:val="bottom"/>
            <w:gridSpan w:val="2"/>
          </w:tcPr>
          <w:p>
            <w:pPr>
              <w:jc w:val="right"/>
              <w:ind w:right="311"/>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79</w:t>
            </w:r>
          </w:p>
        </w:tc>
      </w:tr>
      <w:tr>
        <w:trPr>
          <w:trHeight w:val="216"/>
        </w:trPr>
        <w:tc>
          <w:tcPr>
            <w:tcW w:w="2740" w:type="dxa"/>
            <w:vAlign w:val="bottom"/>
            <w:tcBorders>
              <w:top w:val="single" w:sz="8" w:color="2C6937"/>
            </w:tcBorders>
          </w:tcPr>
          <w:p>
            <w:pPr>
              <w:spacing w:after="0"/>
              <w:rPr>
                <w:sz w:val="18"/>
                <w:szCs w:val="18"/>
                <w:color w:val="auto"/>
              </w:rPr>
            </w:pPr>
          </w:p>
        </w:tc>
        <w:tc>
          <w:tcPr>
            <w:tcW w:w="140" w:type="dxa"/>
            <w:vAlign w:val="bottom"/>
            <w:tcBorders>
              <w:top w:val="single" w:sz="8" w:color="2C6937"/>
            </w:tcBorders>
          </w:tcPr>
          <w:p>
            <w:pPr>
              <w:spacing w:after="0"/>
              <w:rPr>
                <w:sz w:val="18"/>
                <w:szCs w:val="18"/>
                <w:color w:val="auto"/>
              </w:rPr>
            </w:pPr>
          </w:p>
        </w:tc>
        <w:tc>
          <w:tcPr>
            <w:tcW w:w="1240" w:type="dxa"/>
            <w:vAlign w:val="bottom"/>
            <w:tcBorders>
              <w:top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2C6937"/>
            </w:tcBorders>
          </w:tcPr>
          <w:p>
            <w:pPr>
              <w:spacing w:after="0"/>
              <w:rPr>
                <w:sz w:val="18"/>
                <w:szCs w:val="18"/>
                <w:color w:val="auto"/>
              </w:rPr>
            </w:pPr>
          </w:p>
        </w:tc>
        <w:tc>
          <w:tcPr>
            <w:tcW w:w="280" w:type="dxa"/>
            <w:vAlign w:val="bottom"/>
            <w:tcBorders>
              <w:top w:val="single" w:sz="8" w:color="2C6937"/>
            </w:tcBorders>
          </w:tcPr>
          <w:p>
            <w:pPr>
              <w:spacing w:after="0"/>
              <w:rPr>
                <w:sz w:val="18"/>
                <w:szCs w:val="18"/>
                <w:color w:val="auto"/>
              </w:rPr>
            </w:pPr>
          </w:p>
        </w:tc>
        <w:tc>
          <w:tcPr>
            <w:tcW w:w="100" w:type="dxa"/>
            <w:vAlign w:val="bottom"/>
            <w:tcBorders>
              <w:top w:val="single" w:sz="8" w:color="2C6937"/>
            </w:tcBorders>
          </w:tcPr>
          <w:p>
            <w:pPr>
              <w:spacing w:after="0"/>
              <w:rPr>
                <w:sz w:val="18"/>
                <w:szCs w:val="18"/>
                <w:color w:val="auto"/>
              </w:rPr>
            </w:pPr>
          </w:p>
        </w:tc>
        <w:tc>
          <w:tcPr>
            <w:tcW w:w="1240" w:type="dxa"/>
            <w:vAlign w:val="bottom"/>
            <w:tcBorders>
              <w:top w:val="single" w:sz="8" w:color="2C6937"/>
            </w:tcBorders>
          </w:tcPr>
          <w:p>
            <w:pPr>
              <w:jc w:val="center"/>
              <w:ind w:left="291"/>
              <w:spacing w:after="0"/>
              <w:rPr>
                <w:sz w:val="20"/>
                <w:szCs w:val="20"/>
                <w:color w:val="auto"/>
              </w:rPr>
            </w:pPr>
            <w:r>
              <w:rPr>
                <w:rFonts w:ascii="Arial" w:cs="Arial" w:eastAsia="Arial" w:hAnsi="Arial"/>
                <w:sz w:val="14"/>
                <w:szCs w:val="14"/>
                <w:b w:val="1"/>
                <w:bCs w:val="1"/>
                <w:color w:val="auto"/>
                <w:w w:val="95"/>
              </w:rPr>
              <w:t>Total Capital</w:t>
            </w:r>
          </w:p>
        </w:tc>
        <w:tc>
          <w:tcPr>
            <w:tcW w:w="380" w:type="dxa"/>
            <w:vAlign w:val="bottom"/>
            <w:tcBorders>
              <w:top w:val="single" w:sz="8" w:color="2C6937"/>
            </w:tcBorders>
          </w:tcPr>
          <w:p>
            <w:pPr>
              <w:spacing w:after="0"/>
              <w:rPr>
                <w:sz w:val="18"/>
                <w:szCs w:val="18"/>
                <w:color w:val="auto"/>
              </w:rPr>
            </w:pPr>
          </w:p>
        </w:tc>
        <w:tc>
          <w:tcPr>
            <w:tcW w:w="80" w:type="dxa"/>
            <w:vAlign w:val="bottom"/>
            <w:tcBorders>
              <w:top w:val="single" w:sz="8" w:color="2C6937"/>
            </w:tcBorders>
          </w:tcPr>
          <w:p>
            <w:pPr>
              <w:spacing w:after="0"/>
              <w:rPr>
                <w:sz w:val="18"/>
                <w:szCs w:val="18"/>
                <w:color w:val="auto"/>
              </w:rPr>
            </w:pPr>
          </w:p>
        </w:tc>
        <w:tc>
          <w:tcPr>
            <w:tcW w:w="220" w:type="dxa"/>
            <w:vAlign w:val="bottom"/>
            <w:tcBorders>
              <w:top w:val="single" w:sz="8" w:color="2C6937"/>
            </w:tcBorders>
          </w:tcPr>
          <w:p>
            <w:pPr>
              <w:spacing w:after="0"/>
              <w:rPr>
                <w:sz w:val="18"/>
                <w:szCs w:val="18"/>
                <w:color w:val="auto"/>
              </w:rPr>
            </w:pPr>
          </w:p>
        </w:tc>
        <w:tc>
          <w:tcPr>
            <w:tcW w:w="1020" w:type="dxa"/>
            <w:vAlign w:val="bottom"/>
            <w:tcBorders>
              <w:top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2C6937"/>
            </w:tcBorders>
          </w:tcPr>
          <w:p>
            <w:pPr>
              <w:spacing w:after="0"/>
              <w:rPr>
                <w:sz w:val="18"/>
                <w:szCs w:val="18"/>
                <w:color w:val="auto"/>
              </w:rPr>
            </w:pPr>
          </w:p>
        </w:tc>
        <w:tc>
          <w:tcPr>
            <w:tcW w:w="760" w:type="dxa"/>
            <w:vAlign w:val="bottom"/>
            <w:tcBorders>
              <w:top w:val="single" w:sz="8" w:color="2C6937"/>
            </w:tcBorders>
          </w:tcPr>
          <w:p>
            <w:pPr>
              <w:spacing w:after="0"/>
              <w:rPr>
                <w:sz w:val="18"/>
                <w:szCs w:val="18"/>
                <w:color w:val="auto"/>
              </w:rPr>
            </w:pPr>
          </w:p>
        </w:tc>
      </w:tr>
      <w:tr>
        <w:trPr>
          <w:trHeight w:val="166"/>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64"/>
              <w:spacing w:after="0"/>
              <w:rPr>
                <w:sz w:val="20"/>
                <w:szCs w:val="20"/>
                <w:color w:val="auto"/>
              </w:rPr>
            </w:pPr>
            <w:r>
              <w:rPr>
                <w:rFonts w:ascii="Arial" w:cs="Arial" w:eastAsia="Arial" w:hAnsi="Arial"/>
                <w:sz w:val="14"/>
                <w:szCs w:val="14"/>
                <w:b w:val="1"/>
                <w:bCs w:val="1"/>
                <w:color w:val="auto"/>
                <w:w w:val="96"/>
              </w:rPr>
              <w:t>Minimum Capital</w:t>
            </w:r>
          </w:p>
        </w:tc>
        <w:tc>
          <w:tcPr>
            <w:tcW w:w="100" w:type="dxa"/>
            <w:vAlign w:val="bottom"/>
          </w:tcPr>
          <w:p>
            <w:pPr>
              <w:spacing w:after="0"/>
              <w:rPr>
                <w:sz w:val="14"/>
                <w:szCs w:val="14"/>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Minimum Capital</w:t>
            </w:r>
          </w:p>
        </w:tc>
        <w:tc>
          <w:tcPr>
            <w:tcW w:w="980" w:type="dxa"/>
            <w:vAlign w:val="bottom"/>
          </w:tcPr>
          <w:p>
            <w:pPr>
              <w:ind w:left="280"/>
              <w:spacing w:after="0"/>
              <w:rPr>
                <w:sz w:val="20"/>
                <w:szCs w:val="20"/>
                <w:color w:val="auto"/>
              </w:rPr>
            </w:pPr>
            <w:r>
              <w:rPr>
                <w:rFonts w:ascii="Arial" w:cs="Arial" w:eastAsia="Arial" w:hAnsi="Arial"/>
                <w:sz w:val="14"/>
                <w:szCs w:val="14"/>
                <w:b w:val="1"/>
                <w:bCs w:val="1"/>
                <w:color w:val="auto"/>
                <w:w w:val="95"/>
              </w:rPr>
              <w:t>Applicable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Requirement (including</w:t>
            </w:r>
          </w:p>
        </w:tc>
        <w:tc>
          <w:tcPr>
            <w:tcW w:w="8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Available Capital</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4"/>
        </w:trPr>
        <w:tc>
          <w:tcPr>
            <w:tcW w:w="2740" w:type="dxa"/>
            <w:vAlign w:val="bottom"/>
          </w:tcPr>
          <w:p>
            <w:pPr>
              <w:spacing w:after="0"/>
              <w:rPr>
                <w:sz w:val="16"/>
                <w:szCs w:val="16"/>
                <w:color w:val="auto"/>
              </w:rPr>
            </w:pPr>
          </w:p>
        </w:tc>
        <w:tc>
          <w:tcPr>
            <w:tcW w:w="1380" w:type="dxa"/>
            <w:vAlign w:val="bottom"/>
            <w:gridSpan w:val="2"/>
          </w:tcPr>
          <w:p>
            <w:pPr>
              <w:jc w:val="right"/>
              <w:ind w:right="4"/>
              <w:spacing w:after="0"/>
              <w:rPr>
                <w:sz w:val="20"/>
                <w:szCs w:val="20"/>
                <w:color w:val="auto"/>
              </w:rPr>
            </w:pPr>
            <w:r>
              <w:rPr>
                <w:rFonts w:ascii="Arial" w:cs="Arial" w:eastAsia="Arial" w:hAnsi="Arial"/>
                <w:sz w:val="14"/>
                <w:szCs w:val="14"/>
                <w:b w:val="1"/>
                <w:bCs w:val="1"/>
                <w:color w:val="auto"/>
              </w:rPr>
              <w:t>Ratio Requirement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Requirement</w:t>
            </w:r>
          </w:p>
        </w:tc>
        <w:tc>
          <w:tcPr>
            <w:tcW w:w="980" w:type="dxa"/>
            <w:vAlign w:val="bottom"/>
          </w:tcPr>
          <w:p>
            <w:pPr>
              <w:ind w:left="340"/>
              <w:spacing w:after="0" w:line="194" w:lineRule="exact"/>
              <w:rPr>
                <w:sz w:val="20"/>
                <w:szCs w:val="20"/>
                <w:color w:val="auto"/>
              </w:rPr>
            </w:pPr>
            <w:r>
              <w:rPr>
                <w:rFonts w:ascii="Arial" w:cs="Arial" w:eastAsia="Arial" w:hAnsi="Arial"/>
                <w:sz w:val="14"/>
                <w:szCs w:val="14"/>
                <w:b w:val="1"/>
                <w:bCs w:val="1"/>
                <w:color w:val="auto"/>
                <w:w w:val="98"/>
              </w:rPr>
              <w:t>Buffers</w:t>
            </w:r>
            <w:r>
              <w:rPr>
                <w:rFonts w:ascii="Arial" w:cs="Arial" w:eastAsia="Arial" w:hAnsi="Arial"/>
                <w:sz w:val="17"/>
                <w:szCs w:val="17"/>
                <w:b w:val="1"/>
                <w:bCs w:val="1"/>
                <w:color w:val="auto"/>
                <w:w w:val="98"/>
                <w:vertAlign w:val="superscript"/>
              </w:rPr>
              <w:t>(2)</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ind w:left="291"/>
              <w:spacing w:after="0"/>
              <w:rPr>
                <w:sz w:val="20"/>
                <w:szCs w:val="20"/>
                <w:color w:val="auto"/>
              </w:rPr>
            </w:pPr>
            <w:r>
              <w:rPr>
                <w:rFonts w:ascii="Arial" w:cs="Arial" w:eastAsia="Arial" w:hAnsi="Arial"/>
                <w:sz w:val="14"/>
                <w:szCs w:val="14"/>
                <w:b w:val="1"/>
                <w:bCs w:val="1"/>
                <w:color w:val="auto"/>
                <w:w w:val="96"/>
              </w:rPr>
              <w:t>Buffers)</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224"/>
              <w:spacing w:after="0" w:line="194" w:lineRule="exact"/>
              <w:rPr>
                <w:sz w:val="20"/>
                <w:szCs w:val="20"/>
                <w:color w:val="auto"/>
              </w:rPr>
            </w:pPr>
            <w:r>
              <w:rPr>
                <w:rFonts w:ascii="Arial" w:cs="Arial" w:eastAsia="Arial" w:hAnsi="Arial"/>
                <w:sz w:val="14"/>
                <w:szCs w:val="14"/>
                <w:b w:val="1"/>
                <w:bCs w:val="1"/>
                <w:color w:val="auto"/>
              </w:rPr>
              <w:t>(Deficit)</w:t>
            </w:r>
            <w:r>
              <w:rPr>
                <w:rFonts w:ascii="Arial" w:cs="Arial" w:eastAsia="Arial" w:hAnsi="Arial"/>
                <w:sz w:val="17"/>
                <w:szCs w:val="17"/>
                <w:b w:val="1"/>
                <w:bCs w:val="1"/>
                <w:color w:val="auto"/>
                <w:vertAlign w:val="superscript"/>
              </w:rPr>
              <w:t>(3)</w:t>
            </w:r>
          </w:p>
        </w:tc>
        <w:tc>
          <w:tcPr>
            <w:tcW w:w="100" w:type="dxa"/>
            <w:vAlign w:val="bottom"/>
          </w:tcPr>
          <w:p>
            <w:pPr>
              <w:spacing w:after="0"/>
              <w:rPr>
                <w:sz w:val="16"/>
                <w:szCs w:val="16"/>
                <w:color w:val="auto"/>
              </w:rPr>
            </w:pPr>
          </w:p>
        </w:tc>
        <w:tc>
          <w:tcPr>
            <w:tcW w:w="1240" w:type="dxa"/>
            <w:vAlign w:val="bottom"/>
            <w:gridSpan w:val="2"/>
          </w:tcPr>
          <w:p>
            <w:pPr>
              <w:jc w:val="right"/>
              <w:spacing w:after="0" w:line="194" w:lineRule="exact"/>
              <w:rPr>
                <w:sz w:val="20"/>
                <w:szCs w:val="20"/>
                <w:color w:val="auto"/>
              </w:rPr>
            </w:pPr>
            <w:r>
              <w:rPr>
                <w:rFonts w:ascii="Arial" w:cs="Arial" w:eastAsia="Arial" w:hAnsi="Arial"/>
                <w:sz w:val="14"/>
                <w:szCs w:val="14"/>
                <w:b w:val="1"/>
                <w:bCs w:val="1"/>
                <w:color w:val="auto"/>
                <w:w w:val="97"/>
              </w:rPr>
              <w:t>Capital Shortfall</w:t>
            </w:r>
            <w:r>
              <w:rPr>
                <w:rFonts w:ascii="Arial" w:cs="Arial" w:eastAsia="Arial" w:hAnsi="Arial"/>
                <w:sz w:val="17"/>
                <w:szCs w:val="17"/>
                <w:b w:val="1"/>
                <w:bCs w:val="1"/>
                <w:color w:val="auto"/>
                <w:w w:val="97"/>
                <w:vertAlign w:val="superscript"/>
              </w:rPr>
              <w:t>(4)</w:t>
            </w:r>
          </w:p>
        </w:tc>
      </w:tr>
      <w:tr>
        <w:trPr>
          <w:trHeight w:val="204"/>
        </w:trPr>
        <w:tc>
          <w:tcPr>
            <w:tcW w:w="2740" w:type="dxa"/>
            <w:vAlign w:val="bottom"/>
          </w:tcPr>
          <w:p>
            <w:pPr>
              <w:ind w:left="20"/>
              <w:spacing w:after="0"/>
              <w:rPr>
                <w:sz w:val="20"/>
                <w:szCs w:val="20"/>
                <w:color w:val="auto"/>
              </w:rPr>
            </w:pPr>
            <w:r>
              <w:rPr>
                <w:rFonts w:ascii="Arial" w:cs="Arial" w:eastAsia="Arial" w:hAnsi="Arial"/>
                <w:sz w:val="15"/>
                <w:szCs w:val="15"/>
                <w:b w:val="1"/>
                <w:bCs w:val="1"/>
                <w:color w:val="auto"/>
              </w:rPr>
              <w:t>Risk-based capital:</w:t>
            </w:r>
          </w:p>
        </w:tc>
        <w:tc>
          <w:tcPr>
            <w:tcW w:w="140" w:type="dxa"/>
            <w:vAlign w:val="bottom"/>
            <w:tcBorders>
              <w:top w:val="single" w:sz="8" w:color="2C6937"/>
            </w:tcBorders>
          </w:tcPr>
          <w:p>
            <w:pPr>
              <w:spacing w:after="0"/>
              <w:rPr>
                <w:sz w:val="17"/>
                <w:szCs w:val="17"/>
                <w:color w:val="auto"/>
              </w:rPr>
            </w:pPr>
          </w:p>
        </w:tc>
        <w:tc>
          <w:tcPr>
            <w:tcW w:w="124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2C6937"/>
            </w:tcBorders>
          </w:tcPr>
          <w:p>
            <w:pPr>
              <w:spacing w:after="0"/>
              <w:rPr>
                <w:sz w:val="17"/>
                <w:szCs w:val="17"/>
                <w:color w:val="auto"/>
              </w:rPr>
            </w:pPr>
          </w:p>
        </w:tc>
        <w:tc>
          <w:tcPr>
            <w:tcW w:w="112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top w:val="single" w:sz="8" w:color="2C6937"/>
            </w:tcBorders>
          </w:tcPr>
          <w:p>
            <w:pPr>
              <w:spacing w:after="0"/>
              <w:rPr>
                <w:sz w:val="17"/>
                <w:szCs w:val="17"/>
                <w:color w:val="auto"/>
              </w:rPr>
            </w:pPr>
          </w:p>
        </w:tc>
        <w:tc>
          <w:tcPr>
            <w:tcW w:w="28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top w:val="single" w:sz="8" w:color="2C6937"/>
            </w:tcBorders>
          </w:tcPr>
          <w:p>
            <w:pPr>
              <w:spacing w:after="0"/>
              <w:rPr>
                <w:sz w:val="17"/>
                <w:szCs w:val="17"/>
                <w:color w:val="auto"/>
              </w:rPr>
            </w:pPr>
          </w:p>
        </w:tc>
        <w:tc>
          <w:tcPr>
            <w:tcW w:w="380" w:type="dxa"/>
            <w:vAlign w:val="bottom"/>
            <w:tcBorders>
              <w:top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2C6937"/>
            </w:tcBorders>
          </w:tcPr>
          <w:p>
            <w:pPr>
              <w:spacing w:after="0"/>
              <w:rPr>
                <w:sz w:val="17"/>
                <w:szCs w:val="17"/>
                <w:color w:val="auto"/>
              </w:rPr>
            </w:pPr>
          </w:p>
        </w:tc>
        <w:tc>
          <w:tcPr>
            <w:tcW w:w="102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2C6937"/>
            </w:tcBorders>
          </w:tcPr>
          <w:p>
            <w:pPr>
              <w:spacing w:after="0"/>
              <w:rPr>
                <w:sz w:val="17"/>
                <w:szCs w:val="17"/>
                <w:color w:val="auto"/>
              </w:rPr>
            </w:pPr>
          </w:p>
        </w:tc>
        <w:tc>
          <w:tcPr>
            <w:tcW w:w="760" w:type="dxa"/>
            <w:vAlign w:val="bottom"/>
            <w:tcBorders>
              <w:top w:val="single" w:sz="8" w:color="2C6937"/>
            </w:tcBorders>
          </w:tcPr>
          <w:p>
            <w:pPr>
              <w:spacing w:after="0"/>
              <w:rPr>
                <w:sz w:val="17"/>
                <w:szCs w:val="17"/>
                <w:color w:val="auto"/>
              </w:rPr>
            </w:pPr>
          </w:p>
        </w:tc>
      </w:tr>
      <w:tr>
        <w:trPr>
          <w:trHeight w:val="206"/>
        </w:trPr>
        <w:tc>
          <w:tcPr>
            <w:tcW w:w="2740" w:type="dxa"/>
            <w:vAlign w:val="bottom"/>
          </w:tcPr>
          <w:p>
            <w:pPr>
              <w:ind w:left="260"/>
              <w:spacing w:after="0" w:line="207" w:lineRule="exact"/>
              <w:rPr>
                <w:sz w:val="20"/>
                <w:szCs w:val="20"/>
                <w:color w:val="auto"/>
              </w:rPr>
            </w:pPr>
            <w:r>
              <w:rPr>
                <w:rFonts w:ascii="Arial" w:cs="Arial" w:eastAsia="Arial" w:hAnsi="Arial"/>
                <w:sz w:val="15"/>
                <w:szCs w:val="15"/>
                <w:color w:val="auto"/>
              </w:rPr>
              <w:t>Total capital (statutory)</w:t>
            </w:r>
            <w:r>
              <w:rPr>
                <w:rFonts w:ascii="Arial" w:cs="Arial" w:eastAsia="Arial" w:hAnsi="Arial"/>
                <w:sz w:val="20"/>
                <w:szCs w:val="20"/>
                <w:color w:val="auto"/>
                <w:vertAlign w:val="superscript"/>
              </w:rPr>
              <w:t>(5)</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8.0 %</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105</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jc w:val="center"/>
              <w:spacing w:after="0"/>
              <w:rPr>
                <w:sz w:val="20"/>
                <w:szCs w:val="20"/>
                <w:color w:val="auto"/>
              </w:rPr>
            </w:pPr>
            <w:r>
              <w:rPr>
                <w:rFonts w:ascii="Arial" w:cs="Arial" w:eastAsia="Arial" w:hAnsi="Arial"/>
                <w:sz w:val="15"/>
                <w:szCs w:val="15"/>
                <w:color w:val="auto"/>
              </w:rPr>
              <w:t>N/A</w:t>
            </w:r>
          </w:p>
        </w:tc>
        <w:tc>
          <w:tcPr>
            <w:tcW w:w="1340" w:type="dxa"/>
            <w:vAlign w:val="bottom"/>
            <w:gridSpan w:val="2"/>
          </w:tcPr>
          <w:p>
            <w:pPr>
              <w:jc w:val="right"/>
              <w:ind w:right="1071"/>
              <w:spacing w:after="0"/>
              <w:rPr>
                <w:sz w:val="20"/>
                <w:szCs w:val="20"/>
                <w:color w:val="auto"/>
              </w:rPr>
            </w:pPr>
            <w:r>
              <w:rPr>
                <w:rFonts w:ascii="Arial" w:cs="Arial" w:eastAsia="Arial" w:hAnsi="Arial"/>
                <w:sz w:val="15"/>
                <w:szCs w:val="15"/>
                <w:color w:val="auto"/>
              </w:rPr>
              <w:t>$</w:t>
            </w:r>
          </w:p>
        </w:tc>
        <w:tc>
          <w:tcPr>
            <w:tcW w:w="380" w:type="dxa"/>
            <w:vAlign w:val="bottom"/>
          </w:tcPr>
          <w:p>
            <w:pPr>
              <w:jc w:val="right"/>
              <w:ind w:right="3"/>
              <w:spacing w:after="0"/>
              <w:rPr>
                <w:sz w:val="20"/>
                <w:szCs w:val="20"/>
                <w:color w:val="auto"/>
              </w:rPr>
            </w:pPr>
            <w:r>
              <w:rPr>
                <w:rFonts w:ascii="Arial" w:cs="Arial" w:eastAsia="Arial" w:hAnsi="Arial"/>
                <w:sz w:val="15"/>
                <w:szCs w:val="15"/>
                <w:color w:val="auto"/>
              </w:rPr>
              <w:t>105</w:t>
            </w:r>
          </w:p>
        </w:tc>
        <w:tc>
          <w:tcPr>
            <w:tcW w:w="300" w:type="dxa"/>
            <w:vAlign w:val="bottom"/>
            <w:gridSpan w:val="2"/>
          </w:tcPr>
          <w:p>
            <w:pPr>
              <w:jc w:val="right"/>
              <w:ind w:right="51"/>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(42)</w:t>
            </w:r>
          </w:p>
        </w:tc>
        <w:tc>
          <w:tcPr>
            <w:tcW w:w="580" w:type="dxa"/>
            <w:vAlign w:val="bottom"/>
            <w:gridSpan w:val="2"/>
          </w:tcPr>
          <w:p>
            <w:pPr>
              <w:jc w:val="right"/>
              <w:ind w:right="311"/>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(147)</w:t>
            </w:r>
          </w:p>
        </w:tc>
      </w:tr>
      <w:tr>
        <w:trPr>
          <w:trHeight w:val="196"/>
        </w:trPr>
        <w:tc>
          <w:tcPr>
            <w:tcW w:w="2740" w:type="dxa"/>
            <w:vAlign w:val="bottom"/>
          </w:tcPr>
          <w:p>
            <w:pPr>
              <w:ind w:left="260"/>
              <w:spacing w:after="0"/>
              <w:rPr>
                <w:sz w:val="20"/>
                <w:szCs w:val="20"/>
                <w:color w:val="auto"/>
              </w:rPr>
            </w:pPr>
            <w:r>
              <w:rPr>
                <w:rFonts w:ascii="Arial" w:cs="Arial" w:eastAsia="Arial" w:hAnsi="Arial"/>
                <w:sz w:val="15"/>
                <w:szCs w:val="15"/>
                <w:color w:val="auto"/>
              </w:rPr>
              <w:t>Common equity tier 1 capital</w:t>
            </w:r>
          </w:p>
        </w:tc>
        <w:tc>
          <w:tcPr>
            <w:tcW w:w="140" w:type="dxa"/>
            <w:vAlign w:val="bottom"/>
          </w:tcPr>
          <w:p>
            <w:pPr>
              <w:spacing w:after="0"/>
              <w:rPr>
                <w:sz w:val="17"/>
                <w:szCs w:val="17"/>
                <w:color w:val="auto"/>
              </w:rPr>
            </w:pPr>
          </w:p>
        </w:tc>
        <w:tc>
          <w:tcPr>
            <w:tcW w:w="1240" w:type="dxa"/>
            <w:vAlign w:val="bottom"/>
          </w:tcPr>
          <w:p>
            <w:pPr>
              <w:jc w:val="right"/>
              <w:ind w:right="124"/>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59</w:t>
            </w:r>
          </w:p>
        </w:tc>
        <w:tc>
          <w:tcPr>
            <w:tcW w:w="100" w:type="dxa"/>
            <w:vAlign w:val="bottom"/>
          </w:tcPr>
          <w:p>
            <w:pPr>
              <w:spacing w:after="0"/>
              <w:rPr>
                <w:sz w:val="17"/>
                <w:szCs w:val="17"/>
                <w:color w:val="auto"/>
              </w:rPr>
            </w:pPr>
          </w:p>
        </w:tc>
        <w:tc>
          <w:tcPr>
            <w:tcW w:w="980" w:type="dxa"/>
            <w:vAlign w:val="bottom"/>
          </w:tcPr>
          <w:p>
            <w:pPr>
              <w:ind w:left="20"/>
              <w:spacing w:after="0"/>
              <w:rPr>
                <w:sz w:val="20"/>
                <w:szCs w:val="20"/>
                <w:color w:val="auto"/>
              </w:rPr>
            </w:pPr>
            <w:r>
              <w:rPr>
                <w:rFonts w:ascii="Arial" w:cs="Arial" w:eastAsia="Arial" w:hAnsi="Arial"/>
                <w:sz w:val="15"/>
                <w:szCs w:val="15"/>
                <w:color w:val="auto"/>
              </w:rPr>
              <w:t>$</w:t>
            </w:r>
          </w:p>
        </w:tc>
        <w:tc>
          <w:tcPr>
            <w:tcW w:w="280" w:type="dxa"/>
            <w:vAlign w:val="bottom"/>
          </w:tcPr>
          <w:p>
            <w:pPr>
              <w:jc w:val="center"/>
              <w:spacing w:after="0"/>
              <w:rPr>
                <w:sz w:val="20"/>
                <w:szCs w:val="20"/>
                <w:color w:val="auto"/>
              </w:rPr>
            </w:pPr>
            <w:r>
              <w:rPr>
                <w:rFonts w:ascii="Arial" w:cs="Arial" w:eastAsia="Arial" w:hAnsi="Arial"/>
                <w:sz w:val="15"/>
                <w:szCs w:val="15"/>
                <w:color w:val="auto"/>
                <w:w w:val="95"/>
              </w:rPr>
              <w:t>79</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jc w:val="right"/>
              <w:ind w:right="3"/>
              <w:spacing w:after="0"/>
              <w:rPr>
                <w:sz w:val="20"/>
                <w:szCs w:val="20"/>
                <w:color w:val="auto"/>
              </w:rPr>
            </w:pPr>
            <w:r>
              <w:rPr>
                <w:rFonts w:ascii="Arial" w:cs="Arial" w:eastAsia="Arial" w:hAnsi="Arial"/>
                <w:sz w:val="15"/>
                <w:szCs w:val="15"/>
                <w:color w:val="auto"/>
              </w:rPr>
              <w:t>138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(221)</w:t>
            </w:r>
          </w:p>
        </w:tc>
      </w:tr>
      <w:tr>
        <w:trPr>
          <w:trHeight w:val="206"/>
        </w:trPr>
        <w:tc>
          <w:tcPr>
            <w:tcW w:w="2740" w:type="dxa"/>
            <w:vAlign w:val="bottom"/>
          </w:tcPr>
          <w:p>
            <w:pPr>
              <w:ind w:left="260"/>
              <w:spacing w:after="0"/>
              <w:rPr>
                <w:sz w:val="20"/>
                <w:szCs w:val="20"/>
                <w:color w:val="auto"/>
              </w:rPr>
            </w:pPr>
            <w:r>
              <w:rPr>
                <w:rFonts w:ascii="Arial" w:cs="Arial" w:eastAsia="Arial" w:hAnsi="Arial"/>
                <w:sz w:val="15"/>
                <w:szCs w:val="15"/>
                <w:color w:val="auto"/>
              </w:rPr>
              <w:t>Tier 1 capital</w:t>
            </w:r>
          </w:p>
        </w:tc>
        <w:tc>
          <w:tcPr>
            <w:tcW w:w="140" w:type="dxa"/>
            <w:vAlign w:val="bottom"/>
          </w:tcPr>
          <w:p>
            <w:pPr>
              <w:spacing w:after="0"/>
              <w:rPr>
                <w:sz w:val="17"/>
                <w:szCs w:val="17"/>
                <w:color w:val="auto"/>
              </w:rPr>
            </w:pPr>
          </w:p>
        </w:tc>
        <w:tc>
          <w:tcPr>
            <w:tcW w:w="1240" w:type="dxa"/>
            <w:vAlign w:val="bottom"/>
          </w:tcPr>
          <w:p>
            <w:pPr>
              <w:jc w:val="right"/>
              <w:ind w:right="124"/>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79</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jc w:val="center"/>
              <w:spacing w:after="0"/>
              <w:rPr>
                <w:sz w:val="20"/>
                <w:szCs w:val="20"/>
                <w:color w:val="auto"/>
              </w:rPr>
            </w:pPr>
            <w:r>
              <w:rPr>
                <w:rFonts w:ascii="Arial" w:cs="Arial" w:eastAsia="Arial" w:hAnsi="Arial"/>
                <w:sz w:val="15"/>
                <w:szCs w:val="15"/>
                <w:color w:val="auto"/>
                <w:w w:val="95"/>
              </w:rPr>
              <w:t>79</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jc w:val="right"/>
              <w:ind w:right="3"/>
              <w:spacing w:after="0"/>
              <w:rPr>
                <w:sz w:val="20"/>
                <w:szCs w:val="20"/>
                <w:color w:val="auto"/>
              </w:rPr>
            </w:pPr>
            <w:r>
              <w:rPr>
                <w:rFonts w:ascii="Arial" w:cs="Arial" w:eastAsia="Arial" w:hAnsi="Arial"/>
                <w:sz w:val="15"/>
                <w:szCs w:val="15"/>
                <w:color w:val="auto"/>
              </w:rPr>
              <w:t>158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(222)</w:t>
            </w:r>
          </w:p>
        </w:tc>
      </w:tr>
      <w:tr>
        <w:trPr>
          <w:trHeight w:val="206"/>
        </w:trPr>
        <w:tc>
          <w:tcPr>
            <w:tcW w:w="2740" w:type="dxa"/>
            <w:vAlign w:val="bottom"/>
          </w:tcPr>
          <w:p>
            <w:pPr>
              <w:ind w:left="260"/>
              <w:spacing w:after="0"/>
              <w:rPr>
                <w:sz w:val="20"/>
                <w:szCs w:val="20"/>
                <w:color w:val="auto"/>
              </w:rPr>
            </w:pPr>
            <w:r>
              <w:rPr>
                <w:rFonts w:ascii="Arial" w:cs="Arial" w:eastAsia="Arial" w:hAnsi="Arial"/>
                <w:sz w:val="15"/>
                <w:szCs w:val="15"/>
                <w:color w:val="auto"/>
              </w:rPr>
              <w:t>Adjusted total capital</w:t>
            </w:r>
          </w:p>
        </w:tc>
        <w:tc>
          <w:tcPr>
            <w:tcW w:w="140" w:type="dxa"/>
            <w:vAlign w:val="bottom"/>
          </w:tcPr>
          <w:p>
            <w:pPr>
              <w:spacing w:after="0"/>
              <w:rPr>
                <w:sz w:val="17"/>
                <w:szCs w:val="17"/>
                <w:color w:val="auto"/>
              </w:rPr>
            </w:pPr>
          </w:p>
        </w:tc>
        <w:tc>
          <w:tcPr>
            <w:tcW w:w="1240" w:type="dxa"/>
            <w:vAlign w:val="bottom"/>
          </w:tcPr>
          <w:p>
            <w:pPr>
              <w:jc w:val="right"/>
              <w:ind w:right="124"/>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105</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jc w:val="center"/>
              <w:spacing w:after="0"/>
              <w:rPr>
                <w:sz w:val="20"/>
                <w:szCs w:val="20"/>
                <w:color w:val="auto"/>
              </w:rPr>
            </w:pPr>
            <w:r>
              <w:rPr>
                <w:rFonts w:ascii="Arial" w:cs="Arial" w:eastAsia="Arial" w:hAnsi="Arial"/>
                <w:sz w:val="15"/>
                <w:szCs w:val="15"/>
                <w:color w:val="auto"/>
                <w:w w:val="95"/>
              </w:rPr>
              <w:t>79</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jc w:val="right"/>
              <w:ind w:right="3"/>
              <w:spacing w:after="0"/>
              <w:rPr>
                <w:sz w:val="20"/>
                <w:szCs w:val="20"/>
                <w:color w:val="auto"/>
              </w:rPr>
            </w:pPr>
            <w:r>
              <w:rPr>
                <w:rFonts w:ascii="Arial" w:cs="Arial" w:eastAsia="Arial" w:hAnsi="Arial"/>
                <w:sz w:val="15"/>
                <w:szCs w:val="15"/>
                <w:color w:val="auto"/>
              </w:rPr>
              <w:t>184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(248)</w:t>
            </w:r>
          </w:p>
        </w:tc>
      </w:tr>
      <w:tr>
        <w:trPr>
          <w:trHeight w:val="217"/>
        </w:trPr>
        <w:tc>
          <w:tcPr>
            <w:tcW w:w="2740" w:type="dxa"/>
            <w:vAlign w:val="bottom"/>
          </w:tcPr>
          <w:p>
            <w:pPr>
              <w:ind w:left="20"/>
              <w:spacing w:after="0"/>
              <w:rPr>
                <w:sz w:val="20"/>
                <w:szCs w:val="20"/>
                <w:color w:val="auto"/>
              </w:rPr>
            </w:pPr>
            <w:r>
              <w:rPr>
                <w:rFonts w:ascii="Arial" w:cs="Arial" w:eastAsia="Arial" w:hAnsi="Arial"/>
                <w:sz w:val="15"/>
                <w:szCs w:val="15"/>
                <w:b w:val="1"/>
                <w:bCs w:val="1"/>
                <w:color w:val="auto"/>
              </w:rPr>
              <w:t>Leverage capital:</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6"/>
        </w:trPr>
        <w:tc>
          <w:tcPr>
            <w:tcW w:w="2740" w:type="dxa"/>
            <w:vAlign w:val="bottom"/>
          </w:tcPr>
          <w:p>
            <w:pPr>
              <w:ind w:left="260"/>
              <w:spacing w:after="0" w:line="207" w:lineRule="exact"/>
              <w:rPr>
                <w:sz w:val="20"/>
                <w:szCs w:val="20"/>
                <w:color w:val="auto"/>
              </w:rPr>
            </w:pPr>
            <w:r>
              <w:rPr>
                <w:rFonts w:ascii="Arial" w:cs="Arial" w:eastAsia="Arial" w:hAnsi="Arial"/>
                <w:sz w:val="15"/>
                <w:szCs w:val="15"/>
                <w:color w:val="auto"/>
              </w:rPr>
              <w:t>Core capital (statutory)</w:t>
            </w:r>
            <w:r>
              <w:rPr>
                <w:rFonts w:ascii="Arial" w:cs="Arial" w:eastAsia="Arial" w:hAnsi="Arial"/>
                <w:sz w:val="20"/>
                <w:szCs w:val="20"/>
                <w:color w:val="auto"/>
                <w:vertAlign w:val="superscript"/>
              </w:rPr>
              <w:t>(6)</w:t>
            </w:r>
          </w:p>
        </w:tc>
        <w:tc>
          <w:tcPr>
            <w:tcW w:w="140" w:type="dxa"/>
            <w:vAlign w:val="bottom"/>
          </w:tcPr>
          <w:p>
            <w:pPr>
              <w:spacing w:after="0"/>
              <w:rPr>
                <w:sz w:val="17"/>
                <w:szCs w:val="17"/>
                <w:color w:val="auto"/>
              </w:rPr>
            </w:pPr>
          </w:p>
        </w:tc>
        <w:tc>
          <w:tcPr>
            <w:tcW w:w="1240" w:type="dxa"/>
            <w:vAlign w:val="bottom"/>
          </w:tcPr>
          <w:p>
            <w:pPr>
              <w:jc w:val="right"/>
              <w:ind w:right="124"/>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114</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jc w:val="center"/>
              <w:spacing w:after="0"/>
              <w:rPr>
                <w:sz w:val="20"/>
                <w:szCs w:val="20"/>
                <w:color w:val="auto"/>
              </w:rPr>
            </w:pPr>
            <w:r>
              <w:rPr>
                <w:rFonts w:ascii="Arial" w:cs="Arial" w:eastAsia="Arial" w:hAnsi="Arial"/>
                <w:sz w:val="15"/>
                <w:szCs w:val="15"/>
                <w:color w:val="auto"/>
              </w:rPr>
              <w:t>N/A</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jc w:val="right"/>
              <w:ind w:right="3"/>
              <w:spacing w:after="0"/>
              <w:rPr>
                <w:sz w:val="20"/>
                <w:szCs w:val="20"/>
                <w:color w:val="auto"/>
              </w:rPr>
            </w:pPr>
            <w:r>
              <w:rPr>
                <w:rFonts w:ascii="Arial" w:cs="Arial" w:eastAsia="Arial" w:hAnsi="Arial"/>
                <w:sz w:val="15"/>
                <w:szCs w:val="15"/>
                <w:color w:val="auto"/>
              </w:rPr>
              <w:t>114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(166)</w:t>
            </w:r>
          </w:p>
        </w:tc>
      </w:tr>
      <w:tr>
        <w:trPr>
          <w:trHeight w:val="196"/>
        </w:trPr>
        <w:tc>
          <w:tcPr>
            <w:tcW w:w="2740" w:type="dxa"/>
            <w:vAlign w:val="bottom"/>
          </w:tcPr>
          <w:p>
            <w:pPr>
              <w:ind w:left="260"/>
              <w:spacing w:after="0"/>
              <w:rPr>
                <w:sz w:val="20"/>
                <w:szCs w:val="20"/>
                <w:color w:val="auto"/>
              </w:rPr>
            </w:pPr>
            <w:r>
              <w:rPr>
                <w:rFonts w:ascii="Arial" w:cs="Arial" w:eastAsia="Arial" w:hAnsi="Arial"/>
                <w:sz w:val="15"/>
                <w:szCs w:val="15"/>
                <w:color w:val="auto"/>
              </w:rPr>
              <w:t>Tier 1 capital</w:t>
            </w:r>
          </w:p>
        </w:tc>
        <w:tc>
          <w:tcPr>
            <w:tcW w:w="140" w:type="dxa"/>
            <w:vAlign w:val="bottom"/>
          </w:tcPr>
          <w:p>
            <w:pPr>
              <w:spacing w:after="0"/>
              <w:rPr>
                <w:sz w:val="17"/>
                <w:szCs w:val="17"/>
                <w:color w:val="auto"/>
              </w:rPr>
            </w:pPr>
          </w:p>
        </w:tc>
        <w:tc>
          <w:tcPr>
            <w:tcW w:w="1240" w:type="dxa"/>
            <w:vAlign w:val="bottom"/>
          </w:tcPr>
          <w:p>
            <w:pPr>
              <w:jc w:val="right"/>
              <w:ind w:right="124"/>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114</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jc w:val="center"/>
              <w:spacing w:after="0"/>
              <w:rPr>
                <w:sz w:val="20"/>
                <w:szCs w:val="20"/>
                <w:color w:val="auto"/>
              </w:rPr>
            </w:pPr>
            <w:r>
              <w:rPr>
                <w:rFonts w:ascii="Arial" w:cs="Arial" w:eastAsia="Arial" w:hAnsi="Arial"/>
                <w:sz w:val="15"/>
                <w:szCs w:val="15"/>
                <w:color w:val="auto"/>
                <w:w w:val="95"/>
              </w:rPr>
              <w:t>23</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jc w:val="right"/>
              <w:ind w:right="3"/>
              <w:spacing w:after="0"/>
              <w:rPr>
                <w:sz w:val="20"/>
                <w:szCs w:val="20"/>
                <w:color w:val="auto"/>
              </w:rPr>
            </w:pPr>
            <w:r>
              <w:rPr>
                <w:rFonts w:ascii="Arial" w:cs="Arial" w:eastAsia="Arial" w:hAnsi="Arial"/>
                <w:sz w:val="15"/>
                <w:szCs w:val="15"/>
                <w:color w:val="auto"/>
              </w:rPr>
              <w:t>137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(201)</w:t>
            </w:r>
          </w:p>
        </w:tc>
      </w:tr>
    </w:tbl>
    <w:p>
      <w:pPr>
        <w:spacing w:after="0" w:line="148" w:lineRule="exact"/>
        <w:rPr>
          <w:sz w:val="20"/>
          <w:szCs w:val="20"/>
          <w:color w:val="auto"/>
        </w:rPr>
      </w:pPr>
    </w:p>
    <w:p>
      <w:pPr>
        <w:ind w:left="240" w:hanging="237"/>
        <w:spacing w:after="0"/>
        <w:tabs>
          <w:tab w:leader="none" w:pos="240" w:val="left"/>
        </w:tabs>
        <w:numPr>
          <w:ilvl w:val="0"/>
          <w:numId w:val="60"/>
        </w:numPr>
        <w:rPr>
          <w:rFonts w:ascii="Arial" w:cs="Arial" w:eastAsia="Arial" w:hAnsi="Arial"/>
          <w:sz w:val="18"/>
          <w:szCs w:val="18"/>
          <w:color w:val="auto"/>
          <w:vertAlign w:val="superscript"/>
        </w:rPr>
      </w:pPr>
      <w:r>
        <w:rPr>
          <w:rFonts w:ascii="Arial" w:cs="Arial" w:eastAsia="Arial" w:hAnsi="Arial"/>
          <w:sz w:val="14"/>
          <w:szCs w:val="14"/>
          <w:color w:val="auto"/>
        </w:rPr>
        <w:t>Ratios are calculated as a percentage of risk-weighted assets for risk-based capital metrics and as a percentage of adjusted total assets for leverage capital metrics.</w:t>
      </w:r>
    </w:p>
    <w:p>
      <w:pPr>
        <w:spacing w:after="0" w:line="41" w:lineRule="exact"/>
        <w:rPr>
          <w:rFonts w:ascii="Arial" w:cs="Arial" w:eastAsia="Arial" w:hAnsi="Arial"/>
          <w:sz w:val="18"/>
          <w:szCs w:val="18"/>
          <w:color w:val="auto"/>
          <w:vertAlign w:val="superscript"/>
        </w:rPr>
      </w:pPr>
    </w:p>
    <w:p>
      <w:pPr>
        <w:ind w:left="240" w:right="100" w:hanging="237"/>
        <w:spacing w:after="0" w:line="250" w:lineRule="auto"/>
        <w:tabs>
          <w:tab w:leader="none" w:pos="240" w:val="left"/>
        </w:tabs>
        <w:numPr>
          <w:ilvl w:val="0"/>
          <w:numId w:val="60"/>
        </w:numPr>
        <w:rPr>
          <w:rFonts w:ascii="Arial" w:cs="Arial" w:eastAsia="Arial" w:hAnsi="Arial"/>
          <w:sz w:val="17"/>
          <w:szCs w:val="17"/>
          <w:color w:val="auto"/>
          <w:vertAlign w:val="superscript"/>
        </w:rPr>
      </w:pPr>
      <w:r>
        <w:rPr>
          <w:rFonts w:ascii="Arial" w:cs="Arial" w:eastAsia="Arial" w:hAnsi="Arial"/>
          <w:sz w:val="13"/>
          <w:szCs w:val="13"/>
          <w:color w:val="auto"/>
        </w:rPr>
        <w:t>The applicable buffer for common equity tier 1 capital, tier 1 capital, and adjusted total capital is the prescribed capital conservation buffer amount (“PCCBA”), which is composed of a stress capital buffer, a stability capital buffer, and a countercyclical capital buffer. The applicable buffer for tier 1 capital (leverage based) is the prescribed leverage buffer amount (“PLBA”). The stress capital buffer and countercyclical capital buffer are each calculated by multiplying prescribed factors by adjusted total assets as of the last day of the previous calendar quarter. The 2023 stability capital buffer is calculated by multiplying a factor determined based on our share of mortgage debt outstanding by adjusted total assets as of December 31, 2020. The prescribed leverage buffer for 2023 is set at 50% of the 2023 stability buffer. Going forward the stability buffer and the prescribed leverage buffer will be updated with an effective date that depends on whether the stability capital buffer increases or decreases relative to the previously calculated value.</w:t>
      </w:r>
    </w:p>
    <w:p>
      <w:pPr>
        <w:spacing w:after="0" w:line="26" w:lineRule="exact"/>
        <w:rPr>
          <w:rFonts w:ascii="Arial" w:cs="Arial" w:eastAsia="Arial" w:hAnsi="Arial"/>
          <w:sz w:val="17"/>
          <w:szCs w:val="17"/>
          <w:color w:val="auto"/>
          <w:vertAlign w:val="superscript"/>
        </w:rPr>
      </w:pPr>
    </w:p>
    <w:p>
      <w:pPr>
        <w:ind w:left="240" w:right="120" w:hanging="237"/>
        <w:spacing w:after="0" w:line="256" w:lineRule="auto"/>
        <w:tabs>
          <w:tab w:leader="none" w:pos="240" w:val="left"/>
        </w:tabs>
        <w:numPr>
          <w:ilvl w:val="0"/>
          <w:numId w:val="60"/>
        </w:numPr>
        <w:rPr>
          <w:rFonts w:ascii="Arial" w:cs="Arial" w:eastAsia="Arial" w:hAnsi="Arial"/>
          <w:sz w:val="9"/>
          <w:szCs w:val="9"/>
          <w:color w:val="auto"/>
        </w:rPr>
      </w:pPr>
      <w:r>
        <w:rPr>
          <w:rFonts w:ascii="Arial" w:cs="Arial" w:eastAsia="Arial" w:hAnsi="Arial"/>
          <w:sz w:val="14"/>
          <w:szCs w:val="14"/>
          <w:color w:val="auto"/>
        </w:rPr>
        <w:t>Available capital (deficit) for all line items excludes the stated value of the senior preferred stock ($120.8 billion). Available capital (deficit) for all line items except total capital and core capital also deducts a portion of deferred tax assets. Deferred tax assets arising from temporary differences between GAAP and tax requirements are deducted from capital to the extent they exceed 10% of common equity. As of June 30, 2023, this resulted in the full deduction of deferred tax assets ($12.0 billion) from our available capital (deficit). Available capital (deficit) for common equity tier 1 capital also excludes the value of the non-cumulative perpetual preferred stock ($19.1 billion).</w:t>
      </w:r>
    </w:p>
    <w:p>
      <w:pPr>
        <w:ind w:left="240" w:hanging="237"/>
        <w:spacing w:after="0"/>
        <w:tabs>
          <w:tab w:leader="none" w:pos="240" w:val="left"/>
        </w:tabs>
        <w:numPr>
          <w:ilvl w:val="0"/>
          <w:numId w:val="60"/>
        </w:numPr>
        <w:rPr>
          <w:rFonts w:ascii="Arial" w:cs="Arial" w:eastAsia="Arial" w:hAnsi="Arial"/>
          <w:sz w:val="18"/>
          <w:szCs w:val="18"/>
          <w:color w:val="auto"/>
          <w:vertAlign w:val="superscript"/>
        </w:rPr>
      </w:pPr>
      <w:r>
        <w:rPr>
          <w:rFonts w:ascii="Arial" w:cs="Arial" w:eastAsia="Arial" w:hAnsi="Arial"/>
          <w:sz w:val="14"/>
          <w:szCs w:val="14"/>
          <w:color w:val="auto"/>
        </w:rPr>
        <w:t>Our capital shortfall consists of the difference between the applicable capital requirement (including buffers) and the applicable available capital (deficit).</w:t>
      </w:r>
    </w:p>
    <w:p>
      <w:pPr>
        <w:spacing w:after="0" w:line="28" w:lineRule="exact"/>
        <w:rPr>
          <w:rFonts w:ascii="Arial" w:cs="Arial" w:eastAsia="Arial" w:hAnsi="Arial"/>
          <w:sz w:val="18"/>
          <w:szCs w:val="18"/>
          <w:color w:val="auto"/>
          <w:vertAlign w:val="superscript"/>
        </w:rPr>
      </w:pPr>
    </w:p>
    <w:p>
      <w:pPr>
        <w:ind w:left="240" w:right="100" w:hanging="237"/>
        <w:spacing w:after="0" w:line="252" w:lineRule="auto"/>
        <w:tabs>
          <w:tab w:leader="none" w:pos="240" w:val="left"/>
        </w:tabs>
        <w:numPr>
          <w:ilvl w:val="0"/>
          <w:numId w:val="60"/>
        </w:numPr>
        <w:rPr>
          <w:rFonts w:ascii="Arial" w:cs="Arial" w:eastAsia="Arial" w:hAnsi="Arial"/>
          <w:sz w:val="9"/>
          <w:szCs w:val="9"/>
          <w:color w:val="auto"/>
        </w:rPr>
      </w:pPr>
      <w:r>
        <w:rPr>
          <w:rFonts w:ascii="Arial" w:cs="Arial" w:eastAsia="Arial" w:hAnsi="Arial"/>
          <w:sz w:val="14"/>
          <w:szCs w:val="14"/>
          <w:color w:val="auto"/>
        </w:rPr>
        <w:t>The sum of (a) core capital (see definition in footnote 6 below); and (b) a general allowance for foreclosure losses, which (i) shall include an allowance for portfolio mortgage losses, an allowance for non-reimbursable foreclosure costs on government claims, and an allowance for liabilities reflected on the balance sheet for estimated foreclosure losses on mortgage-backed securities; and (ii) shall not include 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52</w:t>
            </w:r>
          </w:p>
        </w:tc>
        <w:tc>
          <w:tcPr>
            <w:tcW w:w="100" w:type="dxa"/>
            <w:vAlign w:val="bottom"/>
          </w:tcPr>
          <w:p>
            <w:pPr>
              <w:spacing w:after="0"/>
              <w:rPr>
                <w:sz w:val="16"/>
                <w:szCs w:val="16"/>
                <w:color w:val="auto"/>
              </w:rPr>
            </w:pPr>
          </w:p>
        </w:tc>
      </w:tr>
      <w:tr>
        <w:trPr>
          <w:trHeight w:val="211"/>
        </w:trPr>
        <w:tc>
          <w:tcPr>
            <w:tcW w:w="100" w:type="dxa"/>
            <w:vAlign w:val="bottom"/>
            <w:tcBorders>
              <w:bottom w:val="single" w:sz="8" w:color="9A9A9A"/>
            </w:tcBorders>
          </w:tcPr>
          <w:p>
            <w:pPr>
              <w:spacing w:after="0"/>
              <w:rPr>
                <w:sz w:val="18"/>
                <w:szCs w:val="18"/>
                <w:color w:val="auto"/>
              </w:rPr>
            </w:pPr>
          </w:p>
        </w:tc>
        <w:tc>
          <w:tcPr>
            <w:tcW w:w="6840" w:type="dxa"/>
            <w:vAlign w:val="bottom"/>
            <w:tcBorders>
              <w:bottom w:val="single" w:sz="8" w:color="9A9A9A"/>
            </w:tcBorders>
          </w:tcPr>
          <w:p>
            <w:pPr>
              <w:spacing w:after="0"/>
              <w:rPr>
                <w:sz w:val="18"/>
                <w:szCs w:val="18"/>
                <w:color w:val="auto"/>
              </w:rPr>
            </w:pPr>
          </w:p>
        </w:tc>
        <w:tc>
          <w:tcPr>
            <w:tcW w:w="42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55" w:name="page56"/>
    <w:bookmarkEnd w:id="55"/>
    <w:p>
      <w:pPr>
        <w:ind w:left="8540"/>
        <w:spacing w:after="0"/>
        <w:rPr>
          <w:sz w:val="20"/>
          <w:szCs w:val="20"/>
          <w:color w:val="auto"/>
        </w:rPr>
      </w:pPr>
      <w:r>
        <w:rPr>
          <w:rFonts w:ascii="Arial" w:cs="Arial" w:eastAsia="Arial" w:hAnsi="Arial"/>
          <w:sz w:val="13"/>
          <w:szCs w:val="13"/>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22860</wp:posOffset>
            </wp:positionV>
            <wp:extent cx="70072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40" w:right="240"/>
        <w:spacing w:after="0" w:line="269" w:lineRule="auto"/>
        <w:rPr>
          <w:sz w:val="20"/>
          <w:szCs w:val="20"/>
          <w:color w:val="auto"/>
        </w:rPr>
      </w:pPr>
      <w:r>
        <w:rPr>
          <w:rFonts w:ascii="Arial" w:cs="Arial" w:eastAsia="Arial" w:hAnsi="Arial"/>
          <w:sz w:val="14"/>
          <w:szCs w:val="14"/>
          <w:color w:val="auto"/>
        </w:rPr>
        <w:t>reserves made or held against specific assets; and (c) any other amounts from sources of funds available to absorb losses that the Director of FHFA by regulation determines are appropriate to include in determining total capital.</w:t>
      </w:r>
    </w:p>
    <w:p>
      <w:pPr>
        <w:spacing w:after="0" w:line="13" w:lineRule="exact"/>
        <w:rPr>
          <w:sz w:val="20"/>
          <w:szCs w:val="20"/>
          <w:color w:val="auto"/>
        </w:rPr>
      </w:pPr>
    </w:p>
    <w:p>
      <w:pPr>
        <w:ind w:left="240" w:right="80" w:hanging="237"/>
        <w:spacing w:after="0" w:line="225" w:lineRule="auto"/>
        <w:tabs>
          <w:tab w:leader="none" w:pos="240" w:val="left"/>
        </w:tabs>
        <w:numPr>
          <w:ilvl w:val="0"/>
          <w:numId w:val="61"/>
        </w:numPr>
        <w:rPr>
          <w:rFonts w:ascii="Arial" w:cs="Arial" w:eastAsia="Arial" w:hAnsi="Arial"/>
          <w:sz w:val="18"/>
          <w:szCs w:val="18"/>
          <w:color w:val="auto"/>
          <w:vertAlign w:val="superscript"/>
        </w:rPr>
      </w:pPr>
      <w:r>
        <w:rPr>
          <w:rFonts w:ascii="Arial" w:cs="Arial" w:eastAsia="Arial" w:hAnsi="Arial"/>
          <w:sz w:val="14"/>
          <w:szCs w:val="14"/>
          <w:color w:val="auto"/>
        </w:rPr>
        <w:t>The sum of (a) the stated value of our outstanding common stock (common stock less treasury stock); (b) the stated value of our outstanding non-cumulative perpetual preferred stock; (c) our paid-in capital; and (d) our retained earnings (accumulated deficit). Core capital does not include: (a) accumulated other comprehensive income or (b) senior preferred stock.</w:t>
      </w:r>
    </w:p>
    <w:p>
      <w:pPr>
        <w:spacing w:after="0" w:line="85"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As a result of our capital shortfall, our maximum payout ratio under the enterprise regulatory capital framework as of June 30, 2023 was 0%. While it is not applicable until the date of termination of our conservatorship, our maximum payout ratio represents the percentage of eligible retained income that we are permitted to pay out in the form of distributions or discretionary bonus payments under the enterprise regulatory capital framework. The maximum payout ratio for a given quarter is the lowest of the payout ratios determined by our capital conservation buffer and our leverage buffer. See “Note 14, Regulatory Capital Requirements” for information on our capital ratios as of June 30, 2023 under the enterprise regulatory capital framework.</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certain components of our regulatory capital.</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Regulatory Capital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7138670" cy="165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48" w:lineRule="exact"/>
        <w:rPr>
          <w:sz w:val="20"/>
          <w:szCs w:val="20"/>
          <w:color w:val="auto"/>
        </w:rPr>
      </w:pPr>
    </w:p>
    <w:p>
      <w:pPr>
        <w:ind w:left="9720"/>
        <w:spacing w:after="0"/>
        <w:rPr>
          <w:sz w:val="20"/>
          <w:szCs w:val="20"/>
          <w:color w:val="auto"/>
        </w:rPr>
      </w:pPr>
      <w:r>
        <w:rPr>
          <w:rFonts w:ascii="Arial" w:cs="Arial" w:eastAsia="Arial" w:hAnsi="Arial"/>
          <w:sz w:val="14"/>
          <w:szCs w:val="14"/>
          <w:b w:val="1"/>
          <w:bCs w:val="1"/>
          <w:color w:val="auto"/>
        </w:rPr>
        <w:t>As of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6002655</wp:posOffset>
            </wp:positionH>
            <wp:positionV relativeFrom="paragraph">
              <wp:posOffset>19685</wp:posOffset>
            </wp:positionV>
            <wp:extent cx="11379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25" w:lineRule="exact"/>
        <w:rPr>
          <w:sz w:val="20"/>
          <w:szCs w:val="20"/>
          <w:color w:val="auto"/>
        </w:rPr>
      </w:pPr>
    </w:p>
    <w:p>
      <w:pPr>
        <w:ind w:left="9740"/>
        <w:spacing w:after="0"/>
        <w:rPr>
          <w:sz w:val="20"/>
          <w:szCs w:val="20"/>
          <w:color w:val="auto"/>
        </w:rPr>
      </w:pPr>
      <w:r>
        <w:rPr>
          <w:rFonts w:ascii="Arial" w:cs="Arial" w:eastAsia="Arial" w:hAnsi="Arial"/>
          <w:sz w:val="14"/>
          <w:szCs w:val="14"/>
          <w:b w:val="1"/>
          <w:bCs w:val="1"/>
          <w:color w:val="auto"/>
        </w:rPr>
        <w:t>(Dollars in billions)</w:t>
      </w:r>
    </w:p>
    <w:p>
      <w:pPr>
        <w:sectPr>
          <w:pgSz w:w="11900" w:h="16838" w:orient="portrait"/>
          <w:cols w:equalWidth="0" w:num="1">
            <w:col w:w="11240"/>
          </w:cols>
          <w:pgMar w:left="320" w:top="250" w:right="339" w:bottom="1440" w:gutter="0" w:footer="0" w:header="0"/>
        </w:sectPr>
      </w:pPr>
    </w:p>
    <w:p>
      <w:pPr>
        <w:spacing w:after="0" w:line="29"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Total equity</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5"/>
          <w:szCs w:val="15"/>
          <w:color w:val="auto"/>
        </w:rPr>
        <w:t>Less:</w:t>
      </w:r>
    </w:p>
    <w:p>
      <w:pPr>
        <w:spacing w:after="0" w:line="3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Senior preferred stock</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59436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943600" cy="825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Common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59436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943600" cy="8255"/>
                    </a:xfrm>
                    <a:prstGeom prst="rect">
                      <a:avLst/>
                    </a:prstGeom>
                    <a:noFill/>
                  </pic:spPr>
                </pic:pic>
              </a:graphicData>
            </a:graphic>
          </wp:anchor>
        </w:drawing>
      </w:r>
    </w:p>
    <w:p>
      <w:pPr>
        <w:spacing w:after="0" w:line="27" w:lineRule="exact"/>
        <w:rPr>
          <w:sz w:val="20"/>
          <w:szCs w:val="20"/>
          <w:color w:val="auto"/>
        </w:rPr>
      </w:pPr>
    </w:p>
    <w:p>
      <w:pPr>
        <w:ind w:left="360"/>
        <w:spacing w:after="0" w:line="247" w:lineRule="auto"/>
        <w:rPr>
          <w:sz w:val="20"/>
          <w:szCs w:val="20"/>
          <w:color w:val="auto"/>
        </w:rPr>
      </w:pPr>
      <w:r>
        <w:rPr>
          <w:rFonts w:ascii="Arial" w:cs="Arial" w:eastAsia="Arial" w:hAnsi="Arial"/>
          <w:sz w:val="15"/>
          <w:szCs w:val="15"/>
          <w:color w:val="auto"/>
        </w:rPr>
        <w:t>Less: deferred tax assets arising from temporary differences that exceed 10% of common equity tier 1 capital and other regulatory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59436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94360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5"/>
          <w:szCs w:val="15"/>
          <w:color w:val="auto"/>
        </w:rPr>
        <w:t>Common equity tier 1 capital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59436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943600" cy="8255"/>
                    </a:xfrm>
                    <a:prstGeom prst="rect">
                      <a:avLst/>
                    </a:prstGeom>
                    <a:noFill/>
                  </pic:spPr>
                </pic:pic>
              </a:graphicData>
            </a:graphic>
          </wp:anchor>
        </w:drawing>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Add: non-cumulative perpetual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59436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943600" cy="825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5"/>
          <w:szCs w:val="15"/>
          <w:color w:val="auto"/>
        </w:rPr>
        <w:t>Tier 1 capital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59436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43600" cy="825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5"/>
          <w:szCs w:val="15"/>
          <w:color w:val="auto"/>
        </w:rPr>
        <w:t>Tier 2 capital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59436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943600" cy="825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5"/>
          <w:szCs w:val="15"/>
          <w:color w:val="auto"/>
        </w:rPr>
        <w:t>Adjusted total capital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59436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9436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43180</wp:posOffset>
            </wp:positionV>
            <wp:extent cx="59436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943600"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certain components of our core capital.</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409" w:hanging="1409"/>
        <w:spacing w:after="0"/>
        <w:tabs>
          <w:tab w:leader="none" w:pos="1409" w:val="left"/>
        </w:tabs>
        <w:numPr>
          <w:ilvl w:val="0"/>
          <w:numId w:val="62"/>
        </w:numPr>
        <w:rPr>
          <w:rFonts w:ascii="Arial" w:cs="Arial" w:eastAsia="Arial" w:hAnsi="Arial"/>
          <w:sz w:val="15"/>
          <w:szCs w:val="15"/>
          <w:color w:val="auto"/>
        </w:rPr>
      </w:pPr>
      <w:r>
        <w:rPr>
          <w:rFonts w:ascii="Arial" w:cs="Arial" w:eastAsia="Arial" w:hAnsi="Arial"/>
          <w:sz w:val="15"/>
          <w:szCs w:val="15"/>
          <w:color w:val="auto"/>
        </w:rPr>
        <w:t>69.0</w:t>
      </w:r>
    </w:p>
    <w:p>
      <w:pPr>
        <w:spacing w:after="0" w:line="233" w:lineRule="exact"/>
        <w:rPr>
          <w:sz w:val="20"/>
          <w:szCs w:val="20"/>
          <w:color w:val="auto"/>
        </w:rPr>
      </w:pPr>
    </w:p>
    <w:p>
      <w:pPr>
        <w:ind w:left="1309"/>
        <w:spacing w:after="0"/>
        <w:rPr>
          <w:sz w:val="20"/>
          <w:szCs w:val="20"/>
          <w:color w:val="auto"/>
        </w:rPr>
      </w:pPr>
      <w:r>
        <w:rPr>
          <w:rFonts w:ascii="Arial" w:cs="Arial" w:eastAsia="Arial" w:hAnsi="Arial"/>
          <w:sz w:val="15"/>
          <w:szCs w:val="15"/>
          <w:color w:val="auto"/>
        </w:rPr>
        <w:t>120.8</w:t>
      </w:r>
    </w:p>
    <w:p>
      <w:pPr>
        <w:spacing w:after="0" w:line="72" w:lineRule="exact"/>
        <w:rPr>
          <w:sz w:val="20"/>
          <w:szCs w:val="20"/>
          <w:color w:val="auto"/>
        </w:rPr>
      </w:pPr>
    </w:p>
    <w:p>
      <w:pPr>
        <w:ind w:left="1409"/>
        <w:spacing w:after="0"/>
        <w:rPr>
          <w:sz w:val="20"/>
          <w:szCs w:val="20"/>
          <w:color w:val="auto"/>
        </w:rPr>
      </w:pPr>
      <w:r>
        <w:rPr>
          <w:rFonts w:ascii="Arial" w:cs="Arial" w:eastAsia="Arial" w:hAnsi="Arial"/>
          <w:sz w:val="15"/>
          <w:szCs w:val="15"/>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18415</wp:posOffset>
            </wp:positionV>
            <wp:extent cx="11379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27" w:lineRule="exact"/>
        <w:rPr>
          <w:sz w:val="20"/>
          <w:szCs w:val="20"/>
          <w:color w:val="auto"/>
        </w:rPr>
      </w:pPr>
    </w:p>
    <w:p>
      <w:pPr>
        <w:ind w:left="1349"/>
        <w:spacing w:after="0"/>
        <w:rPr>
          <w:sz w:val="20"/>
          <w:szCs w:val="20"/>
          <w:color w:val="auto"/>
        </w:rPr>
      </w:pPr>
      <w:r>
        <w:rPr>
          <w:rFonts w:ascii="Arial" w:cs="Arial" w:eastAsia="Arial" w:hAnsi="Arial"/>
          <w:sz w:val="15"/>
          <w:szCs w:val="15"/>
          <w:color w:val="auto"/>
        </w:rPr>
        <w:t>(70.9)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18415</wp:posOffset>
            </wp:positionV>
            <wp:extent cx="11379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181" w:lineRule="exact"/>
        <w:rPr>
          <w:sz w:val="20"/>
          <w:szCs w:val="20"/>
          <w:color w:val="auto"/>
        </w:rPr>
      </w:pPr>
    </w:p>
    <w:p>
      <w:pPr>
        <w:jc w:val="right"/>
        <w:ind w:right="60"/>
        <w:spacing w:after="0"/>
        <w:rPr>
          <w:sz w:val="20"/>
          <w:szCs w:val="20"/>
          <w:color w:val="auto"/>
        </w:rPr>
      </w:pPr>
      <w:r>
        <w:rPr>
          <w:rFonts w:ascii="Arial" w:cs="Arial" w:eastAsia="Arial" w:hAnsi="Arial"/>
          <w:sz w:val="15"/>
          <w:szCs w:val="15"/>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18415</wp:posOffset>
            </wp:positionV>
            <wp:extent cx="11379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27"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(82.9)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18415</wp:posOffset>
            </wp:positionV>
            <wp:extent cx="11379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27" w:lineRule="exact"/>
        <w:rPr>
          <w:sz w:val="20"/>
          <w:szCs w:val="20"/>
          <w:color w:val="auto"/>
        </w:rPr>
      </w:pPr>
    </w:p>
    <w:p>
      <w:pPr>
        <w:jc w:val="right"/>
        <w:ind w:right="60"/>
        <w:spacing w:after="0"/>
        <w:rPr>
          <w:sz w:val="20"/>
          <w:szCs w:val="20"/>
          <w:color w:val="auto"/>
        </w:rPr>
      </w:pPr>
      <w:r>
        <w:rPr>
          <w:rFonts w:ascii="Arial" w:cs="Arial" w:eastAsia="Arial" w:hAnsi="Arial"/>
          <w:sz w:val="15"/>
          <w:szCs w:val="15"/>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18415</wp:posOffset>
            </wp:positionV>
            <wp:extent cx="11379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27"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(63.8)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18415</wp:posOffset>
            </wp:positionV>
            <wp:extent cx="11379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27" w:lineRule="exact"/>
        <w:rPr>
          <w:sz w:val="20"/>
          <w:szCs w:val="20"/>
          <w:color w:val="auto"/>
        </w:rPr>
      </w:pPr>
    </w:p>
    <w:p>
      <w:pPr>
        <w:jc w:val="right"/>
        <w:ind w:right="6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18415</wp:posOffset>
            </wp:positionV>
            <wp:extent cx="11379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27" w:lineRule="exact"/>
        <w:rPr>
          <w:sz w:val="20"/>
          <w:szCs w:val="20"/>
          <w:color w:val="auto"/>
        </w:rPr>
      </w:pPr>
    </w:p>
    <w:p>
      <w:pPr>
        <w:ind w:left="1349" w:hanging="1349"/>
        <w:spacing w:after="0"/>
        <w:tabs>
          <w:tab w:leader="none" w:pos="1349" w:val="left"/>
        </w:tabs>
        <w:numPr>
          <w:ilvl w:val="0"/>
          <w:numId w:val="63"/>
        </w:numPr>
        <w:rPr>
          <w:rFonts w:ascii="Arial" w:cs="Arial" w:eastAsia="Arial" w:hAnsi="Arial"/>
          <w:sz w:val="15"/>
          <w:szCs w:val="15"/>
          <w:color w:val="auto"/>
        </w:rPr>
      </w:pPr>
      <w:r>
        <w:rPr>
          <w:rFonts w:ascii="Arial" w:cs="Arial" w:eastAsia="Arial" w:hAnsi="Arial"/>
          <w:sz w:val="15"/>
          <w:szCs w:val="15"/>
          <w:color w:val="auto"/>
        </w:rPr>
        <w:t>(63.8)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18415</wp:posOffset>
            </wp:positionV>
            <wp:extent cx="11379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137920"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43180</wp:posOffset>
            </wp:positionV>
            <wp:extent cx="11379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530" w:lineRule="exact"/>
        <w:rPr>
          <w:sz w:val="20"/>
          <w:szCs w:val="20"/>
          <w:color w:val="auto"/>
        </w:rPr>
      </w:pPr>
    </w:p>
    <w:p>
      <w:pPr>
        <w:sectPr>
          <w:pgSz w:w="11900" w:h="16838" w:orient="portrait"/>
          <w:cols w:equalWidth="0" w:num="2">
            <w:col w:w="9240" w:space="231"/>
            <w:col w:w="1769"/>
          </w:cols>
          <w:pgMar w:left="320" w:top="250" w:right="339" w:bottom="1440" w:gutter="0" w:footer="0" w:header="0"/>
          <w:type w:val="continuous"/>
        </w:sectPr>
      </w:pPr>
    </w:p>
    <w:p>
      <w:pPr>
        <w:ind w:left="20"/>
        <w:spacing w:after="0"/>
        <w:rPr>
          <w:sz w:val="20"/>
          <w:szCs w:val="20"/>
          <w:color w:val="auto"/>
        </w:rPr>
      </w:pPr>
      <w:r>
        <w:rPr>
          <w:rFonts w:ascii="Arial" w:cs="Arial" w:eastAsia="Arial" w:hAnsi="Arial"/>
          <w:sz w:val="19"/>
          <w:szCs w:val="19"/>
          <w:b w:val="1"/>
          <w:bCs w:val="1"/>
          <w:color w:val="05314D"/>
        </w:rPr>
        <w:t>Statutory Capital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7138670" cy="165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Total equity</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5"/>
          <w:szCs w:val="15"/>
          <w:color w:val="auto"/>
        </w:rPr>
        <w:t>Less:</w:t>
      </w:r>
    </w:p>
    <w:p>
      <w:pPr>
        <w:spacing w:after="0" w:line="3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Senior preferred stock</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Accumulated other comprehensive income (loss), net of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59436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943600" cy="825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Core capital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59436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9436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43180</wp:posOffset>
            </wp:positionV>
            <wp:extent cx="594360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43600" cy="8255"/>
                    </a:xfrm>
                    <a:prstGeom prst="rect">
                      <a:avLst/>
                    </a:prstGeom>
                    <a:noFill/>
                  </pic:spPr>
                </pic:pic>
              </a:graphicData>
            </a:graphic>
          </wp:anchor>
        </w:drawing>
      </w:r>
    </w:p>
    <w:p>
      <w:pPr>
        <w:spacing w:after="0" w:line="6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Less: general allowance for foreclosure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594360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943600" cy="825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Total capital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59436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9436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43180</wp:posOffset>
            </wp:positionV>
            <wp:extent cx="59436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9436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ind w:left="248"/>
        <w:spacing w:after="0"/>
        <w:rPr>
          <w:sz w:val="20"/>
          <w:szCs w:val="20"/>
          <w:color w:val="auto"/>
        </w:rPr>
      </w:pPr>
      <w:r>
        <w:rPr>
          <w:rFonts w:ascii="Arial" w:cs="Arial" w:eastAsia="Arial" w:hAnsi="Arial"/>
          <w:sz w:val="14"/>
          <w:szCs w:val="14"/>
          <w:b w:val="1"/>
          <w:bCs w:val="1"/>
          <w:color w:val="auto"/>
        </w:rPr>
        <w:t>As of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11430</wp:posOffset>
            </wp:positionV>
            <wp:extent cx="11379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12" w:lineRule="exact"/>
        <w:rPr>
          <w:sz w:val="20"/>
          <w:szCs w:val="20"/>
          <w:color w:val="auto"/>
        </w:rPr>
      </w:pPr>
    </w:p>
    <w:p>
      <w:pPr>
        <w:ind w:left="268"/>
        <w:spacing w:after="0"/>
        <w:rPr>
          <w:sz w:val="20"/>
          <w:szCs w:val="20"/>
          <w:color w:val="auto"/>
        </w:rPr>
      </w:pPr>
      <w:r>
        <w:rPr>
          <w:rFonts w:ascii="Arial" w:cs="Arial" w:eastAsia="Arial" w:hAnsi="Arial"/>
          <w:sz w:val="14"/>
          <w:szCs w:val="14"/>
          <w:b w:val="1"/>
          <w:bCs w:val="1"/>
          <w:color w:val="auto"/>
        </w:rPr>
        <w:t>(Dollars in billions)</w:t>
      </w:r>
    </w:p>
    <w:p>
      <w:pPr>
        <w:spacing w:after="0" w:line="36" w:lineRule="exact"/>
        <w:rPr>
          <w:sz w:val="20"/>
          <w:szCs w:val="20"/>
          <w:color w:val="auto"/>
        </w:rPr>
      </w:pPr>
    </w:p>
    <w:p>
      <w:pPr>
        <w:ind w:left="1408" w:hanging="1408"/>
        <w:spacing w:after="0"/>
        <w:tabs>
          <w:tab w:leader="none" w:pos="1408" w:val="left"/>
        </w:tabs>
        <w:numPr>
          <w:ilvl w:val="0"/>
          <w:numId w:val="64"/>
        </w:numPr>
        <w:rPr>
          <w:rFonts w:ascii="Arial" w:cs="Arial" w:eastAsia="Arial" w:hAnsi="Arial"/>
          <w:sz w:val="15"/>
          <w:szCs w:val="15"/>
          <w:color w:val="auto"/>
        </w:rPr>
      </w:pPr>
      <w:r>
        <w:rPr>
          <w:rFonts w:ascii="Arial" w:cs="Arial" w:eastAsia="Arial" w:hAnsi="Arial"/>
          <w:sz w:val="15"/>
          <w:szCs w:val="15"/>
          <w:color w:val="auto"/>
        </w:rPr>
        <w:t>69.0</w:t>
      </w:r>
    </w:p>
    <w:p>
      <w:pPr>
        <w:spacing w:after="0" w:line="240" w:lineRule="exact"/>
        <w:rPr>
          <w:sz w:val="20"/>
          <w:szCs w:val="20"/>
          <w:color w:val="auto"/>
        </w:rPr>
      </w:pPr>
    </w:p>
    <w:p>
      <w:pPr>
        <w:ind w:left="1308"/>
        <w:spacing w:after="0"/>
        <w:rPr>
          <w:sz w:val="20"/>
          <w:szCs w:val="20"/>
          <w:color w:val="auto"/>
        </w:rPr>
      </w:pPr>
      <w:r>
        <w:rPr>
          <w:rFonts w:ascii="Arial" w:cs="Arial" w:eastAsia="Arial" w:hAnsi="Arial"/>
          <w:sz w:val="15"/>
          <w:szCs w:val="15"/>
          <w:color w:val="auto"/>
        </w:rPr>
        <w:t>120.8</w:t>
      </w:r>
    </w:p>
    <w:p>
      <w:pPr>
        <w:spacing w:after="0" w:line="85" w:lineRule="exact"/>
        <w:rPr>
          <w:sz w:val="20"/>
          <w:szCs w:val="20"/>
          <w:color w:val="auto"/>
        </w:rPr>
      </w:pPr>
    </w:p>
    <w:p>
      <w:pPr>
        <w:ind w:left="1548"/>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18415</wp:posOffset>
            </wp:positionV>
            <wp:extent cx="11379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27"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(51.8)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18415</wp:posOffset>
            </wp:positionV>
            <wp:extent cx="11379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137920"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43180</wp:posOffset>
            </wp:positionV>
            <wp:extent cx="11379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65"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18415</wp:posOffset>
            </wp:positionV>
            <wp:extent cx="11379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27" w:lineRule="exact"/>
        <w:rPr>
          <w:sz w:val="20"/>
          <w:szCs w:val="20"/>
          <w:color w:val="auto"/>
        </w:rPr>
      </w:pPr>
    </w:p>
    <w:p>
      <w:pPr>
        <w:ind w:left="1348" w:hanging="1348"/>
        <w:spacing w:after="0"/>
        <w:tabs>
          <w:tab w:leader="none" w:pos="1348" w:val="left"/>
        </w:tabs>
        <w:numPr>
          <w:ilvl w:val="0"/>
          <w:numId w:val="65"/>
        </w:numPr>
        <w:rPr>
          <w:rFonts w:ascii="Arial" w:cs="Arial" w:eastAsia="Arial" w:hAnsi="Arial"/>
          <w:sz w:val="15"/>
          <w:szCs w:val="15"/>
          <w:color w:val="auto"/>
        </w:rPr>
      </w:pPr>
      <w:r>
        <w:rPr>
          <w:rFonts w:ascii="Arial" w:cs="Arial" w:eastAsia="Arial" w:hAnsi="Arial"/>
          <w:sz w:val="15"/>
          <w:szCs w:val="15"/>
          <w:color w:val="auto"/>
        </w:rPr>
        <w:t>(41.6)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18415</wp:posOffset>
            </wp:positionV>
            <wp:extent cx="11379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137920"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43180</wp:posOffset>
            </wp:positionV>
            <wp:extent cx="11379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52" w:space="720"/>
            <w:col w:w="1768"/>
          </w:cols>
          <w:pgMar w:left="320" w:top="250"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Capital Activity</w:t>
      </w:r>
    </w:p>
    <w:p>
      <w:pPr>
        <w:spacing w:after="0" w:line="71"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Under the terms governing the senior preferred stock, no dividends were payable to Treasury for the second quarter of 2023 and none are payable for the third quarter of 2023.</w:t>
      </w:r>
    </w:p>
    <w:p>
      <w:pPr>
        <w:spacing w:after="0" w:line="30"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Under the terms governing the senior preferred stock, through and including the capital reserve end date, any increase in our net worth during a fiscal quarter results in an increase in the same amount of the aggregate liquidation preference of the senior preferred stock in the following quarter. The capital reserve end date is defined as the last day of the second consecutive fiscal quarter during which we have had and maintained capital equal to, or in excess of, all of the capital requirements and buffers under the enterprise regulatory capital framework.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53</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type w:val="continuous"/>
        </w:sectPr>
      </w:pPr>
    </w:p>
    <w:bookmarkStart w:id="56" w:name="page57"/>
    <w:bookmarkEnd w:id="56"/>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As a result of these terms governing the senior preferred stock, the aggregate liquidation preference of the senior preferred stock increased to $185.5 billion as of June 30, 2023 from $181.8 billion as of March 31, 2023, due to the $3.8 billion increase in our net worth in the first quarter of 2023. The aggregate liquidation preference of the senior preferred stock will further increase to $190.5 billion as of September 30, 2023, due to the $5.0 billion increase in our net worth in the second quarter of 2023. See “Business—Conservatorship and Treasury Agreements—Treasury Agreements” in our 2022 Form 10-K for more information on the terms of our senior preferred stock, including how the aggregate liquidation preference is determined.</w:t>
      </w:r>
    </w:p>
    <w:p>
      <w:pPr>
        <w:spacing w:after="0" w:line="45" w:lineRule="exact"/>
        <w:rPr>
          <w:sz w:val="20"/>
          <w:szCs w:val="20"/>
          <w:color w:val="auto"/>
        </w:rPr>
      </w:pPr>
    </w:p>
    <w:p>
      <w:pPr>
        <w:ind w:right="320"/>
        <w:spacing w:after="0" w:line="283" w:lineRule="auto"/>
        <w:rPr>
          <w:sz w:val="20"/>
          <w:szCs w:val="20"/>
          <w:color w:val="auto"/>
        </w:rPr>
      </w:pPr>
      <w:r>
        <w:rPr>
          <w:rFonts w:ascii="Arial" w:cs="Arial" w:eastAsia="Arial" w:hAnsi="Arial"/>
          <w:sz w:val="16"/>
          <w:szCs w:val="16"/>
          <w:color w:val="auto"/>
        </w:rPr>
        <w:t>Increases in our net worth improve our capital position and our ability to absorb losses; however, increases in our net worth also increase the aggregate liquidation preference of the senior preferred stock by the same amount until the capital reserve end date as discussed above.</w:t>
      </w:r>
    </w:p>
    <w:p>
      <w:pPr>
        <w:spacing w:after="0" w:line="6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Treasury Funding Commitment</w:t>
      </w:r>
    </w:p>
    <w:p>
      <w:pPr>
        <w:spacing w:after="0" w:line="84"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Treasury made a commitment under the senior preferred stock purchase agreement to provide funding to us under certain circumstances if we have a net worth deficit. As of June 30, 2023, the remaining amount of Treasury’s funding commitment to us was $113.9 billion. See “Note 11, Equity” in our 2022 Form 10-K for more information on the funding commitment provided by Treasury under the senior preferred stock purchase agreement.</w:t>
      </w:r>
    </w:p>
    <w:p>
      <w:pPr>
        <w:spacing w:after="0" w:line="107"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52705</wp:posOffset>
            </wp:positionV>
            <wp:extent cx="7138670" cy="165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64"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color w:val="auto"/>
        </w:rPr>
        <w:t>Our business activities expose us to the following major categories of risk: credit risk (including mortgage credit risk and institutional counterparty credit risk), market risk (including interest-rate risk), liquidity and funding risk, and operational risk (including cyber/information security risk, third-party risk and model risk), as well as strategic risk, compliance risk and reputational risk. We are also exposed to climate risk, which can manifest through our existing categories of risk, particularly credit risk. See “MD&amp;A—Risk Management” in our 2022 Form 10-K for a discussion of our management of these risks. This section supplements and updates that discussion but does not address all of the risk management categories described in our 2022 Form 10-K.</w:t>
      </w:r>
    </w:p>
    <w:p>
      <w:pPr>
        <w:spacing w:after="0" w:line="74"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Market Risk Management, including Interest-Rate Risk Management</w:t>
      </w:r>
    </w:p>
    <w:p>
      <w:pPr>
        <w:spacing w:after="0" w:line="77" w:lineRule="exact"/>
        <w:rPr>
          <w:sz w:val="20"/>
          <w:szCs w:val="20"/>
          <w:color w:val="auto"/>
        </w:rPr>
      </w:pPr>
    </w:p>
    <w:p>
      <w:pPr>
        <w:jc w:val="both"/>
        <w:ind w:right="160"/>
        <w:spacing w:after="0" w:line="276" w:lineRule="auto"/>
        <w:rPr>
          <w:sz w:val="20"/>
          <w:szCs w:val="20"/>
          <w:color w:val="auto"/>
        </w:rPr>
      </w:pPr>
      <w:r>
        <w:rPr>
          <w:rFonts w:ascii="Arial" w:cs="Arial" w:eastAsia="Arial" w:hAnsi="Arial"/>
          <w:sz w:val="16"/>
          <w:szCs w:val="16"/>
          <w:color w:val="auto"/>
        </w:rPr>
        <w:t>We are subject to market risk, which includes interest-rate risk and spread risk. These risks arise primarily from our mortgage asset investments. Interest-rate risk is the risk that movements in interest rates will adversely affect the value of our assets or liabilities or our future earnings or capital. Spread risk is the risk from changes in an instrument’s value that relate to factors other than changes in interest rates.</w:t>
      </w:r>
    </w:p>
    <w:p>
      <w:pPr>
        <w:spacing w:after="0" w:line="36"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We are exposed to interest-rate risk through our “net portfolio,” which we define as our retained mortgage portfolio assets; our other investments portfolio; outstanding debt of Fannie Mae used to fund the retained mortgage portfolio assets and other investments portfolio; mortgage commitments; and risk management derivatives. Our goal is to manage interest-rate risk from our net portfolio to be neutral to changes in interest rates and volatility on an economic basis, subject to model constraints and prevailing market conditions. We actively manage the interest-rate risk of our net portfolio through the use of interest-rate derivatives and by issuing a broad range of both callable and non-callable debt instruments.</w:t>
      </w:r>
    </w:p>
    <w:p>
      <w:pPr>
        <w:spacing w:after="0" w:line="4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are also exposed to interest-rate risk in connection with mortgage assets held by our consolidated MBS trusts. One exposure is cost basis adjustments that often result from upfront cash fees exchanged at the time of loan acquisition, which include buy-ups, buy-downs, and loan-level risk-based price adjustments. Another exposure is the float income earned by MBS trusts on the short-term reinvestment of loan payments received from borrowers in highly liquid investments with short maturities, such as U.S. Treasury securities. This float income is paid to us as trust management income and recorded within “Net interest income” in our condensed consolidated financial statements. We do not currently actively manage or hedge, on an economic basis, our spread risk or the interest-rate risk arising from cost basis adjustments and float income associated with mortgage assets held by our consolidated MBS trusts.</w:t>
      </w:r>
    </w:p>
    <w:p>
      <w:pPr>
        <w:spacing w:after="0" w:line="50"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This section supplements and updates information regarding market risk management in our 2022 Form 10-K. See “MD&amp;A—Risk Management—Market Risk Management, including Interest-Rate Risk Management” and “Risk Factors—Market and Industry Risk” in our 2022 Form 10-K for additional information, including our sources of interest-rate risk exposure, business risks posed by changes in interest rates, and our strategy for managing interest-rate risk. For additional information on the impact of interest-rate risk on our earnings, see “Earnings Exposure to Interest-Rate Risk” below.</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54</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57" w:name="page58"/>
    <w:bookmarkEnd w:id="57"/>
    <w:p>
      <w:pPr>
        <w:ind w:left="5240"/>
        <w:spacing w:after="0"/>
        <w:rPr>
          <w:sz w:val="20"/>
          <w:szCs w:val="20"/>
          <w:color w:val="auto"/>
        </w:rPr>
      </w:pPr>
      <w:r>
        <w:rPr>
          <w:rFonts w:ascii="Arial" w:cs="Arial" w:eastAsia="Arial" w:hAnsi="Arial"/>
          <w:sz w:val="13"/>
          <w:szCs w:val="13"/>
          <w:color w:val="05314D"/>
        </w:rPr>
        <w:t>MD&amp;A | Risk Management | Market Risk Management, including Interest-Rate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22860</wp:posOffset>
            </wp:positionV>
            <wp:extent cx="70072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Measurement of Interest-Rate Risk</w:t>
      </w:r>
    </w:p>
    <w:p>
      <w:pPr>
        <w:spacing w:after="0" w:line="71"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The table below displays the pre-tax market value sensitivity of our net portfolio to changes in the level of interest rates and the slope of the applicable yield curve as measured on the last day of each period presented. The table below also provides the daily average, minimum, maximum and standard deviation values for duration gap and for the most adverse market value impact on the net portfolio to changes in the level of interest rates and the slope of the applicable yield curve for the three months ended June 30, 2023 and 2022. Our practice is to allow interest rates to go below zero in the downward shock models unless otherwise prevented through contractual floors.</w:t>
      </w:r>
    </w:p>
    <w:p>
      <w:pPr>
        <w:spacing w:after="0" w:line="45"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Effective April 2023, we transitioned our portfolio interest-rate risk measurement process from using LIBOR to using SOFR as the benchmark interest rate. This change did not have a significant impact on the measurement of our interest-rate risk or our financial results for the three months ended June 30, 2023. The interest-rate sensitivity metrics in the table below as of December 31, 2022 and for the three months ended June 30, 2022 were not revised.</w:t>
      </w:r>
    </w:p>
    <w:p>
      <w:pPr>
        <w:spacing w:after="0" w:line="36" w:lineRule="exact"/>
        <w:rPr>
          <w:sz w:val="20"/>
          <w:szCs w:val="20"/>
          <w:color w:val="auto"/>
        </w:rPr>
      </w:pPr>
    </w:p>
    <w:p>
      <w:pPr>
        <w:ind w:right="620"/>
        <w:spacing w:after="0" w:line="283" w:lineRule="auto"/>
        <w:rPr>
          <w:sz w:val="20"/>
          <w:szCs w:val="20"/>
          <w:color w:val="auto"/>
        </w:rPr>
      </w:pPr>
      <w:r>
        <w:rPr>
          <w:rFonts w:ascii="Arial" w:cs="Arial" w:eastAsia="Arial" w:hAnsi="Arial"/>
          <w:sz w:val="16"/>
          <w:szCs w:val="16"/>
          <w:color w:val="auto"/>
        </w:rPr>
        <w:t>For information on how we measure our interest-rate risk, see “MD&amp;A—Risk Management—Market Risk Management, including Interest-Rate Risk Management” in our 2022 Form 10-K.</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Interest-Rate Sensitivity of Net Portfolio to Changes in Interest-Rate Level and Slope of Yield Curve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940" w:type="dxa"/>
            <w:vAlign w:val="bottom"/>
            <w:tcBorders>
              <w:top w:val="single" w:sz="8" w:color="2C6937"/>
            </w:tcBorders>
          </w:tcPr>
          <w:p>
            <w:pPr>
              <w:spacing w:after="0"/>
              <w:rPr>
                <w:sz w:val="19"/>
                <w:szCs w:val="19"/>
                <w:color w:val="auto"/>
              </w:rPr>
            </w:pPr>
          </w:p>
        </w:tc>
        <w:tc>
          <w:tcPr>
            <w:tcW w:w="1120" w:type="dxa"/>
            <w:vAlign w:val="bottom"/>
            <w:tcBorders>
              <w:top w:val="single" w:sz="8" w:color="2C6937"/>
            </w:tcBorders>
          </w:tcPr>
          <w:p>
            <w:pPr>
              <w:spacing w:after="0"/>
              <w:rPr>
                <w:sz w:val="19"/>
                <w:szCs w:val="19"/>
                <w:color w:val="auto"/>
              </w:rPr>
            </w:pPr>
          </w:p>
        </w:tc>
        <w:tc>
          <w:tcPr>
            <w:tcW w:w="100" w:type="dxa"/>
            <w:vAlign w:val="bottom"/>
            <w:tcBorders>
              <w:top w:val="single" w:sz="8" w:color="2C6937"/>
            </w:tcBorders>
          </w:tcPr>
          <w:p>
            <w:pPr>
              <w:spacing w:after="0"/>
              <w:rPr>
                <w:sz w:val="19"/>
                <w:szCs w:val="19"/>
                <w:color w:val="auto"/>
              </w:rPr>
            </w:pPr>
          </w:p>
        </w:tc>
        <w:tc>
          <w:tcPr>
            <w:tcW w:w="460" w:type="dxa"/>
            <w:vAlign w:val="bottom"/>
            <w:tcBorders>
              <w:top w:val="single" w:sz="8" w:color="2C6937"/>
            </w:tcBorders>
          </w:tcPr>
          <w:p>
            <w:pPr>
              <w:spacing w:after="0"/>
              <w:rPr>
                <w:sz w:val="19"/>
                <w:szCs w:val="19"/>
                <w:color w:val="auto"/>
              </w:rPr>
            </w:pPr>
          </w:p>
        </w:tc>
        <w:tc>
          <w:tcPr>
            <w:tcW w:w="920" w:type="dxa"/>
            <w:vAlign w:val="bottom"/>
            <w:tcBorders>
              <w:top w:val="single" w:sz="8" w:color="2C6937"/>
            </w:tcBorders>
          </w:tcPr>
          <w:p>
            <w:pPr>
              <w:spacing w:after="0"/>
              <w:rPr>
                <w:sz w:val="19"/>
                <w:szCs w:val="19"/>
                <w:color w:val="auto"/>
              </w:rPr>
            </w:pPr>
          </w:p>
        </w:tc>
        <w:tc>
          <w:tcPr>
            <w:tcW w:w="620" w:type="dxa"/>
            <w:vAlign w:val="bottom"/>
            <w:tcBorders>
              <w:top w:val="single" w:sz="8" w:color="2C6937"/>
            </w:tcBorders>
          </w:tcPr>
          <w:p>
            <w:pPr>
              <w:spacing w:after="0"/>
              <w:rPr>
                <w:sz w:val="19"/>
                <w:szCs w:val="19"/>
                <w:color w:val="auto"/>
              </w:rPr>
            </w:pPr>
          </w:p>
        </w:tc>
        <w:tc>
          <w:tcPr>
            <w:tcW w:w="780" w:type="dxa"/>
            <w:vAlign w:val="bottom"/>
            <w:tcBorders>
              <w:top w:val="single" w:sz="8" w:color="2C6937"/>
            </w:tcBorders>
          </w:tcPr>
          <w:p>
            <w:pPr>
              <w:spacing w:after="0"/>
              <w:rPr>
                <w:sz w:val="19"/>
                <w:szCs w:val="19"/>
                <w:color w:val="auto"/>
              </w:rPr>
            </w:pPr>
          </w:p>
        </w:tc>
        <w:tc>
          <w:tcPr>
            <w:tcW w:w="80" w:type="dxa"/>
            <w:vAlign w:val="bottom"/>
            <w:tcBorders>
              <w:top w:val="single" w:sz="8" w:color="2C6937"/>
              <w:bottom w:val="single" w:sz="8" w:color="2C6937"/>
            </w:tcBorders>
          </w:tcPr>
          <w:p>
            <w:pPr>
              <w:spacing w:after="0"/>
              <w:rPr>
                <w:sz w:val="19"/>
                <w:szCs w:val="19"/>
                <w:color w:val="auto"/>
              </w:rPr>
            </w:pPr>
          </w:p>
        </w:tc>
        <w:tc>
          <w:tcPr>
            <w:tcW w:w="140" w:type="dxa"/>
            <w:vAlign w:val="bottom"/>
            <w:tcBorders>
              <w:top w:val="single" w:sz="8" w:color="2C6937"/>
              <w:bottom w:val="single" w:sz="8" w:color="2C6937"/>
            </w:tcBorders>
          </w:tcPr>
          <w:p>
            <w:pPr>
              <w:spacing w:after="0"/>
              <w:rPr>
                <w:sz w:val="19"/>
                <w:szCs w:val="19"/>
                <w:color w:val="auto"/>
              </w:rPr>
            </w:pPr>
          </w:p>
        </w:tc>
        <w:tc>
          <w:tcPr>
            <w:tcW w:w="1000" w:type="dxa"/>
            <w:vAlign w:val="bottom"/>
            <w:tcBorders>
              <w:top w:val="single" w:sz="8" w:color="2C6937"/>
              <w:bottom w:val="single" w:sz="8" w:color="2C6937"/>
            </w:tcBorders>
          </w:tcPr>
          <w:p>
            <w:pPr>
              <w:spacing w:after="0"/>
              <w:rPr>
                <w:sz w:val="19"/>
                <w:szCs w:val="19"/>
                <w:color w:val="auto"/>
              </w:rPr>
            </w:pPr>
          </w:p>
        </w:tc>
        <w:tc>
          <w:tcPr>
            <w:tcW w:w="120" w:type="dxa"/>
            <w:vAlign w:val="bottom"/>
            <w:tcBorders>
              <w:top w:val="single" w:sz="8" w:color="2C6937"/>
              <w:bottom w:val="single" w:sz="8" w:color="2C6937"/>
            </w:tcBorders>
          </w:tcPr>
          <w:p>
            <w:pPr>
              <w:spacing w:after="0"/>
              <w:rPr>
                <w:sz w:val="19"/>
                <w:szCs w:val="19"/>
                <w:color w:val="auto"/>
              </w:rPr>
            </w:pPr>
          </w:p>
        </w:tc>
        <w:tc>
          <w:tcPr>
            <w:tcW w:w="100" w:type="dxa"/>
            <w:vAlign w:val="bottom"/>
            <w:tcBorders>
              <w:top w:val="single" w:sz="8" w:color="2C6937"/>
              <w:bottom w:val="single" w:sz="8" w:color="2C6937"/>
            </w:tcBorders>
          </w:tcPr>
          <w:p>
            <w:pPr>
              <w:spacing w:after="0"/>
              <w:rPr>
                <w:sz w:val="19"/>
                <w:szCs w:val="19"/>
                <w:color w:val="auto"/>
              </w:rPr>
            </w:pPr>
          </w:p>
        </w:tc>
        <w:tc>
          <w:tcPr>
            <w:tcW w:w="60" w:type="dxa"/>
            <w:vAlign w:val="bottom"/>
            <w:tcBorders>
              <w:top w:val="single" w:sz="8" w:color="2C6937"/>
              <w:bottom w:val="single" w:sz="8" w:color="2C6937"/>
            </w:tcBorders>
          </w:tcPr>
          <w:p>
            <w:pPr>
              <w:spacing w:after="0"/>
              <w:rPr>
                <w:sz w:val="19"/>
                <w:szCs w:val="19"/>
                <w:color w:val="auto"/>
              </w:rPr>
            </w:pPr>
          </w:p>
        </w:tc>
        <w:tc>
          <w:tcPr>
            <w:tcW w:w="1400" w:type="dxa"/>
            <w:vAlign w:val="bottom"/>
            <w:tcBorders>
              <w:top w:val="single" w:sz="8" w:color="2C6937"/>
              <w:bottom w:val="single" w:sz="8" w:color="2C6937"/>
            </w:tcBorders>
            <w:gridSpan w:val="2"/>
          </w:tcPr>
          <w:p>
            <w:pPr>
              <w:jc w:val="right"/>
              <w:ind w:right="387"/>
              <w:spacing w:after="0" w:line="218" w:lineRule="exact"/>
              <w:rPr>
                <w:sz w:val="20"/>
                <w:szCs w:val="20"/>
                <w:color w:val="auto"/>
              </w:rPr>
            </w:pPr>
            <w:r>
              <w:rPr>
                <w:rFonts w:ascii="Arial" w:cs="Arial" w:eastAsia="Arial" w:hAnsi="Arial"/>
                <w:sz w:val="25"/>
                <w:szCs w:val="25"/>
                <w:b w:val="1"/>
                <w:bCs w:val="1"/>
                <w:color w:val="auto"/>
                <w:vertAlign w:val="subscript"/>
              </w:rPr>
              <w:t>As of</w:t>
            </w:r>
            <w:r>
              <w:rPr>
                <w:rFonts w:ascii="Arial" w:cs="Arial" w:eastAsia="Arial" w:hAnsi="Arial"/>
                <w:sz w:val="9"/>
                <w:szCs w:val="9"/>
                <w:b w:val="1"/>
                <w:bCs w:val="1"/>
                <w:color w:val="auto"/>
              </w:rPr>
              <w:t>(1)(2)</w:t>
            </w:r>
          </w:p>
        </w:tc>
        <w:tc>
          <w:tcPr>
            <w:tcW w:w="500" w:type="dxa"/>
            <w:vAlign w:val="bottom"/>
            <w:tcBorders>
              <w:top w:val="single" w:sz="8" w:color="2C6937"/>
              <w:bottom w:val="single" w:sz="8" w:color="2C6937"/>
            </w:tcBorders>
          </w:tcPr>
          <w:p>
            <w:pPr>
              <w:spacing w:after="0"/>
              <w:rPr>
                <w:sz w:val="19"/>
                <w:szCs w:val="19"/>
                <w:color w:val="auto"/>
              </w:rPr>
            </w:pPr>
          </w:p>
        </w:tc>
        <w:tc>
          <w:tcPr>
            <w:tcW w:w="860" w:type="dxa"/>
            <w:vAlign w:val="bottom"/>
            <w:tcBorders>
              <w:top w:val="single" w:sz="8" w:color="2C6937"/>
              <w:bottom w:val="single" w:sz="8" w:color="2C6937"/>
            </w:tcBorders>
          </w:tcPr>
          <w:p>
            <w:pPr>
              <w:spacing w:after="0"/>
              <w:rPr>
                <w:sz w:val="19"/>
                <w:szCs w:val="19"/>
                <w:color w:val="auto"/>
              </w:rPr>
            </w:pPr>
          </w:p>
        </w:tc>
        <w:tc>
          <w:tcPr>
            <w:tcW w:w="40" w:type="dxa"/>
            <w:vAlign w:val="bottom"/>
            <w:tcBorders>
              <w:top w:val="single" w:sz="8" w:color="2C6937"/>
              <w:bottom w:val="single" w:sz="8" w:color="2C6937"/>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280" w:type="dxa"/>
            <w:vAlign w:val="bottom"/>
            <w:tcBorders>
              <w:bottom w:val="single" w:sz="8" w:color="2C6937"/>
            </w:tcBorders>
            <w:gridSpan w:val="4"/>
          </w:tcPr>
          <w:p>
            <w:pPr>
              <w:jc w:val="right"/>
              <w:ind w:right="20"/>
              <w:spacing w:after="0"/>
              <w:rPr>
                <w:sz w:val="20"/>
                <w:szCs w:val="20"/>
                <w:color w:val="auto"/>
              </w:rPr>
            </w:pPr>
            <w:r>
              <w:rPr>
                <w:rFonts w:ascii="Arial" w:cs="Arial" w:eastAsia="Arial" w:hAnsi="Arial"/>
                <w:sz w:val="14"/>
                <w:szCs w:val="14"/>
                <w:b w:val="1"/>
                <w:bCs w:val="1"/>
                <w:color w:val="auto"/>
              </w:rPr>
              <w:t>June 30, 2023</w:t>
            </w:r>
          </w:p>
        </w:tc>
        <w:tc>
          <w:tcPr>
            <w:tcW w:w="400" w:type="dxa"/>
            <w:vAlign w:val="bottom"/>
            <w:tcBorders>
              <w:bottom w:val="single" w:sz="8" w:color="2C6937"/>
            </w:tcBorders>
          </w:tcPr>
          <w:p>
            <w:pPr>
              <w:spacing w:after="0"/>
              <w:rPr>
                <w:sz w:val="15"/>
                <w:szCs w:val="15"/>
                <w:color w:val="auto"/>
              </w:rPr>
            </w:pPr>
          </w:p>
        </w:tc>
        <w:tc>
          <w:tcPr>
            <w:tcW w:w="2400" w:type="dxa"/>
            <w:vAlign w:val="bottom"/>
            <w:tcBorders>
              <w:bottom w:val="single" w:sz="8" w:color="2C6937"/>
            </w:tcBorders>
            <w:gridSpan w:val="4"/>
          </w:tcPr>
          <w:p>
            <w:pPr>
              <w:ind w:left="74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85"/>
        </w:trPr>
        <w:tc>
          <w:tcPr>
            <w:tcW w:w="29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gridSpan w:val="2"/>
          </w:tcPr>
          <w:p>
            <w:pPr>
              <w:jc w:val="right"/>
              <w:ind w:right="47"/>
              <w:spacing w:after="0"/>
              <w:rPr>
                <w:sz w:val="20"/>
                <w:szCs w:val="20"/>
                <w:color w:val="auto"/>
              </w:rPr>
            </w:pPr>
            <w:r>
              <w:rPr>
                <w:rFonts w:ascii="Arial" w:cs="Arial" w:eastAsia="Arial" w:hAnsi="Arial"/>
                <w:sz w:val="14"/>
                <w:szCs w:val="14"/>
                <w:b w:val="1"/>
                <w:bCs w:val="1"/>
                <w:color w:val="auto"/>
                <w:w w:val="96"/>
              </w:rPr>
              <w:t>(Dollars in millions)</w:t>
            </w: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9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Rate level shock:</w:t>
            </w:r>
          </w:p>
        </w:tc>
        <w:tc>
          <w:tcPr>
            <w:tcW w:w="11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460" w:type="dxa"/>
            <w:vAlign w:val="bottom"/>
            <w:tcBorders>
              <w:bottom w:val="single" w:sz="8" w:color="2C6937"/>
            </w:tcBorders>
          </w:tcPr>
          <w:p>
            <w:pPr>
              <w:spacing w:after="0"/>
              <w:rPr>
                <w:sz w:val="17"/>
                <w:szCs w:val="17"/>
                <w:color w:val="auto"/>
              </w:rPr>
            </w:pPr>
          </w:p>
        </w:tc>
        <w:tc>
          <w:tcPr>
            <w:tcW w:w="920" w:type="dxa"/>
            <w:vAlign w:val="bottom"/>
            <w:tcBorders>
              <w:bottom w:val="single" w:sz="8" w:color="2C6937"/>
            </w:tcBorders>
          </w:tcPr>
          <w:p>
            <w:pPr>
              <w:spacing w:after="0"/>
              <w:rPr>
                <w:sz w:val="17"/>
                <w:szCs w:val="17"/>
                <w:color w:val="auto"/>
              </w:rPr>
            </w:pPr>
          </w:p>
        </w:tc>
        <w:tc>
          <w:tcPr>
            <w:tcW w:w="620" w:type="dxa"/>
            <w:vAlign w:val="bottom"/>
            <w:tcBorders>
              <w:bottom w:val="single" w:sz="8" w:color="2C6937"/>
            </w:tcBorders>
          </w:tcPr>
          <w:p>
            <w:pPr>
              <w:spacing w:after="0"/>
              <w:rPr>
                <w:sz w:val="17"/>
                <w:szCs w:val="17"/>
                <w:color w:val="auto"/>
              </w:rPr>
            </w:pPr>
          </w:p>
        </w:tc>
        <w:tc>
          <w:tcPr>
            <w:tcW w:w="780" w:type="dxa"/>
            <w:vAlign w:val="bottom"/>
            <w:tcBorders>
              <w:bottom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940" w:type="dxa"/>
            <w:vAlign w:val="bottom"/>
          </w:tcPr>
          <w:p>
            <w:pPr>
              <w:ind w:left="180"/>
              <w:spacing w:after="0"/>
              <w:rPr>
                <w:sz w:val="20"/>
                <w:szCs w:val="20"/>
                <w:color w:val="auto"/>
              </w:rPr>
            </w:pPr>
            <w:r>
              <w:rPr>
                <w:rFonts w:ascii="Arial" w:cs="Arial" w:eastAsia="Arial" w:hAnsi="Arial"/>
                <w:sz w:val="15"/>
                <w:szCs w:val="15"/>
                <w:color w:val="auto"/>
              </w:rPr>
              <w:t>-100 basis points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491"/>
              <w:spacing w:after="0"/>
              <w:rPr>
                <w:sz w:val="20"/>
                <w:szCs w:val="20"/>
                <w:color w:val="auto"/>
              </w:rPr>
            </w:pPr>
            <w:r>
              <w:rPr>
                <w:rFonts w:ascii="Arial" w:cs="Arial" w:eastAsia="Arial" w:hAnsi="Arial"/>
                <w:sz w:val="15"/>
                <w:szCs w:val="15"/>
                <w:b w:val="1"/>
                <w:bCs w:val="1"/>
                <w:color w:val="auto"/>
              </w:rPr>
              <w:t>$</w:t>
            </w:r>
          </w:p>
        </w:tc>
        <w:tc>
          <w:tcPr>
            <w:tcW w:w="280" w:type="dxa"/>
            <w:vAlign w:val="bottom"/>
            <w:gridSpan w:val="3"/>
          </w:tcPr>
          <w:p>
            <w:pPr>
              <w:jc w:val="right"/>
              <w:ind w:right="60"/>
              <w:spacing w:after="0"/>
              <w:rPr>
                <w:sz w:val="20"/>
                <w:szCs w:val="20"/>
                <w:color w:val="auto"/>
              </w:rPr>
            </w:pPr>
            <w:r>
              <w:rPr>
                <w:rFonts w:ascii="Arial" w:cs="Arial" w:eastAsia="Arial" w:hAnsi="Arial"/>
                <w:sz w:val="15"/>
                <w:szCs w:val="15"/>
                <w:b w:val="1"/>
                <w:bCs w:val="1"/>
                <w:color w:val="auto"/>
              </w:rPr>
              <w:t>34</w:t>
            </w:r>
          </w:p>
        </w:tc>
        <w:tc>
          <w:tcPr>
            <w:tcW w:w="400" w:type="dxa"/>
            <w:vAlign w:val="bottom"/>
          </w:tcPr>
          <w:p>
            <w:pPr>
              <w:spacing w:after="0"/>
              <w:rPr>
                <w:sz w:val="17"/>
                <w:szCs w:val="17"/>
                <w:color w:val="auto"/>
              </w:rPr>
            </w:pPr>
          </w:p>
        </w:tc>
        <w:tc>
          <w:tcPr>
            <w:tcW w:w="1000" w:type="dxa"/>
            <w:vAlign w:val="bottom"/>
          </w:tcPr>
          <w:p>
            <w:pPr>
              <w:ind w:left="900"/>
              <w:spacing w:after="0"/>
              <w:rPr>
                <w:sz w:val="20"/>
                <w:szCs w:val="20"/>
                <w:color w:val="auto"/>
              </w:rPr>
            </w:pPr>
            <w:r>
              <w:rPr>
                <w:rFonts w:ascii="Arial" w:cs="Arial" w:eastAsia="Arial" w:hAnsi="Arial"/>
                <w:sz w:val="15"/>
                <w:szCs w:val="15"/>
                <w:color w:val="auto"/>
                <w:w w:val="95"/>
              </w:rPr>
              <w:t>$</w:t>
            </w:r>
          </w:p>
        </w:tc>
        <w:tc>
          <w:tcPr>
            <w:tcW w:w="500" w:type="dxa"/>
            <w:vAlign w:val="bottom"/>
          </w:tcPr>
          <w:p>
            <w:pPr>
              <w:spacing w:after="0"/>
              <w:rPr>
                <w:sz w:val="17"/>
                <w:szCs w:val="17"/>
                <w:color w:val="auto"/>
              </w:rPr>
            </w:pPr>
          </w:p>
        </w:tc>
        <w:tc>
          <w:tcPr>
            <w:tcW w:w="860" w:type="dxa"/>
            <w:vAlign w:val="bottom"/>
          </w:tcPr>
          <w:p>
            <w:pPr>
              <w:jc w:val="right"/>
              <w:ind w:right="463"/>
              <w:spacing w:after="0"/>
              <w:rPr>
                <w:sz w:val="20"/>
                <w:szCs w:val="20"/>
                <w:color w:val="auto"/>
              </w:rPr>
            </w:pPr>
            <w:r>
              <w:rPr>
                <w:rFonts w:ascii="Arial" w:cs="Arial" w:eastAsia="Arial" w:hAnsi="Arial"/>
                <w:sz w:val="15"/>
                <w:szCs w:val="15"/>
                <w:color w:val="auto"/>
              </w:rPr>
              <w:t>(10)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40" w:type="dxa"/>
            <w:vAlign w:val="bottom"/>
          </w:tcPr>
          <w:p>
            <w:pPr>
              <w:ind w:left="180"/>
              <w:spacing w:after="0"/>
              <w:rPr>
                <w:sz w:val="20"/>
                <w:szCs w:val="20"/>
                <w:color w:val="auto"/>
              </w:rPr>
            </w:pPr>
            <w:r>
              <w:rPr>
                <w:rFonts w:ascii="Arial" w:cs="Arial" w:eastAsia="Arial" w:hAnsi="Arial"/>
                <w:sz w:val="15"/>
                <w:szCs w:val="15"/>
                <w:color w:val="auto"/>
              </w:rPr>
              <w:t>-50 basis points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gridSpan w:val="3"/>
          </w:tcPr>
          <w:p>
            <w:pPr>
              <w:jc w:val="right"/>
              <w:ind w:right="60"/>
              <w:spacing w:after="0"/>
              <w:rPr>
                <w:sz w:val="20"/>
                <w:szCs w:val="20"/>
                <w:color w:val="auto"/>
              </w:rPr>
            </w:pPr>
            <w:r>
              <w:rPr>
                <w:rFonts w:ascii="Arial" w:cs="Arial" w:eastAsia="Arial" w:hAnsi="Arial"/>
                <w:sz w:val="15"/>
                <w:szCs w:val="15"/>
                <w:b w:val="1"/>
                <w:bCs w:val="1"/>
                <w:color w:val="auto"/>
              </w:rPr>
              <w:t>20</w:t>
            </w: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503"/>
              <w:spacing w:after="0"/>
              <w:rPr>
                <w:sz w:val="20"/>
                <w:szCs w:val="20"/>
                <w:color w:val="auto"/>
              </w:rPr>
            </w:pPr>
            <w:r>
              <w:rPr>
                <w:rFonts w:ascii="Arial" w:cs="Arial" w:eastAsia="Arial" w:hAnsi="Arial"/>
                <w:sz w:val="15"/>
                <w:szCs w:val="15"/>
                <w:color w:val="auto"/>
              </w:rPr>
              <w:t>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40" w:type="dxa"/>
            <w:vAlign w:val="bottom"/>
          </w:tcPr>
          <w:p>
            <w:pPr>
              <w:ind w:left="180"/>
              <w:spacing w:after="0"/>
              <w:rPr>
                <w:sz w:val="20"/>
                <w:szCs w:val="20"/>
                <w:color w:val="auto"/>
              </w:rPr>
            </w:pPr>
            <w:r>
              <w:rPr>
                <w:rFonts w:ascii="Arial" w:cs="Arial" w:eastAsia="Arial" w:hAnsi="Arial"/>
                <w:sz w:val="15"/>
                <w:szCs w:val="15"/>
                <w:color w:val="auto"/>
              </w:rPr>
              <w:t>+50 basis points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gridSpan w:val="3"/>
          </w:tcPr>
          <w:p>
            <w:pPr>
              <w:jc w:val="right"/>
              <w:spacing w:after="0"/>
              <w:rPr>
                <w:sz w:val="20"/>
                <w:szCs w:val="20"/>
                <w:color w:val="auto"/>
              </w:rPr>
            </w:pPr>
            <w:r>
              <w:rPr>
                <w:rFonts w:ascii="Arial" w:cs="Arial" w:eastAsia="Arial" w:hAnsi="Arial"/>
                <w:sz w:val="15"/>
                <w:szCs w:val="15"/>
                <w:b w:val="1"/>
                <w:bCs w:val="1"/>
                <w:color w:val="auto"/>
                <w:w w:val="97"/>
              </w:rPr>
              <w:t>(28)</w:t>
            </w: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463"/>
              <w:spacing w:after="0"/>
              <w:rPr>
                <w:sz w:val="20"/>
                <w:szCs w:val="20"/>
                <w:color w:val="auto"/>
              </w:rPr>
            </w:pPr>
            <w:r>
              <w:rPr>
                <w:rFonts w:ascii="Arial" w:cs="Arial" w:eastAsia="Arial" w:hAnsi="Arial"/>
                <w:sz w:val="15"/>
                <w:szCs w:val="15"/>
                <w:color w:val="auto"/>
              </w:rPr>
              <w:t>(14)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940" w:type="dxa"/>
            <w:vAlign w:val="bottom"/>
          </w:tcPr>
          <w:p>
            <w:pPr>
              <w:ind w:left="180"/>
              <w:spacing w:after="0"/>
              <w:rPr>
                <w:sz w:val="20"/>
                <w:szCs w:val="20"/>
                <w:color w:val="auto"/>
              </w:rPr>
            </w:pPr>
            <w:r>
              <w:rPr>
                <w:rFonts w:ascii="Arial" w:cs="Arial" w:eastAsia="Arial" w:hAnsi="Arial"/>
                <w:sz w:val="15"/>
                <w:szCs w:val="15"/>
                <w:color w:val="auto"/>
              </w:rPr>
              <w:t>+100 basis points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5"/>
                <w:szCs w:val="15"/>
                <w:b w:val="1"/>
                <w:bCs w:val="1"/>
                <w:color w:val="auto"/>
                <w:w w:val="97"/>
              </w:rPr>
              <w:t>(54)</w:t>
            </w: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ind w:right="463"/>
              <w:spacing w:after="0"/>
              <w:rPr>
                <w:sz w:val="20"/>
                <w:szCs w:val="20"/>
                <w:color w:val="auto"/>
              </w:rPr>
            </w:pPr>
            <w:r>
              <w:rPr>
                <w:rFonts w:ascii="Arial" w:cs="Arial" w:eastAsia="Arial" w:hAnsi="Arial"/>
                <w:sz w:val="15"/>
                <w:szCs w:val="15"/>
                <w:color w:val="auto"/>
              </w:rPr>
              <w:t>(35)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9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Rate slope shock:</w:t>
            </w:r>
          </w:p>
        </w:tc>
        <w:tc>
          <w:tcPr>
            <w:tcW w:w="11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460" w:type="dxa"/>
            <w:vAlign w:val="bottom"/>
            <w:tcBorders>
              <w:bottom w:val="single" w:sz="8" w:color="2C6937"/>
            </w:tcBorders>
          </w:tcPr>
          <w:p>
            <w:pPr>
              <w:spacing w:after="0"/>
              <w:rPr>
                <w:sz w:val="17"/>
                <w:szCs w:val="17"/>
                <w:color w:val="auto"/>
              </w:rPr>
            </w:pPr>
          </w:p>
        </w:tc>
        <w:tc>
          <w:tcPr>
            <w:tcW w:w="920" w:type="dxa"/>
            <w:vAlign w:val="bottom"/>
            <w:tcBorders>
              <w:bottom w:val="single" w:sz="8" w:color="2C6937"/>
            </w:tcBorders>
          </w:tcPr>
          <w:p>
            <w:pPr>
              <w:spacing w:after="0"/>
              <w:rPr>
                <w:sz w:val="17"/>
                <w:szCs w:val="17"/>
                <w:color w:val="auto"/>
              </w:rPr>
            </w:pPr>
          </w:p>
        </w:tc>
        <w:tc>
          <w:tcPr>
            <w:tcW w:w="620" w:type="dxa"/>
            <w:vAlign w:val="bottom"/>
            <w:tcBorders>
              <w:bottom w:val="single" w:sz="8" w:color="2C6937"/>
            </w:tcBorders>
          </w:tcPr>
          <w:p>
            <w:pPr>
              <w:spacing w:after="0"/>
              <w:rPr>
                <w:sz w:val="17"/>
                <w:szCs w:val="17"/>
                <w:color w:val="auto"/>
              </w:rPr>
            </w:pPr>
          </w:p>
        </w:tc>
        <w:tc>
          <w:tcPr>
            <w:tcW w:w="780" w:type="dxa"/>
            <w:vAlign w:val="bottom"/>
            <w:tcBorders>
              <w:bottom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940" w:type="dxa"/>
            <w:vAlign w:val="bottom"/>
          </w:tcPr>
          <w:p>
            <w:pPr>
              <w:ind w:left="180"/>
              <w:spacing w:after="0"/>
              <w:rPr>
                <w:sz w:val="20"/>
                <w:szCs w:val="20"/>
                <w:color w:val="auto"/>
              </w:rPr>
            </w:pPr>
            <w:r>
              <w:rPr>
                <w:rFonts w:ascii="Arial" w:cs="Arial" w:eastAsia="Arial" w:hAnsi="Arial"/>
                <w:sz w:val="15"/>
                <w:szCs w:val="15"/>
                <w:color w:val="auto"/>
              </w:rPr>
              <w:t>-25 basis points (flattening)</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gridSpan w:val="3"/>
          </w:tcPr>
          <w:p>
            <w:pPr>
              <w:jc w:val="right"/>
              <w:spacing w:after="0"/>
              <w:rPr>
                <w:sz w:val="20"/>
                <w:szCs w:val="20"/>
                <w:color w:val="auto"/>
              </w:rPr>
            </w:pPr>
            <w:r>
              <w:rPr>
                <w:rFonts w:ascii="Arial" w:cs="Arial" w:eastAsia="Arial" w:hAnsi="Arial"/>
                <w:sz w:val="15"/>
                <w:szCs w:val="15"/>
                <w:b w:val="1"/>
                <w:bCs w:val="1"/>
                <w:color w:val="auto"/>
              </w:rPr>
              <w:t>(7)</w:t>
            </w: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463"/>
              <w:spacing w:after="0"/>
              <w:rPr>
                <w:sz w:val="20"/>
                <w:szCs w:val="20"/>
                <w:color w:val="auto"/>
              </w:rPr>
            </w:pPr>
            <w:r>
              <w:rPr>
                <w:rFonts w:ascii="Arial" w:cs="Arial" w:eastAsia="Arial" w:hAnsi="Arial"/>
                <w:sz w:val="15"/>
                <w:szCs w:val="15"/>
                <w:color w:val="auto"/>
              </w:rPr>
              <w:t>(8)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180"/>
              <w:spacing w:after="0"/>
              <w:rPr>
                <w:sz w:val="20"/>
                <w:szCs w:val="20"/>
                <w:color w:val="auto"/>
              </w:rPr>
            </w:pPr>
            <w:r>
              <w:rPr>
                <w:rFonts w:ascii="Arial" w:cs="Arial" w:eastAsia="Arial" w:hAnsi="Arial"/>
                <w:sz w:val="15"/>
                <w:szCs w:val="15"/>
                <w:color w:val="auto"/>
              </w:rPr>
              <w:t>+25 basis points (steepening)</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gridSpan w:val="3"/>
          </w:tcPr>
          <w:p>
            <w:pPr>
              <w:jc w:val="right"/>
              <w:ind w:right="60"/>
              <w:spacing w:after="0"/>
              <w:rPr>
                <w:sz w:val="20"/>
                <w:szCs w:val="20"/>
                <w:color w:val="auto"/>
              </w:rPr>
            </w:pPr>
            <w:r>
              <w:rPr>
                <w:rFonts w:ascii="Arial" w:cs="Arial" w:eastAsia="Arial" w:hAnsi="Arial"/>
                <w:sz w:val="15"/>
                <w:szCs w:val="15"/>
                <w:b w:val="1"/>
                <w:bCs w:val="1"/>
                <w:color w:val="auto"/>
              </w:rPr>
              <w:t>4</w:t>
            </w: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ind w:right="503"/>
              <w:spacing w:after="0"/>
              <w:rPr>
                <w:sz w:val="20"/>
                <w:szCs w:val="20"/>
                <w:color w:val="auto"/>
              </w:rPr>
            </w:pPr>
            <w:r>
              <w:rPr>
                <w:rFonts w:ascii="Arial" w:cs="Arial" w:eastAsia="Arial" w:hAnsi="Arial"/>
                <w:sz w:val="15"/>
                <w:szCs w:val="15"/>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7"/>
        </w:trPr>
        <w:tc>
          <w:tcPr>
            <w:tcW w:w="2940" w:type="dxa"/>
            <w:vAlign w:val="bottom"/>
          </w:tcPr>
          <w:p>
            <w:pPr>
              <w:spacing w:after="0"/>
              <w:rPr>
                <w:sz w:val="24"/>
                <w:szCs w:val="24"/>
                <w:color w:val="auto"/>
              </w:rPr>
            </w:pPr>
          </w:p>
        </w:tc>
        <w:tc>
          <w:tcPr>
            <w:tcW w:w="112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460" w:type="dxa"/>
            <w:vAlign w:val="bottom"/>
            <w:tcBorders>
              <w:bottom w:val="single" w:sz="8" w:color="2C6937"/>
            </w:tcBorders>
          </w:tcPr>
          <w:p>
            <w:pPr>
              <w:spacing w:after="0"/>
              <w:rPr>
                <w:sz w:val="24"/>
                <w:szCs w:val="24"/>
                <w:color w:val="auto"/>
              </w:rPr>
            </w:pPr>
          </w:p>
        </w:tc>
        <w:tc>
          <w:tcPr>
            <w:tcW w:w="920" w:type="dxa"/>
            <w:vAlign w:val="bottom"/>
            <w:tcBorders>
              <w:bottom w:val="single" w:sz="8" w:color="2C6937"/>
            </w:tcBorders>
          </w:tcPr>
          <w:p>
            <w:pPr>
              <w:spacing w:after="0"/>
              <w:rPr>
                <w:sz w:val="24"/>
                <w:szCs w:val="24"/>
                <w:color w:val="auto"/>
              </w:rPr>
            </w:pPr>
          </w:p>
        </w:tc>
        <w:tc>
          <w:tcPr>
            <w:tcW w:w="2900" w:type="dxa"/>
            <w:vAlign w:val="bottom"/>
            <w:tcBorders>
              <w:bottom w:val="single" w:sz="8" w:color="2C6937"/>
            </w:tcBorders>
            <w:gridSpan w:val="8"/>
          </w:tcPr>
          <w:p>
            <w:pPr>
              <w:jc w:val="right"/>
              <w:ind w:right="20"/>
              <w:spacing w:after="0"/>
              <w:rPr>
                <w:sz w:val="20"/>
                <w:szCs w:val="20"/>
                <w:color w:val="auto"/>
              </w:rPr>
            </w:pPr>
            <w:r>
              <w:rPr>
                <w:rFonts w:ascii="Arial" w:cs="Arial" w:eastAsia="Arial" w:hAnsi="Arial"/>
                <w:sz w:val="14"/>
                <w:szCs w:val="14"/>
                <w:b w:val="1"/>
                <w:bCs w:val="1"/>
                <w:color w:val="auto"/>
              </w:rPr>
              <w:t>For the Three Months Ended June 30,</w:t>
            </w:r>
            <w:r>
              <w:rPr>
                <w:rFonts w:ascii="Arial" w:cs="Arial" w:eastAsia="Arial" w:hAnsi="Arial"/>
                <w:sz w:val="17"/>
                <w:szCs w:val="17"/>
                <w:b w:val="1"/>
                <w:bCs w:val="1"/>
                <w:color w:val="auto"/>
                <w:vertAlign w:val="superscript"/>
              </w:rPr>
              <w:t>(1)(3)</w:t>
            </w:r>
          </w:p>
        </w:tc>
        <w:tc>
          <w:tcPr>
            <w:tcW w:w="400" w:type="dxa"/>
            <w:vAlign w:val="bottom"/>
            <w:tcBorders>
              <w:bottom w:val="single" w:sz="8" w:color="2C6937"/>
            </w:tcBorders>
          </w:tcPr>
          <w:p>
            <w:pPr>
              <w:spacing w:after="0"/>
              <w:rPr>
                <w:sz w:val="24"/>
                <w:szCs w:val="24"/>
                <w:color w:val="auto"/>
              </w:rPr>
            </w:pPr>
          </w:p>
        </w:tc>
        <w:tc>
          <w:tcPr>
            <w:tcW w:w="1000" w:type="dxa"/>
            <w:vAlign w:val="bottom"/>
            <w:tcBorders>
              <w:bottom w:val="single" w:sz="8" w:color="2C6937"/>
            </w:tcBorders>
          </w:tcPr>
          <w:p>
            <w:pPr>
              <w:spacing w:after="0"/>
              <w:rPr>
                <w:sz w:val="24"/>
                <w:szCs w:val="24"/>
                <w:color w:val="auto"/>
              </w:rPr>
            </w:pPr>
          </w:p>
        </w:tc>
        <w:tc>
          <w:tcPr>
            <w:tcW w:w="500" w:type="dxa"/>
            <w:vAlign w:val="bottom"/>
            <w:tcBorders>
              <w:bottom w:val="single" w:sz="8" w:color="2C6937"/>
            </w:tcBorders>
          </w:tcPr>
          <w:p>
            <w:pPr>
              <w:spacing w:after="0"/>
              <w:rPr>
                <w:sz w:val="24"/>
                <w:szCs w:val="24"/>
                <w:color w:val="auto"/>
              </w:rPr>
            </w:pPr>
          </w:p>
        </w:tc>
        <w:tc>
          <w:tcPr>
            <w:tcW w:w="860" w:type="dxa"/>
            <w:vAlign w:val="bottom"/>
            <w:tcBorders>
              <w:bottom w:val="single" w:sz="8" w:color="2C6937"/>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940" w:type="dxa"/>
            <w:vAlign w:val="bottom"/>
          </w:tcPr>
          <w:p>
            <w:pPr>
              <w:spacing w:after="0"/>
              <w:rPr>
                <w:sz w:val="15"/>
                <w:szCs w:val="15"/>
                <w:color w:val="auto"/>
              </w:rPr>
            </w:pPr>
          </w:p>
        </w:tc>
        <w:tc>
          <w:tcPr>
            <w:tcW w:w="112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460" w:type="dxa"/>
            <w:vAlign w:val="bottom"/>
            <w:tcBorders>
              <w:bottom w:val="single" w:sz="8" w:color="2C6937"/>
            </w:tcBorders>
          </w:tcPr>
          <w:p>
            <w:pPr>
              <w:spacing w:after="0"/>
              <w:rPr>
                <w:sz w:val="15"/>
                <w:szCs w:val="15"/>
                <w:color w:val="auto"/>
              </w:rPr>
            </w:pPr>
          </w:p>
        </w:tc>
        <w:tc>
          <w:tcPr>
            <w:tcW w:w="920" w:type="dxa"/>
            <w:vAlign w:val="bottom"/>
            <w:tcBorders>
              <w:bottom w:val="single" w:sz="8" w:color="2C6937"/>
            </w:tcBorders>
          </w:tcPr>
          <w:p>
            <w:pPr>
              <w:jc w:val="right"/>
              <w:ind w:right="327"/>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2C6937"/>
            </w:tcBorders>
          </w:tcPr>
          <w:p>
            <w:pPr>
              <w:spacing w:after="0"/>
              <w:rPr>
                <w:sz w:val="15"/>
                <w:szCs w:val="15"/>
                <w:color w:val="auto"/>
              </w:rPr>
            </w:pPr>
          </w:p>
        </w:tc>
        <w:tc>
          <w:tcPr>
            <w:tcW w:w="780" w:type="dxa"/>
            <w:vAlign w:val="bottom"/>
            <w:tcBorders>
              <w:bottom w:val="single" w:sz="8" w:color="2C6937"/>
            </w:tcBorders>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Borders>
              <w:bottom w:val="single" w:sz="8" w:color="2C6937"/>
            </w:tcBorders>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60" w:type="dxa"/>
            <w:vAlign w:val="bottom"/>
            <w:tcBorders>
              <w:bottom w:val="single" w:sz="8" w:color="2C6937"/>
            </w:tcBorders>
          </w:tcPr>
          <w:p>
            <w:pPr>
              <w:spacing w:after="0"/>
              <w:rPr>
                <w:sz w:val="15"/>
                <w:szCs w:val="15"/>
                <w:color w:val="auto"/>
              </w:rPr>
            </w:pPr>
          </w:p>
        </w:tc>
        <w:tc>
          <w:tcPr>
            <w:tcW w:w="40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tcPr>
          <w:p>
            <w:pPr>
              <w:ind w:left="200"/>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2C6937"/>
            </w:tcBorders>
          </w:tcPr>
          <w:p>
            <w:pPr>
              <w:spacing w:after="0"/>
              <w:rPr>
                <w:sz w:val="15"/>
                <w:szCs w:val="15"/>
                <w:color w:val="auto"/>
              </w:rPr>
            </w:pPr>
          </w:p>
        </w:tc>
        <w:tc>
          <w:tcPr>
            <w:tcW w:w="860" w:type="dxa"/>
            <w:vAlign w:val="bottom"/>
            <w:tcBorders>
              <w:bottom w:val="single" w:sz="8" w:color="2C6937"/>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940" w:type="dxa"/>
            <w:vAlign w:val="bottom"/>
          </w:tcPr>
          <w:p>
            <w:pPr>
              <w:spacing w:after="0"/>
              <w:rPr>
                <w:sz w:val="11"/>
                <w:szCs w:val="11"/>
                <w:color w:val="auto"/>
              </w:rPr>
            </w:pPr>
          </w:p>
        </w:tc>
        <w:tc>
          <w:tcPr>
            <w:tcW w:w="1120" w:type="dxa"/>
            <w:vAlign w:val="bottom"/>
            <w:vMerge w:val="restart"/>
          </w:tcPr>
          <w:p>
            <w:pPr>
              <w:jc w:val="right"/>
              <w:ind w:right="46"/>
              <w:spacing w:after="0"/>
              <w:rPr>
                <w:sz w:val="20"/>
                <w:szCs w:val="20"/>
                <w:color w:val="auto"/>
              </w:rPr>
            </w:pPr>
            <w:r>
              <w:rPr>
                <w:rFonts w:ascii="Arial" w:cs="Arial" w:eastAsia="Arial" w:hAnsi="Arial"/>
                <w:sz w:val="14"/>
                <w:szCs w:val="14"/>
                <w:b w:val="1"/>
                <w:bCs w:val="1"/>
                <w:color w:val="auto"/>
              </w:rPr>
              <w:t>Duration Gap</w:t>
            </w:r>
          </w:p>
        </w:tc>
        <w:tc>
          <w:tcPr>
            <w:tcW w:w="100" w:type="dxa"/>
            <w:vAlign w:val="bottom"/>
          </w:tcPr>
          <w:p>
            <w:pPr>
              <w:spacing w:after="0"/>
              <w:rPr>
                <w:sz w:val="11"/>
                <w:szCs w:val="11"/>
                <w:color w:val="auto"/>
              </w:rPr>
            </w:pPr>
          </w:p>
        </w:tc>
        <w:tc>
          <w:tcPr>
            <w:tcW w:w="1380" w:type="dxa"/>
            <w:vAlign w:val="bottom"/>
            <w:gridSpan w:val="2"/>
          </w:tcPr>
          <w:p>
            <w:pPr>
              <w:jc w:val="right"/>
              <w:ind w:right="47"/>
              <w:spacing w:after="0" w:line="136" w:lineRule="exact"/>
              <w:rPr>
                <w:sz w:val="20"/>
                <w:szCs w:val="20"/>
                <w:color w:val="auto"/>
              </w:rPr>
            </w:pPr>
            <w:r>
              <w:rPr>
                <w:rFonts w:ascii="Arial" w:cs="Arial" w:eastAsia="Arial" w:hAnsi="Arial"/>
                <w:sz w:val="14"/>
                <w:szCs w:val="14"/>
                <w:b w:val="1"/>
                <w:bCs w:val="1"/>
                <w:color w:val="auto"/>
              </w:rPr>
              <w:t>Rate Slope Shock</w:t>
            </w:r>
          </w:p>
        </w:tc>
        <w:tc>
          <w:tcPr>
            <w:tcW w:w="1480" w:type="dxa"/>
            <w:vAlign w:val="bottom"/>
            <w:gridSpan w:val="3"/>
          </w:tcPr>
          <w:p>
            <w:pPr>
              <w:jc w:val="center"/>
              <w:ind w:left="8"/>
              <w:spacing w:after="0" w:line="136" w:lineRule="exact"/>
              <w:rPr>
                <w:sz w:val="20"/>
                <w:szCs w:val="20"/>
                <w:color w:val="auto"/>
              </w:rPr>
            </w:pPr>
            <w:r>
              <w:rPr>
                <w:rFonts w:ascii="Arial" w:cs="Arial" w:eastAsia="Arial" w:hAnsi="Arial"/>
                <w:sz w:val="14"/>
                <w:szCs w:val="14"/>
                <w:b w:val="1"/>
                <w:bCs w:val="1"/>
                <w:color w:val="auto"/>
                <w:w w:val="97"/>
              </w:rPr>
              <w:t>Rate Level Shock 50</w:t>
            </w: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Duration Gap</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gridSpan w:val="2"/>
          </w:tcPr>
          <w:p>
            <w:pPr>
              <w:jc w:val="right"/>
              <w:ind w:right="127"/>
              <w:spacing w:after="0" w:line="136" w:lineRule="exact"/>
              <w:rPr>
                <w:sz w:val="20"/>
                <w:szCs w:val="20"/>
                <w:color w:val="auto"/>
              </w:rPr>
            </w:pPr>
            <w:r>
              <w:rPr>
                <w:rFonts w:ascii="Arial" w:cs="Arial" w:eastAsia="Arial" w:hAnsi="Arial"/>
                <w:sz w:val="14"/>
                <w:szCs w:val="14"/>
                <w:b w:val="1"/>
                <w:bCs w:val="1"/>
                <w:color w:val="auto"/>
                <w:w w:val="99"/>
              </w:rPr>
              <w:t>Rate Slope Shock</w:t>
            </w:r>
          </w:p>
        </w:tc>
        <w:tc>
          <w:tcPr>
            <w:tcW w:w="1400" w:type="dxa"/>
            <w:vAlign w:val="bottom"/>
            <w:gridSpan w:val="3"/>
          </w:tcPr>
          <w:p>
            <w:pPr>
              <w:ind w:left="20"/>
              <w:spacing w:after="0" w:line="136" w:lineRule="exact"/>
              <w:rPr>
                <w:sz w:val="20"/>
                <w:szCs w:val="20"/>
                <w:color w:val="auto"/>
              </w:rPr>
            </w:pPr>
            <w:r>
              <w:rPr>
                <w:rFonts w:ascii="Arial" w:cs="Arial" w:eastAsia="Arial" w:hAnsi="Arial"/>
                <w:sz w:val="14"/>
                <w:szCs w:val="14"/>
                <w:b w:val="1"/>
                <w:bCs w:val="1"/>
                <w:color w:val="auto"/>
              </w:rPr>
              <w:t>Rate Level Shock 50</w:t>
            </w:r>
          </w:p>
        </w:tc>
        <w:tc>
          <w:tcPr>
            <w:tcW w:w="0" w:type="dxa"/>
            <w:vAlign w:val="bottom"/>
          </w:tcPr>
          <w:p>
            <w:pPr>
              <w:spacing w:after="0"/>
              <w:rPr>
                <w:sz w:val="1"/>
                <w:szCs w:val="1"/>
                <w:color w:val="auto"/>
              </w:rPr>
            </w:pPr>
          </w:p>
        </w:tc>
      </w:tr>
      <w:tr>
        <w:trPr>
          <w:trHeight w:val="179"/>
        </w:trPr>
        <w:tc>
          <w:tcPr>
            <w:tcW w:w="2940" w:type="dxa"/>
            <w:vAlign w:val="bottom"/>
          </w:tcPr>
          <w:p>
            <w:pPr>
              <w:spacing w:after="0"/>
              <w:rPr>
                <w:sz w:val="15"/>
                <w:szCs w:val="15"/>
                <w:color w:val="auto"/>
              </w:rPr>
            </w:pPr>
          </w:p>
        </w:tc>
        <w:tc>
          <w:tcPr>
            <w:tcW w:w="1120" w:type="dxa"/>
            <w:vAlign w:val="bottom"/>
            <w:tcBorders>
              <w:bottom w:val="single" w:sz="8" w:color="2C6937"/>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2C6937"/>
            </w:tcBorders>
          </w:tcPr>
          <w:p>
            <w:pPr>
              <w:spacing w:after="0"/>
              <w:rPr>
                <w:sz w:val="15"/>
                <w:szCs w:val="15"/>
                <w:color w:val="auto"/>
              </w:rPr>
            </w:pPr>
          </w:p>
        </w:tc>
        <w:tc>
          <w:tcPr>
            <w:tcW w:w="920" w:type="dxa"/>
            <w:vAlign w:val="bottom"/>
            <w:tcBorders>
              <w:bottom w:val="single" w:sz="8" w:color="2C6937"/>
            </w:tcBorders>
          </w:tcPr>
          <w:p>
            <w:pPr>
              <w:jc w:val="right"/>
              <w:ind w:right="407"/>
              <w:spacing w:after="0"/>
              <w:rPr>
                <w:sz w:val="20"/>
                <w:szCs w:val="20"/>
                <w:color w:val="auto"/>
              </w:rPr>
            </w:pPr>
            <w:r>
              <w:rPr>
                <w:rFonts w:ascii="Arial" w:cs="Arial" w:eastAsia="Arial" w:hAnsi="Arial"/>
                <w:sz w:val="14"/>
                <w:szCs w:val="14"/>
                <w:b w:val="1"/>
                <w:bCs w:val="1"/>
                <w:color w:val="auto"/>
                <w:w w:val="94"/>
              </w:rPr>
              <w:t>25 bps</w:t>
            </w:r>
          </w:p>
        </w:tc>
        <w:tc>
          <w:tcPr>
            <w:tcW w:w="620" w:type="dxa"/>
            <w:vAlign w:val="bottom"/>
            <w:tcBorders>
              <w:bottom w:val="single" w:sz="8" w:color="2C6937"/>
            </w:tcBorders>
          </w:tcPr>
          <w:p>
            <w:pPr>
              <w:spacing w:after="0"/>
              <w:rPr>
                <w:sz w:val="15"/>
                <w:szCs w:val="15"/>
                <w:color w:val="auto"/>
              </w:rPr>
            </w:pPr>
          </w:p>
        </w:tc>
        <w:tc>
          <w:tcPr>
            <w:tcW w:w="860" w:type="dxa"/>
            <w:vAlign w:val="bottom"/>
            <w:tcBorders>
              <w:bottom w:val="single" w:sz="8" w:color="2C6937"/>
            </w:tcBorders>
            <w:gridSpan w:val="2"/>
          </w:tcPr>
          <w:p>
            <w:pPr>
              <w:jc w:val="center"/>
              <w:ind w:right="540"/>
              <w:spacing w:after="0"/>
              <w:rPr>
                <w:sz w:val="20"/>
                <w:szCs w:val="20"/>
                <w:color w:val="auto"/>
              </w:rPr>
            </w:pPr>
            <w:r>
              <w:rPr>
                <w:rFonts w:ascii="Arial" w:cs="Arial" w:eastAsia="Arial" w:hAnsi="Arial"/>
                <w:sz w:val="14"/>
                <w:szCs w:val="14"/>
                <w:b w:val="1"/>
                <w:bCs w:val="1"/>
                <w:color w:val="auto"/>
                <w:w w:val="96"/>
              </w:rPr>
              <w:t>bps</w:t>
            </w:r>
          </w:p>
        </w:tc>
        <w:tc>
          <w:tcPr>
            <w:tcW w:w="140" w:type="dxa"/>
            <w:vAlign w:val="bottom"/>
          </w:tcPr>
          <w:p>
            <w:pPr>
              <w:spacing w:after="0"/>
              <w:rPr>
                <w:sz w:val="15"/>
                <w:szCs w:val="15"/>
                <w:color w:val="auto"/>
              </w:rPr>
            </w:pPr>
          </w:p>
        </w:tc>
        <w:tc>
          <w:tcPr>
            <w:tcW w:w="1000" w:type="dxa"/>
            <w:vAlign w:val="bottom"/>
            <w:tcBorders>
              <w:bottom w:val="single" w:sz="8" w:color="2C6937"/>
            </w:tcBorders>
            <w:vMerge w:val="continue"/>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2C6937"/>
            </w:tcBorders>
          </w:tcPr>
          <w:p>
            <w:pPr>
              <w:spacing w:after="0"/>
              <w:rPr>
                <w:sz w:val="15"/>
                <w:szCs w:val="15"/>
                <w:color w:val="auto"/>
              </w:rPr>
            </w:pPr>
          </w:p>
        </w:tc>
        <w:tc>
          <w:tcPr>
            <w:tcW w:w="40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tcPr>
          <w:p>
            <w:pPr>
              <w:spacing w:after="0"/>
              <w:rPr>
                <w:sz w:val="20"/>
                <w:szCs w:val="20"/>
                <w:color w:val="auto"/>
              </w:rPr>
            </w:pPr>
            <w:r>
              <w:rPr>
                <w:rFonts w:ascii="Arial" w:cs="Arial" w:eastAsia="Arial" w:hAnsi="Arial"/>
                <w:sz w:val="14"/>
                <w:szCs w:val="14"/>
                <w:b w:val="1"/>
                <w:bCs w:val="1"/>
                <w:color w:val="auto"/>
              </w:rPr>
              <w:t>25 bps</w:t>
            </w:r>
          </w:p>
        </w:tc>
        <w:tc>
          <w:tcPr>
            <w:tcW w:w="500" w:type="dxa"/>
            <w:vAlign w:val="bottom"/>
            <w:tcBorders>
              <w:bottom w:val="single" w:sz="8" w:color="2C6937"/>
            </w:tcBorders>
          </w:tcPr>
          <w:p>
            <w:pPr>
              <w:spacing w:after="0"/>
              <w:rPr>
                <w:sz w:val="15"/>
                <w:szCs w:val="15"/>
                <w:color w:val="auto"/>
              </w:rPr>
            </w:pPr>
          </w:p>
        </w:tc>
        <w:tc>
          <w:tcPr>
            <w:tcW w:w="860" w:type="dxa"/>
            <w:vAlign w:val="bottom"/>
            <w:tcBorders>
              <w:bottom w:val="single" w:sz="8" w:color="2C6937"/>
            </w:tcBorders>
          </w:tcPr>
          <w:p>
            <w:pPr>
              <w:jc w:val="right"/>
              <w:ind w:right="483"/>
              <w:spacing w:after="0"/>
              <w:rPr>
                <w:sz w:val="20"/>
                <w:szCs w:val="20"/>
                <w:color w:val="auto"/>
              </w:rPr>
            </w:pPr>
            <w:r>
              <w:rPr>
                <w:rFonts w:ascii="Arial" w:cs="Arial" w:eastAsia="Arial" w:hAnsi="Arial"/>
                <w:sz w:val="14"/>
                <w:szCs w:val="14"/>
                <w:b w:val="1"/>
                <w:bCs w:val="1"/>
                <w:color w:val="auto"/>
              </w:rPr>
              <w:t>bps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9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2C6937"/>
            </w:tcBorders>
          </w:tcPr>
          <w:p>
            <w:pPr>
              <w:spacing w:after="0"/>
              <w:rPr>
                <w:sz w:val="16"/>
                <w:szCs w:val="16"/>
                <w:color w:val="auto"/>
              </w:rPr>
            </w:pPr>
          </w:p>
        </w:tc>
        <w:tc>
          <w:tcPr>
            <w:tcW w:w="2400" w:type="dxa"/>
            <w:vAlign w:val="bottom"/>
            <w:tcBorders>
              <w:bottom w:val="single" w:sz="8" w:color="2C6937"/>
            </w:tcBorders>
            <w:gridSpan w:val="4"/>
          </w:tcPr>
          <w:p>
            <w:pPr>
              <w:jc w:val="center"/>
              <w:ind w:right="440"/>
              <w:spacing w:after="0"/>
              <w:rPr>
                <w:sz w:val="20"/>
                <w:szCs w:val="20"/>
                <w:color w:val="auto"/>
              </w:rPr>
            </w:pPr>
            <w:r>
              <w:rPr>
                <w:rFonts w:ascii="Arial" w:cs="Arial" w:eastAsia="Arial" w:hAnsi="Arial"/>
                <w:sz w:val="14"/>
                <w:szCs w:val="14"/>
                <w:b w:val="1"/>
                <w:bCs w:val="1"/>
                <w:color w:val="auto"/>
                <w:w w:val="97"/>
              </w:rPr>
              <w:t>Market Value Sensitivity</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400" w:type="dxa"/>
            <w:vAlign w:val="bottom"/>
            <w:tcBorders>
              <w:bottom w:val="single" w:sz="8" w:color="2C6937"/>
            </w:tcBorders>
          </w:tcPr>
          <w:p>
            <w:pPr>
              <w:spacing w:after="0"/>
              <w:rPr>
                <w:sz w:val="16"/>
                <w:szCs w:val="16"/>
                <w:color w:val="auto"/>
              </w:rPr>
            </w:pPr>
          </w:p>
        </w:tc>
        <w:tc>
          <w:tcPr>
            <w:tcW w:w="2360" w:type="dxa"/>
            <w:vAlign w:val="bottom"/>
            <w:tcBorders>
              <w:bottom w:val="single" w:sz="8" w:color="2C6937"/>
            </w:tcBorders>
            <w:gridSpan w:val="3"/>
          </w:tcPr>
          <w:p>
            <w:pPr>
              <w:ind w:left="180"/>
              <w:spacing w:after="0"/>
              <w:rPr>
                <w:sz w:val="20"/>
                <w:szCs w:val="20"/>
                <w:color w:val="auto"/>
              </w:rPr>
            </w:pPr>
            <w:r>
              <w:rPr>
                <w:rFonts w:ascii="Arial" w:cs="Arial" w:eastAsia="Arial" w:hAnsi="Arial"/>
                <w:sz w:val="14"/>
                <w:szCs w:val="14"/>
                <w:b w:val="1"/>
                <w:bCs w:val="1"/>
                <w:color w:val="auto"/>
              </w:rPr>
              <w:t>Market Value Sensitivity</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940" w:type="dxa"/>
            <w:vAlign w:val="bottom"/>
          </w:tcPr>
          <w:p>
            <w:pPr>
              <w:spacing w:after="0"/>
              <w:rPr>
                <w:sz w:val="16"/>
                <w:szCs w:val="16"/>
                <w:color w:val="auto"/>
              </w:rPr>
            </w:pPr>
          </w:p>
        </w:tc>
        <w:tc>
          <w:tcPr>
            <w:tcW w:w="1120" w:type="dxa"/>
            <w:vAlign w:val="bottom"/>
          </w:tcPr>
          <w:p>
            <w:pPr>
              <w:jc w:val="right"/>
              <w:ind w:right="186"/>
              <w:spacing w:after="0"/>
              <w:rPr>
                <w:sz w:val="20"/>
                <w:szCs w:val="20"/>
                <w:color w:val="auto"/>
              </w:rPr>
            </w:pPr>
            <w:r>
              <w:rPr>
                <w:rFonts w:ascii="Arial" w:cs="Arial" w:eastAsia="Arial" w:hAnsi="Arial"/>
                <w:sz w:val="14"/>
                <w:szCs w:val="14"/>
                <w:b w:val="1"/>
                <w:bCs w:val="1"/>
                <w:color w:val="auto"/>
              </w:rPr>
              <w:t>(In years)</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8"/>
              </w:rPr>
              <w:t>(Dollars in millions)</w:t>
            </w:r>
          </w:p>
        </w:tc>
        <w:tc>
          <w:tcPr>
            <w:tcW w:w="140" w:type="dxa"/>
            <w:vAlign w:val="bottom"/>
          </w:tcPr>
          <w:p>
            <w:pPr>
              <w:spacing w:after="0"/>
              <w:rPr>
                <w:sz w:val="16"/>
                <w:szCs w:val="16"/>
                <w:color w:val="auto"/>
              </w:rPr>
            </w:pPr>
          </w:p>
        </w:tc>
        <w:tc>
          <w:tcPr>
            <w:tcW w:w="1000" w:type="dxa"/>
            <w:vAlign w:val="bottom"/>
          </w:tcPr>
          <w:p>
            <w:pPr>
              <w:jc w:val="right"/>
              <w:ind w:right="71"/>
              <w:spacing w:after="0"/>
              <w:rPr>
                <w:sz w:val="20"/>
                <w:szCs w:val="20"/>
                <w:color w:val="auto"/>
              </w:rPr>
            </w:pPr>
            <w:r>
              <w:rPr>
                <w:rFonts w:ascii="Arial" w:cs="Arial" w:eastAsia="Arial" w:hAnsi="Arial"/>
                <w:sz w:val="14"/>
                <w:szCs w:val="14"/>
                <w:b w:val="1"/>
                <w:bCs w:val="1"/>
                <w:color w:val="auto"/>
              </w:rPr>
              <w:t>(In years)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0" w:type="dxa"/>
            <w:vAlign w:val="bottom"/>
            <w:gridSpan w:val="4"/>
          </w:tcPr>
          <w:p>
            <w:pPr>
              <w:ind w:left="320"/>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06"/>
        </w:trPr>
        <w:tc>
          <w:tcPr>
            <w:tcW w:w="2940" w:type="dxa"/>
            <w:vAlign w:val="bottom"/>
          </w:tcPr>
          <w:p>
            <w:pPr>
              <w:ind w:left="20"/>
              <w:spacing w:after="0"/>
              <w:rPr>
                <w:sz w:val="20"/>
                <w:szCs w:val="20"/>
                <w:color w:val="auto"/>
              </w:rPr>
            </w:pPr>
            <w:r>
              <w:rPr>
                <w:rFonts w:ascii="Arial" w:cs="Arial" w:eastAsia="Arial" w:hAnsi="Arial"/>
                <w:sz w:val="15"/>
                <w:szCs w:val="15"/>
                <w:color w:val="auto"/>
              </w:rPr>
              <w:t>Average</w:t>
            </w:r>
          </w:p>
        </w:tc>
        <w:tc>
          <w:tcPr>
            <w:tcW w:w="1120" w:type="dxa"/>
            <w:vAlign w:val="bottom"/>
          </w:tcPr>
          <w:p>
            <w:pPr>
              <w:jc w:val="right"/>
              <w:ind w:right="326"/>
              <w:spacing w:after="0"/>
              <w:rPr>
                <w:sz w:val="20"/>
                <w:szCs w:val="20"/>
                <w:color w:val="auto"/>
              </w:rPr>
            </w:pPr>
            <w:r>
              <w:rPr>
                <w:rFonts w:ascii="Arial" w:cs="Arial" w:eastAsia="Arial" w:hAnsi="Arial"/>
                <w:sz w:val="15"/>
                <w:szCs w:val="15"/>
                <w:b w:val="1"/>
                <w:bCs w:val="1"/>
                <w:color w:val="auto"/>
              </w:rPr>
              <w:t>0.01</w:t>
            </w:r>
          </w:p>
        </w:tc>
        <w:tc>
          <w:tcPr>
            <w:tcW w:w="56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920" w:type="dxa"/>
            <w:vAlign w:val="bottom"/>
          </w:tcPr>
          <w:p>
            <w:pPr>
              <w:jc w:val="right"/>
              <w:ind w:right="327"/>
              <w:spacing w:after="0"/>
              <w:rPr>
                <w:sz w:val="20"/>
                <w:szCs w:val="20"/>
                <w:color w:val="auto"/>
              </w:rPr>
            </w:pPr>
            <w:r>
              <w:rPr>
                <w:rFonts w:ascii="Arial" w:cs="Arial" w:eastAsia="Arial" w:hAnsi="Arial"/>
                <w:sz w:val="15"/>
                <w:szCs w:val="15"/>
                <w:b w:val="1"/>
                <w:bCs w:val="1"/>
                <w:color w:val="auto"/>
              </w:rPr>
              <w:t>(9)</w:t>
            </w: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auto"/>
              </w:rPr>
              <w:t>(16)</w:t>
            </w:r>
          </w:p>
        </w:tc>
        <w:tc>
          <w:tcPr>
            <w:tcW w:w="80" w:type="dxa"/>
            <w:vAlign w:val="bottom"/>
          </w:tcPr>
          <w:p>
            <w:pPr>
              <w:spacing w:after="0"/>
              <w:rPr>
                <w:sz w:val="17"/>
                <w:szCs w:val="17"/>
                <w:color w:val="auto"/>
              </w:rPr>
            </w:pPr>
          </w:p>
        </w:tc>
        <w:tc>
          <w:tcPr>
            <w:tcW w:w="1140" w:type="dxa"/>
            <w:vAlign w:val="bottom"/>
            <w:gridSpan w:val="2"/>
          </w:tcPr>
          <w:p>
            <w:pPr>
              <w:jc w:val="right"/>
              <w:ind w:right="171"/>
              <w:spacing w:after="0"/>
              <w:rPr>
                <w:sz w:val="20"/>
                <w:szCs w:val="20"/>
                <w:color w:val="auto"/>
              </w:rPr>
            </w:pPr>
            <w:r>
              <w:rPr>
                <w:rFonts w:ascii="Arial" w:cs="Arial" w:eastAsia="Arial" w:hAnsi="Arial"/>
                <w:sz w:val="15"/>
                <w:szCs w:val="15"/>
                <w:color w:val="auto"/>
              </w:rPr>
              <w:t>(0.03)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ind w:left="320"/>
              <w:spacing w:after="0"/>
              <w:rPr>
                <w:sz w:val="20"/>
                <w:szCs w:val="20"/>
                <w:color w:val="auto"/>
              </w:rPr>
            </w:pPr>
            <w:r>
              <w:rPr>
                <w:rFonts w:ascii="Arial" w:cs="Arial" w:eastAsia="Arial" w:hAnsi="Arial"/>
                <w:sz w:val="15"/>
                <w:szCs w:val="15"/>
                <w:color w:val="auto"/>
              </w:rPr>
              <w:t>(5)</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center"/>
              <w:ind w:right="63"/>
              <w:spacing w:after="0"/>
              <w:rPr>
                <w:sz w:val="20"/>
                <w:szCs w:val="20"/>
                <w:color w:val="auto"/>
              </w:rPr>
            </w:pPr>
            <w:r>
              <w:rPr>
                <w:rFonts w:ascii="Arial" w:cs="Arial" w:eastAsia="Arial" w:hAnsi="Arial"/>
                <w:sz w:val="15"/>
                <w:szCs w:val="15"/>
                <w:color w:val="auto"/>
              </w:rPr>
              <w:t>(36)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40" w:type="dxa"/>
            <w:vAlign w:val="bottom"/>
          </w:tcPr>
          <w:p>
            <w:pPr>
              <w:ind w:left="20"/>
              <w:spacing w:after="0"/>
              <w:rPr>
                <w:sz w:val="20"/>
                <w:szCs w:val="20"/>
                <w:color w:val="auto"/>
              </w:rPr>
            </w:pPr>
            <w:r>
              <w:rPr>
                <w:rFonts w:ascii="Arial" w:cs="Arial" w:eastAsia="Arial" w:hAnsi="Arial"/>
                <w:sz w:val="15"/>
                <w:szCs w:val="15"/>
                <w:color w:val="auto"/>
              </w:rPr>
              <w:t>Minimum</w:t>
            </w:r>
          </w:p>
        </w:tc>
        <w:tc>
          <w:tcPr>
            <w:tcW w:w="1120" w:type="dxa"/>
            <w:vAlign w:val="bottom"/>
          </w:tcPr>
          <w:p>
            <w:pPr>
              <w:jc w:val="right"/>
              <w:ind w:right="286"/>
              <w:spacing w:after="0"/>
              <w:rPr>
                <w:sz w:val="20"/>
                <w:szCs w:val="20"/>
                <w:color w:val="auto"/>
              </w:rPr>
            </w:pPr>
            <w:r>
              <w:rPr>
                <w:rFonts w:ascii="Arial" w:cs="Arial" w:eastAsia="Arial" w:hAnsi="Arial"/>
                <w:sz w:val="15"/>
                <w:szCs w:val="15"/>
                <w:b w:val="1"/>
                <w:bCs w:val="1"/>
                <w:color w:val="auto"/>
              </w:rPr>
              <w:t>(0.02)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ind w:right="327"/>
              <w:spacing w:after="0"/>
              <w:rPr>
                <w:sz w:val="20"/>
                <w:szCs w:val="20"/>
                <w:color w:val="auto"/>
              </w:rPr>
            </w:pPr>
            <w:r>
              <w:rPr>
                <w:rFonts w:ascii="Arial" w:cs="Arial" w:eastAsia="Arial" w:hAnsi="Arial"/>
                <w:sz w:val="15"/>
                <w:szCs w:val="15"/>
                <w:b w:val="1"/>
                <w:bCs w:val="1"/>
                <w:color w:val="auto"/>
              </w:rPr>
              <w:t>(15)</w:t>
            </w:r>
          </w:p>
        </w:tc>
        <w:tc>
          <w:tcPr>
            <w:tcW w:w="620" w:type="dxa"/>
            <w:vAlign w:val="bottom"/>
          </w:tcPr>
          <w:p>
            <w:pPr>
              <w:spacing w:after="0"/>
              <w:rPr>
                <w:sz w:val="17"/>
                <w:szCs w:val="17"/>
                <w:color w:val="auto"/>
              </w:rPr>
            </w:pP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auto"/>
              </w:rPr>
              <w:t>(48)</w:t>
            </w:r>
          </w:p>
        </w:tc>
        <w:tc>
          <w:tcPr>
            <w:tcW w:w="80" w:type="dxa"/>
            <w:vAlign w:val="bottom"/>
          </w:tcPr>
          <w:p>
            <w:pPr>
              <w:spacing w:after="0"/>
              <w:rPr>
                <w:sz w:val="17"/>
                <w:szCs w:val="17"/>
                <w:color w:val="auto"/>
              </w:rPr>
            </w:pPr>
          </w:p>
        </w:tc>
        <w:tc>
          <w:tcPr>
            <w:tcW w:w="1140" w:type="dxa"/>
            <w:vAlign w:val="bottom"/>
            <w:gridSpan w:val="2"/>
          </w:tcPr>
          <w:p>
            <w:pPr>
              <w:jc w:val="right"/>
              <w:ind w:right="171"/>
              <w:spacing w:after="0"/>
              <w:rPr>
                <w:sz w:val="20"/>
                <w:szCs w:val="20"/>
                <w:color w:val="auto"/>
              </w:rPr>
            </w:pPr>
            <w:r>
              <w:rPr>
                <w:rFonts w:ascii="Arial" w:cs="Arial" w:eastAsia="Arial" w:hAnsi="Arial"/>
                <w:sz w:val="15"/>
                <w:szCs w:val="15"/>
                <w:color w:val="auto"/>
              </w:rPr>
              <w:t>(0.05)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ind w:left="320"/>
              <w:spacing w:after="0"/>
              <w:rPr>
                <w:sz w:val="20"/>
                <w:szCs w:val="20"/>
                <w:color w:val="auto"/>
              </w:rPr>
            </w:pPr>
            <w:r>
              <w:rPr>
                <w:rFonts w:ascii="Arial" w:cs="Arial" w:eastAsia="Arial" w:hAnsi="Arial"/>
                <w:sz w:val="15"/>
                <w:szCs w:val="15"/>
                <w:color w:val="auto"/>
              </w:rPr>
              <w:t>(8)</w:t>
            </w:r>
          </w:p>
        </w:tc>
        <w:tc>
          <w:tcPr>
            <w:tcW w:w="500" w:type="dxa"/>
            <w:vAlign w:val="bottom"/>
          </w:tcPr>
          <w:p>
            <w:pPr>
              <w:spacing w:after="0"/>
              <w:rPr>
                <w:sz w:val="17"/>
                <w:szCs w:val="17"/>
                <w:color w:val="auto"/>
              </w:rPr>
            </w:pPr>
          </w:p>
        </w:tc>
        <w:tc>
          <w:tcPr>
            <w:tcW w:w="860" w:type="dxa"/>
            <w:vAlign w:val="bottom"/>
          </w:tcPr>
          <w:p>
            <w:pPr>
              <w:jc w:val="center"/>
              <w:ind w:right="63"/>
              <w:spacing w:after="0"/>
              <w:rPr>
                <w:sz w:val="20"/>
                <w:szCs w:val="20"/>
                <w:color w:val="auto"/>
              </w:rPr>
            </w:pPr>
            <w:r>
              <w:rPr>
                <w:rFonts w:ascii="Arial" w:cs="Arial" w:eastAsia="Arial" w:hAnsi="Arial"/>
                <w:sz w:val="15"/>
                <w:szCs w:val="15"/>
                <w:color w:val="auto"/>
              </w:rPr>
              <w:t>(62)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40" w:type="dxa"/>
            <w:vAlign w:val="bottom"/>
          </w:tcPr>
          <w:p>
            <w:pPr>
              <w:ind w:left="20"/>
              <w:spacing w:after="0"/>
              <w:rPr>
                <w:sz w:val="20"/>
                <w:szCs w:val="20"/>
                <w:color w:val="auto"/>
              </w:rPr>
            </w:pPr>
            <w:r>
              <w:rPr>
                <w:rFonts w:ascii="Arial" w:cs="Arial" w:eastAsia="Arial" w:hAnsi="Arial"/>
                <w:sz w:val="15"/>
                <w:szCs w:val="15"/>
                <w:color w:val="auto"/>
              </w:rPr>
              <w:t>Maximum</w:t>
            </w:r>
          </w:p>
        </w:tc>
        <w:tc>
          <w:tcPr>
            <w:tcW w:w="1120" w:type="dxa"/>
            <w:vAlign w:val="bottom"/>
          </w:tcPr>
          <w:p>
            <w:pPr>
              <w:jc w:val="right"/>
              <w:ind w:right="326"/>
              <w:spacing w:after="0"/>
              <w:rPr>
                <w:sz w:val="20"/>
                <w:szCs w:val="20"/>
                <w:color w:val="auto"/>
              </w:rPr>
            </w:pPr>
            <w:r>
              <w:rPr>
                <w:rFonts w:ascii="Arial" w:cs="Arial" w:eastAsia="Arial" w:hAnsi="Arial"/>
                <w:sz w:val="15"/>
                <w:szCs w:val="15"/>
                <w:b w:val="1"/>
                <w:bCs w:val="1"/>
                <w:color w:val="auto"/>
              </w:rPr>
              <w:t>0.03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ind w:right="327"/>
              <w:spacing w:after="0"/>
              <w:rPr>
                <w:sz w:val="20"/>
                <w:szCs w:val="20"/>
                <w:color w:val="auto"/>
              </w:rPr>
            </w:pPr>
            <w:r>
              <w:rPr>
                <w:rFonts w:ascii="Arial" w:cs="Arial" w:eastAsia="Arial" w:hAnsi="Arial"/>
                <w:sz w:val="15"/>
                <w:szCs w:val="15"/>
                <w:b w:val="1"/>
                <w:bCs w:val="1"/>
                <w:color w:val="auto"/>
              </w:rPr>
              <w:t>(4)</w:t>
            </w:r>
          </w:p>
        </w:tc>
        <w:tc>
          <w:tcPr>
            <w:tcW w:w="620" w:type="dxa"/>
            <w:vAlign w:val="bottom"/>
          </w:tcPr>
          <w:p>
            <w:pPr>
              <w:spacing w:after="0"/>
              <w:rPr>
                <w:sz w:val="17"/>
                <w:szCs w:val="17"/>
                <w:color w:val="auto"/>
              </w:rPr>
            </w:pP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auto"/>
              </w:rPr>
              <w:t>(5)</w:t>
            </w:r>
          </w:p>
        </w:tc>
        <w:tc>
          <w:tcPr>
            <w:tcW w:w="80" w:type="dxa"/>
            <w:vAlign w:val="bottom"/>
          </w:tcPr>
          <w:p>
            <w:pPr>
              <w:spacing w:after="0"/>
              <w:rPr>
                <w:sz w:val="17"/>
                <w:szCs w:val="17"/>
                <w:color w:val="auto"/>
              </w:rPr>
            </w:pPr>
          </w:p>
        </w:tc>
        <w:tc>
          <w:tcPr>
            <w:tcW w:w="1140" w:type="dxa"/>
            <w:vAlign w:val="bottom"/>
            <w:gridSpan w:val="2"/>
          </w:tcPr>
          <w:p>
            <w:pPr>
              <w:jc w:val="right"/>
              <w:ind w:right="231"/>
              <w:spacing w:after="0"/>
              <w:rPr>
                <w:sz w:val="20"/>
                <w:szCs w:val="20"/>
                <w:color w:val="auto"/>
              </w:rPr>
            </w:pPr>
            <w:r>
              <w:rPr>
                <w:rFonts w:ascii="Arial" w:cs="Arial" w:eastAsia="Arial" w:hAnsi="Arial"/>
                <w:sz w:val="15"/>
                <w:szCs w:val="15"/>
                <w:color w:val="auto"/>
              </w:rPr>
              <w:t>0.02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ind w:right="447"/>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7"/>
                <w:szCs w:val="17"/>
                <w:color w:val="auto"/>
              </w:rPr>
            </w:pPr>
          </w:p>
        </w:tc>
        <w:tc>
          <w:tcPr>
            <w:tcW w:w="860" w:type="dxa"/>
            <w:vAlign w:val="bottom"/>
          </w:tcPr>
          <w:p>
            <w:pPr>
              <w:jc w:val="center"/>
              <w:ind w:right="63"/>
              <w:spacing w:after="0"/>
              <w:rPr>
                <w:sz w:val="20"/>
                <w:szCs w:val="20"/>
                <w:color w:val="auto"/>
              </w:rPr>
            </w:pPr>
            <w:r>
              <w:rPr>
                <w:rFonts w:ascii="Arial" w:cs="Arial" w:eastAsia="Arial" w:hAnsi="Arial"/>
                <w:sz w:val="15"/>
                <w:szCs w:val="15"/>
                <w:color w:val="auto"/>
              </w:rPr>
              <w:t>(12)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20"/>
              <w:spacing w:after="0"/>
              <w:rPr>
                <w:sz w:val="20"/>
                <w:szCs w:val="20"/>
                <w:color w:val="auto"/>
              </w:rPr>
            </w:pPr>
            <w:r>
              <w:rPr>
                <w:rFonts w:ascii="Arial" w:cs="Arial" w:eastAsia="Arial" w:hAnsi="Arial"/>
                <w:sz w:val="15"/>
                <w:szCs w:val="15"/>
                <w:color w:val="auto"/>
              </w:rPr>
              <w:t>Standard deviation</w:t>
            </w:r>
          </w:p>
        </w:tc>
        <w:tc>
          <w:tcPr>
            <w:tcW w:w="1120" w:type="dxa"/>
            <w:vAlign w:val="bottom"/>
          </w:tcPr>
          <w:p>
            <w:pPr>
              <w:jc w:val="right"/>
              <w:ind w:right="326"/>
              <w:spacing w:after="0"/>
              <w:rPr>
                <w:sz w:val="20"/>
                <w:szCs w:val="20"/>
                <w:color w:val="auto"/>
              </w:rPr>
            </w:pPr>
            <w:r>
              <w:rPr>
                <w:rFonts w:ascii="Arial" w:cs="Arial" w:eastAsia="Arial" w:hAnsi="Arial"/>
                <w:sz w:val="15"/>
                <w:szCs w:val="15"/>
                <w:b w:val="1"/>
                <w:bCs w:val="1"/>
                <w:color w:val="auto"/>
              </w:rPr>
              <w:t>0.01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367"/>
              <w:spacing w:after="0"/>
              <w:rPr>
                <w:sz w:val="20"/>
                <w:szCs w:val="20"/>
                <w:color w:val="auto"/>
              </w:rPr>
            </w:pPr>
            <w:r>
              <w:rPr>
                <w:rFonts w:ascii="Arial" w:cs="Arial" w:eastAsia="Arial" w:hAnsi="Arial"/>
                <w:sz w:val="15"/>
                <w:szCs w:val="15"/>
                <w:b w:val="1"/>
                <w:bCs w:val="1"/>
                <w:color w:val="auto"/>
              </w:rPr>
              <w:t>3</w:t>
            </w:r>
          </w:p>
        </w:tc>
        <w:tc>
          <w:tcPr>
            <w:tcW w:w="620" w:type="dxa"/>
            <w:vAlign w:val="bottom"/>
          </w:tcPr>
          <w:p>
            <w:pPr>
              <w:spacing w:after="0"/>
              <w:rPr>
                <w:sz w:val="18"/>
                <w:szCs w:val="18"/>
                <w:color w:val="auto"/>
              </w:rPr>
            </w:pPr>
          </w:p>
        </w:tc>
        <w:tc>
          <w:tcPr>
            <w:tcW w:w="780" w:type="dxa"/>
            <w:vAlign w:val="bottom"/>
          </w:tcPr>
          <w:p>
            <w:pPr>
              <w:jc w:val="right"/>
              <w:ind w:right="264"/>
              <w:spacing w:after="0"/>
              <w:rPr>
                <w:sz w:val="20"/>
                <w:szCs w:val="20"/>
                <w:color w:val="auto"/>
              </w:rPr>
            </w:pPr>
            <w:r>
              <w:rPr>
                <w:rFonts w:ascii="Arial" w:cs="Arial" w:eastAsia="Arial" w:hAnsi="Arial"/>
                <w:sz w:val="15"/>
                <w:szCs w:val="15"/>
                <w:b w:val="1"/>
                <w:bCs w:val="1"/>
                <w:color w:val="auto"/>
              </w:rPr>
              <w:t>9</w:t>
            </w:r>
          </w:p>
        </w:tc>
        <w:tc>
          <w:tcPr>
            <w:tcW w:w="80" w:type="dxa"/>
            <w:vAlign w:val="bottom"/>
          </w:tcPr>
          <w:p>
            <w:pPr>
              <w:spacing w:after="0"/>
              <w:rPr>
                <w:sz w:val="18"/>
                <w:szCs w:val="18"/>
                <w:color w:val="auto"/>
              </w:rPr>
            </w:pPr>
          </w:p>
        </w:tc>
        <w:tc>
          <w:tcPr>
            <w:tcW w:w="1140" w:type="dxa"/>
            <w:vAlign w:val="bottom"/>
            <w:gridSpan w:val="2"/>
          </w:tcPr>
          <w:p>
            <w:pPr>
              <w:jc w:val="right"/>
              <w:ind w:right="231"/>
              <w:spacing w:after="0"/>
              <w:rPr>
                <w:sz w:val="20"/>
                <w:szCs w:val="20"/>
                <w:color w:val="auto"/>
              </w:rPr>
            </w:pPr>
            <w:r>
              <w:rPr>
                <w:rFonts w:ascii="Arial" w:cs="Arial" w:eastAsia="Arial" w:hAnsi="Arial"/>
                <w:sz w:val="15"/>
                <w:szCs w:val="15"/>
                <w:color w:val="auto"/>
              </w:rPr>
              <w:t>0.02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447"/>
              <w:spacing w:after="0"/>
              <w:rPr>
                <w:sz w:val="20"/>
                <w:szCs w:val="20"/>
                <w:color w:val="auto"/>
              </w:rPr>
            </w:pPr>
            <w:r>
              <w:rPr>
                <w:rFonts w:ascii="Arial" w:cs="Arial" w:eastAsia="Arial" w:hAnsi="Arial"/>
                <w:sz w:val="15"/>
                <w:szCs w:val="15"/>
                <w:color w:val="auto"/>
              </w:rPr>
              <w:t>2</w:t>
            </w:r>
          </w:p>
        </w:tc>
        <w:tc>
          <w:tcPr>
            <w:tcW w:w="500" w:type="dxa"/>
            <w:vAlign w:val="bottom"/>
          </w:tcPr>
          <w:p>
            <w:pPr>
              <w:spacing w:after="0"/>
              <w:rPr>
                <w:sz w:val="18"/>
                <w:szCs w:val="18"/>
                <w:color w:val="auto"/>
              </w:rPr>
            </w:pPr>
          </w:p>
        </w:tc>
        <w:tc>
          <w:tcPr>
            <w:tcW w:w="860" w:type="dxa"/>
            <w:vAlign w:val="bottom"/>
          </w:tcPr>
          <w:p>
            <w:pPr>
              <w:jc w:val="center"/>
              <w:ind w:right="63"/>
              <w:spacing w:after="0"/>
              <w:rPr>
                <w:sz w:val="20"/>
                <w:szCs w:val="20"/>
                <w:color w:val="auto"/>
              </w:rPr>
            </w:pPr>
            <w:r>
              <w:rPr>
                <w:rFonts w:ascii="Arial" w:cs="Arial" w:eastAsia="Arial" w:hAnsi="Arial"/>
                <w:sz w:val="15"/>
                <w:szCs w:val="15"/>
                <w:color w:val="auto"/>
                <w:w w:val="95"/>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240" w:right="240" w:hanging="237"/>
        <w:spacing w:after="0" w:line="231" w:lineRule="auto"/>
        <w:tabs>
          <w:tab w:leader="none" w:pos="240" w:val="left"/>
        </w:tabs>
        <w:numPr>
          <w:ilvl w:val="0"/>
          <w:numId w:val="66"/>
        </w:numPr>
        <w:rPr>
          <w:rFonts w:ascii="Arial" w:cs="Arial" w:eastAsia="Arial" w:hAnsi="Arial"/>
          <w:sz w:val="18"/>
          <w:szCs w:val="18"/>
          <w:color w:val="auto"/>
          <w:vertAlign w:val="superscript"/>
        </w:rPr>
      </w:pPr>
      <w:r>
        <w:rPr>
          <w:rFonts w:ascii="Arial" w:cs="Arial" w:eastAsia="Arial" w:hAnsi="Arial"/>
          <w:sz w:val="14"/>
          <w:szCs w:val="14"/>
          <w:color w:val="auto"/>
        </w:rPr>
        <w:t>Computed based on changes in SOFR interest-rates swap curve as of and for the three months ended June 30, 2023. Computed based on changes in U.S. LIBOR interest-rates swap curve as of December 31, 2022 and for the three months ended June 30, 2022. Changes in the level of interest rates assume a parallel shift in all maturities of the SOFR or U.S. LIBOR interest-rate swap curve, as applicable. Changes in the slope of the yield curve assume a constant 7-year rate, a shift of 16.7 basis points for the 1-year rate (and shorter tenors) and an opposite shift of 8.3 basis points for the 30-year rate. Rate shocks for remaining maturity points are interpolated.</w:t>
      </w:r>
    </w:p>
    <w:p>
      <w:pPr>
        <w:ind w:left="240" w:hanging="237"/>
        <w:spacing w:after="0"/>
        <w:tabs>
          <w:tab w:leader="none" w:pos="240" w:val="left"/>
        </w:tabs>
        <w:numPr>
          <w:ilvl w:val="0"/>
          <w:numId w:val="66"/>
        </w:numPr>
        <w:rPr>
          <w:rFonts w:ascii="Arial" w:cs="Arial" w:eastAsia="Arial" w:hAnsi="Arial"/>
          <w:sz w:val="18"/>
          <w:szCs w:val="18"/>
          <w:color w:val="auto"/>
          <w:vertAlign w:val="superscript"/>
        </w:rPr>
      </w:pPr>
      <w:r>
        <w:rPr>
          <w:rFonts w:ascii="Arial" w:cs="Arial" w:eastAsia="Arial" w:hAnsi="Arial"/>
          <w:sz w:val="14"/>
          <w:szCs w:val="14"/>
          <w:color w:val="auto"/>
        </w:rPr>
        <w:t>Measured on the last business day of each period presented.</w:t>
      </w:r>
    </w:p>
    <w:p>
      <w:pPr>
        <w:spacing w:after="0" w:line="41" w:lineRule="exact"/>
        <w:rPr>
          <w:rFonts w:ascii="Arial" w:cs="Arial" w:eastAsia="Arial" w:hAnsi="Arial"/>
          <w:sz w:val="18"/>
          <w:szCs w:val="18"/>
          <w:color w:val="auto"/>
          <w:vertAlign w:val="superscript"/>
        </w:rPr>
      </w:pPr>
    </w:p>
    <w:p>
      <w:pPr>
        <w:ind w:left="240" w:hanging="237"/>
        <w:spacing w:after="0" w:line="190" w:lineRule="auto"/>
        <w:tabs>
          <w:tab w:leader="none" w:pos="240" w:val="left"/>
        </w:tabs>
        <w:numPr>
          <w:ilvl w:val="0"/>
          <w:numId w:val="66"/>
        </w:numPr>
        <w:rPr>
          <w:rFonts w:ascii="Arial" w:cs="Arial" w:eastAsia="Arial" w:hAnsi="Arial"/>
          <w:sz w:val="18"/>
          <w:szCs w:val="18"/>
          <w:color w:val="auto"/>
          <w:vertAlign w:val="superscript"/>
        </w:rPr>
      </w:pPr>
      <w:r>
        <w:rPr>
          <w:rFonts w:ascii="Arial" w:cs="Arial" w:eastAsia="Arial" w:hAnsi="Arial"/>
          <w:sz w:val="14"/>
          <w:szCs w:val="14"/>
          <w:color w:val="auto"/>
        </w:rPr>
        <w:t>Computed based on daily values during the period presented.</w:t>
      </w:r>
    </w:p>
    <w:p>
      <w:pPr>
        <w:spacing w:after="0" w:line="59"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The market value sensitivity of our net portfolio varies across a range of interest-rate shocks depending upon the duration and convexity profile of our net portfolio. The market value sensitivity of the net portfolio is measured by quantifying the change in the present value of the cash flows of our financial assets and liabilities that would result from an instantaneous shock to interest rates, assuming spreads are held constant.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55</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58" w:name="page59"/>
    <w:bookmarkEnd w:id="58"/>
    <w:p>
      <w:pPr>
        <w:ind w:left="5240"/>
        <w:spacing w:after="0"/>
        <w:rPr>
          <w:sz w:val="20"/>
          <w:szCs w:val="20"/>
          <w:color w:val="auto"/>
        </w:rPr>
      </w:pPr>
      <w:r>
        <w:rPr>
          <w:rFonts w:ascii="Arial" w:cs="Arial" w:eastAsia="Arial" w:hAnsi="Arial"/>
          <w:sz w:val="13"/>
          <w:szCs w:val="13"/>
          <w:color w:val="05314D"/>
        </w:rPr>
        <w:t>MD&amp;A | Risk Management | Market Risk Management, including Interest-Rate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22860</wp:posOffset>
            </wp:positionV>
            <wp:extent cx="70072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We use derivatives to help manage the residual interest-rate risk exposure between the assets and liabilities in our net portfolio. Derivatives have enabled us to keep our economic interest-rate risk exposure at consistently low levels in a wide range of interest-rate environments. The table below displays an example of how derivatives impacted the net market value exposure for a 50 basis point parallel interest-rate shock. For additional information on our derivative positions, see “Note 8, Derivative Instruments” in our 2022 Form 10-K and in this report.</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Derivative Impact on Interest-Rate Risk (50 Basis Points)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400" w:type="dxa"/>
            <w:vAlign w:val="bottom"/>
            <w:tcBorders>
              <w:top w:val="single" w:sz="8" w:color="2C6937"/>
            </w:tcBorders>
          </w:tcPr>
          <w:p>
            <w:pPr>
              <w:spacing w:after="0"/>
              <w:rPr>
                <w:sz w:val="17"/>
                <w:szCs w:val="17"/>
                <w:color w:val="auto"/>
              </w:rPr>
            </w:pPr>
          </w:p>
        </w:tc>
        <w:tc>
          <w:tcPr>
            <w:tcW w:w="340" w:type="dxa"/>
            <w:vAlign w:val="bottom"/>
            <w:tcBorders>
              <w:top w:val="single" w:sz="8" w:color="2C6937"/>
              <w:bottom w:val="single" w:sz="8" w:color="2C6937"/>
            </w:tcBorders>
          </w:tcPr>
          <w:p>
            <w:pPr>
              <w:spacing w:after="0"/>
              <w:rPr>
                <w:sz w:val="17"/>
                <w:szCs w:val="17"/>
                <w:color w:val="auto"/>
              </w:rPr>
            </w:pPr>
          </w:p>
        </w:tc>
        <w:tc>
          <w:tcPr>
            <w:tcW w:w="1920" w:type="dxa"/>
            <w:vAlign w:val="bottom"/>
            <w:tcBorders>
              <w:top w:val="single" w:sz="8" w:color="2C6937"/>
              <w:bottom w:val="single" w:sz="8" w:color="2C6937"/>
            </w:tcBorders>
            <w:gridSpan w:val="2"/>
          </w:tcPr>
          <w:p>
            <w:pPr>
              <w:jc w:val="right"/>
              <w:ind w:right="43"/>
              <w:spacing w:after="0"/>
              <w:rPr>
                <w:sz w:val="20"/>
                <w:szCs w:val="20"/>
                <w:color w:val="auto"/>
              </w:rPr>
            </w:pPr>
            <w:r>
              <w:rPr>
                <w:rFonts w:ascii="Arial" w:cs="Arial" w:eastAsia="Arial" w:hAnsi="Arial"/>
                <w:sz w:val="14"/>
                <w:szCs w:val="14"/>
                <w:b w:val="1"/>
                <w:bCs w:val="1"/>
                <w:color w:val="auto"/>
              </w:rPr>
              <w:t>As of</w:t>
            </w:r>
            <w:r>
              <w:rPr>
                <w:rFonts w:ascii="Arial" w:cs="Arial" w:eastAsia="Arial" w:hAnsi="Arial"/>
                <w:sz w:val="8"/>
                <w:szCs w:val="8"/>
                <w:b w:val="1"/>
                <w:bCs w:val="1"/>
                <w:color w:val="auto"/>
              </w:rPr>
              <w:t>(1)</w:t>
            </w:r>
          </w:p>
        </w:tc>
        <w:tc>
          <w:tcPr>
            <w:tcW w:w="1580" w:type="dxa"/>
            <w:vAlign w:val="bottom"/>
            <w:tcBorders>
              <w:top w:val="single" w:sz="8" w:color="2C6937"/>
              <w:bottom w:val="single" w:sz="8" w:color="2C6937"/>
            </w:tcBorders>
          </w:tcPr>
          <w:p>
            <w:pPr>
              <w:spacing w:after="0"/>
              <w:rPr>
                <w:sz w:val="17"/>
                <w:szCs w:val="17"/>
                <w:color w:val="auto"/>
              </w:rPr>
            </w:pPr>
          </w:p>
        </w:tc>
      </w:tr>
      <w:tr>
        <w:trPr>
          <w:trHeight w:val="186"/>
        </w:trPr>
        <w:tc>
          <w:tcPr>
            <w:tcW w:w="7400" w:type="dxa"/>
            <w:vAlign w:val="bottom"/>
          </w:tcPr>
          <w:p>
            <w:pPr>
              <w:spacing w:after="0"/>
              <w:rPr>
                <w:sz w:val="16"/>
                <w:szCs w:val="16"/>
                <w:color w:val="auto"/>
              </w:rPr>
            </w:pPr>
          </w:p>
        </w:tc>
        <w:tc>
          <w:tcPr>
            <w:tcW w:w="340" w:type="dxa"/>
            <w:vAlign w:val="bottom"/>
            <w:tcBorders>
              <w:bottom w:val="single" w:sz="8" w:color="2C6937"/>
            </w:tcBorders>
          </w:tcPr>
          <w:p>
            <w:pPr>
              <w:spacing w:after="0"/>
              <w:rPr>
                <w:sz w:val="16"/>
                <w:szCs w:val="16"/>
                <w:color w:val="auto"/>
              </w:rPr>
            </w:pPr>
          </w:p>
        </w:tc>
        <w:tc>
          <w:tcPr>
            <w:tcW w:w="1580" w:type="dxa"/>
            <w:vAlign w:val="bottom"/>
            <w:tcBorders>
              <w:bottom w:val="single" w:sz="8" w:color="2C6937"/>
            </w:tcBorders>
          </w:tcPr>
          <w:p>
            <w:pPr>
              <w:jc w:val="right"/>
              <w:ind w:right="487"/>
              <w:spacing w:after="0"/>
              <w:rPr>
                <w:sz w:val="20"/>
                <w:szCs w:val="20"/>
                <w:color w:val="auto"/>
              </w:rPr>
            </w:pPr>
            <w:r>
              <w:rPr>
                <w:rFonts w:ascii="Arial" w:cs="Arial" w:eastAsia="Arial" w:hAnsi="Arial"/>
                <w:sz w:val="14"/>
                <w:szCs w:val="14"/>
                <w:b w:val="1"/>
                <w:bCs w:val="1"/>
                <w:color w:val="auto"/>
              </w:rPr>
              <w:t>June 30, 2023</w:t>
            </w:r>
          </w:p>
        </w:tc>
        <w:tc>
          <w:tcPr>
            <w:tcW w:w="340" w:type="dxa"/>
            <w:vAlign w:val="bottom"/>
            <w:tcBorders>
              <w:bottom w:val="single" w:sz="8" w:color="2C6937"/>
            </w:tcBorders>
          </w:tcPr>
          <w:p>
            <w:pPr>
              <w:spacing w:after="0"/>
              <w:rPr>
                <w:sz w:val="16"/>
                <w:szCs w:val="16"/>
                <w:color w:val="auto"/>
              </w:rPr>
            </w:pPr>
          </w:p>
        </w:tc>
        <w:tc>
          <w:tcPr>
            <w:tcW w:w="1580" w:type="dxa"/>
            <w:vAlign w:val="bottom"/>
            <w:tcBorders>
              <w:bottom w:val="single" w:sz="8" w:color="2C6937"/>
            </w:tcBorders>
          </w:tcPr>
          <w:p>
            <w:pPr>
              <w:jc w:val="right"/>
              <w:ind w:right="225"/>
              <w:spacing w:after="0"/>
              <w:rPr>
                <w:sz w:val="20"/>
                <w:szCs w:val="20"/>
                <w:color w:val="auto"/>
              </w:rPr>
            </w:pPr>
            <w:r>
              <w:rPr>
                <w:rFonts w:ascii="Arial" w:cs="Arial" w:eastAsia="Arial" w:hAnsi="Arial"/>
                <w:sz w:val="14"/>
                <w:szCs w:val="14"/>
                <w:b w:val="1"/>
                <w:bCs w:val="1"/>
                <w:color w:val="auto"/>
                <w:w w:val="99"/>
              </w:rPr>
              <w:t>December 31, 2022</w:t>
            </w:r>
          </w:p>
        </w:tc>
      </w:tr>
      <w:tr>
        <w:trPr>
          <w:trHeight w:val="184"/>
        </w:trPr>
        <w:tc>
          <w:tcPr>
            <w:tcW w:w="7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500" w:type="dxa"/>
            <w:vAlign w:val="bottom"/>
            <w:gridSpan w:val="3"/>
          </w:tcPr>
          <w:p>
            <w:pPr>
              <w:jc w:val="right"/>
              <w:ind w:right="1205"/>
              <w:spacing w:after="0"/>
              <w:rPr>
                <w:sz w:val="20"/>
                <w:szCs w:val="20"/>
                <w:color w:val="auto"/>
              </w:rPr>
            </w:pPr>
            <w:r>
              <w:rPr>
                <w:rFonts w:ascii="Arial" w:cs="Arial" w:eastAsia="Arial" w:hAnsi="Arial"/>
                <w:sz w:val="14"/>
                <w:szCs w:val="14"/>
                <w:b w:val="1"/>
                <w:bCs w:val="1"/>
                <w:color w:val="auto"/>
              </w:rPr>
              <w:t>(Dollars in millions)</w:t>
            </w:r>
          </w:p>
        </w:tc>
      </w:tr>
      <w:tr>
        <w:trPr>
          <w:trHeight w:val="206"/>
        </w:trPr>
        <w:tc>
          <w:tcPr>
            <w:tcW w:w="7400" w:type="dxa"/>
            <w:vAlign w:val="bottom"/>
          </w:tcPr>
          <w:p>
            <w:pPr>
              <w:ind w:left="20"/>
              <w:spacing w:after="0"/>
              <w:rPr>
                <w:sz w:val="20"/>
                <w:szCs w:val="20"/>
                <w:color w:val="auto"/>
              </w:rPr>
            </w:pPr>
            <w:r>
              <w:rPr>
                <w:rFonts w:ascii="Arial" w:cs="Arial" w:eastAsia="Arial" w:hAnsi="Arial"/>
                <w:sz w:val="15"/>
                <w:szCs w:val="15"/>
                <w:color w:val="auto"/>
              </w:rPr>
              <w:t>Before derivatives</w:t>
            </w:r>
          </w:p>
        </w:tc>
        <w:tc>
          <w:tcPr>
            <w:tcW w:w="340" w:type="dxa"/>
            <w:vAlign w:val="bottom"/>
          </w:tcPr>
          <w:p>
            <w:pPr>
              <w:jc w:val="right"/>
              <w:ind w:right="63"/>
              <w:spacing w:after="0"/>
              <w:rPr>
                <w:sz w:val="20"/>
                <w:szCs w:val="20"/>
                <w:color w:val="auto"/>
              </w:rPr>
            </w:pPr>
            <w:r>
              <w:rPr>
                <w:rFonts w:ascii="Arial" w:cs="Arial" w:eastAsia="Arial" w:hAnsi="Arial"/>
                <w:sz w:val="15"/>
                <w:szCs w:val="15"/>
                <w:b w:val="1"/>
                <w:bCs w:val="1"/>
                <w:color w:val="auto"/>
              </w:rPr>
              <w:t>$</w:t>
            </w:r>
          </w:p>
        </w:tc>
        <w:tc>
          <w:tcPr>
            <w:tcW w:w="1580" w:type="dxa"/>
            <w:vAlign w:val="bottom"/>
          </w:tcPr>
          <w:p>
            <w:pPr>
              <w:jc w:val="right"/>
              <w:ind w:right="147"/>
              <w:spacing w:after="0"/>
              <w:rPr>
                <w:sz w:val="20"/>
                <w:szCs w:val="20"/>
                <w:color w:val="auto"/>
              </w:rPr>
            </w:pPr>
            <w:r>
              <w:rPr>
                <w:rFonts w:ascii="Arial" w:cs="Arial" w:eastAsia="Arial" w:hAnsi="Arial"/>
                <w:sz w:val="15"/>
                <w:szCs w:val="15"/>
                <w:b w:val="1"/>
                <w:bCs w:val="1"/>
                <w:color w:val="auto"/>
              </w:rPr>
              <w:t>(249)</w:t>
            </w: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45"/>
              <w:spacing w:after="0"/>
              <w:rPr>
                <w:sz w:val="20"/>
                <w:szCs w:val="20"/>
                <w:color w:val="auto"/>
              </w:rPr>
            </w:pPr>
            <w:r>
              <w:rPr>
                <w:rFonts w:ascii="Arial" w:cs="Arial" w:eastAsia="Arial" w:hAnsi="Arial"/>
                <w:sz w:val="15"/>
                <w:szCs w:val="15"/>
                <w:color w:val="auto"/>
              </w:rPr>
              <w:t>(177)</w:t>
            </w:r>
          </w:p>
        </w:tc>
      </w:tr>
      <w:tr>
        <w:trPr>
          <w:trHeight w:val="206"/>
        </w:trPr>
        <w:tc>
          <w:tcPr>
            <w:tcW w:w="7400" w:type="dxa"/>
            <w:vAlign w:val="bottom"/>
          </w:tcPr>
          <w:p>
            <w:pPr>
              <w:ind w:left="20"/>
              <w:spacing w:after="0"/>
              <w:rPr>
                <w:sz w:val="20"/>
                <w:szCs w:val="20"/>
                <w:color w:val="auto"/>
              </w:rPr>
            </w:pPr>
            <w:r>
              <w:rPr>
                <w:rFonts w:ascii="Arial" w:cs="Arial" w:eastAsia="Arial" w:hAnsi="Arial"/>
                <w:sz w:val="15"/>
                <w:szCs w:val="15"/>
                <w:color w:val="auto"/>
              </w:rPr>
              <w:t>After derivatives</w:t>
            </w:r>
          </w:p>
        </w:tc>
        <w:tc>
          <w:tcPr>
            <w:tcW w:w="340" w:type="dxa"/>
            <w:vAlign w:val="bottom"/>
          </w:tcPr>
          <w:p>
            <w:pPr>
              <w:spacing w:after="0"/>
              <w:rPr>
                <w:sz w:val="17"/>
                <w:szCs w:val="17"/>
                <w:color w:val="auto"/>
              </w:rPr>
            </w:pPr>
          </w:p>
        </w:tc>
        <w:tc>
          <w:tcPr>
            <w:tcW w:w="1580" w:type="dxa"/>
            <w:vAlign w:val="bottom"/>
          </w:tcPr>
          <w:p>
            <w:pPr>
              <w:jc w:val="right"/>
              <w:ind w:right="147"/>
              <w:spacing w:after="0"/>
              <w:rPr>
                <w:sz w:val="20"/>
                <w:szCs w:val="20"/>
                <w:color w:val="auto"/>
              </w:rPr>
            </w:pPr>
            <w:r>
              <w:rPr>
                <w:rFonts w:ascii="Arial" w:cs="Arial" w:eastAsia="Arial" w:hAnsi="Arial"/>
                <w:sz w:val="15"/>
                <w:szCs w:val="15"/>
                <w:b w:val="1"/>
                <w:bCs w:val="1"/>
                <w:color w:val="auto"/>
              </w:rPr>
              <w:t>(28)</w:t>
            </w:r>
          </w:p>
        </w:tc>
        <w:tc>
          <w:tcPr>
            <w:tcW w:w="340" w:type="dxa"/>
            <w:vAlign w:val="bottom"/>
          </w:tcPr>
          <w:p>
            <w:pPr>
              <w:spacing w:after="0"/>
              <w:rPr>
                <w:sz w:val="17"/>
                <w:szCs w:val="17"/>
                <w:color w:val="auto"/>
              </w:rPr>
            </w:pPr>
          </w:p>
        </w:tc>
        <w:tc>
          <w:tcPr>
            <w:tcW w:w="1580" w:type="dxa"/>
            <w:vAlign w:val="bottom"/>
          </w:tcPr>
          <w:p>
            <w:pPr>
              <w:jc w:val="right"/>
              <w:ind w:right="45"/>
              <w:spacing w:after="0"/>
              <w:rPr>
                <w:sz w:val="20"/>
                <w:szCs w:val="20"/>
                <w:color w:val="auto"/>
              </w:rPr>
            </w:pPr>
            <w:r>
              <w:rPr>
                <w:rFonts w:ascii="Arial" w:cs="Arial" w:eastAsia="Arial" w:hAnsi="Arial"/>
                <w:sz w:val="15"/>
                <w:szCs w:val="15"/>
                <w:color w:val="auto"/>
              </w:rPr>
              <w:t>(14)</w:t>
            </w:r>
          </w:p>
        </w:tc>
      </w:tr>
      <w:tr>
        <w:trPr>
          <w:trHeight w:val="216"/>
        </w:trPr>
        <w:tc>
          <w:tcPr>
            <w:tcW w:w="7400" w:type="dxa"/>
            <w:vAlign w:val="bottom"/>
          </w:tcPr>
          <w:p>
            <w:pPr>
              <w:ind w:left="20"/>
              <w:spacing w:after="0"/>
              <w:rPr>
                <w:sz w:val="20"/>
                <w:szCs w:val="20"/>
                <w:color w:val="auto"/>
              </w:rPr>
            </w:pPr>
            <w:r>
              <w:rPr>
                <w:rFonts w:ascii="Arial" w:cs="Arial" w:eastAsia="Arial" w:hAnsi="Arial"/>
                <w:sz w:val="15"/>
                <w:szCs w:val="15"/>
                <w:color w:val="auto"/>
              </w:rPr>
              <w:t>Effect of derivatives</w:t>
            </w:r>
          </w:p>
        </w:tc>
        <w:tc>
          <w:tcPr>
            <w:tcW w:w="340" w:type="dxa"/>
            <w:vAlign w:val="bottom"/>
          </w:tcPr>
          <w:p>
            <w:pPr>
              <w:spacing w:after="0"/>
              <w:rPr>
                <w:sz w:val="18"/>
                <w:szCs w:val="18"/>
                <w:color w:val="auto"/>
              </w:rPr>
            </w:pPr>
          </w:p>
        </w:tc>
        <w:tc>
          <w:tcPr>
            <w:tcW w:w="1580" w:type="dxa"/>
            <w:vAlign w:val="bottom"/>
          </w:tcPr>
          <w:p>
            <w:pPr>
              <w:jc w:val="right"/>
              <w:ind w:right="187"/>
              <w:spacing w:after="0"/>
              <w:rPr>
                <w:sz w:val="20"/>
                <w:szCs w:val="20"/>
                <w:color w:val="auto"/>
              </w:rPr>
            </w:pPr>
            <w:r>
              <w:rPr>
                <w:rFonts w:ascii="Arial" w:cs="Arial" w:eastAsia="Arial" w:hAnsi="Arial"/>
                <w:sz w:val="15"/>
                <w:szCs w:val="15"/>
                <w:b w:val="1"/>
                <w:bCs w:val="1"/>
                <w:color w:val="auto"/>
              </w:rPr>
              <w:t>221</w:t>
            </w:r>
          </w:p>
        </w:tc>
        <w:tc>
          <w:tcPr>
            <w:tcW w:w="340" w:type="dxa"/>
            <w:vAlign w:val="bottom"/>
          </w:tcPr>
          <w:p>
            <w:pPr>
              <w:spacing w:after="0"/>
              <w:rPr>
                <w:sz w:val="18"/>
                <w:szCs w:val="18"/>
                <w:color w:val="auto"/>
              </w:rPr>
            </w:pPr>
          </w:p>
        </w:tc>
        <w:tc>
          <w:tcPr>
            <w:tcW w:w="1580" w:type="dxa"/>
            <w:vAlign w:val="bottom"/>
          </w:tcPr>
          <w:p>
            <w:pPr>
              <w:jc w:val="right"/>
              <w:ind w:right="85"/>
              <w:spacing w:after="0"/>
              <w:rPr>
                <w:sz w:val="20"/>
                <w:szCs w:val="20"/>
                <w:color w:val="auto"/>
              </w:rPr>
            </w:pPr>
            <w:r>
              <w:rPr>
                <w:rFonts w:ascii="Arial" w:cs="Arial" w:eastAsia="Arial" w:hAnsi="Arial"/>
                <w:sz w:val="15"/>
                <w:szCs w:val="15"/>
                <w:color w:val="auto"/>
              </w:rPr>
              <w:t>163</w:t>
            </w:r>
          </w:p>
        </w:tc>
      </w:tr>
    </w:tbl>
    <w:p>
      <w:pPr>
        <w:spacing w:after="0" w:line="104" w:lineRule="exact"/>
        <w:rPr>
          <w:sz w:val="20"/>
          <w:szCs w:val="20"/>
          <w:color w:val="auto"/>
        </w:rPr>
      </w:pPr>
    </w:p>
    <w:p>
      <w:pPr>
        <w:ind w:left="240" w:hanging="237"/>
        <w:spacing w:after="0"/>
        <w:tabs>
          <w:tab w:leader="none" w:pos="240" w:val="left"/>
        </w:tabs>
        <w:numPr>
          <w:ilvl w:val="0"/>
          <w:numId w:val="67"/>
        </w:numPr>
        <w:rPr>
          <w:rFonts w:ascii="Arial" w:cs="Arial" w:eastAsia="Arial" w:hAnsi="Arial"/>
          <w:sz w:val="9"/>
          <w:szCs w:val="9"/>
          <w:color w:val="auto"/>
        </w:rPr>
      </w:pPr>
      <w:r>
        <w:rPr>
          <w:rFonts w:ascii="Arial" w:cs="Arial" w:eastAsia="Arial" w:hAnsi="Arial"/>
          <w:sz w:val="14"/>
          <w:szCs w:val="14"/>
          <w:color w:val="auto"/>
        </w:rPr>
        <w:t>Measured on the last business day of each period presented.</w:t>
      </w:r>
    </w:p>
    <w:p>
      <w:pPr>
        <w:spacing w:after="0" w:line="10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Earnings Exposure to Interest-Rate Risk</w:t>
      </w:r>
    </w:p>
    <w:p>
      <w:pPr>
        <w:spacing w:after="0" w:line="71"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While we manage the interest-rate risk of our net portfolio with the objective of remaining neutral to movements in interest rates and volatility on an economic basis, our earnings can experience volatility due to interest-rate changes and differing accounting treatments that apply to certain financial instruments on our balance sheet. Specifically, we have exposure to earnings volatility that is driven by changes in interest rates in two primary areas: our net portfolio and our consolidated MBS trusts. The exposure in the net portfolio is primarily driven by changes in the fair value of risk management derivatives, mortgage commitments, and certain assets, primarily securities, that are carried at fair value. The exposure related to our consolidated MBS trusts relates to changes in our credit loss reserves and to the amortization of cost basis adjustments resulting from changes in interest rates.</w:t>
      </w:r>
    </w:p>
    <w:p>
      <w:pPr>
        <w:spacing w:after="0" w:line="50"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We apply fair value hedge accounting to address some of the exposure to interest rates, particularly the earnings volatility related to changes in benchmark interest rates. Our hedge accounting program is specifically designed to address the volatility of our financial results associated with changes in fair value related to changes in these benchmark interest rates. As such, earnings variability driven by other factors, such as spreads or changes in cost basis amortization recognized in net interest income, remains. In addition, our ability to effectively reduce earnings volatility is dependent upon the volume and type of interest-rate swaps available for hedging, which is driven by our interest-rate risk management strategy discussed above and in our 2022 Form 10-K. As our range of available interest-rate swaps varies over time, our ability to reduce earnings volatility through hedge accounting may vary as well. When the shape of the yield curve shifts significantly from period to period, hedge accounting may be less effective. In our current program, we establish new hedging relationships daily to provide flexibility in our overall risk management strategy.</w:t>
      </w:r>
    </w:p>
    <w:p>
      <w:pPr>
        <w:spacing w:after="0" w:line="49" w:lineRule="exact"/>
        <w:rPr>
          <w:sz w:val="20"/>
          <w:szCs w:val="20"/>
          <w:color w:val="auto"/>
        </w:rPr>
      </w:pPr>
    </w:p>
    <w:p>
      <w:pPr>
        <w:ind w:right="820"/>
        <w:spacing w:after="0" w:line="283" w:lineRule="auto"/>
        <w:rPr>
          <w:sz w:val="20"/>
          <w:szCs w:val="20"/>
          <w:color w:val="auto"/>
        </w:rPr>
      </w:pPr>
      <w:r>
        <w:rPr>
          <w:rFonts w:ascii="Arial" w:cs="Arial" w:eastAsia="Arial" w:hAnsi="Arial"/>
          <w:sz w:val="16"/>
          <w:szCs w:val="16"/>
          <w:color w:val="auto"/>
        </w:rPr>
        <w:t>See “Note 1, Summary of Significant Accounting Policies” in our 2022 Form 10-K and “Note 8, Derivative Instruments” in this report for additional information on our fair value hedge accounting policy and related disclosures.</w:t>
      </w:r>
    </w:p>
    <w:p>
      <w:pPr>
        <w:spacing w:after="0" w:line="93"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52705</wp:posOffset>
            </wp:positionV>
            <wp:extent cx="7138670" cy="165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328"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preparation of financial statements in accordance with generally accepted accounting principles in the United States of America (“GAAP”) requires management to make a number of judgments, estimates and assumptions that affect the reported amount of assets, liabilities, income and expenses in our condensed consolidated financial statements. Understanding our accounting policies and the extent to which we use management judgment and estimates in applying these policies is integral to understanding our financial statements. We describe our most significant accounting policies in “Note 1, Summary of Significant Accounting Policies” in this report and in our 2022 Form 10-K.</w:t>
      </w:r>
    </w:p>
    <w:p>
      <w:pPr>
        <w:spacing w:after="0" w:line="64"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We evaluate our critical accounting estimates and judgments required by our policies on an ongoing basis and update them as necessary based on changing conditions. Management has discussed any significant changes in judgments and assumptions in applying our critical accounting estimates with the Audit Committee of our Board of Directors. See “Risk Factors—General Risk” in our 2022 Form 10-K for a discussion of the risks associated with the need for management to make judgments and estimates in applying our accounting policies and methods. We have identified one of our accounting estimates, allowance for loan losses, as critical because it involves significant judgments and assumptions about highly complex and inherently uncertain matters, and the use of reasonably different judgments and assumptions could have a material impact on our reported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2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56</w:t>
            </w:r>
          </w:p>
        </w:tc>
        <w:tc>
          <w:tcPr>
            <w:tcW w:w="100" w:type="dxa"/>
            <w:vAlign w:val="bottom"/>
          </w:tcPr>
          <w:p>
            <w:pPr>
              <w:spacing w:after="0"/>
              <w:rPr>
                <w:sz w:val="16"/>
                <w:szCs w:val="16"/>
                <w:color w:val="auto"/>
              </w:rPr>
            </w:pPr>
          </w:p>
        </w:tc>
      </w:tr>
      <w:tr>
        <w:trPr>
          <w:trHeight w:val="198"/>
        </w:trPr>
        <w:tc>
          <w:tcPr>
            <w:tcW w:w="100" w:type="dxa"/>
            <w:vAlign w:val="bottom"/>
            <w:tcBorders>
              <w:bottom w:val="single" w:sz="8" w:color="9A9A9A"/>
            </w:tcBorders>
          </w:tcPr>
          <w:p>
            <w:pPr>
              <w:spacing w:after="0"/>
              <w:rPr>
                <w:sz w:val="17"/>
                <w:szCs w:val="17"/>
                <w:color w:val="auto"/>
              </w:rPr>
            </w:pPr>
          </w:p>
        </w:tc>
        <w:tc>
          <w:tcPr>
            <w:tcW w:w="68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59" w:name="page60"/>
    <w:bookmarkEnd w:id="59"/>
    <w:p>
      <w:pPr>
        <w:ind w:left="8840"/>
        <w:spacing w:after="0"/>
        <w:rPr>
          <w:sz w:val="20"/>
          <w:szCs w:val="20"/>
          <w:color w:val="auto"/>
        </w:rPr>
      </w:pPr>
      <w:r>
        <w:rPr>
          <w:rFonts w:ascii="Arial" w:cs="Arial" w:eastAsia="Arial" w:hAnsi="Arial"/>
          <w:sz w:val="14"/>
          <w:szCs w:val="14"/>
          <w:color w:val="05314D"/>
        </w:rPr>
        <w:t>MD&amp;A | 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Allowance for Loan Losses</w:t>
      </w:r>
    </w:p>
    <w:p>
      <w:pPr>
        <w:spacing w:after="0" w:line="77" w:lineRule="exact"/>
        <w:rPr>
          <w:sz w:val="20"/>
          <w:szCs w:val="20"/>
          <w:color w:val="auto"/>
        </w:rPr>
      </w:pPr>
    </w:p>
    <w:p>
      <w:pPr>
        <w:jc w:val="both"/>
        <w:ind w:right="140"/>
        <w:spacing w:after="0" w:line="276" w:lineRule="auto"/>
        <w:rPr>
          <w:sz w:val="20"/>
          <w:szCs w:val="20"/>
          <w:color w:val="auto"/>
        </w:rPr>
      </w:pPr>
      <w:r>
        <w:rPr>
          <w:rFonts w:ascii="Arial" w:cs="Arial" w:eastAsia="Arial" w:hAnsi="Arial"/>
          <w:sz w:val="16"/>
          <w:szCs w:val="16"/>
          <w:color w:val="auto"/>
        </w:rPr>
        <w:t>The allowance for loan losses is an estimate of single-family and multifamily HFI loan receivables that we expect will not be collected related to loans held by Fannie Mae or by consolidated Fannie Mae MBS trusts. The expected credit losses are deducted from the amortized cost basis of HFI loans to present the net amount expected to be received.</w:t>
      </w:r>
    </w:p>
    <w:p>
      <w:pPr>
        <w:spacing w:after="0" w:line="36"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allowance for loan losses involves substantial judgment on a number of matters including the development and weighting of macroeconomic forecasts, the reversion period applied, the assessment of similar risk characteristics, which determines the historic loss experience used to derive probability of loan default, the valuation of collateral, and the determination of a loan’s remaining expected life. Our most significant judgments involved in estimating our allowance for loan losses relate to the macroeconomic data used to develop reasonable and supportable forecasts for key economic drivers, which are subject to significant inherent uncertainty. Most notably, for single-family, the model uses forecasted single-family home prices as well as a range of possible future interest rate environments, which drive prepayment speeds and impact the measurement of the economic concession provided on loans modified in restructurings that were accounted for as TDRs. For multifamily, the model uses forecasted rental income and property valuations over the remaining life of each mortgage loan. In developing a reasonable and supportable forecast, the model simulates multiple paths of interest rates, rental income and property values based on current market conditions. In future periods, changes in projected interest rates may not be as significant to our measurement of expected credit losses. Pursuant to our adoption of Accounting Standards Update (“ASU”) 2022-02, Financial Instruments – Credit Losses, Troubled Debt Restructurings and Vintage Disclosures, effective January 1, 2022, we prospectively discontinued TDR accounting and no longer measure the economic concession for loan modifications occurring on or after the adoption date. In addition, modifications to loans previously designated as TDRs that occur on or after January 1, 2022, are accounted for under this ASU and result in the elimination of any prior economic concession recorded in the allowance related to such loans. Although increases in interest rates were a meaningful driver of our credit losses in previous periods, we expect the decrease in the balance of loans that were previously designated as TDRs will reduce the sensitivity of our benefit (provision) for credit losses to interest rate volatility over time. See “Note 1, Summary of Significant Accounting Policies—New Accounting Guidance” in our 2022 Form 10-K for more information about ASU 2022-02.</w:t>
      </w:r>
    </w:p>
    <w:p>
      <w:pPr>
        <w:spacing w:after="0" w:line="9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Quantitative Component</w:t>
      </w:r>
    </w:p>
    <w:p>
      <w:pPr>
        <w:spacing w:after="0" w:line="71"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We use a discounted cash flow method to measure expected credit losses on our single-family mortgage loans and an undiscounted loss method to measure expected credit losses on our multifamily mortgage loans. The models use reasonable and supportable forecasts for key macroeconomic drivers.</w:t>
      </w:r>
    </w:p>
    <w:p>
      <w:pPr>
        <w:spacing w:after="0" w:line="30"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Our modeled loan performance is based on our historical experience of loans with similar risk characteristics adjusted to reflect current conditions and reasonable and supportable forecasts. Our historical loss experience and our loan loss estimates capture the possibility of a multitude of events, including remote events that could result in credit losses on loans that are considered low risk. Our credit loss models, including the macroeconomic forecast data used as key inputs, are subject to our model oversight and review processes as well as other established governance and controls.</w:t>
      </w:r>
    </w:p>
    <w:p>
      <w:pPr>
        <w:spacing w:after="0" w:line="7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Qualitative Component</w:t>
      </w:r>
    </w:p>
    <w:p>
      <w:pPr>
        <w:spacing w:after="0" w:line="71"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Our process for measuring expected credit losses is complex and involves significant management judgment, including a reliance on historical loss information and current economic forecasts that may not be representative of credit losses we ultimately realize. Management adjustments may be necessary to take into consideration external factors and current macroeconomic events that have occurred but are not yet reflected in the data used to derive the model outputs. Qualitative factors and events not previously observed by the models through historical loss experience may also be considered, as well as the uncertainty of their impact on credit loss estimates.</w:t>
      </w:r>
    </w:p>
    <w:p>
      <w:pPr>
        <w:spacing w:after="0" w:line="8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Macroeconomic Variables and Sensitivities</w:t>
      </w:r>
    </w:p>
    <w:p>
      <w:pPr>
        <w:spacing w:after="0" w:line="71" w:lineRule="exact"/>
        <w:rPr>
          <w:sz w:val="20"/>
          <w:szCs w:val="20"/>
          <w:color w:val="auto"/>
        </w:rPr>
      </w:pPr>
    </w:p>
    <w:p>
      <w:pPr>
        <w:ind w:right="100"/>
        <w:spacing w:after="0" w:line="263" w:lineRule="auto"/>
        <w:rPr>
          <w:sz w:val="20"/>
          <w:szCs w:val="20"/>
          <w:color w:val="auto"/>
        </w:rPr>
      </w:pPr>
      <w:r>
        <w:rPr>
          <w:rFonts w:ascii="Arial" w:cs="Arial" w:eastAsia="Arial" w:hAnsi="Arial"/>
          <w:sz w:val="16"/>
          <w:szCs w:val="16"/>
          <w:color w:val="auto"/>
        </w:rPr>
        <w:t>Our benefit or provision for credit losses can vary substantially from period to period based on forecasted macroeconomic drivers; primarily home prices and interest rates related to our single-family book of business, which for the purposes of macroeconomic model inputs, we have determined are the most significant judgments used in our estimation of credit losses. We develop regional forecasts for single-family home prices using a multi-path simulation that captures home price projections over a five-year period, which is the period for which we can develop reasonable and supportable forecasts. After the five-year period, the home price forecast reverts to a historical long-term growth rate. Additionally, our model projects the range of possible interest rate scenarios over the life of the loan. This process captures multiple possible outcomes of what could be more or less favorable economic environments for the borrower, and therefore will increase or decrease the likelihood of default or prepayment depending on the environment in each path of the simulation.</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57</w:t>
            </w:r>
          </w:p>
        </w:tc>
      </w:tr>
      <w:tr>
        <w:trPr>
          <w:trHeight w:val="211"/>
        </w:trPr>
        <w:tc>
          <w:tcPr>
            <w:tcW w:w="6940" w:type="dxa"/>
            <w:vAlign w:val="bottom"/>
            <w:tcBorders>
              <w:bottom w:val="single" w:sz="8" w:color="9A9A9A"/>
            </w:tcBorders>
          </w:tcPr>
          <w:p>
            <w:pPr>
              <w:spacing w:after="0"/>
              <w:rPr>
                <w:sz w:val="18"/>
                <w:szCs w:val="18"/>
                <w:color w:val="auto"/>
              </w:rPr>
            </w:pPr>
          </w:p>
        </w:tc>
        <w:tc>
          <w:tcPr>
            <w:tcW w:w="43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60" w:name="page61"/>
    <w:bookmarkEnd w:id="60"/>
    <w:p>
      <w:pPr>
        <w:ind w:left="8840"/>
        <w:spacing w:after="0"/>
        <w:rPr>
          <w:sz w:val="20"/>
          <w:szCs w:val="20"/>
          <w:color w:val="auto"/>
        </w:rPr>
      </w:pPr>
      <w:r>
        <w:rPr>
          <w:rFonts w:ascii="Arial" w:cs="Arial" w:eastAsia="Arial" w:hAnsi="Arial"/>
          <w:sz w:val="14"/>
          <w:szCs w:val="14"/>
          <w:color w:val="05314D"/>
        </w:rPr>
        <w:t>MD&amp;A | 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table below provides information about our most significant key macroeconomic inputs used in determining our single-family allowance for loan losses: forecasted home price growth rates and interest rates. Although the model consumes a wide range of possible regional home price forecasts and interest rate scenarios that take into account inherent uncertainty, the forecasts below represent the mean path of those simulations used in determining the allowance for each quarter through the six months ended June 30, 2023, and for each quarter during the year ended December 31, 2022, and how those forecasts have changed between periods of estimate. Below we present our home price and interest rate estimates for the current full year as well as the two succeeding years used in our estimate of expected credit losses. Our forecasts include estimates for periods beyond 2025 that are not presented in the table below.</w:t>
      </w:r>
    </w:p>
    <w:p>
      <w:pPr>
        <w:spacing w:after="0" w:line="27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Select Single-Family Macroeconomic Model Inputs</w:t>
      </w:r>
      <w:r>
        <w:rPr>
          <w:rFonts w:ascii="Arial" w:cs="Arial" w:eastAsia="Arial" w:hAnsi="Arial"/>
          <w:sz w:val="24"/>
          <w:szCs w:val="24"/>
          <w:b w:val="1"/>
          <w:bCs w:val="1"/>
          <w:color w:val="001543"/>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165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Forecasted home price growth (decline) rate by period of estimate:</w:t>
      </w:r>
      <w:r>
        <w:rPr>
          <w:rFonts w:ascii="Arial" w:cs="Arial" w:eastAsia="Arial" w:hAnsi="Arial"/>
          <w:sz w:val="20"/>
          <w:szCs w:val="20"/>
          <w:b w:val="1"/>
          <w:bCs w:val="1"/>
          <w:color w:val="auto"/>
          <w:vertAlign w:val="superscript"/>
        </w:rPr>
        <w:t>(2)</w:t>
      </w: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15"/>
          <w:szCs w:val="15"/>
          <w:color w:val="auto"/>
        </w:rPr>
        <w:t>Second Quarter 2023</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5"/>
          <w:szCs w:val="15"/>
          <w:color w:val="auto"/>
        </w:rPr>
        <w:t>First Quarter 2023</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Arial" w:cs="Arial" w:eastAsia="Arial" w:hAnsi="Arial"/>
          <w:sz w:val="15"/>
          <w:szCs w:val="15"/>
          <w:color w:val="auto"/>
        </w:rPr>
        <w:t>Fourth Quarter 2022</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Third Quarter 2022</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5"/>
          <w:szCs w:val="15"/>
          <w:color w:val="auto"/>
        </w:rPr>
        <w:t>Second Quarter 2022</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First Quarter 2022</w:t>
      </w:r>
    </w:p>
    <w:p>
      <w:pPr>
        <w:spacing w:after="0" w:line="29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Forecasted 30-year interest rates by period of estimate:</w:t>
      </w:r>
      <w:r>
        <w:rPr>
          <w:rFonts w:ascii="Arial" w:cs="Arial" w:eastAsia="Arial" w:hAnsi="Arial"/>
          <w:sz w:val="20"/>
          <w:szCs w:val="20"/>
          <w:b w:val="1"/>
          <w:bCs w:val="1"/>
          <w:color w:val="auto"/>
          <w:vertAlign w:val="superscript"/>
        </w:rPr>
        <w:t>(3)</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5"/>
          <w:szCs w:val="15"/>
          <w:color w:val="auto"/>
        </w:rPr>
        <w:t>Second Quarter 2023</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5"/>
          <w:szCs w:val="15"/>
          <w:color w:val="auto"/>
        </w:rPr>
        <w:t>First Quarter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5"/>
          <w:szCs w:val="15"/>
          <w:color w:val="auto"/>
        </w:rPr>
        <w:t>Fourth Quarter 2022</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Third Quarter 2022</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5"/>
          <w:szCs w:val="15"/>
          <w:color w:val="auto"/>
        </w:rPr>
        <w:t>Second Quarter 2022</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First Quarter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For the Full Year ending December 31,</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560" w:type="dxa"/>
            <w:vAlign w:val="bottom"/>
            <w:tcBorders>
              <w:top w:val="single" w:sz="8" w:color="2C6937"/>
              <w:bottom w:val="single" w:sz="8" w:color="2C6937"/>
            </w:tcBorders>
          </w:tcPr>
          <w:p>
            <w:pPr>
              <w:jc w:val="center"/>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top w:val="single" w:sz="8" w:color="2C6937"/>
            </w:tcBorders>
          </w:tcPr>
          <w:p>
            <w:pPr>
              <w:spacing w:after="0"/>
              <w:rPr>
                <w:sz w:val="17"/>
                <w:szCs w:val="17"/>
                <w:color w:val="auto"/>
              </w:rPr>
            </w:pPr>
          </w:p>
        </w:tc>
        <w:tc>
          <w:tcPr>
            <w:tcW w:w="1540" w:type="dxa"/>
            <w:vAlign w:val="bottom"/>
            <w:tcBorders>
              <w:top w:val="single" w:sz="8" w:color="2C6937"/>
              <w:bottom w:val="single" w:sz="8" w:color="2C6937"/>
            </w:tcBorders>
          </w:tcPr>
          <w:p>
            <w:pPr>
              <w:jc w:val="center"/>
              <w:spacing w:after="0"/>
              <w:rPr>
                <w:sz w:val="20"/>
                <w:szCs w:val="20"/>
                <w:color w:val="auto"/>
              </w:rPr>
            </w:pPr>
            <w:r>
              <w:rPr>
                <w:rFonts w:ascii="Arial" w:cs="Arial" w:eastAsia="Arial" w:hAnsi="Arial"/>
                <w:sz w:val="15"/>
                <w:szCs w:val="15"/>
                <w:b w:val="1"/>
                <w:bCs w:val="1"/>
                <w:color w:val="auto"/>
              </w:rPr>
              <w:t>2024</w:t>
            </w:r>
          </w:p>
        </w:tc>
        <w:tc>
          <w:tcPr>
            <w:tcW w:w="120" w:type="dxa"/>
            <w:vAlign w:val="bottom"/>
            <w:tcBorders>
              <w:top w:val="single" w:sz="8" w:color="2C6937"/>
            </w:tcBorders>
          </w:tcPr>
          <w:p>
            <w:pPr>
              <w:spacing w:after="0"/>
              <w:rPr>
                <w:sz w:val="17"/>
                <w:szCs w:val="17"/>
                <w:color w:val="auto"/>
              </w:rPr>
            </w:pPr>
          </w:p>
        </w:tc>
        <w:tc>
          <w:tcPr>
            <w:tcW w:w="560" w:type="dxa"/>
            <w:vAlign w:val="bottom"/>
            <w:tcBorders>
              <w:top w:val="single" w:sz="8" w:color="2C6937"/>
              <w:bottom w:val="single" w:sz="8" w:color="2C6937"/>
            </w:tcBorders>
          </w:tcPr>
          <w:p>
            <w:pPr>
              <w:spacing w:after="0"/>
              <w:rPr>
                <w:sz w:val="17"/>
                <w:szCs w:val="17"/>
                <w:color w:val="auto"/>
              </w:rPr>
            </w:pPr>
          </w:p>
        </w:tc>
        <w:tc>
          <w:tcPr>
            <w:tcW w:w="980" w:type="dxa"/>
            <w:vAlign w:val="bottom"/>
            <w:tcBorders>
              <w:top w:val="single" w:sz="8" w:color="2C6937"/>
              <w:bottom w:val="single" w:sz="8" w:color="2C6937"/>
            </w:tcBorders>
          </w:tcPr>
          <w:p>
            <w:pPr>
              <w:ind w:left="40"/>
              <w:spacing w:after="0"/>
              <w:rPr>
                <w:sz w:val="20"/>
                <w:szCs w:val="20"/>
                <w:color w:val="auto"/>
              </w:rPr>
            </w:pPr>
            <w:r>
              <w:rPr>
                <w:rFonts w:ascii="Arial" w:cs="Arial" w:eastAsia="Arial" w:hAnsi="Arial"/>
                <w:sz w:val="15"/>
                <w:szCs w:val="15"/>
                <w:b w:val="1"/>
                <w:bCs w:val="1"/>
                <w:color w:val="auto"/>
              </w:rPr>
              <w:t>2025</w:t>
            </w:r>
          </w:p>
        </w:tc>
      </w:tr>
      <w:tr>
        <w:trPr>
          <w:trHeight w:val="219"/>
        </w:trPr>
        <w:tc>
          <w:tcPr>
            <w:tcW w:w="1560" w:type="dxa"/>
            <w:vAlign w:val="bottom"/>
          </w:tcPr>
          <w:p>
            <w:pPr>
              <w:jc w:val="right"/>
              <w:spacing w:after="0"/>
              <w:rPr>
                <w:sz w:val="20"/>
                <w:szCs w:val="20"/>
                <w:color w:val="auto"/>
              </w:rPr>
            </w:pPr>
            <w:r>
              <w:rPr>
                <w:rFonts w:ascii="Arial" w:cs="Arial" w:eastAsia="Arial" w:hAnsi="Arial"/>
                <w:sz w:val="15"/>
                <w:szCs w:val="15"/>
                <w:color w:val="auto"/>
              </w:rPr>
              <w:t>3.9 %</w:t>
            </w:r>
          </w:p>
        </w:tc>
        <w:tc>
          <w:tcPr>
            <w:tcW w:w="1640" w:type="dxa"/>
            <w:vAlign w:val="bottom"/>
            <w:gridSpan w:val="2"/>
          </w:tcPr>
          <w:p>
            <w:pPr>
              <w:ind w:left="1180"/>
              <w:spacing w:after="0"/>
              <w:rPr>
                <w:sz w:val="20"/>
                <w:szCs w:val="20"/>
                <w:color w:val="auto"/>
              </w:rPr>
            </w:pPr>
            <w:r>
              <w:rPr>
                <w:rFonts w:ascii="Arial" w:cs="Arial" w:eastAsia="Arial" w:hAnsi="Arial"/>
                <w:sz w:val="15"/>
                <w:szCs w:val="15"/>
                <w:color w:val="auto"/>
                <w:w w:val="99"/>
              </w:rPr>
              <w:t>(0.7)%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ind w:left="520"/>
              <w:spacing w:after="0"/>
              <w:rPr>
                <w:sz w:val="20"/>
                <w:szCs w:val="20"/>
                <w:color w:val="auto"/>
              </w:rPr>
            </w:pPr>
            <w:r>
              <w:rPr>
                <w:rFonts w:ascii="Arial" w:cs="Arial" w:eastAsia="Arial" w:hAnsi="Arial"/>
                <w:sz w:val="15"/>
                <w:szCs w:val="15"/>
                <w:color w:val="auto"/>
                <w:w w:val="99"/>
              </w:rPr>
              <w:t>(1.5)%</w:t>
            </w:r>
          </w:p>
        </w:tc>
      </w:tr>
      <w:tr>
        <w:trPr>
          <w:trHeight w:val="232"/>
        </w:trPr>
        <w:tc>
          <w:tcPr>
            <w:tcW w:w="1560" w:type="dxa"/>
            <w:vAlign w:val="bottom"/>
          </w:tcPr>
          <w:p>
            <w:pPr>
              <w:jc w:val="right"/>
              <w:ind w:right="83"/>
              <w:spacing w:after="0"/>
              <w:rPr>
                <w:sz w:val="20"/>
                <w:szCs w:val="20"/>
                <w:color w:val="auto"/>
              </w:rPr>
            </w:pPr>
            <w:r>
              <w:rPr>
                <w:rFonts w:ascii="Arial" w:cs="Arial" w:eastAsia="Arial" w:hAnsi="Arial"/>
                <w:sz w:val="15"/>
                <w:szCs w:val="15"/>
                <w:color w:val="auto"/>
              </w:rPr>
              <w:t>(1.2)</w:t>
            </w:r>
          </w:p>
        </w:tc>
        <w:tc>
          <w:tcPr>
            <w:tcW w:w="1640" w:type="dxa"/>
            <w:vAlign w:val="bottom"/>
            <w:gridSpan w:val="2"/>
          </w:tcPr>
          <w:p>
            <w:pPr>
              <w:ind w:left="1180"/>
              <w:spacing w:after="0"/>
              <w:rPr>
                <w:sz w:val="20"/>
                <w:szCs w:val="20"/>
                <w:color w:val="auto"/>
              </w:rPr>
            </w:pPr>
            <w:r>
              <w:rPr>
                <w:rFonts w:ascii="Arial" w:cs="Arial" w:eastAsia="Arial" w:hAnsi="Arial"/>
                <w:sz w:val="15"/>
                <w:szCs w:val="15"/>
                <w:color w:val="auto"/>
              </w:rPr>
              <w:t>(2.2)</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ind w:left="520"/>
              <w:spacing w:after="0"/>
              <w:rPr>
                <w:sz w:val="20"/>
                <w:szCs w:val="20"/>
                <w:color w:val="auto"/>
              </w:rPr>
            </w:pPr>
            <w:r>
              <w:rPr>
                <w:rFonts w:ascii="Arial" w:cs="Arial" w:eastAsia="Arial" w:hAnsi="Arial"/>
                <w:sz w:val="15"/>
                <w:szCs w:val="15"/>
                <w:color w:val="auto"/>
              </w:rPr>
              <w:t>(1.1)</w:t>
            </w:r>
          </w:p>
        </w:tc>
      </w:tr>
      <w:tr>
        <w:trPr>
          <w:trHeight w:val="479"/>
        </w:trPr>
        <w:tc>
          <w:tcPr>
            <w:tcW w:w="3880" w:type="dxa"/>
            <w:vAlign w:val="bottom"/>
            <w:tcBorders>
              <w:bottom w:val="single" w:sz="8" w:color="2C6937"/>
            </w:tcBorders>
            <w:gridSpan w:val="5"/>
          </w:tcPr>
          <w:p>
            <w:pPr>
              <w:jc w:val="center"/>
              <w:ind w:left="903"/>
              <w:spacing w:after="0"/>
              <w:rPr>
                <w:sz w:val="20"/>
                <w:szCs w:val="20"/>
                <w:color w:val="auto"/>
              </w:rPr>
            </w:pPr>
            <w:r>
              <w:rPr>
                <w:rFonts w:ascii="Arial" w:cs="Arial" w:eastAsia="Arial" w:hAnsi="Arial"/>
                <w:sz w:val="15"/>
                <w:szCs w:val="15"/>
                <w:b w:val="1"/>
                <w:bCs w:val="1"/>
                <w:color w:val="auto"/>
              </w:rPr>
              <w:t>For the Full Year ending December 31,</w:t>
            </w:r>
          </w:p>
        </w:tc>
        <w:tc>
          <w:tcPr>
            <w:tcW w:w="980" w:type="dxa"/>
            <w:vAlign w:val="bottom"/>
            <w:tcBorders>
              <w:bottom w:val="single" w:sz="8" w:color="2C6937"/>
            </w:tcBorders>
          </w:tcPr>
          <w:p>
            <w:pPr>
              <w:spacing w:after="0"/>
              <w:rPr>
                <w:sz w:val="24"/>
                <w:szCs w:val="24"/>
                <w:color w:val="auto"/>
              </w:rPr>
            </w:pPr>
          </w:p>
        </w:tc>
      </w:tr>
      <w:tr>
        <w:trPr>
          <w:trHeight w:val="202"/>
        </w:trPr>
        <w:tc>
          <w:tcPr>
            <w:tcW w:w="1560" w:type="dxa"/>
            <w:vAlign w:val="bottom"/>
            <w:tcBorders>
              <w:bottom w:val="single" w:sz="8" w:color="2C6937"/>
            </w:tcBorders>
          </w:tcPr>
          <w:p>
            <w:pPr>
              <w:jc w:val="center"/>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7"/>
                <w:szCs w:val="17"/>
                <w:color w:val="auto"/>
              </w:rPr>
            </w:pPr>
          </w:p>
        </w:tc>
        <w:tc>
          <w:tcPr>
            <w:tcW w:w="1540" w:type="dxa"/>
            <w:vAlign w:val="bottom"/>
            <w:tcBorders>
              <w:bottom w:val="single" w:sz="8" w:color="2C6937"/>
            </w:tcBorders>
          </w:tcPr>
          <w:p>
            <w:pPr>
              <w:jc w:val="center"/>
              <w:spacing w:after="0"/>
              <w:rPr>
                <w:sz w:val="20"/>
                <w:szCs w:val="20"/>
                <w:color w:val="auto"/>
              </w:rPr>
            </w:pPr>
            <w:r>
              <w:rPr>
                <w:rFonts w:ascii="Arial" w:cs="Arial" w:eastAsia="Arial" w:hAnsi="Arial"/>
                <w:sz w:val="15"/>
                <w:szCs w:val="15"/>
                <w:b w:val="1"/>
                <w:bCs w:val="1"/>
                <w:color w:val="auto"/>
              </w:rPr>
              <w:t>2023</w:t>
            </w:r>
          </w:p>
        </w:tc>
        <w:tc>
          <w:tcPr>
            <w:tcW w:w="120" w:type="dxa"/>
            <w:vAlign w:val="bottom"/>
          </w:tcPr>
          <w:p>
            <w:pPr>
              <w:spacing w:after="0"/>
              <w:rPr>
                <w:sz w:val="17"/>
                <w:szCs w:val="17"/>
                <w:color w:val="auto"/>
              </w:rPr>
            </w:pPr>
          </w:p>
        </w:tc>
        <w:tc>
          <w:tcPr>
            <w:tcW w:w="56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ind w:left="40"/>
              <w:spacing w:after="0"/>
              <w:rPr>
                <w:sz w:val="20"/>
                <w:szCs w:val="20"/>
                <w:color w:val="auto"/>
              </w:rPr>
            </w:pPr>
            <w:r>
              <w:rPr>
                <w:rFonts w:ascii="Arial" w:cs="Arial" w:eastAsia="Arial" w:hAnsi="Arial"/>
                <w:sz w:val="15"/>
                <w:szCs w:val="15"/>
                <w:b w:val="1"/>
                <w:bCs w:val="1"/>
                <w:color w:val="auto"/>
              </w:rPr>
              <w:t>2024</w:t>
            </w:r>
          </w:p>
        </w:tc>
      </w:tr>
      <w:tr>
        <w:trPr>
          <w:trHeight w:val="219"/>
        </w:trPr>
        <w:tc>
          <w:tcPr>
            <w:tcW w:w="1560" w:type="dxa"/>
            <w:vAlign w:val="bottom"/>
          </w:tcPr>
          <w:p>
            <w:pPr>
              <w:jc w:val="right"/>
              <w:spacing w:after="0"/>
              <w:rPr>
                <w:sz w:val="20"/>
                <w:szCs w:val="20"/>
                <w:color w:val="auto"/>
              </w:rPr>
            </w:pPr>
            <w:r>
              <w:rPr>
                <w:rFonts w:ascii="Arial" w:cs="Arial" w:eastAsia="Arial" w:hAnsi="Arial"/>
                <w:sz w:val="15"/>
                <w:szCs w:val="15"/>
                <w:color w:val="auto"/>
              </w:rPr>
              <w:t>8.4 %</w:t>
            </w:r>
          </w:p>
        </w:tc>
        <w:tc>
          <w:tcPr>
            <w:tcW w:w="1640" w:type="dxa"/>
            <w:vAlign w:val="bottom"/>
            <w:gridSpan w:val="2"/>
          </w:tcPr>
          <w:p>
            <w:pPr>
              <w:ind w:left="1180"/>
              <w:spacing w:after="0"/>
              <w:rPr>
                <w:sz w:val="20"/>
                <w:szCs w:val="20"/>
                <w:color w:val="auto"/>
              </w:rPr>
            </w:pPr>
            <w:r>
              <w:rPr>
                <w:rFonts w:ascii="Arial" w:cs="Arial" w:eastAsia="Arial" w:hAnsi="Arial"/>
                <w:sz w:val="15"/>
                <w:szCs w:val="15"/>
                <w:color w:val="auto"/>
                <w:w w:val="99"/>
              </w:rPr>
              <w:t>(4.2)%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ind w:left="520"/>
              <w:spacing w:after="0"/>
              <w:rPr>
                <w:sz w:val="20"/>
                <w:szCs w:val="20"/>
                <w:color w:val="auto"/>
              </w:rPr>
            </w:pPr>
            <w:r>
              <w:rPr>
                <w:rFonts w:ascii="Arial" w:cs="Arial" w:eastAsia="Arial" w:hAnsi="Arial"/>
                <w:sz w:val="15"/>
                <w:szCs w:val="15"/>
                <w:color w:val="auto"/>
                <w:w w:val="99"/>
              </w:rPr>
              <w:t>(2.3)%</w:t>
            </w:r>
          </w:p>
        </w:tc>
      </w:tr>
      <w:tr>
        <w:trPr>
          <w:trHeight w:val="245"/>
        </w:trPr>
        <w:tc>
          <w:tcPr>
            <w:tcW w:w="1560" w:type="dxa"/>
            <w:vAlign w:val="bottom"/>
          </w:tcPr>
          <w:p>
            <w:pPr>
              <w:jc w:val="right"/>
              <w:ind w:right="123"/>
              <w:spacing w:after="0"/>
              <w:rPr>
                <w:sz w:val="20"/>
                <w:szCs w:val="20"/>
                <w:color w:val="auto"/>
              </w:rPr>
            </w:pPr>
            <w:r>
              <w:rPr>
                <w:rFonts w:ascii="Arial" w:cs="Arial" w:eastAsia="Arial" w:hAnsi="Arial"/>
                <w:sz w:val="15"/>
                <w:szCs w:val="15"/>
                <w:color w:val="auto"/>
              </w:rPr>
              <w:t>9.0</w:t>
            </w:r>
          </w:p>
        </w:tc>
        <w:tc>
          <w:tcPr>
            <w:tcW w:w="1640" w:type="dxa"/>
            <w:vAlign w:val="bottom"/>
            <w:gridSpan w:val="2"/>
          </w:tcPr>
          <w:p>
            <w:pPr>
              <w:ind w:left="1180"/>
              <w:spacing w:after="0"/>
              <w:rPr>
                <w:sz w:val="20"/>
                <w:szCs w:val="20"/>
                <w:color w:val="auto"/>
              </w:rPr>
            </w:pPr>
            <w:r>
              <w:rPr>
                <w:rFonts w:ascii="Arial" w:cs="Arial" w:eastAsia="Arial" w:hAnsi="Arial"/>
                <w:sz w:val="15"/>
                <w:szCs w:val="15"/>
                <w:color w:val="auto"/>
              </w:rPr>
              <w:t>(1.5)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ind w:left="520"/>
              <w:spacing w:after="0"/>
              <w:rPr>
                <w:sz w:val="20"/>
                <w:szCs w:val="20"/>
                <w:color w:val="auto"/>
              </w:rPr>
            </w:pPr>
            <w:r>
              <w:rPr>
                <w:rFonts w:ascii="Arial" w:cs="Arial" w:eastAsia="Arial" w:hAnsi="Arial"/>
                <w:sz w:val="15"/>
                <w:szCs w:val="15"/>
                <w:color w:val="auto"/>
              </w:rPr>
              <w:t>(1.4)</w:t>
            </w:r>
          </w:p>
        </w:tc>
      </w:tr>
      <w:tr>
        <w:trPr>
          <w:trHeight w:val="232"/>
        </w:trPr>
        <w:tc>
          <w:tcPr>
            <w:tcW w:w="1560" w:type="dxa"/>
            <w:vAlign w:val="bottom"/>
          </w:tcPr>
          <w:p>
            <w:pPr>
              <w:jc w:val="right"/>
              <w:ind w:right="123"/>
              <w:spacing w:after="0"/>
              <w:rPr>
                <w:sz w:val="20"/>
                <w:szCs w:val="20"/>
                <w:color w:val="auto"/>
              </w:rPr>
            </w:pPr>
            <w:r>
              <w:rPr>
                <w:rFonts w:ascii="Arial" w:cs="Arial" w:eastAsia="Arial" w:hAnsi="Arial"/>
                <w:sz w:val="15"/>
                <w:szCs w:val="15"/>
                <w:color w:val="auto"/>
              </w:rPr>
              <w:t>16.0</w:t>
            </w:r>
          </w:p>
        </w:tc>
        <w:tc>
          <w:tcPr>
            <w:tcW w:w="1640" w:type="dxa"/>
            <w:vAlign w:val="bottom"/>
            <w:gridSpan w:val="2"/>
          </w:tcPr>
          <w:p>
            <w:pPr>
              <w:ind w:left="1240"/>
              <w:spacing w:after="0"/>
              <w:rPr>
                <w:sz w:val="20"/>
                <w:szCs w:val="20"/>
                <w:color w:val="auto"/>
              </w:rPr>
            </w:pPr>
            <w:r>
              <w:rPr>
                <w:rFonts w:ascii="Arial" w:cs="Arial" w:eastAsia="Arial" w:hAnsi="Arial"/>
                <w:sz w:val="15"/>
                <w:szCs w:val="15"/>
                <w:color w:val="auto"/>
              </w:rPr>
              <w:t>4.4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ind w:left="580"/>
              <w:spacing w:after="0"/>
              <w:rPr>
                <w:sz w:val="20"/>
                <w:szCs w:val="20"/>
                <w:color w:val="auto"/>
              </w:rPr>
            </w:pPr>
            <w:r>
              <w:rPr>
                <w:rFonts w:ascii="Arial" w:cs="Arial" w:eastAsia="Arial" w:hAnsi="Arial"/>
                <w:sz w:val="15"/>
                <w:szCs w:val="15"/>
                <w:color w:val="auto"/>
              </w:rPr>
              <w:t>0.5</w:t>
            </w:r>
          </w:p>
        </w:tc>
      </w:tr>
      <w:tr>
        <w:trPr>
          <w:trHeight w:val="232"/>
        </w:trPr>
        <w:tc>
          <w:tcPr>
            <w:tcW w:w="1560" w:type="dxa"/>
            <w:vAlign w:val="bottom"/>
          </w:tcPr>
          <w:p>
            <w:pPr>
              <w:jc w:val="right"/>
              <w:ind w:right="123"/>
              <w:spacing w:after="0"/>
              <w:rPr>
                <w:sz w:val="20"/>
                <w:szCs w:val="20"/>
                <w:color w:val="auto"/>
              </w:rPr>
            </w:pPr>
            <w:r>
              <w:rPr>
                <w:rFonts w:ascii="Arial" w:cs="Arial" w:eastAsia="Arial" w:hAnsi="Arial"/>
                <w:sz w:val="15"/>
                <w:szCs w:val="15"/>
                <w:color w:val="auto"/>
              </w:rPr>
              <w:t>10.8</w:t>
            </w:r>
          </w:p>
        </w:tc>
        <w:tc>
          <w:tcPr>
            <w:tcW w:w="1640" w:type="dxa"/>
            <w:vAlign w:val="bottom"/>
            <w:gridSpan w:val="2"/>
          </w:tcPr>
          <w:p>
            <w:pPr>
              <w:ind w:left="1240"/>
              <w:spacing w:after="0"/>
              <w:rPr>
                <w:sz w:val="20"/>
                <w:szCs w:val="20"/>
                <w:color w:val="auto"/>
              </w:rPr>
            </w:pPr>
            <w:r>
              <w:rPr>
                <w:rFonts w:ascii="Arial" w:cs="Arial" w:eastAsia="Arial" w:hAnsi="Arial"/>
                <w:sz w:val="15"/>
                <w:szCs w:val="15"/>
                <w:color w:val="auto"/>
              </w:rPr>
              <w:t>3.2</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ind w:left="580"/>
              <w:spacing w:after="0"/>
              <w:rPr>
                <w:sz w:val="20"/>
                <w:szCs w:val="20"/>
                <w:color w:val="auto"/>
              </w:rPr>
            </w:pPr>
            <w:r>
              <w:rPr>
                <w:rFonts w:ascii="Arial" w:cs="Arial" w:eastAsia="Arial" w:hAnsi="Arial"/>
                <w:sz w:val="15"/>
                <w:szCs w:val="15"/>
                <w:color w:val="auto"/>
              </w:rPr>
              <w:t>1.3</w:t>
            </w:r>
          </w:p>
        </w:tc>
      </w:tr>
      <w:tr>
        <w:trPr>
          <w:trHeight w:val="686"/>
        </w:trPr>
        <w:tc>
          <w:tcPr>
            <w:tcW w:w="1560" w:type="dxa"/>
            <w:vAlign w:val="bottom"/>
          </w:tcPr>
          <w:p>
            <w:pPr>
              <w:jc w:val="center"/>
              <w:spacing w:after="0"/>
              <w:rPr>
                <w:sz w:val="20"/>
                <w:szCs w:val="20"/>
                <w:color w:val="auto"/>
              </w:rPr>
            </w:pPr>
            <w:r>
              <w:rPr>
                <w:rFonts w:ascii="Arial" w:cs="Arial" w:eastAsia="Arial" w:hAnsi="Arial"/>
                <w:sz w:val="15"/>
                <w:szCs w:val="15"/>
                <w:b w:val="1"/>
                <w:bCs w:val="1"/>
                <w:color w:val="auto"/>
              </w:rPr>
              <w:t>Through the end of</w:t>
            </w:r>
          </w:p>
        </w:tc>
        <w:tc>
          <w:tcPr>
            <w:tcW w:w="100" w:type="dxa"/>
            <w:vAlign w:val="bottom"/>
          </w:tcPr>
          <w:p>
            <w:pPr>
              <w:spacing w:after="0"/>
              <w:rPr>
                <w:sz w:val="24"/>
                <w:szCs w:val="24"/>
                <w:color w:val="auto"/>
              </w:rPr>
            </w:pPr>
          </w:p>
        </w:tc>
        <w:tc>
          <w:tcPr>
            <w:tcW w:w="3200" w:type="dxa"/>
            <w:vAlign w:val="bottom"/>
            <w:gridSpan w:val="4"/>
          </w:tcPr>
          <w:p>
            <w:pPr>
              <w:jc w:val="center"/>
              <w:spacing w:after="0"/>
              <w:rPr>
                <w:sz w:val="20"/>
                <w:szCs w:val="20"/>
                <w:color w:val="auto"/>
              </w:rPr>
            </w:pPr>
            <w:r>
              <w:rPr>
                <w:rFonts w:ascii="Arial" w:cs="Arial" w:eastAsia="Arial" w:hAnsi="Arial"/>
                <w:sz w:val="15"/>
                <w:szCs w:val="15"/>
                <w:b w:val="1"/>
                <w:bCs w:val="1"/>
                <w:color w:val="auto"/>
              </w:rPr>
              <w:t>For the Full Year ending</w:t>
            </w:r>
          </w:p>
        </w:tc>
      </w:tr>
      <w:tr>
        <w:trPr>
          <w:trHeight w:val="219"/>
        </w:trPr>
        <w:tc>
          <w:tcPr>
            <w:tcW w:w="1560" w:type="dxa"/>
            <w:vAlign w:val="bottom"/>
            <w:tcBorders>
              <w:bottom w:val="single" w:sz="8" w:color="2C6937"/>
            </w:tcBorders>
          </w:tcPr>
          <w:p>
            <w:pPr>
              <w:jc w:val="center"/>
              <w:spacing w:after="0"/>
              <w:rPr>
                <w:sz w:val="20"/>
                <w:szCs w:val="20"/>
                <w:color w:val="auto"/>
              </w:rPr>
            </w:pPr>
            <w:r>
              <w:rPr>
                <w:rFonts w:ascii="Arial" w:cs="Arial" w:eastAsia="Arial" w:hAnsi="Arial"/>
                <w:sz w:val="15"/>
                <w:szCs w:val="15"/>
                <w:b w:val="1"/>
                <w:bCs w:val="1"/>
                <w:color w:val="auto"/>
              </w:rPr>
              <w:t>December 31,</w:t>
            </w:r>
          </w:p>
        </w:tc>
        <w:tc>
          <w:tcPr>
            <w:tcW w:w="100" w:type="dxa"/>
            <w:vAlign w:val="bottom"/>
          </w:tcPr>
          <w:p>
            <w:pPr>
              <w:spacing w:after="0"/>
              <w:rPr>
                <w:sz w:val="19"/>
                <w:szCs w:val="19"/>
                <w:color w:val="auto"/>
              </w:rPr>
            </w:pPr>
          </w:p>
        </w:tc>
        <w:tc>
          <w:tcPr>
            <w:tcW w:w="2220" w:type="dxa"/>
            <w:vAlign w:val="bottom"/>
            <w:tcBorders>
              <w:bottom w:val="single" w:sz="8" w:color="2C6937"/>
            </w:tcBorders>
            <w:gridSpan w:val="3"/>
          </w:tcPr>
          <w:p>
            <w:pPr>
              <w:jc w:val="center"/>
              <w:ind w:left="903"/>
              <w:spacing w:after="0"/>
              <w:rPr>
                <w:sz w:val="20"/>
                <w:szCs w:val="20"/>
                <w:color w:val="auto"/>
              </w:rPr>
            </w:pPr>
            <w:r>
              <w:rPr>
                <w:rFonts w:ascii="Arial" w:cs="Arial" w:eastAsia="Arial" w:hAnsi="Arial"/>
                <w:sz w:val="15"/>
                <w:szCs w:val="15"/>
                <w:b w:val="1"/>
                <w:bCs w:val="1"/>
                <w:color w:val="auto"/>
              </w:rPr>
              <w:t>December 31,</w:t>
            </w:r>
          </w:p>
        </w:tc>
        <w:tc>
          <w:tcPr>
            <w:tcW w:w="980" w:type="dxa"/>
            <w:vAlign w:val="bottom"/>
            <w:tcBorders>
              <w:bottom w:val="single" w:sz="8" w:color="2C6937"/>
            </w:tcBorders>
          </w:tcPr>
          <w:p>
            <w:pPr>
              <w:spacing w:after="0"/>
              <w:rPr>
                <w:sz w:val="19"/>
                <w:szCs w:val="19"/>
                <w:color w:val="auto"/>
              </w:rPr>
            </w:pPr>
          </w:p>
        </w:tc>
      </w:tr>
      <w:tr>
        <w:trPr>
          <w:trHeight w:val="202"/>
        </w:trPr>
        <w:tc>
          <w:tcPr>
            <w:tcW w:w="1560" w:type="dxa"/>
            <w:vAlign w:val="bottom"/>
            <w:tcBorders>
              <w:bottom w:val="single" w:sz="8" w:color="2C6937"/>
            </w:tcBorders>
          </w:tcPr>
          <w:p>
            <w:pPr>
              <w:jc w:val="center"/>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1540" w:type="dxa"/>
            <w:vAlign w:val="bottom"/>
            <w:tcBorders>
              <w:bottom w:val="single" w:sz="8" w:color="2C6937"/>
            </w:tcBorders>
          </w:tcPr>
          <w:p>
            <w:pPr>
              <w:jc w:val="center"/>
              <w:spacing w:after="0"/>
              <w:rPr>
                <w:sz w:val="20"/>
                <w:szCs w:val="20"/>
                <w:color w:val="auto"/>
              </w:rPr>
            </w:pPr>
            <w:r>
              <w:rPr>
                <w:rFonts w:ascii="Arial" w:cs="Arial" w:eastAsia="Arial" w:hAnsi="Arial"/>
                <w:sz w:val="15"/>
                <w:szCs w:val="15"/>
                <w:b w:val="1"/>
                <w:bCs w:val="1"/>
                <w:color w:val="auto"/>
              </w:rPr>
              <w:t>2024</w:t>
            </w:r>
          </w:p>
        </w:tc>
        <w:tc>
          <w:tcPr>
            <w:tcW w:w="120" w:type="dxa"/>
            <w:vAlign w:val="bottom"/>
          </w:tcPr>
          <w:p>
            <w:pPr>
              <w:spacing w:after="0"/>
              <w:rPr>
                <w:sz w:val="17"/>
                <w:szCs w:val="17"/>
                <w:color w:val="auto"/>
              </w:rPr>
            </w:pPr>
          </w:p>
        </w:tc>
        <w:tc>
          <w:tcPr>
            <w:tcW w:w="56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ind w:left="40"/>
              <w:spacing w:after="0"/>
              <w:rPr>
                <w:sz w:val="20"/>
                <w:szCs w:val="20"/>
                <w:color w:val="auto"/>
              </w:rPr>
            </w:pPr>
            <w:r>
              <w:rPr>
                <w:rFonts w:ascii="Arial" w:cs="Arial" w:eastAsia="Arial" w:hAnsi="Arial"/>
                <w:sz w:val="15"/>
                <w:szCs w:val="15"/>
                <w:b w:val="1"/>
                <w:bCs w:val="1"/>
                <w:color w:val="auto"/>
              </w:rPr>
              <w:t>2025</w:t>
            </w:r>
          </w:p>
        </w:tc>
      </w:tr>
      <w:tr>
        <w:trPr>
          <w:trHeight w:val="219"/>
        </w:trPr>
        <w:tc>
          <w:tcPr>
            <w:tcW w:w="1560" w:type="dxa"/>
            <w:vAlign w:val="bottom"/>
          </w:tcPr>
          <w:p>
            <w:pPr>
              <w:jc w:val="right"/>
              <w:spacing w:after="0"/>
              <w:rPr>
                <w:sz w:val="20"/>
                <w:szCs w:val="20"/>
                <w:color w:val="auto"/>
              </w:rPr>
            </w:pPr>
            <w:r>
              <w:rPr>
                <w:rFonts w:ascii="Arial" w:cs="Arial" w:eastAsia="Arial" w:hAnsi="Arial"/>
                <w:sz w:val="15"/>
                <w:szCs w:val="15"/>
                <w:color w:val="auto"/>
              </w:rPr>
              <w:t>6.7 %</w:t>
            </w:r>
          </w:p>
        </w:tc>
        <w:tc>
          <w:tcPr>
            <w:tcW w:w="1640" w:type="dxa"/>
            <w:vAlign w:val="bottom"/>
            <w:gridSpan w:val="2"/>
          </w:tcPr>
          <w:p>
            <w:pPr>
              <w:ind w:left="1240"/>
              <w:spacing w:after="0"/>
              <w:rPr>
                <w:sz w:val="20"/>
                <w:szCs w:val="20"/>
                <w:color w:val="auto"/>
              </w:rPr>
            </w:pPr>
            <w:r>
              <w:rPr>
                <w:rFonts w:ascii="Arial" w:cs="Arial" w:eastAsia="Arial" w:hAnsi="Arial"/>
                <w:sz w:val="15"/>
                <w:szCs w:val="15"/>
                <w:color w:val="auto"/>
                <w:w w:val="98"/>
              </w:rPr>
              <w:t>6.0 %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ind w:left="580"/>
              <w:spacing w:after="0"/>
              <w:rPr>
                <w:sz w:val="20"/>
                <w:szCs w:val="20"/>
                <w:color w:val="auto"/>
              </w:rPr>
            </w:pPr>
            <w:r>
              <w:rPr>
                <w:rFonts w:ascii="Arial" w:cs="Arial" w:eastAsia="Arial" w:hAnsi="Arial"/>
                <w:sz w:val="15"/>
                <w:szCs w:val="15"/>
                <w:color w:val="auto"/>
                <w:w w:val="98"/>
              </w:rPr>
              <w:t>5.8 %</w:t>
            </w:r>
          </w:p>
        </w:tc>
      </w:tr>
      <w:tr>
        <w:trPr>
          <w:trHeight w:val="232"/>
        </w:trPr>
        <w:tc>
          <w:tcPr>
            <w:tcW w:w="1560" w:type="dxa"/>
            <w:vAlign w:val="bottom"/>
          </w:tcPr>
          <w:p>
            <w:pPr>
              <w:jc w:val="right"/>
              <w:ind w:right="123"/>
              <w:spacing w:after="0"/>
              <w:rPr>
                <w:sz w:val="20"/>
                <w:szCs w:val="20"/>
                <w:color w:val="auto"/>
              </w:rPr>
            </w:pPr>
            <w:r>
              <w:rPr>
                <w:rFonts w:ascii="Arial" w:cs="Arial" w:eastAsia="Arial" w:hAnsi="Arial"/>
                <w:sz w:val="15"/>
                <w:szCs w:val="15"/>
                <w:color w:val="auto"/>
              </w:rPr>
              <w:t>6.2</w:t>
            </w:r>
          </w:p>
        </w:tc>
        <w:tc>
          <w:tcPr>
            <w:tcW w:w="1640" w:type="dxa"/>
            <w:vAlign w:val="bottom"/>
            <w:gridSpan w:val="2"/>
          </w:tcPr>
          <w:p>
            <w:pPr>
              <w:ind w:left="1240"/>
              <w:spacing w:after="0"/>
              <w:rPr>
                <w:sz w:val="20"/>
                <w:szCs w:val="20"/>
                <w:color w:val="auto"/>
              </w:rPr>
            </w:pPr>
            <w:r>
              <w:rPr>
                <w:rFonts w:ascii="Arial" w:cs="Arial" w:eastAsia="Arial" w:hAnsi="Arial"/>
                <w:sz w:val="15"/>
                <w:szCs w:val="15"/>
                <w:color w:val="auto"/>
              </w:rPr>
              <w:t>5.7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ind w:left="580"/>
              <w:spacing w:after="0"/>
              <w:rPr>
                <w:sz w:val="20"/>
                <w:szCs w:val="20"/>
                <w:color w:val="auto"/>
              </w:rPr>
            </w:pPr>
            <w:r>
              <w:rPr>
                <w:rFonts w:ascii="Arial" w:cs="Arial" w:eastAsia="Arial" w:hAnsi="Arial"/>
                <w:sz w:val="15"/>
                <w:szCs w:val="15"/>
                <w:color w:val="auto"/>
              </w:rPr>
              <w:t>5.5</w:t>
            </w:r>
          </w:p>
        </w:tc>
      </w:tr>
      <w:tr>
        <w:trPr>
          <w:trHeight w:val="441"/>
        </w:trPr>
        <w:tc>
          <w:tcPr>
            <w:tcW w:w="1560" w:type="dxa"/>
            <w:vAlign w:val="bottom"/>
          </w:tcPr>
          <w:p>
            <w:pPr>
              <w:jc w:val="center"/>
              <w:spacing w:after="0"/>
              <w:rPr>
                <w:sz w:val="20"/>
                <w:szCs w:val="20"/>
                <w:color w:val="auto"/>
              </w:rPr>
            </w:pPr>
            <w:r>
              <w:rPr>
                <w:rFonts w:ascii="Arial" w:cs="Arial" w:eastAsia="Arial" w:hAnsi="Arial"/>
                <w:sz w:val="15"/>
                <w:szCs w:val="15"/>
                <w:b w:val="1"/>
                <w:bCs w:val="1"/>
                <w:color w:val="auto"/>
              </w:rPr>
              <w:t>Through the end of</w:t>
            </w:r>
          </w:p>
        </w:tc>
        <w:tc>
          <w:tcPr>
            <w:tcW w:w="100" w:type="dxa"/>
            <w:vAlign w:val="bottom"/>
          </w:tcPr>
          <w:p>
            <w:pPr>
              <w:spacing w:after="0"/>
              <w:rPr>
                <w:sz w:val="24"/>
                <w:szCs w:val="24"/>
                <w:color w:val="auto"/>
              </w:rPr>
            </w:pPr>
          </w:p>
        </w:tc>
        <w:tc>
          <w:tcPr>
            <w:tcW w:w="3200" w:type="dxa"/>
            <w:vAlign w:val="bottom"/>
            <w:gridSpan w:val="4"/>
          </w:tcPr>
          <w:p>
            <w:pPr>
              <w:jc w:val="center"/>
              <w:spacing w:after="0"/>
              <w:rPr>
                <w:sz w:val="20"/>
                <w:szCs w:val="20"/>
                <w:color w:val="auto"/>
              </w:rPr>
            </w:pPr>
            <w:r>
              <w:rPr>
                <w:rFonts w:ascii="Arial" w:cs="Arial" w:eastAsia="Arial" w:hAnsi="Arial"/>
                <w:sz w:val="15"/>
                <w:szCs w:val="15"/>
                <w:b w:val="1"/>
                <w:bCs w:val="1"/>
                <w:color w:val="auto"/>
              </w:rPr>
              <w:t>For the Full Year ending</w:t>
            </w:r>
          </w:p>
        </w:tc>
      </w:tr>
      <w:tr>
        <w:trPr>
          <w:trHeight w:val="219"/>
        </w:trPr>
        <w:tc>
          <w:tcPr>
            <w:tcW w:w="1560" w:type="dxa"/>
            <w:vAlign w:val="bottom"/>
            <w:tcBorders>
              <w:bottom w:val="single" w:sz="8" w:color="2C6937"/>
            </w:tcBorders>
          </w:tcPr>
          <w:p>
            <w:pPr>
              <w:jc w:val="center"/>
              <w:spacing w:after="0"/>
              <w:rPr>
                <w:sz w:val="20"/>
                <w:szCs w:val="20"/>
                <w:color w:val="auto"/>
              </w:rPr>
            </w:pPr>
            <w:r>
              <w:rPr>
                <w:rFonts w:ascii="Arial" w:cs="Arial" w:eastAsia="Arial" w:hAnsi="Arial"/>
                <w:sz w:val="15"/>
                <w:szCs w:val="15"/>
                <w:b w:val="1"/>
                <w:bCs w:val="1"/>
                <w:color w:val="auto"/>
              </w:rPr>
              <w:t>December 31,</w:t>
            </w:r>
          </w:p>
        </w:tc>
        <w:tc>
          <w:tcPr>
            <w:tcW w:w="100" w:type="dxa"/>
            <w:vAlign w:val="bottom"/>
          </w:tcPr>
          <w:p>
            <w:pPr>
              <w:spacing w:after="0"/>
              <w:rPr>
                <w:sz w:val="19"/>
                <w:szCs w:val="19"/>
                <w:color w:val="auto"/>
              </w:rPr>
            </w:pPr>
          </w:p>
        </w:tc>
        <w:tc>
          <w:tcPr>
            <w:tcW w:w="2220" w:type="dxa"/>
            <w:vAlign w:val="bottom"/>
            <w:tcBorders>
              <w:bottom w:val="single" w:sz="8" w:color="2C6937"/>
            </w:tcBorders>
            <w:gridSpan w:val="3"/>
          </w:tcPr>
          <w:p>
            <w:pPr>
              <w:jc w:val="center"/>
              <w:ind w:left="903"/>
              <w:spacing w:after="0"/>
              <w:rPr>
                <w:sz w:val="20"/>
                <w:szCs w:val="20"/>
                <w:color w:val="auto"/>
              </w:rPr>
            </w:pPr>
            <w:r>
              <w:rPr>
                <w:rFonts w:ascii="Arial" w:cs="Arial" w:eastAsia="Arial" w:hAnsi="Arial"/>
                <w:sz w:val="15"/>
                <w:szCs w:val="15"/>
                <w:b w:val="1"/>
                <w:bCs w:val="1"/>
                <w:color w:val="auto"/>
              </w:rPr>
              <w:t>December 31,</w:t>
            </w:r>
          </w:p>
        </w:tc>
        <w:tc>
          <w:tcPr>
            <w:tcW w:w="980" w:type="dxa"/>
            <w:vAlign w:val="bottom"/>
            <w:tcBorders>
              <w:bottom w:val="single" w:sz="8" w:color="2C6937"/>
            </w:tcBorders>
          </w:tcPr>
          <w:p>
            <w:pPr>
              <w:spacing w:after="0"/>
              <w:rPr>
                <w:sz w:val="19"/>
                <w:szCs w:val="19"/>
                <w:color w:val="auto"/>
              </w:rPr>
            </w:pPr>
          </w:p>
        </w:tc>
      </w:tr>
      <w:tr>
        <w:trPr>
          <w:trHeight w:val="202"/>
        </w:trPr>
        <w:tc>
          <w:tcPr>
            <w:tcW w:w="1560" w:type="dxa"/>
            <w:vAlign w:val="bottom"/>
            <w:tcBorders>
              <w:bottom w:val="single" w:sz="8" w:color="2C6937"/>
            </w:tcBorders>
          </w:tcPr>
          <w:p>
            <w:pPr>
              <w:jc w:val="center"/>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7"/>
                <w:szCs w:val="17"/>
                <w:color w:val="auto"/>
              </w:rPr>
            </w:pPr>
          </w:p>
        </w:tc>
        <w:tc>
          <w:tcPr>
            <w:tcW w:w="1540" w:type="dxa"/>
            <w:vAlign w:val="bottom"/>
            <w:tcBorders>
              <w:bottom w:val="single" w:sz="8" w:color="2C6937"/>
            </w:tcBorders>
          </w:tcPr>
          <w:p>
            <w:pPr>
              <w:jc w:val="center"/>
              <w:spacing w:after="0"/>
              <w:rPr>
                <w:sz w:val="20"/>
                <w:szCs w:val="20"/>
                <w:color w:val="auto"/>
              </w:rPr>
            </w:pPr>
            <w:r>
              <w:rPr>
                <w:rFonts w:ascii="Arial" w:cs="Arial" w:eastAsia="Arial" w:hAnsi="Arial"/>
                <w:sz w:val="15"/>
                <w:szCs w:val="15"/>
                <w:b w:val="1"/>
                <w:bCs w:val="1"/>
                <w:color w:val="auto"/>
              </w:rPr>
              <w:t>2023</w:t>
            </w:r>
          </w:p>
        </w:tc>
        <w:tc>
          <w:tcPr>
            <w:tcW w:w="120" w:type="dxa"/>
            <w:vAlign w:val="bottom"/>
          </w:tcPr>
          <w:p>
            <w:pPr>
              <w:spacing w:after="0"/>
              <w:rPr>
                <w:sz w:val="17"/>
                <w:szCs w:val="17"/>
                <w:color w:val="auto"/>
              </w:rPr>
            </w:pPr>
          </w:p>
        </w:tc>
        <w:tc>
          <w:tcPr>
            <w:tcW w:w="56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ind w:left="40"/>
              <w:spacing w:after="0"/>
              <w:rPr>
                <w:sz w:val="20"/>
                <w:szCs w:val="20"/>
                <w:color w:val="auto"/>
              </w:rPr>
            </w:pPr>
            <w:r>
              <w:rPr>
                <w:rFonts w:ascii="Arial" w:cs="Arial" w:eastAsia="Arial" w:hAnsi="Arial"/>
                <w:sz w:val="15"/>
                <w:szCs w:val="15"/>
                <w:b w:val="1"/>
                <w:bCs w:val="1"/>
                <w:color w:val="auto"/>
              </w:rPr>
              <w:t>2024</w:t>
            </w:r>
          </w:p>
        </w:tc>
      </w:tr>
      <w:tr>
        <w:trPr>
          <w:trHeight w:val="219"/>
        </w:trPr>
        <w:tc>
          <w:tcPr>
            <w:tcW w:w="1560" w:type="dxa"/>
            <w:vAlign w:val="bottom"/>
          </w:tcPr>
          <w:p>
            <w:pPr>
              <w:jc w:val="right"/>
              <w:spacing w:after="0"/>
              <w:rPr>
                <w:sz w:val="20"/>
                <w:szCs w:val="20"/>
                <w:color w:val="auto"/>
              </w:rPr>
            </w:pPr>
            <w:r>
              <w:rPr>
                <w:rFonts w:ascii="Arial" w:cs="Arial" w:eastAsia="Arial" w:hAnsi="Arial"/>
                <w:sz w:val="15"/>
                <w:szCs w:val="15"/>
                <w:color w:val="auto"/>
              </w:rPr>
              <w:t>6.5 %</w:t>
            </w:r>
          </w:p>
        </w:tc>
        <w:tc>
          <w:tcPr>
            <w:tcW w:w="1640" w:type="dxa"/>
            <w:vAlign w:val="bottom"/>
            <w:gridSpan w:val="2"/>
          </w:tcPr>
          <w:p>
            <w:pPr>
              <w:ind w:left="1240"/>
              <w:spacing w:after="0"/>
              <w:rPr>
                <w:sz w:val="20"/>
                <w:szCs w:val="20"/>
                <w:color w:val="auto"/>
              </w:rPr>
            </w:pPr>
            <w:r>
              <w:rPr>
                <w:rFonts w:ascii="Arial" w:cs="Arial" w:eastAsia="Arial" w:hAnsi="Arial"/>
                <w:sz w:val="15"/>
                <w:szCs w:val="15"/>
                <w:color w:val="auto"/>
                <w:w w:val="98"/>
              </w:rPr>
              <w:t>6.5 %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ind w:left="580"/>
              <w:spacing w:after="0"/>
              <w:rPr>
                <w:sz w:val="20"/>
                <w:szCs w:val="20"/>
                <w:color w:val="auto"/>
              </w:rPr>
            </w:pPr>
            <w:r>
              <w:rPr>
                <w:rFonts w:ascii="Arial" w:cs="Arial" w:eastAsia="Arial" w:hAnsi="Arial"/>
                <w:sz w:val="15"/>
                <w:szCs w:val="15"/>
                <w:color w:val="auto"/>
                <w:w w:val="98"/>
              </w:rPr>
              <w:t>6.0 %</w:t>
            </w:r>
          </w:p>
        </w:tc>
      </w:tr>
      <w:tr>
        <w:trPr>
          <w:trHeight w:val="245"/>
        </w:trPr>
        <w:tc>
          <w:tcPr>
            <w:tcW w:w="1560" w:type="dxa"/>
            <w:vAlign w:val="bottom"/>
          </w:tcPr>
          <w:p>
            <w:pPr>
              <w:jc w:val="right"/>
              <w:ind w:right="123"/>
              <w:spacing w:after="0"/>
              <w:rPr>
                <w:sz w:val="20"/>
                <w:szCs w:val="20"/>
                <w:color w:val="auto"/>
              </w:rPr>
            </w:pPr>
            <w:r>
              <w:rPr>
                <w:rFonts w:ascii="Arial" w:cs="Arial" w:eastAsia="Arial" w:hAnsi="Arial"/>
                <w:sz w:val="15"/>
                <w:szCs w:val="15"/>
                <w:color w:val="auto"/>
              </w:rPr>
              <w:t>6.8</w:t>
            </w:r>
          </w:p>
        </w:tc>
        <w:tc>
          <w:tcPr>
            <w:tcW w:w="1640" w:type="dxa"/>
            <w:vAlign w:val="bottom"/>
            <w:gridSpan w:val="2"/>
          </w:tcPr>
          <w:p>
            <w:pPr>
              <w:ind w:left="1240"/>
              <w:spacing w:after="0"/>
              <w:rPr>
                <w:sz w:val="20"/>
                <w:szCs w:val="20"/>
                <w:color w:val="auto"/>
              </w:rPr>
            </w:pPr>
            <w:r>
              <w:rPr>
                <w:rFonts w:ascii="Arial" w:cs="Arial" w:eastAsia="Arial" w:hAnsi="Arial"/>
                <w:sz w:val="15"/>
                <w:szCs w:val="15"/>
                <w:color w:val="auto"/>
              </w:rPr>
              <w:t>6.7</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ind w:left="580"/>
              <w:spacing w:after="0"/>
              <w:rPr>
                <w:sz w:val="20"/>
                <w:szCs w:val="20"/>
                <w:color w:val="auto"/>
              </w:rPr>
            </w:pPr>
            <w:r>
              <w:rPr>
                <w:rFonts w:ascii="Arial" w:cs="Arial" w:eastAsia="Arial" w:hAnsi="Arial"/>
                <w:sz w:val="15"/>
                <w:szCs w:val="15"/>
                <w:color w:val="auto"/>
              </w:rPr>
              <w:t>6.2</w:t>
            </w:r>
          </w:p>
        </w:tc>
      </w:tr>
      <w:tr>
        <w:trPr>
          <w:trHeight w:val="232"/>
        </w:trPr>
        <w:tc>
          <w:tcPr>
            <w:tcW w:w="1560" w:type="dxa"/>
            <w:vAlign w:val="bottom"/>
          </w:tcPr>
          <w:p>
            <w:pPr>
              <w:jc w:val="right"/>
              <w:ind w:right="123"/>
              <w:spacing w:after="0"/>
              <w:rPr>
                <w:sz w:val="20"/>
                <w:szCs w:val="20"/>
                <w:color w:val="auto"/>
              </w:rPr>
            </w:pPr>
            <w:r>
              <w:rPr>
                <w:rFonts w:ascii="Arial" w:cs="Arial" w:eastAsia="Arial" w:hAnsi="Arial"/>
                <w:sz w:val="15"/>
                <w:szCs w:val="15"/>
                <w:color w:val="auto"/>
              </w:rPr>
              <w:t>5.7</w:t>
            </w:r>
          </w:p>
        </w:tc>
        <w:tc>
          <w:tcPr>
            <w:tcW w:w="1640" w:type="dxa"/>
            <w:vAlign w:val="bottom"/>
            <w:gridSpan w:val="2"/>
          </w:tcPr>
          <w:p>
            <w:pPr>
              <w:ind w:left="1240"/>
              <w:spacing w:after="0"/>
              <w:rPr>
                <w:sz w:val="20"/>
                <w:szCs w:val="20"/>
                <w:color w:val="auto"/>
              </w:rPr>
            </w:pPr>
            <w:r>
              <w:rPr>
                <w:rFonts w:ascii="Arial" w:cs="Arial" w:eastAsia="Arial" w:hAnsi="Arial"/>
                <w:sz w:val="15"/>
                <w:szCs w:val="15"/>
                <w:color w:val="auto"/>
              </w:rPr>
              <w:t>5.4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ind w:left="580"/>
              <w:spacing w:after="0"/>
              <w:rPr>
                <w:sz w:val="20"/>
                <w:szCs w:val="20"/>
                <w:color w:val="auto"/>
              </w:rPr>
            </w:pPr>
            <w:r>
              <w:rPr>
                <w:rFonts w:ascii="Arial" w:cs="Arial" w:eastAsia="Arial" w:hAnsi="Arial"/>
                <w:sz w:val="15"/>
                <w:szCs w:val="15"/>
                <w:color w:val="auto"/>
              </w:rPr>
              <w:t>5.2</w:t>
            </w:r>
          </w:p>
        </w:tc>
      </w:tr>
      <w:tr>
        <w:trPr>
          <w:trHeight w:val="232"/>
        </w:trPr>
        <w:tc>
          <w:tcPr>
            <w:tcW w:w="1560" w:type="dxa"/>
            <w:vAlign w:val="bottom"/>
          </w:tcPr>
          <w:p>
            <w:pPr>
              <w:jc w:val="right"/>
              <w:ind w:right="123"/>
              <w:spacing w:after="0"/>
              <w:rPr>
                <w:sz w:val="20"/>
                <w:szCs w:val="20"/>
                <w:color w:val="auto"/>
              </w:rPr>
            </w:pPr>
            <w:r>
              <w:rPr>
                <w:rFonts w:ascii="Arial" w:cs="Arial" w:eastAsia="Arial" w:hAnsi="Arial"/>
                <w:sz w:val="15"/>
                <w:szCs w:val="15"/>
                <w:color w:val="auto"/>
              </w:rPr>
              <w:t>4.7</w:t>
            </w:r>
          </w:p>
        </w:tc>
        <w:tc>
          <w:tcPr>
            <w:tcW w:w="1640" w:type="dxa"/>
            <w:vAlign w:val="bottom"/>
            <w:gridSpan w:val="2"/>
          </w:tcPr>
          <w:p>
            <w:pPr>
              <w:ind w:left="1240"/>
              <w:spacing w:after="0"/>
              <w:rPr>
                <w:sz w:val="20"/>
                <w:szCs w:val="20"/>
                <w:color w:val="auto"/>
              </w:rPr>
            </w:pPr>
            <w:r>
              <w:rPr>
                <w:rFonts w:ascii="Arial" w:cs="Arial" w:eastAsia="Arial" w:hAnsi="Arial"/>
                <w:sz w:val="15"/>
                <w:szCs w:val="15"/>
                <w:color w:val="auto"/>
              </w:rPr>
              <w:t>4.8</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ind w:left="580"/>
              <w:spacing w:after="0"/>
              <w:rPr>
                <w:sz w:val="20"/>
                <w:szCs w:val="20"/>
                <w:color w:val="auto"/>
              </w:rPr>
            </w:pPr>
            <w:r>
              <w:rPr>
                <w:rFonts w:ascii="Arial" w:cs="Arial" w:eastAsia="Arial" w:hAnsi="Arial"/>
                <w:sz w:val="15"/>
                <w:szCs w:val="15"/>
                <w:color w:val="auto"/>
              </w:rPr>
              <w:t>4.7</w:t>
            </w:r>
          </w:p>
        </w:tc>
      </w:tr>
    </w:tbl>
    <w:p>
      <w:pPr>
        <w:spacing w:after="0" w:line="129" w:lineRule="exact"/>
        <w:rPr>
          <w:sz w:val="20"/>
          <w:szCs w:val="20"/>
          <w:color w:val="auto"/>
        </w:rPr>
      </w:pPr>
    </w:p>
    <w:p>
      <w:pPr>
        <w:sectPr>
          <w:pgSz w:w="11900" w:h="16838" w:orient="portrait"/>
          <w:cols w:equalWidth="0" w:num="2">
            <w:col w:w="5660" w:space="720"/>
            <w:col w:w="4860"/>
          </w:cols>
          <w:pgMar w:left="320" w:top="250" w:right="339" w:bottom="1440" w:gutter="0" w:footer="0" w:header="0"/>
          <w:type w:val="continuous"/>
        </w:sectPr>
      </w:pPr>
    </w:p>
    <w:p>
      <w:pPr>
        <w:ind w:left="240" w:right="260" w:hanging="237"/>
        <w:spacing w:after="0" w:line="235" w:lineRule="auto"/>
        <w:tabs>
          <w:tab w:leader="none" w:pos="240" w:val="left"/>
        </w:tabs>
        <w:numPr>
          <w:ilvl w:val="0"/>
          <w:numId w:val="68"/>
        </w:numPr>
        <w:rPr>
          <w:rFonts w:ascii="Arial" w:cs="Arial" w:eastAsia="Arial" w:hAnsi="Arial"/>
          <w:sz w:val="18"/>
          <w:szCs w:val="18"/>
          <w:color w:val="auto"/>
          <w:vertAlign w:val="superscript"/>
        </w:rPr>
      </w:pPr>
      <w:r>
        <w:rPr>
          <w:rFonts w:ascii="Arial" w:cs="Arial" w:eastAsia="Arial" w:hAnsi="Arial"/>
          <w:sz w:val="14"/>
          <w:szCs w:val="14"/>
          <w:color w:val="auto"/>
        </w:rPr>
        <w:t>These forecasts are provided here solely for the purpose of providing insight into our credit loss model. Forecasts for future periods are subject to significant uncertainty, which increases for periods that are further in the future. We provide our most recent forecasts for certain macroeconomic and housing market conditions in “Key Market Economic Indicators.” In addition, each month our Economic &amp; Strategic Research group provides its forecast of economic and housing market conditions, which are available in the “About Us/Research and Insights” section of our website, www.fanniemae.com. Information on our website is not incorporated into this report.</w:t>
      </w:r>
    </w:p>
    <w:p>
      <w:pPr>
        <w:spacing w:after="0" w:line="20" w:lineRule="exact"/>
        <w:rPr>
          <w:rFonts w:ascii="Arial" w:cs="Arial" w:eastAsia="Arial" w:hAnsi="Arial"/>
          <w:sz w:val="18"/>
          <w:szCs w:val="18"/>
          <w:color w:val="auto"/>
          <w:vertAlign w:val="superscript"/>
        </w:rPr>
      </w:pPr>
    </w:p>
    <w:p>
      <w:pPr>
        <w:ind w:left="240" w:right="60" w:hanging="237"/>
        <w:spacing w:after="0" w:line="249" w:lineRule="auto"/>
        <w:tabs>
          <w:tab w:leader="none" w:pos="240" w:val="left"/>
        </w:tabs>
        <w:numPr>
          <w:ilvl w:val="0"/>
          <w:numId w:val="68"/>
        </w:numPr>
        <w:rPr>
          <w:rFonts w:ascii="Arial" w:cs="Arial" w:eastAsia="Arial" w:hAnsi="Arial"/>
          <w:sz w:val="9"/>
          <w:szCs w:val="9"/>
          <w:color w:val="auto"/>
        </w:rPr>
      </w:pPr>
      <w:r>
        <w:rPr>
          <w:rFonts w:ascii="Arial" w:cs="Arial" w:eastAsia="Arial" w:hAnsi="Arial"/>
          <w:sz w:val="14"/>
          <w:szCs w:val="14"/>
          <w:color w:val="auto"/>
        </w:rPr>
        <w:t>These estimates are based on our national home price index, which is calculated differently from the S&amp;P/Case-Shiller U.S. National Home Price Index and therefore results in different percentages for comparable growth. We periodically update our home price growth estimates and forecasts as new data become available. As a result, the forecast data in this table may also differ from the forecasted home price growth (decline) rate presented in “Key Market Economic Indicators,” because that section reflects our most recent forecast as of the filing date of this report, while this table reflects the quantitative forecast data we used in our model to estimate credit losses for the periods shown. Management continues to monitor macroeconomic updates to our inputs in our credit loss model from the time they are approved as part of our established governance process to ensure the reasonableness of the inputs used to calculate estimated credit losses. The forecast data excludes the impact of any qualitative adjustments.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58</w:t>
            </w:r>
          </w:p>
        </w:tc>
      </w:tr>
      <w:tr>
        <w:trPr>
          <w:trHeight w:val="198"/>
        </w:trPr>
        <w:tc>
          <w:tcPr>
            <w:tcW w:w="69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type w:val="continuous"/>
        </w:sectPr>
      </w:pPr>
    </w:p>
    <w:bookmarkStart w:id="61" w:name="page62"/>
    <w:bookmarkEnd w:id="61"/>
    <w:p>
      <w:pPr>
        <w:ind w:left="8840"/>
        <w:spacing w:after="0"/>
        <w:rPr>
          <w:sz w:val="20"/>
          <w:szCs w:val="20"/>
          <w:color w:val="auto"/>
        </w:rPr>
      </w:pPr>
      <w:r>
        <w:rPr>
          <w:rFonts w:ascii="Arial" w:cs="Arial" w:eastAsia="Arial" w:hAnsi="Arial"/>
          <w:sz w:val="14"/>
          <w:szCs w:val="14"/>
          <w:color w:val="05314D"/>
        </w:rPr>
        <w:t>MD&amp;A | 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40" w:hanging="237"/>
        <w:spacing w:after="0" w:line="231" w:lineRule="auto"/>
        <w:tabs>
          <w:tab w:leader="none" w:pos="240" w:val="left"/>
        </w:tabs>
        <w:numPr>
          <w:ilvl w:val="0"/>
          <w:numId w:val="69"/>
        </w:numPr>
        <w:rPr>
          <w:rFonts w:ascii="Arial" w:cs="Arial" w:eastAsia="Arial" w:hAnsi="Arial"/>
          <w:sz w:val="18"/>
          <w:szCs w:val="18"/>
          <w:color w:val="auto"/>
          <w:vertAlign w:val="superscript"/>
        </w:rPr>
      </w:pPr>
      <w:r>
        <w:rPr>
          <w:rFonts w:ascii="Arial" w:cs="Arial" w:eastAsia="Arial" w:hAnsi="Arial"/>
          <w:sz w:val="14"/>
          <w:szCs w:val="14"/>
          <w:color w:val="auto"/>
        </w:rPr>
        <w:t>Forecasted 30-year interest rates represent the mean of possible future interest rate environments that are simulated by our interest rate model and used in the estimation of credit losses. Forecasts through the end of December 31, 2023 and 2022 represent the average forecasted rate from the quarter-end through the calendar year end of December 31st. The fourth quarter of 2022 interest rate represents the 30-year interest rate as of December 31, 2022. This table reflects the forecasted interest rate data we used in estimating credit losses for the periods shown and does not reflect changes in interest rates that occurred after the forecast date.</w:t>
      </w:r>
    </w:p>
    <w:p>
      <w:pPr>
        <w:spacing w:after="0" w:line="58"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It is difficult to estimate how potential changes in any one factor or input might affect the overall credit loss estimates, because management considers a wide variety of factors and inputs in estimating the allowance for loan losses. Changes in the factors and inputs considered may not occur at the same rate and may not be consistent across all geographies or loan types, and changes in factors and inputs may be directionally inconsistent, such that improvement in one factor or input may offset deterioration in others. Changes in our assumptions and forecasts of economic conditions could significantly affect our estimate of expected credit losses and lead to significant changes in the estimate from one reporting period to the next.</w:t>
      </w:r>
    </w:p>
    <w:p>
      <w:pPr>
        <w:spacing w:after="0" w:line="45"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As noted above, our allowance for loan losses is sensitive to changes in home prices and interest rate changes. To consider the impact of a hypothetical change in home prices, assuming a positive one-percentage point change in the home price growth rate for the first twelve months of the forecast, on a normalized basis, with all other factors held constant, the single-family allowance for loan losses as of June 30, 2023 would decrease by approximately 4%. Conversely, assuming a negative one-percentage point change in the home price growth rate for the first twelve months of the forecast, on a normalized basis, the single-family allowance for loan losses would increase by approximately 4%.</w:t>
      </w:r>
    </w:p>
    <w:p>
      <w:pPr>
        <w:spacing w:after="0" w:line="45" w:lineRule="exact"/>
        <w:rPr>
          <w:sz w:val="20"/>
          <w:szCs w:val="20"/>
          <w:color w:val="auto"/>
        </w:rPr>
      </w:pPr>
    </w:p>
    <w:p>
      <w:pPr>
        <w:ind w:right="180"/>
        <w:spacing w:after="0" w:line="267" w:lineRule="auto"/>
        <w:rPr>
          <w:sz w:val="20"/>
          <w:szCs w:val="20"/>
          <w:color w:val="auto"/>
        </w:rPr>
      </w:pPr>
      <w:r>
        <w:rPr>
          <w:rFonts w:ascii="Arial" w:cs="Arial" w:eastAsia="Arial" w:hAnsi="Arial"/>
          <w:sz w:val="16"/>
          <w:szCs w:val="16"/>
          <w:color w:val="auto"/>
        </w:rPr>
        <w:t>To consider the impact of a hypothetical change in 30-year interest rates, assuming a 50-basis point increase in estimated 30-year interest rates, with all other factors held constant, the single-family allowance for loan losses as of June 30, 2023 would increase by approximately 2%. Conversely, assuming a 50-basis point decrease in 30-year interest rates, the single-family allowance for loan losses would decrease by approximately 3%.</w:t>
      </w:r>
    </w:p>
    <w:p>
      <w:pPr>
        <w:spacing w:after="0" w:line="56"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These sensitivity analyses are hypothetical and are provided solely for the purpose of providing insight into our credit loss model inputs. In addition, sensitivities for home price and interest rate changes are non-linear. As a result, changes in these estimates are not incrementally proportional. The purpose of this analysis is to provide an indication of the impact of home price appreciation and 30-year interest rates on the estimate of the allowance for credit losses. For example, it is not intended to imply management’s expectation of future changes in our forecasts or any other variables that may change as a result.</w:t>
      </w:r>
    </w:p>
    <w:p>
      <w:pPr>
        <w:spacing w:after="0" w:line="64" w:lineRule="exact"/>
        <w:rPr>
          <w:sz w:val="20"/>
          <w:szCs w:val="20"/>
          <w:color w:val="auto"/>
        </w:rPr>
      </w:pPr>
    </w:p>
    <w:p>
      <w:pPr>
        <w:ind w:right="320"/>
        <w:spacing w:after="0" w:line="283" w:lineRule="auto"/>
        <w:rPr>
          <w:sz w:val="20"/>
          <w:szCs w:val="20"/>
          <w:color w:val="auto"/>
        </w:rPr>
      </w:pPr>
      <w:r>
        <w:rPr>
          <w:rFonts w:ascii="Arial" w:cs="Arial" w:eastAsia="Arial" w:hAnsi="Arial"/>
          <w:sz w:val="16"/>
          <w:szCs w:val="16"/>
          <w:color w:val="auto"/>
        </w:rPr>
        <w:t>We provide more detailed information on our accounting for the allowance for loan losses in “Note 1, Summary of Significant Accounting Policies” in our 2022 Form 10-K. See “Note 4, Allowance for Loan Losses” for additional information about our current period benefit (provision) for loan losses.</w:t>
      </w:r>
    </w:p>
    <w:p>
      <w:pPr>
        <w:spacing w:after="0" w:line="3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See “Key Market Economic Indicators” for additional information about how home prices can affect our credit loss estimates, including a discussion of home price growth/decline rates and our home price forecast. Also see “Consolidated Results of Operations—Benefit (Provision) for Credit Losses” for information on how our home price forecast impacted our single-family benefit (provision) for credit losses.</w:t>
      </w:r>
    </w:p>
    <w:p>
      <w:pPr>
        <w:spacing w:after="0" w:line="120"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Impact of Future Adoption of New Accounting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44450</wp:posOffset>
            </wp:positionV>
            <wp:extent cx="7138670" cy="165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315" w:lineRule="exact"/>
        <w:rPr>
          <w:sz w:val="20"/>
          <w:szCs w:val="20"/>
          <w:color w:val="auto"/>
        </w:rPr>
      </w:pPr>
    </w:p>
    <w:p>
      <w:pPr>
        <w:ind w:right="560"/>
        <w:spacing w:after="0" w:line="283" w:lineRule="auto"/>
        <w:rPr>
          <w:sz w:val="20"/>
          <w:szCs w:val="20"/>
          <w:color w:val="auto"/>
        </w:rPr>
      </w:pPr>
      <w:r>
        <w:rPr>
          <w:rFonts w:ascii="Arial" w:cs="Arial" w:eastAsia="Arial" w:hAnsi="Arial"/>
          <w:sz w:val="16"/>
          <w:szCs w:val="16"/>
          <w:color w:val="auto"/>
        </w:rPr>
        <w:t>We identify and discuss the expected impact on our condensed consolidated financial statements of recently issued accounting guidance in “Note 1, Summary of Significant Accounting Policies.”</w:t>
      </w:r>
    </w:p>
    <w:p>
      <w:pPr>
        <w:spacing w:after="0" w:line="93"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52705</wp:posOffset>
            </wp:positionV>
            <wp:extent cx="7138670" cy="165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64"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This report includes statements that constitute forward-looking statements within the meaning of Section 21E of the Securities Exchange Act of 1934 (the “Exchange Act”). In addition, we and our senior management may from time to time make forward-looking statements in our other filings with the SEC, our other publicly available written statements, and orally to analysts, investors, the news media and others. Forward-looking statements often include words such as “expect,” “anticipate,” “intend,” “plan,” “believe,” “seek,” “estimate,” “forecast,” “project,” “would,” “should,” “could,” “likely,” “may,” “will” or similar words. Examples of forward-looking statements in this report include, among others, statements relating to our expectations regarding the following matters:</w:t>
      </w:r>
    </w:p>
    <w:p>
      <w:pPr>
        <w:spacing w:after="0" w:line="45" w:lineRule="exact"/>
        <w:rPr>
          <w:sz w:val="20"/>
          <w:szCs w:val="20"/>
          <w:color w:val="auto"/>
        </w:rPr>
      </w:pPr>
    </w:p>
    <w:p>
      <w:pPr>
        <w:ind w:left="620" w:hanging="307"/>
        <w:spacing w:after="0"/>
        <w:tabs>
          <w:tab w:leader="none" w:pos="620" w:val="left"/>
        </w:tabs>
        <w:numPr>
          <w:ilvl w:val="0"/>
          <w:numId w:val="70"/>
        </w:numPr>
        <w:rPr>
          <w:rFonts w:ascii="Arial" w:cs="Arial" w:eastAsia="Arial" w:hAnsi="Arial"/>
          <w:sz w:val="16"/>
          <w:szCs w:val="16"/>
          <w:i w:val="1"/>
          <w:iCs w:val="1"/>
          <w:color w:val="auto"/>
        </w:rPr>
      </w:pPr>
      <w:r>
        <w:rPr>
          <w:rFonts w:ascii="Arial" w:cs="Arial" w:eastAsia="Arial" w:hAnsi="Arial"/>
          <w:sz w:val="16"/>
          <w:szCs w:val="16"/>
          <w:color w:val="auto"/>
        </w:rPr>
        <w:t>our future financial performance and the factors that will affect such performance;</w:t>
      </w:r>
    </w:p>
    <w:p>
      <w:pPr>
        <w:spacing w:after="0" w:line="99" w:lineRule="exact"/>
        <w:rPr>
          <w:rFonts w:ascii="Arial" w:cs="Arial" w:eastAsia="Arial" w:hAnsi="Arial"/>
          <w:sz w:val="16"/>
          <w:szCs w:val="16"/>
          <w:i w:val="1"/>
          <w:iCs w:val="1"/>
          <w:color w:val="auto"/>
        </w:rPr>
      </w:pPr>
    </w:p>
    <w:p>
      <w:pPr>
        <w:ind w:left="620" w:hanging="307"/>
        <w:spacing w:after="0"/>
        <w:tabs>
          <w:tab w:leader="none" w:pos="6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our future aggregate liquidation preference;</w:t>
      </w:r>
    </w:p>
    <w:p>
      <w:pPr>
        <w:spacing w:after="0" w:line="86" w:lineRule="exact"/>
        <w:rPr>
          <w:rFonts w:ascii="Arial" w:cs="Arial" w:eastAsia="Arial" w:hAnsi="Arial"/>
          <w:sz w:val="16"/>
          <w:szCs w:val="16"/>
          <w:color w:val="auto"/>
        </w:rPr>
      </w:pPr>
    </w:p>
    <w:p>
      <w:pPr>
        <w:ind w:left="620" w:right="180" w:hanging="307"/>
        <w:spacing w:after="0" w:line="267" w:lineRule="auto"/>
        <w:tabs>
          <w:tab w:leader="none" w:pos="620" w:val="left"/>
        </w:tabs>
        <w:numPr>
          <w:ilvl w:val="0"/>
          <w:numId w:val="70"/>
        </w:numPr>
        <w:rPr>
          <w:rFonts w:ascii="Arial" w:cs="Arial" w:eastAsia="Arial" w:hAnsi="Arial"/>
          <w:sz w:val="16"/>
          <w:szCs w:val="16"/>
          <w:i w:val="1"/>
          <w:iCs w:val="1"/>
          <w:color w:val="auto"/>
        </w:rPr>
      </w:pPr>
      <w:r>
        <w:rPr>
          <w:rFonts w:ascii="Arial" w:cs="Arial" w:eastAsia="Arial" w:hAnsi="Arial"/>
          <w:sz w:val="16"/>
          <w:szCs w:val="16"/>
          <w:color w:val="auto"/>
        </w:rPr>
        <w:t>economic, mortgage market and housing market conditions (including expectations regarding economic recession, home price changes, unemployment rates, refinance volumes and interest rates), the factors that will affect those conditions, and the impact of those conditions on our business and financial results;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59</w:t>
            </w:r>
          </w:p>
        </w:tc>
      </w:tr>
      <w:tr>
        <w:trPr>
          <w:trHeight w:val="198"/>
        </w:trPr>
        <w:tc>
          <w:tcPr>
            <w:tcW w:w="69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62" w:name="page63"/>
    <w:bookmarkEnd w:id="62"/>
    <w:p>
      <w:pPr>
        <w:ind w:left="8860"/>
        <w:spacing w:after="0"/>
        <w:rPr>
          <w:sz w:val="20"/>
          <w:szCs w:val="20"/>
          <w:color w:val="auto"/>
        </w:rPr>
      </w:pPr>
      <w:r>
        <w:rPr>
          <w:rFonts w:ascii="Arial" w:cs="Arial" w:eastAsia="Arial" w:hAnsi="Arial"/>
          <w:sz w:val="14"/>
          <w:szCs w:val="14"/>
          <w:color w:val="05314D"/>
        </w:rPr>
        <w:t>MD&amp;A |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20" w:hanging="307"/>
        <w:spacing w:after="0"/>
        <w:tabs>
          <w:tab w:leader="none" w:pos="6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our business plans and strategies, and their impact;</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effects of our credit risk transfer transactions;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volatility in our financial results and the impact of hedge accounting on such volatility;</w:t>
      </w:r>
    </w:p>
    <w:p>
      <w:pPr>
        <w:spacing w:after="0" w:line="99" w:lineRule="exact"/>
        <w:rPr>
          <w:rFonts w:ascii="Arial" w:cs="Arial" w:eastAsia="Arial" w:hAnsi="Arial"/>
          <w:sz w:val="16"/>
          <w:szCs w:val="16"/>
          <w:color w:val="auto"/>
        </w:rPr>
      </w:pPr>
    </w:p>
    <w:p>
      <w:pPr>
        <w:ind w:left="620" w:hanging="307"/>
        <w:spacing w:after="0"/>
        <w:tabs>
          <w:tab w:leader="none" w:pos="6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size and composition of our retained mortgage portfolio, and the factors that will affect them;</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impact of legislation and regulation on our business or financial results;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impact of the adoption of new accounting guidance;</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our payments to HUD and Treasury funds under the GSE Act;</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risks to our business;</w:t>
      </w:r>
    </w:p>
    <w:p>
      <w:pPr>
        <w:spacing w:after="0" w:line="99" w:lineRule="exact"/>
        <w:rPr>
          <w:rFonts w:ascii="Arial" w:cs="Arial" w:eastAsia="Arial" w:hAnsi="Arial"/>
          <w:sz w:val="16"/>
          <w:szCs w:val="16"/>
          <w:color w:val="auto"/>
        </w:rPr>
      </w:pPr>
    </w:p>
    <w:p>
      <w:pPr>
        <w:ind w:left="620" w:right="200" w:hanging="307"/>
        <w:spacing w:after="0" w:line="283" w:lineRule="auto"/>
        <w:tabs>
          <w:tab w:leader="none" w:pos="6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future credit performance of the loans in our guaranty book of business (including future loan delinquencies and foreclosures) and the factors that will affect such performance;</w:t>
      </w:r>
    </w:p>
    <w:p>
      <w:pPr>
        <w:spacing w:after="0" w:line="30" w:lineRule="exact"/>
        <w:rPr>
          <w:rFonts w:ascii="Arial" w:cs="Arial" w:eastAsia="Arial" w:hAnsi="Arial"/>
          <w:sz w:val="16"/>
          <w:szCs w:val="16"/>
          <w:color w:val="auto"/>
        </w:rPr>
      </w:pPr>
    </w:p>
    <w:p>
      <w:pPr>
        <w:ind w:left="620" w:hanging="307"/>
        <w:spacing w:after="0"/>
        <w:tabs>
          <w:tab w:leader="none" w:pos="6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how we intend to repay our debt obligations; and</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our expectations relating to legal and regulatory proceedings.</w:t>
      </w:r>
    </w:p>
    <w:p>
      <w:pPr>
        <w:spacing w:after="0" w:line="87"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Forward-looking statements reflect our management’s current expectations, forecasts or predictions of future conditions, events or results based on various assumptions and management’s estimates of trends and economic conditions in the markets in which we are active and that otherwise impact our business plans. Forward-looking statements are not guarantees of future performance. By their nature, forward-looking statements are subject to significant risks and uncertainties and changes in circumstances. Our actual results and financial condition may differ, possibly materially, from the anticipated results and financial condition indicated in these forward-looking statements.</w:t>
      </w:r>
    </w:p>
    <w:p>
      <w:pPr>
        <w:spacing w:after="0" w:line="45" w:lineRule="exact"/>
        <w:rPr>
          <w:sz w:val="20"/>
          <w:szCs w:val="20"/>
          <w:color w:val="auto"/>
        </w:rPr>
      </w:pPr>
    </w:p>
    <w:p>
      <w:pPr>
        <w:ind w:right="780"/>
        <w:spacing w:after="0" w:line="283" w:lineRule="auto"/>
        <w:rPr>
          <w:sz w:val="20"/>
          <w:szCs w:val="20"/>
          <w:color w:val="auto"/>
        </w:rPr>
      </w:pPr>
      <w:r>
        <w:rPr>
          <w:rFonts w:ascii="Arial" w:cs="Arial" w:eastAsia="Arial" w:hAnsi="Arial"/>
          <w:sz w:val="16"/>
          <w:szCs w:val="16"/>
          <w:color w:val="auto"/>
        </w:rPr>
        <w:t>There are a number of factors that could cause actual conditions, events or results to differ materially from those described in our forward-looking statements, including, among others, the following:</w:t>
      </w:r>
    </w:p>
    <w:p>
      <w:pPr>
        <w:spacing w:after="0" w:line="43" w:lineRule="exact"/>
        <w:rPr>
          <w:sz w:val="20"/>
          <w:szCs w:val="20"/>
          <w:color w:val="auto"/>
        </w:rPr>
      </w:pPr>
    </w:p>
    <w:p>
      <w:pPr>
        <w:ind w:left="620" w:right="100" w:hanging="307"/>
        <w:spacing w:after="0" w:line="262" w:lineRule="auto"/>
        <w:tabs>
          <w:tab w:leader="none" w:pos="6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factors that will affect future economic conditions, including the persistence of inflationary pressures, the speed at which expected monetary policy tightening is adjusted and the risk of further financial market disruptions, including additional stress in the banking sector, which could further tighten bank credit conditions, dampen consumer and business confidence, and lead to reduced consumer spending, business investment, and hiring activity;</w:t>
      </w:r>
    </w:p>
    <w:p>
      <w:pPr>
        <w:spacing w:after="0" w:line="47" w:lineRule="exact"/>
        <w:rPr>
          <w:rFonts w:ascii="Arial" w:cs="Arial" w:eastAsia="Arial" w:hAnsi="Arial"/>
          <w:sz w:val="16"/>
          <w:szCs w:val="16"/>
          <w:color w:val="auto"/>
        </w:rPr>
      </w:pPr>
    </w:p>
    <w:p>
      <w:pPr>
        <w:ind w:left="620" w:right="40" w:hanging="307"/>
        <w:spacing w:after="0" w:line="300" w:lineRule="auto"/>
        <w:tabs>
          <w:tab w:leader="none" w:pos="6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impact of stress in the banking sector on the financial condition and business activities of our counterparties, including stress on regional banks and on banks with significant exposure to commercial real estate;</w:t>
      </w:r>
    </w:p>
    <w:p>
      <w:pPr>
        <w:spacing w:after="0" w:line="17" w:lineRule="exact"/>
        <w:rPr>
          <w:rFonts w:ascii="Arial" w:cs="Arial" w:eastAsia="Arial" w:hAnsi="Arial"/>
          <w:sz w:val="16"/>
          <w:szCs w:val="16"/>
          <w:color w:val="auto"/>
        </w:rPr>
      </w:pPr>
    </w:p>
    <w:p>
      <w:pPr>
        <w:ind w:left="620" w:hanging="307"/>
        <w:spacing w:after="0"/>
        <w:tabs>
          <w:tab w:leader="none" w:pos="6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defaults by one or more of our counterparties;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uncertainty regarding our future, our exit from conservatorship and our ability to raise or earn the capital needed to meet our capital requirements;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significant challenges we face in retaining and hiring qualified executives and other employees;</w:t>
      </w:r>
    </w:p>
    <w:p>
      <w:pPr>
        <w:spacing w:after="0" w:line="86" w:lineRule="exact"/>
        <w:rPr>
          <w:rFonts w:ascii="Arial" w:cs="Arial" w:eastAsia="Arial" w:hAnsi="Arial"/>
          <w:sz w:val="16"/>
          <w:szCs w:val="16"/>
          <w:color w:val="auto"/>
        </w:rPr>
      </w:pPr>
    </w:p>
    <w:p>
      <w:pPr>
        <w:ind w:left="620" w:right="280" w:hanging="307"/>
        <w:spacing w:after="0" w:line="268" w:lineRule="auto"/>
        <w:tabs>
          <w:tab w:leader="none" w:pos="6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impact of the senior preferred stock purchase agreement and the enterprise regulatory capital framework, as well as future legislative and regulatory requirements or changes, governmental initiatives, or executive orders affecting us, such as the enactment of housing finance reform legislation, including changes that limit our business activities or our footprint, impose new mandates on us, or affect our ability to change our pricing;</w:t>
      </w:r>
    </w:p>
    <w:p>
      <w:pPr>
        <w:spacing w:after="0" w:line="41" w:lineRule="exact"/>
        <w:rPr>
          <w:rFonts w:ascii="Arial" w:cs="Arial" w:eastAsia="Arial" w:hAnsi="Arial"/>
          <w:sz w:val="16"/>
          <w:szCs w:val="16"/>
          <w:color w:val="auto"/>
        </w:rPr>
      </w:pPr>
    </w:p>
    <w:p>
      <w:pPr>
        <w:ind w:left="620" w:right="360" w:hanging="307"/>
        <w:spacing w:after="0" w:line="283" w:lineRule="auto"/>
        <w:tabs>
          <w:tab w:leader="none" w:pos="6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actions by FHFA, Treasury, HUD, the Consumer Financial Protection Bureau, the SEC or other regulators, Congress, the Executive Branch, or state or local governments that affect our business;</w:t>
      </w:r>
    </w:p>
    <w:p>
      <w:pPr>
        <w:spacing w:after="0" w:line="30" w:lineRule="exact"/>
        <w:rPr>
          <w:rFonts w:ascii="Arial" w:cs="Arial" w:eastAsia="Arial" w:hAnsi="Arial"/>
          <w:sz w:val="16"/>
          <w:szCs w:val="16"/>
          <w:color w:val="auto"/>
        </w:rPr>
      </w:pPr>
    </w:p>
    <w:p>
      <w:pPr>
        <w:ind w:left="620" w:hanging="307"/>
        <w:spacing w:after="0"/>
        <w:tabs>
          <w:tab w:leader="none" w:pos="6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 default by the United States government on its obligations;</w:t>
      </w:r>
    </w:p>
    <w:p>
      <w:pPr>
        <w:spacing w:after="0" w:line="99" w:lineRule="exact"/>
        <w:rPr>
          <w:rFonts w:ascii="Arial" w:cs="Arial" w:eastAsia="Arial" w:hAnsi="Arial"/>
          <w:sz w:val="16"/>
          <w:szCs w:val="16"/>
          <w:color w:val="auto"/>
        </w:rPr>
      </w:pPr>
    </w:p>
    <w:p>
      <w:pPr>
        <w:ind w:left="620" w:hanging="307"/>
        <w:spacing w:after="0"/>
        <w:tabs>
          <w:tab w:leader="none" w:pos="6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 shutdown of the United States government;</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changes in the structure and regulation of the financial services industry;</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timing and level of, as well as regional variation in, home price changes;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future interest rates and credit spreads;</w:t>
      </w:r>
    </w:p>
    <w:p>
      <w:pPr>
        <w:spacing w:after="0" w:line="86" w:lineRule="exact"/>
        <w:rPr>
          <w:rFonts w:ascii="Arial" w:cs="Arial" w:eastAsia="Arial" w:hAnsi="Arial"/>
          <w:sz w:val="16"/>
          <w:szCs w:val="16"/>
          <w:color w:val="auto"/>
        </w:rPr>
      </w:pPr>
    </w:p>
    <w:p>
      <w:pPr>
        <w:ind w:left="620" w:right="40" w:hanging="307"/>
        <w:spacing w:after="0" w:line="264" w:lineRule="auto"/>
        <w:tabs>
          <w:tab w:leader="none" w:pos="6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developments that may be difficult to predict, including: market conditions that result in changes in our amortization income from our guaranty book of business or changes in net interest income from our portfolios, fluctuations in the estimated fair value of our derivatives and other financial instruments that we mark to market through our earnings; and developments that affect our loss reserves, such as changes in interest rates, home prices or accounting standards, or events such as natural or other disasters, the emergence of widespread health emergencies or pandemics, or other disruptive or catastrophic events;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60</w:t>
            </w:r>
          </w:p>
        </w:tc>
      </w:tr>
      <w:tr>
        <w:trPr>
          <w:trHeight w:val="198"/>
        </w:trPr>
        <w:tc>
          <w:tcPr>
            <w:tcW w:w="69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63" w:name="page64"/>
    <w:bookmarkEnd w:id="63"/>
    <w:p>
      <w:pPr>
        <w:ind w:left="8860"/>
        <w:spacing w:after="0"/>
        <w:rPr>
          <w:sz w:val="20"/>
          <w:szCs w:val="20"/>
          <w:color w:val="auto"/>
        </w:rPr>
      </w:pPr>
      <w:r>
        <w:rPr>
          <w:rFonts w:ascii="Arial" w:cs="Arial" w:eastAsia="Arial" w:hAnsi="Arial"/>
          <w:sz w:val="14"/>
          <w:szCs w:val="14"/>
          <w:color w:val="05314D"/>
        </w:rPr>
        <w:t>MD&amp;A |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20" w:hanging="307"/>
        <w:spacing w:after="0"/>
        <w:tabs>
          <w:tab w:leader="none" w:pos="6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uncertainties relating to the discontinuance of LIBOR, or other market changes that could impact the loans we own or guarantee or our MBS;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disruptions or instability in the housing and credit markets;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size and our share of the U.S. mortgage market and the factors that affect them, including population growth and household formation;</w:t>
      </w:r>
    </w:p>
    <w:p>
      <w:pPr>
        <w:spacing w:after="0" w:line="99" w:lineRule="exact"/>
        <w:rPr>
          <w:rFonts w:ascii="Arial" w:cs="Arial" w:eastAsia="Arial" w:hAnsi="Arial"/>
          <w:sz w:val="16"/>
          <w:szCs w:val="16"/>
          <w:color w:val="auto"/>
        </w:rPr>
      </w:pPr>
    </w:p>
    <w:p>
      <w:pPr>
        <w:ind w:left="620" w:right="120" w:hanging="307"/>
        <w:spacing w:after="0" w:line="283" w:lineRule="auto"/>
        <w:tabs>
          <w:tab w:leader="none" w:pos="6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growth, deterioration and the overall health and stability of the U.S. economy, including U.S. GDP, unemployment rates, personal income, inflation and other indicators thereof;</w:t>
      </w:r>
    </w:p>
    <w:p>
      <w:pPr>
        <w:spacing w:after="0" w:line="30" w:lineRule="exact"/>
        <w:rPr>
          <w:rFonts w:ascii="Arial" w:cs="Arial" w:eastAsia="Arial" w:hAnsi="Arial"/>
          <w:sz w:val="16"/>
          <w:szCs w:val="16"/>
          <w:color w:val="auto"/>
        </w:rPr>
      </w:pPr>
    </w:p>
    <w:p>
      <w:pPr>
        <w:ind w:left="620" w:hanging="307"/>
        <w:spacing w:after="0"/>
        <w:tabs>
          <w:tab w:leader="none" w:pos="6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changes in fiscal or monetary policy of the U.S. or other countries, and the impact of such changes on domestic and international financial markets;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our and our competitors’ future guaranty fee pricing and the impact of that pricing on our competitive environment and guaranty fee revenues;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volume of mortgage originations;</w:t>
      </w:r>
    </w:p>
    <w:p>
      <w:pPr>
        <w:spacing w:after="0" w:line="99" w:lineRule="exact"/>
        <w:rPr>
          <w:rFonts w:ascii="Arial" w:cs="Arial" w:eastAsia="Arial" w:hAnsi="Arial"/>
          <w:sz w:val="16"/>
          <w:szCs w:val="16"/>
          <w:color w:val="auto"/>
        </w:rPr>
      </w:pPr>
    </w:p>
    <w:p>
      <w:pPr>
        <w:ind w:left="620" w:hanging="307"/>
        <w:spacing w:after="0"/>
        <w:tabs>
          <w:tab w:leader="none" w:pos="6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size, composition, quality and performance of our guaranty book of business and retained mortgage portfolio;</w:t>
      </w:r>
    </w:p>
    <w:p>
      <w:pPr>
        <w:spacing w:after="0" w:line="86" w:lineRule="exact"/>
        <w:rPr>
          <w:rFonts w:ascii="Arial" w:cs="Arial" w:eastAsia="Arial" w:hAnsi="Arial"/>
          <w:sz w:val="16"/>
          <w:szCs w:val="16"/>
          <w:color w:val="auto"/>
        </w:rPr>
      </w:pPr>
    </w:p>
    <w:p>
      <w:pPr>
        <w:ind w:left="620" w:right="200" w:hanging="307"/>
        <w:spacing w:after="0" w:line="283" w:lineRule="auto"/>
        <w:tabs>
          <w:tab w:leader="none" w:pos="6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competitive environment in which we operate, including the impact of legislative, regulatory or other developments on levels of competition in our industry and other factors affecting our market share;</w:t>
      </w:r>
    </w:p>
    <w:p>
      <w:pPr>
        <w:spacing w:after="0" w:line="30" w:lineRule="exact"/>
        <w:rPr>
          <w:rFonts w:ascii="Arial" w:cs="Arial" w:eastAsia="Arial" w:hAnsi="Arial"/>
          <w:sz w:val="16"/>
          <w:szCs w:val="16"/>
          <w:color w:val="auto"/>
        </w:rPr>
      </w:pPr>
    </w:p>
    <w:p>
      <w:pPr>
        <w:ind w:left="620" w:hanging="307"/>
        <w:spacing w:after="0"/>
        <w:tabs>
          <w:tab w:leader="none" w:pos="6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how long loans in our guaranty book of business remain outstanding;</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effectiveness of our business resiliency plans and systems;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changes in the demand for Fannie Mae MBS, in general or from one or more major groups of investors;</w:t>
      </w:r>
    </w:p>
    <w:p>
      <w:pPr>
        <w:spacing w:after="0" w:line="99" w:lineRule="exact"/>
        <w:rPr>
          <w:rFonts w:ascii="Arial" w:cs="Arial" w:eastAsia="Arial" w:hAnsi="Arial"/>
          <w:sz w:val="16"/>
          <w:szCs w:val="16"/>
          <w:color w:val="auto"/>
        </w:rPr>
      </w:pPr>
    </w:p>
    <w:p>
      <w:pPr>
        <w:ind w:left="620" w:hanging="307"/>
        <w:spacing w:after="0"/>
        <w:tabs>
          <w:tab w:leader="none" w:pos="6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our conservatorship, including any changes to or termination (by receivership or otherwise) of the conservatorship and its effect on our business;</w:t>
      </w:r>
    </w:p>
    <w:p>
      <w:pPr>
        <w:spacing w:after="0" w:line="86" w:lineRule="exact"/>
        <w:rPr>
          <w:rFonts w:ascii="Arial" w:cs="Arial" w:eastAsia="Arial" w:hAnsi="Arial"/>
          <w:sz w:val="16"/>
          <w:szCs w:val="16"/>
          <w:color w:val="auto"/>
        </w:rPr>
      </w:pPr>
    </w:p>
    <w:p>
      <w:pPr>
        <w:ind w:left="620" w:right="60" w:hanging="307"/>
        <w:spacing w:after="0" w:line="262" w:lineRule="auto"/>
        <w:tabs>
          <w:tab w:leader="none" w:pos="6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investment by Treasury, including the impact of past or potential future changes to the terms of the senior preferred stock purchase agreement, and their effect on our business, including restrictions imposed on us by the terms of the senior preferred stock purchase agreement, the senior preferred stock, and the warrant, as well as the extent that these or other restrictions on our business and activities are applied to us through other mechanisms even if we cease to be subject to these agreements and instruments;</w:t>
      </w:r>
    </w:p>
    <w:p>
      <w:pPr>
        <w:spacing w:after="0" w:line="60" w:lineRule="exact"/>
        <w:rPr>
          <w:rFonts w:ascii="Arial" w:cs="Arial" w:eastAsia="Arial" w:hAnsi="Arial"/>
          <w:sz w:val="16"/>
          <w:szCs w:val="16"/>
          <w:color w:val="auto"/>
        </w:rPr>
      </w:pPr>
    </w:p>
    <w:p>
      <w:pPr>
        <w:ind w:left="620" w:hanging="307"/>
        <w:spacing w:after="0"/>
        <w:tabs>
          <w:tab w:leader="none" w:pos="6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adverse effects from activities we undertake to support the mortgage market and help borrowers, renters, lenders and servicers;</w:t>
      </w:r>
    </w:p>
    <w:p>
      <w:pPr>
        <w:spacing w:after="0" w:line="86" w:lineRule="exact"/>
        <w:rPr>
          <w:rFonts w:ascii="Arial" w:cs="Arial" w:eastAsia="Arial" w:hAnsi="Arial"/>
          <w:sz w:val="16"/>
          <w:szCs w:val="16"/>
          <w:color w:val="auto"/>
        </w:rPr>
      </w:pPr>
    </w:p>
    <w:p>
      <w:pPr>
        <w:ind w:left="620" w:right="200" w:hanging="307"/>
        <w:spacing w:after="0" w:line="283" w:lineRule="auto"/>
        <w:tabs>
          <w:tab w:leader="none" w:pos="6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actions we may be required to take by FHFA, in its role as our conservator or as our regulator, such as changes in the type of business we do, or actions relating to UMBS or our resecuritization of Freddie Mac-issued securities;</w:t>
      </w:r>
    </w:p>
    <w:p>
      <w:pPr>
        <w:spacing w:after="0" w:line="30" w:lineRule="exact"/>
        <w:rPr>
          <w:rFonts w:ascii="Arial" w:cs="Arial" w:eastAsia="Arial" w:hAnsi="Arial"/>
          <w:sz w:val="16"/>
          <w:szCs w:val="16"/>
          <w:color w:val="auto"/>
        </w:rPr>
      </w:pPr>
    </w:p>
    <w:p>
      <w:pPr>
        <w:ind w:left="620" w:hanging="307"/>
        <w:spacing w:after="0"/>
        <w:tabs>
          <w:tab w:leader="none" w:pos="6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limitations on our business imposed by FHFA, in its role as our conservator or as our regulator;</w:t>
      </w:r>
    </w:p>
    <w:p>
      <w:pPr>
        <w:spacing w:after="0" w:line="86" w:lineRule="exact"/>
        <w:rPr>
          <w:rFonts w:ascii="Arial" w:cs="Arial" w:eastAsia="Arial" w:hAnsi="Arial"/>
          <w:sz w:val="16"/>
          <w:szCs w:val="16"/>
          <w:color w:val="auto"/>
        </w:rPr>
      </w:pPr>
    </w:p>
    <w:p>
      <w:pPr>
        <w:ind w:left="620" w:right="540" w:hanging="307"/>
        <w:spacing w:after="0" w:line="300" w:lineRule="auto"/>
        <w:tabs>
          <w:tab w:leader="none" w:pos="6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our current and future objectives and activities in support of those objectives, including actions we may take to reach additional underserved borrowers or address barriers to sustainable housing opportunities and advance equity in housing finance;</w:t>
      </w:r>
    </w:p>
    <w:p>
      <w:pPr>
        <w:spacing w:after="0" w:line="17" w:lineRule="exact"/>
        <w:rPr>
          <w:rFonts w:ascii="Arial" w:cs="Arial" w:eastAsia="Arial" w:hAnsi="Arial"/>
          <w:sz w:val="16"/>
          <w:szCs w:val="16"/>
          <w:color w:val="auto"/>
        </w:rPr>
      </w:pPr>
    </w:p>
    <w:p>
      <w:pPr>
        <w:ind w:left="620" w:hanging="307"/>
        <w:spacing w:after="0"/>
        <w:tabs>
          <w:tab w:leader="none" w:pos="6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possibility that changes in leadership at FHFA or the Administration may result in changes that affect our company or our business;</w:t>
      </w:r>
    </w:p>
    <w:p>
      <w:pPr>
        <w:spacing w:after="0" w:line="86" w:lineRule="exact"/>
        <w:rPr>
          <w:rFonts w:ascii="Arial" w:cs="Arial" w:eastAsia="Arial" w:hAnsi="Arial"/>
          <w:sz w:val="16"/>
          <w:szCs w:val="16"/>
          <w:color w:val="auto"/>
        </w:rPr>
      </w:pPr>
    </w:p>
    <w:p>
      <w:pPr>
        <w:ind w:left="620" w:right="80" w:hanging="307"/>
        <w:spacing w:after="0" w:line="262" w:lineRule="auto"/>
        <w:tabs>
          <w:tab w:leader="none" w:pos="6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our reliance on Common Securitization Solutions, LLC (“CSS”), a limited liability company we own jointly with Freddie Mac, and the common securitization platform CSS operates for a majority of our single-family securitization activities; provisions in the CSS limited liability company agreement that permit FHFA to add members to the CSS Board of Managers, which may limit the ability of Fannie Mae and Freddie Mac to control decisions of the Board; and changes FHFA may require in our relationship with or in our support of CSS;</w:t>
      </w:r>
    </w:p>
    <w:p>
      <w:pPr>
        <w:spacing w:after="0" w:line="60" w:lineRule="exact"/>
        <w:rPr>
          <w:rFonts w:ascii="Arial" w:cs="Arial" w:eastAsia="Arial" w:hAnsi="Arial"/>
          <w:sz w:val="16"/>
          <w:szCs w:val="16"/>
          <w:color w:val="auto"/>
        </w:rPr>
      </w:pPr>
    </w:p>
    <w:p>
      <w:pPr>
        <w:ind w:left="620" w:hanging="307"/>
        <w:spacing w:after="0"/>
        <w:tabs>
          <w:tab w:leader="none" w:pos="6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 decrease in our credit ratings;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limitations on our ability to access the debt capital markets;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constraints on our entry into new credit risk transfer transactions;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significant changes in forbearance, modification and foreclosure activity;</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volume and pace of any future nonperforming and reperforming loan sales and their impact on our results and serious delinquency rates;</w:t>
      </w:r>
    </w:p>
    <w:p>
      <w:pPr>
        <w:spacing w:after="0" w:line="99" w:lineRule="exact"/>
        <w:rPr>
          <w:rFonts w:ascii="Arial" w:cs="Arial" w:eastAsia="Arial" w:hAnsi="Arial"/>
          <w:sz w:val="16"/>
          <w:szCs w:val="16"/>
          <w:color w:val="auto"/>
        </w:rPr>
      </w:pPr>
    </w:p>
    <w:p>
      <w:pPr>
        <w:ind w:left="620" w:hanging="307"/>
        <w:spacing w:after="0"/>
        <w:tabs>
          <w:tab w:leader="none" w:pos="6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changes in borrower behavior;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61</w:t>
            </w:r>
          </w:p>
        </w:tc>
      </w:tr>
      <w:tr>
        <w:trPr>
          <w:trHeight w:val="211"/>
        </w:trPr>
        <w:tc>
          <w:tcPr>
            <w:tcW w:w="6940" w:type="dxa"/>
            <w:vAlign w:val="bottom"/>
            <w:tcBorders>
              <w:bottom w:val="single" w:sz="8" w:color="9A9A9A"/>
            </w:tcBorders>
          </w:tcPr>
          <w:p>
            <w:pPr>
              <w:spacing w:after="0"/>
              <w:rPr>
                <w:sz w:val="18"/>
                <w:szCs w:val="18"/>
                <w:color w:val="auto"/>
              </w:rPr>
            </w:pPr>
          </w:p>
        </w:tc>
        <w:tc>
          <w:tcPr>
            <w:tcW w:w="43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64" w:name="page65"/>
    <w:bookmarkEnd w:id="64"/>
    <w:p>
      <w:pPr>
        <w:ind w:left="8860"/>
        <w:spacing w:after="0"/>
        <w:rPr>
          <w:sz w:val="20"/>
          <w:szCs w:val="20"/>
          <w:color w:val="auto"/>
        </w:rPr>
      </w:pPr>
      <w:r>
        <w:rPr>
          <w:rFonts w:ascii="Arial" w:cs="Arial" w:eastAsia="Arial" w:hAnsi="Arial"/>
          <w:sz w:val="14"/>
          <w:szCs w:val="14"/>
          <w:color w:val="05314D"/>
        </w:rPr>
        <w:t>MD&amp;A |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20" w:right="260" w:hanging="307"/>
        <w:spacing w:after="0" w:line="283" w:lineRule="auto"/>
        <w:tabs>
          <w:tab w:leader="none" w:pos="6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actions we may take to mitigate losses, and the effectiveness of our loss mitigation strategies, management of our REO inventory and pursuit of contractual remedies;</w:t>
      </w:r>
    </w:p>
    <w:p>
      <w:pPr>
        <w:spacing w:after="0" w:line="30" w:lineRule="exact"/>
        <w:rPr>
          <w:rFonts w:ascii="Arial" w:cs="Arial" w:eastAsia="Arial" w:hAnsi="Arial"/>
          <w:sz w:val="16"/>
          <w:szCs w:val="16"/>
          <w:color w:val="auto"/>
        </w:rPr>
      </w:pPr>
    </w:p>
    <w:p>
      <w:pPr>
        <w:ind w:left="620" w:hanging="307"/>
        <w:spacing w:after="0"/>
        <w:tabs>
          <w:tab w:leader="none" w:pos="6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resolution or settlement agreements we may enter into with our counterparties;</w:t>
      </w:r>
    </w:p>
    <w:p>
      <w:pPr>
        <w:spacing w:after="0" w:line="99" w:lineRule="exact"/>
        <w:rPr>
          <w:rFonts w:ascii="Arial" w:cs="Arial" w:eastAsia="Arial" w:hAnsi="Arial"/>
          <w:sz w:val="16"/>
          <w:szCs w:val="16"/>
          <w:color w:val="auto"/>
        </w:rPr>
      </w:pPr>
    </w:p>
    <w:p>
      <w:pPr>
        <w:ind w:left="620" w:hanging="307"/>
        <w:spacing w:after="0"/>
        <w:tabs>
          <w:tab w:leader="none" w:pos="6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our need to rely on third parties to fully achieve some of our corporate objectives;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our reliance on mortgage servicers;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changes in GAAP, guidance by the Financial Accounting Standards Board (“FASB”) and changes to our accounting policies;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changes in the fair value of our assets and liabilities;</w:t>
      </w:r>
    </w:p>
    <w:p>
      <w:pPr>
        <w:spacing w:after="0" w:line="86" w:lineRule="exact"/>
        <w:rPr>
          <w:rFonts w:ascii="Arial" w:cs="Arial" w:eastAsia="Arial" w:hAnsi="Arial"/>
          <w:sz w:val="16"/>
          <w:szCs w:val="16"/>
          <w:color w:val="auto"/>
        </w:rPr>
      </w:pPr>
    </w:p>
    <w:p>
      <w:pPr>
        <w:ind w:left="620" w:right="140" w:hanging="307"/>
        <w:spacing w:after="0" w:line="300" w:lineRule="auto"/>
        <w:tabs>
          <w:tab w:leader="none" w:pos="6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stability and adequacy of the systems and infrastructure that impact our operations, including ours and those of CSS, our other counterparties and other third parties;</w:t>
      </w:r>
    </w:p>
    <w:p>
      <w:pPr>
        <w:spacing w:after="0" w:line="17" w:lineRule="exact"/>
        <w:rPr>
          <w:rFonts w:ascii="Arial" w:cs="Arial" w:eastAsia="Arial" w:hAnsi="Arial"/>
          <w:sz w:val="16"/>
          <w:szCs w:val="16"/>
          <w:color w:val="auto"/>
        </w:rPr>
      </w:pPr>
    </w:p>
    <w:p>
      <w:pPr>
        <w:ind w:left="620" w:right="360" w:hanging="307"/>
        <w:spacing w:after="0" w:line="283" w:lineRule="auto"/>
        <w:tabs>
          <w:tab w:leader="none" w:pos="6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impact of interdependence between the single-family mortgage securitization programs of Fannie Mae and Freddie Mac in connection with UMBS;</w:t>
      </w:r>
    </w:p>
    <w:p>
      <w:pPr>
        <w:spacing w:after="0" w:line="30" w:lineRule="exact"/>
        <w:rPr>
          <w:rFonts w:ascii="Arial" w:cs="Arial" w:eastAsia="Arial" w:hAnsi="Arial"/>
          <w:sz w:val="16"/>
          <w:szCs w:val="16"/>
          <w:color w:val="auto"/>
        </w:rPr>
      </w:pPr>
    </w:p>
    <w:p>
      <w:pPr>
        <w:ind w:left="620" w:hanging="307"/>
        <w:spacing w:after="0"/>
        <w:tabs>
          <w:tab w:leader="none" w:pos="6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operational control weaknesses;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our reliance on models and future updates we make to our models, including the data and assumptions used by these models;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effectiveness of our risk management processes and related controls, including those relating to climate risk and model risk;</w:t>
      </w:r>
    </w:p>
    <w:p>
      <w:pPr>
        <w:spacing w:after="0" w:line="99" w:lineRule="exact"/>
        <w:rPr>
          <w:rFonts w:ascii="Arial" w:cs="Arial" w:eastAsia="Arial" w:hAnsi="Arial"/>
          <w:sz w:val="16"/>
          <w:szCs w:val="16"/>
          <w:color w:val="auto"/>
        </w:rPr>
      </w:pPr>
    </w:p>
    <w:p>
      <w:pPr>
        <w:ind w:left="620" w:hanging="307"/>
        <w:spacing w:after="0"/>
        <w:tabs>
          <w:tab w:leader="none" w:pos="6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domestic and global political risks and uncertainties, including the impact of the Russian war in Ukraine and tensions between China and Taiwan;</w:t>
      </w:r>
    </w:p>
    <w:p>
      <w:pPr>
        <w:spacing w:after="0" w:line="86" w:lineRule="exact"/>
        <w:rPr>
          <w:rFonts w:ascii="Arial" w:cs="Arial" w:eastAsia="Arial" w:hAnsi="Arial"/>
          <w:sz w:val="16"/>
          <w:szCs w:val="16"/>
          <w:color w:val="auto"/>
        </w:rPr>
      </w:pPr>
    </w:p>
    <w:p>
      <w:pPr>
        <w:ind w:left="620" w:right="720" w:hanging="307"/>
        <w:spacing w:after="0" w:line="283" w:lineRule="auto"/>
        <w:tabs>
          <w:tab w:leader="none" w:pos="6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natural disasters, environmental disasters, terrorist attacks, widespread health emergencies or pandemics, infrastructure failures, or other disruptive or catastrophic events;</w:t>
      </w:r>
    </w:p>
    <w:p>
      <w:pPr>
        <w:spacing w:after="0" w:line="30" w:lineRule="exact"/>
        <w:rPr>
          <w:rFonts w:ascii="Arial" w:cs="Arial" w:eastAsia="Arial" w:hAnsi="Arial"/>
          <w:sz w:val="16"/>
          <w:szCs w:val="16"/>
          <w:color w:val="auto"/>
        </w:rPr>
      </w:pPr>
    </w:p>
    <w:p>
      <w:pPr>
        <w:ind w:left="620" w:right="80" w:hanging="307"/>
        <w:spacing w:after="0" w:line="283" w:lineRule="auto"/>
        <w:tabs>
          <w:tab w:leader="none" w:pos="6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severe weather events, fires, floods or other climate change events or impacts, including those for which we may be uninsured or under-insured or that may affect our counterparties, and other risks resulting from climate change and efforts to address climate change and related risks;</w:t>
      </w:r>
    </w:p>
    <w:p>
      <w:pPr>
        <w:spacing w:after="0" w:line="43" w:lineRule="exact"/>
        <w:rPr>
          <w:rFonts w:ascii="Arial" w:cs="Arial" w:eastAsia="Arial" w:hAnsi="Arial"/>
          <w:sz w:val="16"/>
          <w:szCs w:val="16"/>
          <w:color w:val="auto"/>
        </w:rPr>
      </w:pPr>
    </w:p>
    <w:p>
      <w:pPr>
        <w:ind w:left="620" w:hanging="307"/>
        <w:spacing w:after="0"/>
        <w:tabs>
          <w:tab w:leader="none" w:pos="6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cyber attacks or other information security breaches or threats; and</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other factors described in “Risk Factors” in our 2022 Form 10-K.</w:t>
      </w:r>
    </w:p>
    <w:p>
      <w:pPr>
        <w:spacing w:after="0" w:line="87"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Readers are cautioned not to unduly rely on the forward-looking statements we make and to place these forward-looking statements into proper context by carefully considering the factors discussed in “Risk Factors” in our 2022 Form 10-K. These forward-looking statements are representative only as of the date they are made, and we undertake no obligation to update any forward-looking statement as a result of new information, future events or otherwise, except as required under the federal securities laws.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62</w:t>
            </w:r>
          </w:p>
        </w:tc>
      </w:tr>
      <w:tr>
        <w:trPr>
          <w:trHeight w:val="211"/>
        </w:trPr>
        <w:tc>
          <w:tcPr>
            <w:tcW w:w="6940" w:type="dxa"/>
            <w:vAlign w:val="bottom"/>
            <w:tcBorders>
              <w:bottom w:val="single" w:sz="8" w:color="9A9A9A"/>
            </w:tcBorders>
          </w:tcPr>
          <w:p>
            <w:pPr>
              <w:spacing w:after="0"/>
              <w:rPr>
                <w:sz w:val="18"/>
                <w:szCs w:val="18"/>
                <w:color w:val="auto"/>
              </w:rPr>
            </w:pPr>
          </w:p>
        </w:tc>
        <w:tc>
          <w:tcPr>
            <w:tcW w:w="43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65" w:name="page66"/>
    <w:bookmarkEnd w:id="65"/>
    <w:p>
      <w:pPr>
        <w:ind w:left="7200"/>
        <w:spacing w:after="0"/>
        <w:rPr>
          <w:sz w:val="20"/>
          <w:szCs w:val="20"/>
          <w:color w:val="auto"/>
        </w:rPr>
      </w:pPr>
      <w:r>
        <w:rPr>
          <w:rFonts w:ascii="Arial" w:cs="Arial" w:eastAsia="Arial" w:hAnsi="Arial"/>
          <w:sz w:val="14"/>
          <w:szCs w:val="14"/>
          <w:color w:val="05314D"/>
        </w:rPr>
        <w:t>Financial Statements |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Item 1. Financial Statements</w:t>
      </w:r>
    </w:p>
    <w:p>
      <w:pPr>
        <w:spacing w:after="0" w:line="119" w:lineRule="exact"/>
        <w:rPr>
          <w:sz w:val="20"/>
          <w:szCs w:val="20"/>
          <w:color w:val="auto"/>
        </w:rPr>
      </w:pPr>
    </w:p>
    <w:p>
      <w:pPr>
        <w:jc w:val="center"/>
        <w:ind w:right="100"/>
        <w:spacing w:after="0"/>
        <w:rPr>
          <w:sz w:val="20"/>
          <w:szCs w:val="20"/>
          <w:color w:val="auto"/>
        </w:rPr>
      </w:pPr>
      <w:r>
        <w:rPr>
          <w:rFonts w:ascii="Arial" w:cs="Arial" w:eastAsia="Arial" w:hAnsi="Arial"/>
          <w:sz w:val="31"/>
          <w:szCs w:val="31"/>
          <w:b w:val="1"/>
          <w:bCs w:val="1"/>
          <w:color w:val="05314D"/>
        </w:rPr>
        <w:t>FANNIE MAE</w:t>
      </w:r>
    </w:p>
    <w:p>
      <w:pPr>
        <w:spacing w:after="0" w:line="5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05314D"/>
        </w:rPr>
        <w:t>(In conservatorship)</w:t>
      </w:r>
    </w:p>
    <w:p>
      <w:pPr>
        <w:spacing w:after="0" w:line="49" w:lineRule="exact"/>
        <w:rPr>
          <w:sz w:val="20"/>
          <w:szCs w:val="20"/>
          <w:color w:val="auto"/>
        </w:rPr>
      </w:pPr>
    </w:p>
    <w:p>
      <w:pPr>
        <w:jc w:val="center"/>
        <w:ind w:right="100"/>
        <w:spacing w:after="0"/>
        <w:rPr>
          <w:sz w:val="20"/>
          <w:szCs w:val="20"/>
          <w:color w:val="auto"/>
        </w:rPr>
      </w:pPr>
      <w:r>
        <w:rPr>
          <w:rFonts w:ascii="Arial" w:cs="Arial" w:eastAsia="Arial" w:hAnsi="Arial"/>
          <w:sz w:val="27"/>
          <w:szCs w:val="27"/>
          <w:b w:val="1"/>
          <w:bCs w:val="1"/>
          <w:color w:val="05314D"/>
        </w:rPr>
        <w:t>Condensed Consolidated Balance Sheets — (Unaudited)</w:t>
      </w:r>
    </w:p>
    <w:p>
      <w:pPr>
        <w:spacing w:after="0" w:line="5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05314D"/>
        </w:rPr>
        <w:t>(Dollars in millions)</w:t>
      </w:r>
    </w:p>
    <w:p>
      <w:pPr>
        <w:spacing w:after="0" w:line="134" w:lineRule="exact"/>
        <w:rPr>
          <w:sz w:val="20"/>
          <w:szCs w:val="20"/>
          <w:color w:val="auto"/>
        </w:rPr>
      </w:pPr>
    </w:p>
    <w:tbl>
      <w:tblPr>
        <w:tblLayout w:type="fixed"/>
        <w:tblInd w:w="160" w:type="dxa"/>
        <w:tblCellMar>
          <w:top w:w="0" w:type="dxa"/>
          <w:left w:w="0" w:type="dxa"/>
          <w:bottom w:w="0" w:type="dxa"/>
          <w:right w:w="0" w:type="dxa"/>
        </w:tblCellMar>
      </w:tblPr>
      <w:tr>
        <w:trPr>
          <w:trHeight w:val="191"/>
        </w:trPr>
        <w:tc>
          <w:tcPr>
            <w:tcW w:w="8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spacing w:after="0"/>
              <w:rPr>
                <w:sz w:val="16"/>
                <w:szCs w:val="16"/>
                <w:color w:val="auto"/>
              </w:rPr>
            </w:pPr>
          </w:p>
        </w:tc>
        <w:tc>
          <w:tcPr>
            <w:tcW w:w="600" w:type="dxa"/>
            <w:vAlign w:val="bottom"/>
            <w:tcBorders>
              <w:bottom w:val="single" w:sz="8" w:color="2C6937"/>
            </w:tcBorders>
            <w:gridSpan w:val="5"/>
          </w:tcPr>
          <w:p>
            <w:pPr>
              <w:jc w:val="right"/>
              <w:ind w:right="191"/>
              <w:spacing w:after="0"/>
              <w:rPr>
                <w:sz w:val="20"/>
                <w:szCs w:val="20"/>
                <w:color w:val="auto"/>
              </w:rPr>
            </w:pPr>
            <w:r>
              <w:rPr>
                <w:rFonts w:ascii="Arial" w:cs="Arial" w:eastAsia="Arial" w:hAnsi="Arial"/>
                <w:sz w:val="14"/>
                <w:szCs w:val="14"/>
                <w:b w:val="1"/>
                <w:bCs w:val="1"/>
                <w:color w:val="auto"/>
                <w:w w:val="91"/>
              </w:rPr>
              <w:t>As of</w:t>
            </w:r>
          </w:p>
        </w:tc>
        <w:tc>
          <w:tcPr>
            <w:tcW w:w="8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289"/>
        </w:trPr>
        <w:tc>
          <w:tcPr>
            <w:tcW w:w="8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020" w:type="dxa"/>
            <w:vAlign w:val="bottom"/>
            <w:tcBorders>
              <w:bottom w:val="single" w:sz="8" w:color="2C6937"/>
            </w:tcBorders>
          </w:tcPr>
          <w:p>
            <w:pPr>
              <w:jc w:val="right"/>
              <w:ind w:right="51"/>
              <w:spacing w:after="0"/>
              <w:rPr>
                <w:sz w:val="20"/>
                <w:szCs w:val="20"/>
                <w:color w:val="auto"/>
              </w:rPr>
            </w:pPr>
            <w:r>
              <w:rPr>
                <w:rFonts w:ascii="Arial" w:cs="Arial" w:eastAsia="Arial" w:hAnsi="Arial"/>
                <w:sz w:val="14"/>
                <w:szCs w:val="14"/>
                <w:b w:val="1"/>
                <w:bCs w:val="1"/>
                <w:color w:val="auto"/>
                <w:w w:val="96"/>
              </w:rPr>
              <w:t>June 30, 2023</w:t>
            </w:r>
          </w:p>
        </w:tc>
        <w:tc>
          <w:tcPr>
            <w:tcW w:w="2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bottom w:val="single" w:sz="8" w:color="2C6937"/>
            </w:tcBorders>
            <w:gridSpan w:val="4"/>
          </w:tcPr>
          <w:p>
            <w:pPr>
              <w:ind w:left="6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82"/>
        </w:trPr>
        <w:tc>
          <w:tcPr>
            <w:tcW w:w="8360" w:type="dxa"/>
            <w:vAlign w:val="bottom"/>
            <w:gridSpan w:val="2"/>
          </w:tcPr>
          <w:p>
            <w:pPr>
              <w:ind w:left="3840"/>
              <w:spacing w:after="0"/>
              <w:rPr>
                <w:sz w:val="20"/>
                <w:szCs w:val="20"/>
                <w:color w:val="auto"/>
              </w:rPr>
            </w:pPr>
            <w:r>
              <w:rPr>
                <w:rFonts w:ascii="Arial" w:cs="Arial" w:eastAsia="Arial" w:hAnsi="Arial"/>
                <w:sz w:val="14"/>
                <w:szCs w:val="14"/>
                <w:b w:val="1"/>
                <w:bCs w:val="1"/>
                <w:color w:val="auto"/>
              </w:rPr>
              <w:t>ASSETS</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52,229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360" w:type="dxa"/>
            <w:vAlign w:val="bottom"/>
            <w:gridSpan w:val="2"/>
          </w:tcPr>
          <w:p>
            <w:pPr>
              <w:ind w:left="20"/>
              <w:spacing w:after="0"/>
              <w:rPr>
                <w:sz w:val="20"/>
                <w:szCs w:val="20"/>
                <w:color w:val="auto"/>
              </w:rPr>
            </w:pPr>
            <w:r>
              <w:rPr>
                <w:rFonts w:ascii="Arial" w:cs="Arial" w:eastAsia="Arial" w:hAnsi="Arial"/>
                <w:sz w:val="14"/>
                <w:szCs w:val="14"/>
                <w:color w:val="auto"/>
              </w:rPr>
              <w:t>Cash and cash equivalents</w:t>
            </w:r>
          </w:p>
        </w:tc>
        <w:tc>
          <w:tcPr>
            <w:tcW w:w="2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600" w:type="dxa"/>
            <w:vAlign w:val="bottom"/>
            <w:gridSpan w:val="5"/>
          </w:tcPr>
          <w:p>
            <w:pPr>
              <w:jc w:val="right"/>
              <w:ind w:right="131"/>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57,987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360" w:type="dxa"/>
            <w:vAlign w:val="bottom"/>
            <w:gridSpan w:val="2"/>
          </w:tcPr>
          <w:p>
            <w:pPr>
              <w:ind w:left="20"/>
              <w:spacing w:after="0"/>
              <w:rPr>
                <w:sz w:val="20"/>
                <w:szCs w:val="20"/>
                <w:color w:val="auto"/>
              </w:rPr>
            </w:pPr>
            <w:r>
              <w:rPr>
                <w:rFonts w:ascii="Arial" w:cs="Arial" w:eastAsia="Arial" w:hAnsi="Arial"/>
                <w:sz w:val="14"/>
                <w:szCs w:val="14"/>
                <w:color w:val="auto"/>
              </w:rPr>
              <w:t>Restricted cash and cash equivalents (includes $21,605 and $23,348, respectively, related to consolidated trusts)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27,206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29,854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360" w:type="dxa"/>
            <w:vAlign w:val="bottom"/>
            <w:gridSpan w:val="2"/>
          </w:tcPr>
          <w:p>
            <w:pPr>
              <w:ind w:left="20"/>
              <w:spacing w:after="0"/>
              <w:rPr>
                <w:sz w:val="20"/>
                <w:szCs w:val="20"/>
                <w:color w:val="auto"/>
              </w:rPr>
            </w:pPr>
            <w:r>
              <w:rPr>
                <w:rFonts w:ascii="Arial" w:cs="Arial" w:eastAsia="Arial" w:hAnsi="Arial"/>
                <w:sz w:val="14"/>
                <w:szCs w:val="14"/>
                <w:color w:val="auto"/>
              </w:rPr>
              <w:t>Securities purchased under agreements to resell (includes $10,450 and $3,475, respectively, related to consolidated trusts)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33,050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14,565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360" w:type="dxa"/>
            <w:vAlign w:val="bottom"/>
            <w:gridSpan w:val="2"/>
          </w:tcPr>
          <w:p>
            <w:pPr>
              <w:ind w:left="20"/>
              <w:spacing w:after="0"/>
              <w:rPr>
                <w:sz w:val="20"/>
                <w:szCs w:val="20"/>
                <w:color w:val="auto"/>
              </w:rPr>
            </w:pPr>
            <w:r>
              <w:rPr>
                <w:rFonts w:ascii="Arial" w:cs="Arial" w:eastAsia="Arial" w:hAnsi="Arial"/>
                <w:sz w:val="14"/>
                <w:szCs w:val="14"/>
                <w:color w:val="auto"/>
              </w:rPr>
              <w:t>Investments in securities, at fair value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51,231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50,825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360" w:type="dxa"/>
            <w:vAlign w:val="bottom"/>
            <w:gridSpan w:val="2"/>
          </w:tcPr>
          <w:p>
            <w:pPr>
              <w:ind w:left="20"/>
              <w:spacing w:after="0"/>
              <w:rPr>
                <w:sz w:val="20"/>
                <w:szCs w:val="20"/>
                <w:color w:val="auto"/>
              </w:rPr>
            </w:pPr>
            <w:r>
              <w:rPr>
                <w:rFonts w:ascii="Arial" w:cs="Arial" w:eastAsia="Arial" w:hAnsi="Arial"/>
                <w:sz w:val="14"/>
                <w:szCs w:val="14"/>
                <w:color w:val="auto"/>
              </w:rPr>
              <w:t>Mortgage loans: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360" w:type="dxa"/>
            <w:vAlign w:val="bottom"/>
            <w:gridSpan w:val="2"/>
          </w:tcPr>
          <w:p>
            <w:pPr>
              <w:ind w:left="160"/>
              <w:spacing w:after="0"/>
              <w:rPr>
                <w:sz w:val="20"/>
                <w:szCs w:val="20"/>
                <w:color w:val="auto"/>
              </w:rPr>
            </w:pPr>
            <w:r>
              <w:rPr>
                <w:rFonts w:ascii="Arial" w:cs="Arial" w:eastAsia="Arial" w:hAnsi="Arial"/>
                <w:sz w:val="14"/>
                <w:szCs w:val="14"/>
                <w:color w:val="auto"/>
              </w:rPr>
              <w:t>Loans held for sale, at lower of cost or fair value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513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2,033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8360" w:type="dxa"/>
            <w:vAlign w:val="bottom"/>
            <w:gridSpan w:val="2"/>
          </w:tcPr>
          <w:p>
            <w:pPr>
              <w:ind w:left="160"/>
              <w:spacing w:after="0"/>
              <w:rPr>
                <w:sz w:val="20"/>
                <w:szCs w:val="20"/>
                <w:color w:val="auto"/>
              </w:rPr>
            </w:pPr>
            <w:r>
              <w:rPr>
                <w:rFonts w:ascii="Arial" w:cs="Arial" w:eastAsia="Arial" w:hAnsi="Arial"/>
                <w:sz w:val="14"/>
                <w:szCs w:val="14"/>
                <w:color w:val="auto"/>
              </w:rPr>
              <w:t>Loans held for investment, at amortized cost: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60" w:type="dxa"/>
            <w:vAlign w:val="bottom"/>
            <w:gridSpan w:val="2"/>
          </w:tcPr>
          <w:p>
            <w:pPr>
              <w:ind w:left="320"/>
              <w:spacing w:after="0"/>
              <w:rPr>
                <w:sz w:val="20"/>
                <w:szCs w:val="20"/>
                <w:color w:val="auto"/>
              </w:rPr>
            </w:pPr>
            <w:r>
              <w:rPr>
                <w:rFonts w:ascii="Arial" w:cs="Arial" w:eastAsia="Arial" w:hAnsi="Arial"/>
                <w:sz w:val="14"/>
                <w:szCs w:val="14"/>
                <w:color w:val="auto"/>
              </w:rPr>
              <w:t>Of Fannie Mae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49,785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52,081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22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Of consolidated trusts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4,080,809</w:t>
            </w:r>
          </w:p>
        </w:tc>
        <w:tc>
          <w:tcPr>
            <w:tcW w:w="2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2C6937"/>
            </w:tcBorders>
          </w:tcPr>
          <w:p>
            <w:pPr>
              <w:spacing w:after="0"/>
              <w:rPr>
                <w:sz w:val="15"/>
                <w:szCs w:val="15"/>
                <w:color w:val="auto"/>
              </w:rPr>
            </w:pPr>
          </w:p>
        </w:tc>
        <w:tc>
          <w:tcPr>
            <w:tcW w:w="8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4,071,669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360" w:type="dxa"/>
            <w:vAlign w:val="bottom"/>
            <w:gridSpan w:val="2"/>
          </w:tcPr>
          <w:p>
            <w:pPr>
              <w:ind w:left="320"/>
              <w:spacing w:after="0"/>
              <w:rPr>
                <w:sz w:val="20"/>
                <w:szCs w:val="20"/>
                <w:color w:val="auto"/>
              </w:rPr>
            </w:pPr>
            <w:r>
              <w:rPr>
                <w:rFonts w:ascii="Arial" w:cs="Arial" w:eastAsia="Arial" w:hAnsi="Arial"/>
                <w:sz w:val="14"/>
                <w:szCs w:val="14"/>
                <w:color w:val="auto"/>
              </w:rPr>
              <w:t>Total loans held for investment (includes $3,433 and $3,645, respectively, at fair value)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4,130,594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4,123,750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22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Allowance for loan losses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(9,982)</w:t>
            </w:r>
          </w:p>
        </w:tc>
        <w:tc>
          <w:tcPr>
            <w:tcW w:w="2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(11,347)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220" w:type="dxa"/>
            <w:vAlign w:val="bottom"/>
            <w:tcBorders>
              <w:bottom w:val="single" w:sz="8" w:color="2C6937"/>
            </w:tcBorders>
          </w:tcPr>
          <w:p>
            <w:pPr>
              <w:ind w:left="480"/>
              <w:spacing w:after="0"/>
              <w:rPr>
                <w:sz w:val="20"/>
                <w:szCs w:val="20"/>
                <w:color w:val="auto"/>
              </w:rPr>
            </w:pPr>
            <w:r>
              <w:rPr>
                <w:rFonts w:ascii="Arial" w:cs="Arial" w:eastAsia="Arial" w:hAnsi="Arial"/>
                <w:sz w:val="14"/>
                <w:szCs w:val="14"/>
                <w:color w:val="auto"/>
              </w:rPr>
              <w:t>Total loans held for investment, net of allowance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4,120,612</w:t>
            </w:r>
          </w:p>
        </w:tc>
        <w:tc>
          <w:tcPr>
            <w:tcW w:w="2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2C6937"/>
            </w:tcBorders>
          </w:tcPr>
          <w:p>
            <w:pPr>
              <w:spacing w:after="0"/>
              <w:rPr>
                <w:sz w:val="15"/>
                <w:szCs w:val="15"/>
                <w:color w:val="auto"/>
              </w:rPr>
            </w:pPr>
          </w:p>
        </w:tc>
        <w:tc>
          <w:tcPr>
            <w:tcW w:w="8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4,112,403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360" w:type="dxa"/>
            <w:vAlign w:val="bottom"/>
            <w:gridSpan w:val="2"/>
          </w:tcPr>
          <w:p>
            <w:pPr>
              <w:ind w:left="640"/>
              <w:spacing w:after="0"/>
              <w:rPr>
                <w:sz w:val="20"/>
                <w:szCs w:val="20"/>
                <w:color w:val="auto"/>
              </w:rPr>
            </w:pPr>
            <w:r>
              <w:rPr>
                <w:rFonts w:ascii="Arial" w:cs="Arial" w:eastAsia="Arial" w:hAnsi="Arial"/>
                <w:sz w:val="14"/>
                <w:szCs w:val="14"/>
                <w:color w:val="auto"/>
              </w:rPr>
              <w:t>Total mortgage loans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4,121,125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4,114,436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360" w:type="dxa"/>
            <w:vAlign w:val="bottom"/>
            <w:gridSpan w:val="2"/>
          </w:tcPr>
          <w:p>
            <w:pPr>
              <w:ind w:left="20"/>
              <w:spacing w:after="0"/>
              <w:rPr>
                <w:sz w:val="20"/>
                <w:szCs w:val="20"/>
                <w:color w:val="auto"/>
              </w:rPr>
            </w:pPr>
            <w:r>
              <w:rPr>
                <w:rFonts w:ascii="Arial" w:cs="Arial" w:eastAsia="Arial" w:hAnsi="Arial"/>
                <w:sz w:val="14"/>
                <w:szCs w:val="14"/>
                <w:color w:val="auto"/>
              </w:rPr>
              <w:t>Advances to lenders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3,483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1,502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360" w:type="dxa"/>
            <w:vAlign w:val="bottom"/>
            <w:gridSpan w:val="2"/>
          </w:tcPr>
          <w:p>
            <w:pPr>
              <w:ind w:left="20"/>
              <w:spacing w:after="0"/>
              <w:rPr>
                <w:sz w:val="20"/>
                <w:szCs w:val="20"/>
                <w:color w:val="auto"/>
              </w:rPr>
            </w:pPr>
            <w:r>
              <w:rPr>
                <w:rFonts w:ascii="Arial" w:cs="Arial" w:eastAsia="Arial" w:hAnsi="Arial"/>
                <w:sz w:val="14"/>
                <w:szCs w:val="14"/>
                <w:color w:val="auto"/>
              </w:rPr>
              <w:t>Deferred tax assets, net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11,990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12,911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8360" w:type="dxa"/>
            <w:vAlign w:val="bottom"/>
            <w:gridSpan w:val="2"/>
          </w:tcPr>
          <w:p>
            <w:pPr>
              <w:ind w:left="20"/>
              <w:spacing w:after="0"/>
              <w:rPr>
                <w:sz w:val="20"/>
                <w:szCs w:val="20"/>
                <w:color w:val="auto"/>
              </w:rPr>
            </w:pPr>
            <w:r>
              <w:rPr>
                <w:rFonts w:ascii="Arial" w:cs="Arial" w:eastAsia="Arial" w:hAnsi="Arial"/>
                <w:sz w:val="14"/>
                <w:szCs w:val="14"/>
                <w:color w:val="auto"/>
              </w:rPr>
              <w:t>Accrued interest receivable, net (includes $9,442 and $9,241 related to consolidated trusts and net of allowance of $49 and $111,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8360" w:type="dxa"/>
            <w:vAlign w:val="bottom"/>
            <w:gridSpan w:val="2"/>
          </w:tcPr>
          <w:p>
            <w:pPr>
              <w:ind w:left="160"/>
              <w:spacing w:after="0"/>
              <w:rPr>
                <w:sz w:val="20"/>
                <w:szCs w:val="20"/>
                <w:color w:val="auto"/>
              </w:rPr>
            </w:pPr>
            <w:r>
              <w:rPr>
                <w:rFonts w:ascii="Arial" w:cs="Arial" w:eastAsia="Arial" w:hAnsi="Arial"/>
                <w:sz w:val="14"/>
                <w:szCs w:val="14"/>
                <w:color w:val="auto"/>
              </w:rPr>
              <w:t>respectively)</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9,930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9,821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22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Other assets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13,466</w:t>
            </w:r>
          </w:p>
        </w:tc>
        <w:tc>
          <w:tcPr>
            <w:tcW w:w="2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13,387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220" w:type="dxa"/>
            <w:vAlign w:val="bottom"/>
            <w:tcBorders>
              <w:bottom w:val="single" w:sz="8" w:color="2C6937"/>
            </w:tcBorders>
          </w:tcPr>
          <w:p>
            <w:pPr>
              <w:ind w:left="160"/>
              <w:spacing w:after="0"/>
              <w:rPr>
                <w:sz w:val="20"/>
                <w:szCs w:val="20"/>
                <w:color w:val="auto"/>
              </w:rPr>
            </w:pPr>
            <w:r>
              <w:rPr>
                <w:rFonts w:ascii="Arial" w:cs="Arial" w:eastAsia="Arial" w:hAnsi="Arial"/>
                <w:sz w:val="14"/>
                <w:szCs w:val="14"/>
                <w:color w:val="auto"/>
              </w:rPr>
              <w:t>Total assets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4,323,710</w:t>
            </w:r>
          </w:p>
        </w:tc>
        <w:tc>
          <w:tcPr>
            <w:tcW w:w="20" w:type="dxa"/>
            <w:vAlign w:val="bottom"/>
            <w:tcBorders>
              <w:bottom w:val="single" w:sz="8" w:color="2C6937"/>
            </w:tcBorders>
          </w:tcPr>
          <w:p>
            <w:pPr>
              <w:spacing w:after="0"/>
              <w:rPr>
                <w:sz w:val="15"/>
                <w:szCs w:val="15"/>
                <w:color w:val="auto"/>
              </w:rPr>
            </w:pPr>
          </w:p>
        </w:tc>
        <w:tc>
          <w:tcPr>
            <w:tcW w:w="300" w:type="dxa"/>
            <w:vAlign w:val="bottom"/>
            <w:gridSpan w:val="3"/>
          </w:tcPr>
          <w:p>
            <w:pPr>
              <w:spacing w:after="0"/>
              <w:rPr>
                <w:sz w:val="15"/>
                <w:szCs w:val="15"/>
                <w:color w:val="auto"/>
              </w:rPr>
            </w:pPr>
          </w:p>
        </w:tc>
        <w:tc>
          <w:tcPr>
            <w:tcW w:w="280" w:type="dxa"/>
            <w:vAlign w:val="bottom"/>
            <w:tcBorders>
              <w:bottom w:val="single" w:sz="8" w:color="2C6937"/>
            </w:tcBorders>
          </w:tcPr>
          <w:p>
            <w:pPr>
              <w:jc w:val="right"/>
              <w:ind w:right="13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4,305,288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20" w:type="dxa"/>
            <w:vAlign w:val="bottom"/>
            <w:tcBorders>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02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8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60" w:type="dxa"/>
            <w:vAlign w:val="bottom"/>
            <w:gridSpan w:val="2"/>
          </w:tcPr>
          <w:p>
            <w:pPr>
              <w:ind w:left="3280"/>
              <w:spacing w:after="0"/>
              <w:rPr>
                <w:sz w:val="20"/>
                <w:szCs w:val="20"/>
                <w:color w:val="auto"/>
              </w:rPr>
            </w:pPr>
            <w:r>
              <w:rPr>
                <w:rFonts w:ascii="Arial" w:cs="Arial" w:eastAsia="Arial" w:hAnsi="Arial"/>
                <w:sz w:val="14"/>
                <w:szCs w:val="14"/>
                <w:b w:val="1"/>
                <w:bCs w:val="1"/>
                <w:color w:val="auto"/>
              </w:rPr>
              <w:t>LIABILITIES AND EQUITY</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36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360" w:type="dxa"/>
            <w:vAlign w:val="bottom"/>
            <w:gridSpan w:val="2"/>
          </w:tcPr>
          <w:p>
            <w:pPr>
              <w:ind w:left="160"/>
              <w:spacing w:after="0"/>
              <w:rPr>
                <w:sz w:val="20"/>
                <w:szCs w:val="20"/>
                <w:color w:val="auto"/>
              </w:rPr>
            </w:pPr>
            <w:r>
              <w:rPr>
                <w:rFonts w:ascii="Arial" w:cs="Arial" w:eastAsia="Arial" w:hAnsi="Arial"/>
                <w:sz w:val="14"/>
                <w:szCs w:val="14"/>
                <w:color w:val="auto"/>
              </w:rPr>
              <w:t>Accrued interest payable (includes $9,721 and $9,347, respectively, related to consolidated trusts)</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10,413</w:t>
            </w:r>
          </w:p>
        </w:tc>
        <w:tc>
          <w:tcPr>
            <w:tcW w:w="600" w:type="dxa"/>
            <w:vAlign w:val="bottom"/>
            <w:gridSpan w:val="5"/>
          </w:tcPr>
          <w:p>
            <w:pPr>
              <w:jc w:val="right"/>
              <w:ind w:right="131"/>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9,917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8360" w:type="dxa"/>
            <w:vAlign w:val="bottom"/>
            <w:gridSpan w:val="2"/>
          </w:tcPr>
          <w:p>
            <w:pPr>
              <w:ind w:left="160"/>
              <w:spacing w:after="0"/>
              <w:rPr>
                <w:sz w:val="20"/>
                <w:szCs w:val="20"/>
                <w:color w:val="auto"/>
              </w:rPr>
            </w:pPr>
            <w:r>
              <w:rPr>
                <w:rFonts w:ascii="Arial" w:cs="Arial" w:eastAsia="Arial" w:hAnsi="Arial"/>
                <w:sz w:val="14"/>
                <w:szCs w:val="14"/>
                <w:color w:val="auto"/>
              </w:rPr>
              <w:t>Debt: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60" w:type="dxa"/>
            <w:vAlign w:val="bottom"/>
            <w:gridSpan w:val="2"/>
          </w:tcPr>
          <w:p>
            <w:pPr>
              <w:ind w:left="320"/>
              <w:spacing w:after="0"/>
              <w:rPr>
                <w:sz w:val="20"/>
                <w:szCs w:val="20"/>
                <w:color w:val="auto"/>
              </w:rPr>
            </w:pPr>
            <w:r>
              <w:rPr>
                <w:rFonts w:ascii="Arial" w:cs="Arial" w:eastAsia="Arial" w:hAnsi="Arial"/>
                <w:sz w:val="14"/>
                <w:szCs w:val="14"/>
                <w:color w:val="auto"/>
              </w:rPr>
              <w:t>Of Fannie Mae (includes $884 and $1,161, respectively, at fair value)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137,696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134,168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360" w:type="dxa"/>
            <w:vAlign w:val="bottom"/>
            <w:gridSpan w:val="2"/>
          </w:tcPr>
          <w:p>
            <w:pPr>
              <w:ind w:left="320"/>
              <w:spacing w:after="0"/>
              <w:rPr>
                <w:sz w:val="20"/>
                <w:szCs w:val="20"/>
                <w:color w:val="auto"/>
              </w:rPr>
            </w:pPr>
            <w:r>
              <w:rPr>
                <w:rFonts w:ascii="Arial" w:cs="Arial" w:eastAsia="Arial" w:hAnsi="Arial"/>
                <w:sz w:val="14"/>
                <w:szCs w:val="14"/>
                <w:color w:val="auto"/>
              </w:rPr>
              <w:t>Of consolidated trusts (includes $15,172 and $16,260, respectively, at fair value)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4,094,654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4,087,720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220" w:type="dxa"/>
            <w:vAlign w:val="bottom"/>
            <w:tcBorders>
              <w:bottom w:val="single" w:sz="8" w:color="2C6937"/>
            </w:tcBorders>
          </w:tcPr>
          <w:p>
            <w:pPr>
              <w:ind w:left="160"/>
              <w:spacing w:after="0"/>
              <w:rPr>
                <w:sz w:val="20"/>
                <w:szCs w:val="20"/>
                <w:color w:val="auto"/>
              </w:rPr>
            </w:pPr>
            <w:r>
              <w:rPr>
                <w:rFonts w:ascii="Arial" w:cs="Arial" w:eastAsia="Arial" w:hAnsi="Arial"/>
                <w:sz w:val="14"/>
                <w:szCs w:val="14"/>
                <w:color w:val="auto"/>
              </w:rPr>
              <w:t>Other liabilities (includes $1,699 and $1,748, respectively, related to consolidated trusts)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11,903</w:t>
            </w:r>
          </w:p>
        </w:tc>
        <w:tc>
          <w:tcPr>
            <w:tcW w:w="2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13,206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20" w:type="dxa"/>
            <w:vAlign w:val="bottom"/>
            <w:tcBorders>
              <w:bottom w:val="single" w:sz="8" w:color="2C6937"/>
            </w:tcBorders>
          </w:tcPr>
          <w:p>
            <w:pPr>
              <w:ind w:left="160"/>
              <w:spacing w:after="0"/>
              <w:rPr>
                <w:sz w:val="20"/>
                <w:szCs w:val="20"/>
                <w:color w:val="auto"/>
              </w:rPr>
            </w:pPr>
            <w:r>
              <w:rPr>
                <w:rFonts w:ascii="Arial" w:cs="Arial" w:eastAsia="Arial" w:hAnsi="Arial"/>
                <w:sz w:val="14"/>
                <w:szCs w:val="14"/>
                <w:color w:val="auto"/>
              </w:rPr>
              <w:t>Total liabilities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4,254,666</w:t>
            </w:r>
          </w:p>
        </w:tc>
        <w:tc>
          <w:tcPr>
            <w:tcW w:w="2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4,245,011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360" w:type="dxa"/>
            <w:vAlign w:val="bottom"/>
            <w:gridSpan w:val="2"/>
          </w:tcPr>
          <w:p>
            <w:pPr>
              <w:ind w:left="20"/>
              <w:spacing w:after="0"/>
              <w:rPr>
                <w:sz w:val="20"/>
                <w:szCs w:val="20"/>
                <w:color w:val="auto"/>
              </w:rPr>
            </w:pPr>
            <w:r>
              <w:rPr>
                <w:rFonts w:ascii="Arial" w:cs="Arial" w:eastAsia="Arial" w:hAnsi="Arial"/>
                <w:sz w:val="14"/>
                <w:szCs w:val="14"/>
                <w:color w:val="auto"/>
              </w:rPr>
              <w:t>Commitments and contingencies (Note 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8360" w:type="dxa"/>
            <w:vAlign w:val="bottom"/>
            <w:gridSpan w:val="2"/>
          </w:tcPr>
          <w:p>
            <w:pPr>
              <w:ind w:left="20"/>
              <w:spacing w:after="0"/>
              <w:rPr>
                <w:sz w:val="20"/>
                <w:szCs w:val="20"/>
                <w:color w:val="auto"/>
              </w:rPr>
            </w:pPr>
            <w:r>
              <w:rPr>
                <w:rFonts w:ascii="Arial" w:cs="Arial" w:eastAsia="Arial" w:hAnsi="Arial"/>
                <w:sz w:val="14"/>
                <w:szCs w:val="14"/>
                <w:color w:val="auto"/>
              </w:rPr>
              <w:t>Fannie Mae stockholders’ equity:</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60" w:type="dxa"/>
            <w:vAlign w:val="bottom"/>
            <w:gridSpan w:val="2"/>
          </w:tcPr>
          <w:p>
            <w:pPr>
              <w:ind w:left="160"/>
              <w:spacing w:after="0"/>
              <w:rPr>
                <w:sz w:val="20"/>
                <w:szCs w:val="20"/>
                <w:color w:val="auto"/>
              </w:rPr>
            </w:pPr>
            <w:r>
              <w:rPr>
                <w:rFonts w:ascii="Arial" w:cs="Arial" w:eastAsia="Arial" w:hAnsi="Arial"/>
                <w:sz w:val="14"/>
                <w:szCs w:val="14"/>
                <w:color w:val="auto"/>
              </w:rPr>
              <w:t>Senior preferred stock (liquidation preference of $185,548 and $180,339, respectively)</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120,836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120,836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360" w:type="dxa"/>
            <w:vAlign w:val="bottom"/>
            <w:gridSpan w:val="2"/>
          </w:tcPr>
          <w:p>
            <w:pPr>
              <w:ind w:left="160"/>
              <w:spacing w:after="0"/>
              <w:rPr>
                <w:sz w:val="20"/>
                <w:szCs w:val="20"/>
                <w:color w:val="auto"/>
              </w:rPr>
            </w:pPr>
            <w:r>
              <w:rPr>
                <w:rFonts w:ascii="Arial" w:cs="Arial" w:eastAsia="Arial" w:hAnsi="Arial"/>
                <w:sz w:val="14"/>
                <w:szCs w:val="14"/>
                <w:color w:val="auto"/>
              </w:rPr>
              <w:t>Preferred stock, 700,000,000 shares are authorized—555,374,922 shares issued and outstanding</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19,130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19,130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360" w:type="dxa"/>
            <w:vAlign w:val="bottom"/>
            <w:gridSpan w:val="2"/>
          </w:tcPr>
          <w:p>
            <w:pPr>
              <w:ind w:left="160"/>
              <w:spacing w:after="0"/>
              <w:rPr>
                <w:sz w:val="20"/>
                <w:szCs w:val="20"/>
                <w:color w:val="auto"/>
              </w:rPr>
            </w:pPr>
            <w:r>
              <w:rPr>
                <w:rFonts w:ascii="Arial" w:cs="Arial" w:eastAsia="Arial" w:hAnsi="Arial"/>
                <w:sz w:val="14"/>
                <w:szCs w:val="14"/>
                <w:color w:val="auto"/>
              </w:rPr>
              <w:t>Common stock, no par value, no maximum authorization—1,308,762,703 shares issued and 1,158,087,567 shares outstanding</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687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687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360" w:type="dxa"/>
            <w:vAlign w:val="bottom"/>
            <w:gridSpan w:val="2"/>
          </w:tcPr>
          <w:p>
            <w:pPr>
              <w:ind w:left="160"/>
              <w:spacing w:after="0"/>
              <w:rPr>
                <w:sz w:val="20"/>
                <w:szCs w:val="20"/>
                <w:color w:val="auto"/>
              </w:rPr>
            </w:pPr>
            <w:r>
              <w:rPr>
                <w:rFonts w:ascii="Arial" w:cs="Arial" w:eastAsia="Arial" w:hAnsi="Arial"/>
                <w:sz w:val="14"/>
                <w:szCs w:val="14"/>
                <w:color w:val="auto"/>
              </w:rPr>
              <w:t>Accumulated deficit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(64,245)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(73,011)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360" w:type="dxa"/>
            <w:vAlign w:val="bottom"/>
            <w:gridSpan w:val="2"/>
          </w:tcPr>
          <w:p>
            <w:pPr>
              <w:ind w:left="160"/>
              <w:spacing w:after="0"/>
              <w:rPr>
                <w:sz w:val="20"/>
                <w:szCs w:val="20"/>
                <w:color w:val="auto"/>
              </w:rPr>
            </w:pPr>
            <w:r>
              <w:rPr>
                <w:rFonts w:ascii="Arial" w:cs="Arial" w:eastAsia="Arial" w:hAnsi="Arial"/>
                <w:sz w:val="14"/>
                <w:szCs w:val="14"/>
                <w:color w:val="auto"/>
              </w:rPr>
              <w:t>Accumulated other comprehensive income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220" w:type="dxa"/>
            <w:vAlign w:val="bottom"/>
            <w:tcBorders>
              <w:bottom w:val="single" w:sz="8" w:color="2C6937"/>
            </w:tcBorders>
          </w:tcPr>
          <w:p>
            <w:pPr>
              <w:ind w:left="160"/>
              <w:spacing w:after="0"/>
              <w:rPr>
                <w:sz w:val="20"/>
                <w:szCs w:val="20"/>
                <w:color w:val="auto"/>
              </w:rPr>
            </w:pPr>
            <w:r>
              <w:rPr>
                <w:rFonts w:ascii="Arial" w:cs="Arial" w:eastAsia="Arial" w:hAnsi="Arial"/>
                <w:sz w:val="14"/>
                <w:szCs w:val="14"/>
                <w:color w:val="auto"/>
              </w:rPr>
              <w:t>Treasury stock, at cost, 150,675,136 shares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(7,400)</w:t>
            </w:r>
          </w:p>
        </w:tc>
        <w:tc>
          <w:tcPr>
            <w:tcW w:w="2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(7,400)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360" w:type="dxa"/>
            <w:vAlign w:val="bottom"/>
            <w:gridSpan w:val="2"/>
          </w:tcPr>
          <w:p>
            <w:pPr>
              <w:ind w:left="20"/>
              <w:spacing w:after="0"/>
              <w:rPr>
                <w:sz w:val="20"/>
                <w:szCs w:val="20"/>
                <w:color w:val="auto"/>
              </w:rPr>
            </w:pPr>
            <w:r>
              <w:rPr>
                <w:rFonts w:ascii="Arial" w:cs="Arial" w:eastAsia="Arial" w:hAnsi="Arial"/>
                <w:sz w:val="14"/>
                <w:szCs w:val="14"/>
                <w:color w:val="auto"/>
              </w:rPr>
              <w:t>Total stockholders’ equity (See Note 1: Senior Preferred Stock Purchase Agreement and Senior Preferred Stock for information on the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220" w:type="dxa"/>
            <w:vAlign w:val="bottom"/>
            <w:tcBorders>
              <w:bottom w:val="single" w:sz="8" w:color="2C6937"/>
            </w:tcBorders>
          </w:tcPr>
          <w:p>
            <w:pPr>
              <w:ind w:left="160"/>
              <w:spacing w:after="0"/>
              <w:rPr>
                <w:sz w:val="20"/>
                <w:szCs w:val="20"/>
                <w:color w:val="auto"/>
              </w:rPr>
            </w:pPr>
            <w:r>
              <w:rPr>
                <w:rFonts w:ascii="Arial" w:cs="Arial" w:eastAsia="Arial" w:hAnsi="Arial"/>
                <w:sz w:val="14"/>
                <w:szCs w:val="14"/>
                <w:color w:val="auto"/>
              </w:rPr>
              <w:t>related dividend obligation and liquidation preference)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69,044</w:t>
            </w:r>
          </w:p>
        </w:tc>
        <w:tc>
          <w:tcPr>
            <w:tcW w:w="2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60,277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8360" w:type="dxa"/>
            <w:vAlign w:val="bottom"/>
            <w:gridSpan w:val="2"/>
          </w:tcPr>
          <w:p>
            <w:pPr>
              <w:ind w:left="160"/>
              <w:spacing w:after="0"/>
              <w:rPr>
                <w:sz w:val="20"/>
                <w:szCs w:val="20"/>
                <w:color w:val="auto"/>
              </w:rPr>
            </w:pPr>
            <w:r>
              <w:rPr>
                <w:rFonts w:ascii="Arial" w:cs="Arial" w:eastAsia="Arial" w:hAnsi="Arial"/>
                <w:sz w:val="14"/>
                <w:szCs w:val="14"/>
                <w:color w:val="auto"/>
              </w:rPr>
              <w:t>Total liabilities and equity</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4,323,710</w:t>
            </w:r>
          </w:p>
        </w:tc>
        <w:tc>
          <w:tcPr>
            <w:tcW w:w="600" w:type="dxa"/>
            <w:vAlign w:val="bottom"/>
            <w:gridSpan w:val="5"/>
          </w:tcPr>
          <w:p>
            <w:pPr>
              <w:jc w:val="right"/>
              <w:ind w:right="131"/>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4,305,288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393700</wp:posOffset>
            </wp:positionV>
            <wp:extent cx="681101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164070" cy="419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250" w:right="239" w:bottom="1440" w:gutter="0" w:footer="0" w:header="0"/>
        </w:sectPr>
      </w:pPr>
    </w:p>
    <w:bookmarkStart w:id="66" w:name="page67"/>
    <w:bookmarkEnd w:id="66"/>
    <w:p>
      <w:pPr>
        <w:ind w:left="4820"/>
        <w:spacing w:after="0"/>
        <w:rPr>
          <w:sz w:val="20"/>
          <w:szCs w:val="20"/>
          <w:color w:val="auto"/>
        </w:rPr>
      </w:pPr>
      <w:r>
        <w:rPr>
          <w:rFonts w:ascii="Arial" w:cs="Arial" w:eastAsia="Arial" w:hAnsi="Arial"/>
          <w:sz w:val="13"/>
          <w:szCs w:val="13"/>
          <w:color w:val="05314D"/>
        </w:rPr>
        <w:t>Financial Statements | Condensed Consolidated Statements of Operations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22860</wp:posOffset>
            </wp:positionV>
            <wp:extent cx="70237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31"/>
          <w:szCs w:val="31"/>
          <w:b w:val="1"/>
          <w:bCs w:val="1"/>
          <w:color w:val="05314D"/>
        </w:rPr>
        <w:t>FANNIE MAE</w:t>
      </w:r>
    </w:p>
    <w:p>
      <w:pPr>
        <w:spacing w:after="0" w:line="5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001543"/>
        </w:rPr>
        <w:t>(In conservatorship)</w:t>
      </w:r>
    </w:p>
    <w:p>
      <w:pPr>
        <w:spacing w:after="0" w:line="49"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05314D"/>
        </w:rPr>
        <w:t>Condensed Consolidated Statements of Operations and Comprehensive Income — (Unaudited)</w:t>
      </w:r>
    </w:p>
    <w:p>
      <w:pPr>
        <w:spacing w:after="0" w:line="8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001543"/>
        </w:rPr>
        <w:t>(Dollars and shares in millions, except per share amounts)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4"/>
          </w:tcPr>
          <w:p>
            <w:pPr>
              <w:jc w:val="right"/>
              <w:ind w:right="31"/>
              <w:spacing w:after="0"/>
              <w:rPr>
                <w:sz w:val="20"/>
                <w:szCs w:val="20"/>
                <w:color w:val="auto"/>
              </w:rPr>
            </w:pPr>
            <w:r>
              <w:rPr>
                <w:rFonts w:ascii="Arial" w:cs="Arial" w:eastAsia="Arial" w:hAnsi="Arial"/>
                <w:sz w:val="14"/>
                <w:szCs w:val="14"/>
                <w:b w:val="1"/>
                <w:bCs w:val="1"/>
                <w:color w:val="auto"/>
                <w:w w:val="96"/>
              </w:rPr>
              <w:t>For the Three Months Ended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4"/>
          </w:tcPr>
          <w:p>
            <w:pPr>
              <w:jc w:val="right"/>
              <w:ind w:right="111"/>
              <w:spacing w:after="0"/>
              <w:rPr>
                <w:sz w:val="20"/>
                <w:szCs w:val="20"/>
                <w:color w:val="auto"/>
              </w:rPr>
            </w:pPr>
            <w:r>
              <w:rPr>
                <w:rFonts w:ascii="Arial" w:cs="Arial" w:eastAsia="Arial" w:hAnsi="Arial"/>
                <w:sz w:val="14"/>
                <w:szCs w:val="14"/>
                <w:b w:val="1"/>
                <w:bCs w:val="1"/>
                <w:color w:val="auto"/>
                <w:w w:val="99"/>
              </w:rPr>
              <w:t>For the Six Months Ended</w:t>
            </w:r>
          </w:p>
        </w:tc>
      </w:tr>
      <w:tr>
        <w:trPr>
          <w:trHeight w:val="191"/>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280" w:type="dxa"/>
            <w:vAlign w:val="bottom"/>
            <w:tcBorders>
              <w:bottom w:val="single" w:sz="8" w:color="2C6937"/>
            </w:tcBorders>
            <w:gridSpan w:val="3"/>
          </w:tcPr>
          <w:p>
            <w:pPr>
              <w:jc w:val="right"/>
              <w:ind w:right="11"/>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2C6937"/>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240" w:type="dxa"/>
            <w:vAlign w:val="bottom"/>
            <w:tcBorders>
              <w:bottom w:val="single" w:sz="8" w:color="2C6937"/>
            </w:tcBorders>
            <w:gridSpan w:val="3"/>
          </w:tcPr>
          <w:p>
            <w:pPr>
              <w:jc w:val="right"/>
              <w:ind w:right="11"/>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2C6937"/>
            </w:tcBorders>
          </w:tcPr>
          <w:p>
            <w:pPr>
              <w:spacing w:after="0"/>
              <w:rPr>
                <w:sz w:val="16"/>
                <w:szCs w:val="16"/>
                <w:color w:val="auto"/>
              </w:rPr>
            </w:pPr>
          </w:p>
        </w:tc>
      </w:tr>
      <w:tr>
        <w:trPr>
          <w:trHeight w:val="174"/>
        </w:trPr>
        <w:tc>
          <w:tcPr>
            <w:tcW w:w="6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780" w:type="dxa"/>
            <w:vAlign w:val="bottom"/>
            <w:tcBorders>
              <w:bottom w:val="single" w:sz="8" w:color="2C6937"/>
            </w:tcBorders>
          </w:tcPr>
          <w:p>
            <w:pPr>
              <w:jc w:val="right"/>
              <w:ind w:right="211"/>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220" w:type="dxa"/>
            <w:vAlign w:val="bottom"/>
            <w:tcBorders>
              <w:bottom w:val="single" w:sz="8" w:color="2C6937"/>
            </w:tcBorders>
          </w:tcPr>
          <w:p>
            <w:pPr>
              <w:spacing w:after="0"/>
              <w:rPr>
                <w:sz w:val="15"/>
                <w:szCs w:val="15"/>
                <w:color w:val="auto"/>
              </w:rPr>
            </w:pPr>
          </w:p>
        </w:tc>
        <w:tc>
          <w:tcPr>
            <w:tcW w:w="680" w:type="dxa"/>
            <w:vAlign w:val="bottom"/>
            <w:tcBorders>
              <w:bottom w:val="single" w:sz="8" w:color="2C6937"/>
            </w:tcBorders>
          </w:tcPr>
          <w:p>
            <w:pPr>
              <w:jc w:val="right"/>
              <w:ind w:right="23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760" w:type="dxa"/>
            <w:vAlign w:val="bottom"/>
            <w:tcBorders>
              <w:bottom w:val="single" w:sz="8" w:color="2C6937"/>
            </w:tcBorders>
          </w:tcPr>
          <w:p>
            <w:pPr>
              <w:jc w:val="right"/>
              <w:ind w:right="231"/>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680" w:type="dxa"/>
            <w:vAlign w:val="bottom"/>
            <w:tcBorders>
              <w:bottom w:val="single" w:sz="8" w:color="2C6937"/>
            </w:tcBorders>
          </w:tcPr>
          <w:p>
            <w:pPr>
              <w:jc w:val="right"/>
              <w:ind w:right="231"/>
              <w:spacing w:after="0"/>
              <w:rPr>
                <w:sz w:val="20"/>
                <w:szCs w:val="20"/>
                <w:color w:val="auto"/>
              </w:rPr>
            </w:pPr>
            <w:r>
              <w:rPr>
                <w:rFonts w:ascii="Arial" w:cs="Arial" w:eastAsia="Arial" w:hAnsi="Arial"/>
                <w:sz w:val="14"/>
                <w:szCs w:val="14"/>
                <w:b w:val="1"/>
                <w:bCs w:val="1"/>
                <w:color w:val="auto"/>
              </w:rPr>
              <w:t>2022</w:t>
            </w:r>
          </w:p>
        </w:tc>
      </w:tr>
      <w:tr>
        <w:trPr>
          <w:trHeight w:val="175"/>
        </w:trPr>
        <w:tc>
          <w:tcPr>
            <w:tcW w:w="6820" w:type="dxa"/>
            <w:vAlign w:val="bottom"/>
            <w:gridSpan w:val="2"/>
          </w:tcPr>
          <w:p>
            <w:pPr>
              <w:spacing w:after="0"/>
              <w:rPr>
                <w:sz w:val="20"/>
                <w:szCs w:val="20"/>
                <w:color w:val="auto"/>
              </w:rPr>
            </w:pPr>
            <w:r>
              <w:rPr>
                <w:rFonts w:ascii="Arial" w:cs="Arial" w:eastAsia="Arial" w:hAnsi="Arial"/>
                <w:sz w:val="14"/>
                <w:szCs w:val="14"/>
                <w:color w:val="auto"/>
              </w:rPr>
              <w:t>Interest income:</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93"/>
        </w:trPr>
        <w:tc>
          <w:tcPr>
            <w:tcW w:w="6820" w:type="dxa"/>
            <w:vAlign w:val="bottom"/>
            <w:gridSpan w:val="2"/>
          </w:tcPr>
          <w:p>
            <w:pPr>
              <w:ind w:left="160"/>
              <w:spacing w:after="0"/>
              <w:rPr>
                <w:sz w:val="20"/>
                <w:szCs w:val="20"/>
                <w:color w:val="auto"/>
              </w:rPr>
            </w:pPr>
            <w:r>
              <w:rPr>
                <w:rFonts w:ascii="Arial" w:cs="Arial" w:eastAsia="Arial" w:hAnsi="Arial"/>
                <w:sz w:val="14"/>
                <w:szCs w:val="14"/>
                <w:color w:val="auto"/>
              </w:rPr>
              <w:t>Investments in securities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1,101</w:t>
            </w:r>
          </w:p>
        </w:tc>
        <w:tc>
          <w:tcPr>
            <w:tcW w:w="50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318</w:t>
            </w: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11"/>
              <w:spacing w:after="0"/>
              <w:rPr>
                <w:sz w:val="20"/>
                <w:szCs w:val="20"/>
                <w:color w:val="auto"/>
              </w:rPr>
            </w:pPr>
            <w:r>
              <w:rPr>
                <w:rFonts w:ascii="Arial" w:cs="Arial" w:eastAsia="Arial" w:hAnsi="Arial"/>
                <w:sz w:val="14"/>
                <w:szCs w:val="14"/>
                <w:b w:val="1"/>
                <w:bCs w:val="1"/>
                <w:color w:val="auto"/>
              </w:rPr>
              <w:t>2,082</w:t>
            </w:r>
          </w:p>
        </w:tc>
        <w:tc>
          <w:tcPr>
            <w:tcW w:w="48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484</w:t>
            </w:r>
          </w:p>
        </w:tc>
      </w:tr>
      <w:tr>
        <w:trPr>
          <w:trHeight w:val="190"/>
        </w:trPr>
        <w:tc>
          <w:tcPr>
            <w:tcW w:w="6820" w:type="dxa"/>
            <w:vAlign w:val="bottom"/>
            <w:gridSpan w:val="2"/>
          </w:tcPr>
          <w:p>
            <w:pPr>
              <w:ind w:left="160"/>
              <w:spacing w:after="0"/>
              <w:rPr>
                <w:sz w:val="20"/>
                <w:szCs w:val="20"/>
                <w:color w:val="auto"/>
              </w:rPr>
            </w:pPr>
            <w:r>
              <w:rPr>
                <w:rFonts w:ascii="Arial" w:cs="Arial" w:eastAsia="Arial" w:hAnsi="Arial"/>
                <w:sz w:val="14"/>
                <w:szCs w:val="14"/>
                <w:color w:val="auto"/>
              </w:rPr>
              <w:t>Mortgage loans</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32,655</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29,082</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b w:val="1"/>
                <w:bCs w:val="1"/>
                <w:color w:val="auto"/>
              </w:rPr>
              <w:t>64,792</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56,224</w:t>
            </w:r>
          </w:p>
        </w:tc>
      </w:tr>
      <w:tr>
        <w:trPr>
          <w:trHeight w:val="182"/>
        </w:trPr>
        <w:tc>
          <w:tcPr>
            <w:tcW w:w="6720" w:type="dxa"/>
            <w:vAlign w:val="bottom"/>
            <w:tcBorders>
              <w:bottom w:val="single" w:sz="8" w:color="2C6937"/>
            </w:tcBorders>
          </w:tcPr>
          <w:p>
            <w:pPr>
              <w:ind w:left="160"/>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584</w:t>
            </w:r>
          </w:p>
        </w:tc>
        <w:tc>
          <w:tcPr>
            <w:tcW w:w="280" w:type="dxa"/>
            <w:vAlign w:val="bottom"/>
          </w:tcPr>
          <w:p>
            <w:pPr>
              <w:spacing w:after="0"/>
              <w:rPr>
                <w:sz w:val="15"/>
                <w:szCs w:val="15"/>
                <w:color w:val="auto"/>
              </w:rPr>
            </w:pPr>
          </w:p>
        </w:tc>
        <w:tc>
          <w:tcPr>
            <w:tcW w:w="220" w:type="dxa"/>
            <w:vAlign w:val="bottom"/>
            <w:tcBorders>
              <w:bottom w:val="single" w:sz="8" w:color="2C6937"/>
            </w:tcBorders>
          </w:tcPr>
          <w:p>
            <w:pPr>
              <w:spacing w:after="0"/>
              <w:rPr>
                <w:sz w:val="15"/>
                <w:szCs w:val="15"/>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55</w:t>
            </w:r>
          </w:p>
        </w:tc>
        <w:tc>
          <w:tcPr>
            <w:tcW w:w="28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7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1,036</w:t>
            </w:r>
          </w:p>
        </w:tc>
        <w:tc>
          <w:tcPr>
            <w:tcW w:w="28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87</w:t>
            </w:r>
          </w:p>
        </w:tc>
      </w:tr>
      <w:tr>
        <w:trPr>
          <w:trHeight w:val="185"/>
        </w:trPr>
        <w:tc>
          <w:tcPr>
            <w:tcW w:w="672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interest income</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34,340</w:t>
            </w:r>
          </w:p>
        </w:tc>
        <w:tc>
          <w:tcPr>
            <w:tcW w:w="28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29,455</w:t>
            </w:r>
          </w:p>
        </w:tc>
        <w:tc>
          <w:tcPr>
            <w:tcW w:w="28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67,910</w:t>
            </w:r>
          </w:p>
        </w:tc>
        <w:tc>
          <w:tcPr>
            <w:tcW w:w="28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56,795</w:t>
            </w:r>
          </w:p>
        </w:tc>
      </w:tr>
      <w:tr>
        <w:trPr>
          <w:trHeight w:val="175"/>
        </w:trPr>
        <w:tc>
          <w:tcPr>
            <w:tcW w:w="682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93"/>
        </w:trPr>
        <w:tc>
          <w:tcPr>
            <w:tcW w:w="6820" w:type="dxa"/>
            <w:vAlign w:val="bottom"/>
            <w:gridSpan w:val="2"/>
          </w:tcPr>
          <w:p>
            <w:pPr>
              <w:ind w:left="160"/>
              <w:spacing w:after="0"/>
              <w:rPr>
                <w:sz w:val="20"/>
                <w:szCs w:val="20"/>
                <w:color w:val="auto"/>
              </w:rPr>
            </w:pPr>
            <w:r>
              <w:rPr>
                <w:rFonts w:ascii="Arial" w:cs="Arial" w:eastAsia="Arial" w:hAnsi="Arial"/>
                <w:sz w:val="14"/>
                <w:szCs w:val="14"/>
                <w:color w:val="auto"/>
              </w:rPr>
              <w:t>Short-term debt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(183)</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(302)</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91"/>
        </w:trPr>
        <w:tc>
          <w:tcPr>
            <w:tcW w:w="6720" w:type="dxa"/>
            <w:vAlign w:val="bottom"/>
            <w:tcBorders>
              <w:bottom w:val="single" w:sz="8" w:color="2C6937"/>
            </w:tcBorders>
          </w:tcPr>
          <w:p>
            <w:pPr>
              <w:ind w:left="160"/>
              <w:spacing w:after="0"/>
              <w:rPr>
                <w:sz w:val="20"/>
                <w:szCs w:val="20"/>
                <w:color w:val="auto"/>
              </w:rPr>
            </w:pPr>
            <w:r>
              <w:rPr>
                <w:rFonts w:ascii="Arial" w:cs="Arial" w:eastAsia="Arial" w:hAnsi="Arial"/>
                <w:sz w:val="14"/>
                <w:szCs w:val="14"/>
                <w:color w:val="auto"/>
              </w:rPr>
              <w:t>Long-term debt</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(27,122)</w:t>
            </w:r>
          </w:p>
        </w:tc>
        <w:tc>
          <w:tcPr>
            <w:tcW w:w="28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(21,642)</w:t>
            </w:r>
          </w:p>
        </w:tc>
        <w:tc>
          <w:tcPr>
            <w:tcW w:w="28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(53,787)</w:t>
            </w:r>
          </w:p>
        </w:tc>
        <w:tc>
          <w:tcPr>
            <w:tcW w:w="28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(41,582)</w:t>
            </w:r>
          </w:p>
        </w:tc>
      </w:tr>
      <w:tr>
        <w:trPr>
          <w:trHeight w:val="186"/>
        </w:trPr>
        <w:tc>
          <w:tcPr>
            <w:tcW w:w="672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interest expense</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(27,305)</w:t>
            </w:r>
          </w:p>
        </w:tc>
        <w:tc>
          <w:tcPr>
            <w:tcW w:w="28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(21,647)</w:t>
            </w:r>
          </w:p>
        </w:tc>
        <w:tc>
          <w:tcPr>
            <w:tcW w:w="28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(54,089)</w:t>
            </w:r>
          </w:p>
        </w:tc>
        <w:tc>
          <w:tcPr>
            <w:tcW w:w="28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(41,588)</w:t>
            </w:r>
          </w:p>
        </w:tc>
      </w:tr>
      <w:tr>
        <w:trPr>
          <w:trHeight w:val="176"/>
        </w:trPr>
        <w:tc>
          <w:tcPr>
            <w:tcW w:w="6820" w:type="dxa"/>
            <w:vAlign w:val="bottom"/>
            <w:gridSpan w:val="2"/>
          </w:tcPr>
          <w:p>
            <w:pPr>
              <w:spacing w:after="0"/>
              <w:rPr>
                <w:sz w:val="20"/>
                <w:szCs w:val="20"/>
                <w:color w:val="auto"/>
              </w:rPr>
            </w:pPr>
            <w:r>
              <w:rPr>
                <w:rFonts w:ascii="Arial" w:cs="Arial" w:eastAsia="Arial" w:hAnsi="Arial"/>
                <w:sz w:val="14"/>
                <w:szCs w:val="14"/>
                <w:color w:val="auto"/>
              </w:rPr>
              <w:t>Net interest income</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7,035</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7,808</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b w:val="1"/>
                <w:bCs w:val="1"/>
                <w:color w:val="auto"/>
              </w:rPr>
              <w:t>13,821</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15,207</w:t>
            </w:r>
          </w:p>
        </w:tc>
      </w:tr>
      <w:tr>
        <w:trPr>
          <w:trHeight w:val="191"/>
        </w:trPr>
        <w:tc>
          <w:tcPr>
            <w:tcW w:w="6720" w:type="dxa"/>
            <w:vAlign w:val="bottom"/>
            <w:tcBorders>
              <w:bottom w:val="single" w:sz="8" w:color="2C6937"/>
            </w:tcBorders>
          </w:tcPr>
          <w:p>
            <w:pPr>
              <w:spacing w:after="0"/>
              <w:rPr>
                <w:sz w:val="20"/>
                <w:szCs w:val="20"/>
                <w:color w:val="auto"/>
              </w:rPr>
            </w:pPr>
            <w:r>
              <w:rPr>
                <w:rFonts w:ascii="Arial" w:cs="Arial" w:eastAsia="Arial" w:hAnsi="Arial"/>
                <w:sz w:val="14"/>
                <w:szCs w:val="14"/>
                <w:color w:val="auto"/>
              </w:rPr>
              <w:t>Benefit (provision) for credit losses</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1,266</w:t>
            </w:r>
          </w:p>
        </w:tc>
        <w:tc>
          <w:tcPr>
            <w:tcW w:w="28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(218)</w:t>
            </w:r>
          </w:p>
        </w:tc>
        <w:tc>
          <w:tcPr>
            <w:tcW w:w="28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1,134</w:t>
            </w:r>
          </w:p>
        </w:tc>
        <w:tc>
          <w:tcPr>
            <w:tcW w:w="28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(458)</w:t>
            </w:r>
          </w:p>
        </w:tc>
      </w:tr>
      <w:tr>
        <w:trPr>
          <w:trHeight w:val="186"/>
        </w:trPr>
        <w:tc>
          <w:tcPr>
            <w:tcW w:w="672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Net interest income after benefit (provision) for credit losses</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8,301</w:t>
            </w:r>
          </w:p>
        </w:tc>
        <w:tc>
          <w:tcPr>
            <w:tcW w:w="28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7,590</w:t>
            </w:r>
          </w:p>
        </w:tc>
        <w:tc>
          <w:tcPr>
            <w:tcW w:w="28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14,955</w:t>
            </w:r>
          </w:p>
        </w:tc>
        <w:tc>
          <w:tcPr>
            <w:tcW w:w="28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14,749</w:t>
            </w:r>
          </w:p>
        </w:tc>
      </w:tr>
      <w:tr>
        <w:trPr>
          <w:trHeight w:val="176"/>
        </w:trPr>
        <w:tc>
          <w:tcPr>
            <w:tcW w:w="6820" w:type="dxa"/>
            <w:vAlign w:val="bottom"/>
            <w:gridSpan w:val="2"/>
          </w:tcPr>
          <w:p>
            <w:pPr>
              <w:spacing w:after="0"/>
              <w:rPr>
                <w:sz w:val="20"/>
                <w:szCs w:val="20"/>
                <w:color w:val="auto"/>
              </w:rPr>
            </w:pPr>
            <w:r>
              <w:rPr>
                <w:rFonts w:ascii="Arial" w:cs="Arial" w:eastAsia="Arial" w:hAnsi="Arial"/>
                <w:sz w:val="14"/>
                <w:szCs w:val="14"/>
                <w:color w:val="auto"/>
              </w:rPr>
              <w:t>Investment gains (losses), net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(49)</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(151)</w:t>
            </w:r>
          </w:p>
        </w:tc>
      </w:tr>
      <w:tr>
        <w:trPr>
          <w:trHeight w:val="190"/>
        </w:trPr>
        <w:tc>
          <w:tcPr>
            <w:tcW w:w="6820" w:type="dxa"/>
            <w:vAlign w:val="bottom"/>
            <w:gridSpan w:val="2"/>
          </w:tcPr>
          <w:p>
            <w:pPr>
              <w:spacing w:after="0"/>
              <w:rPr>
                <w:sz w:val="20"/>
                <w:szCs w:val="20"/>
                <w:color w:val="auto"/>
              </w:rPr>
            </w:pPr>
            <w:r>
              <w:rPr>
                <w:rFonts w:ascii="Arial" w:cs="Arial" w:eastAsia="Arial" w:hAnsi="Arial"/>
                <w:sz w:val="14"/>
                <w:szCs w:val="14"/>
                <w:color w:val="auto"/>
              </w:rPr>
              <w:t>Fair value gains, net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404</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529</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b w:val="1"/>
                <w:bCs w:val="1"/>
                <w:color w:val="auto"/>
              </w:rPr>
              <w:t>608</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1,009</w:t>
            </w:r>
          </w:p>
        </w:tc>
      </w:tr>
      <w:tr>
        <w:trPr>
          <w:trHeight w:val="194"/>
        </w:trPr>
        <w:tc>
          <w:tcPr>
            <w:tcW w:w="672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Fee and other income</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70</w:t>
            </w:r>
          </w:p>
        </w:tc>
        <w:tc>
          <w:tcPr>
            <w:tcW w:w="28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81</w:t>
            </w:r>
          </w:p>
        </w:tc>
        <w:tc>
          <w:tcPr>
            <w:tcW w:w="28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133</w:t>
            </w:r>
          </w:p>
        </w:tc>
        <w:tc>
          <w:tcPr>
            <w:tcW w:w="28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164</w:t>
            </w:r>
          </w:p>
        </w:tc>
      </w:tr>
      <w:tr>
        <w:trPr>
          <w:trHeight w:val="174"/>
        </w:trPr>
        <w:tc>
          <w:tcPr>
            <w:tcW w:w="672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Non-interest income</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499</w:t>
            </w:r>
          </w:p>
        </w:tc>
        <w:tc>
          <w:tcPr>
            <w:tcW w:w="280" w:type="dxa"/>
            <w:vAlign w:val="bottom"/>
          </w:tcPr>
          <w:p>
            <w:pPr>
              <w:spacing w:after="0"/>
              <w:rPr>
                <w:sz w:val="15"/>
                <w:szCs w:val="15"/>
                <w:color w:val="auto"/>
              </w:rPr>
            </w:pPr>
          </w:p>
        </w:tc>
        <w:tc>
          <w:tcPr>
            <w:tcW w:w="220" w:type="dxa"/>
            <w:vAlign w:val="bottom"/>
            <w:tcBorders>
              <w:bottom w:val="single" w:sz="8" w:color="2C6937"/>
            </w:tcBorders>
          </w:tcPr>
          <w:p>
            <w:pPr>
              <w:spacing w:after="0"/>
              <w:rPr>
                <w:sz w:val="15"/>
                <w:szCs w:val="15"/>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561</w:t>
            </w:r>
          </w:p>
        </w:tc>
        <w:tc>
          <w:tcPr>
            <w:tcW w:w="28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7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699</w:t>
            </w:r>
          </w:p>
        </w:tc>
        <w:tc>
          <w:tcPr>
            <w:tcW w:w="28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1,022</w:t>
            </w:r>
          </w:p>
        </w:tc>
      </w:tr>
      <w:tr>
        <w:trPr>
          <w:trHeight w:val="175"/>
        </w:trPr>
        <w:tc>
          <w:tcPr>
            <w:tcW w:w="6820" w:type="dxa"/>
            <w:vAlign w:val="bottom"/>
            <w:gridSpan w:val="2"/>
          </w:tcPr>
          <w:p>
            <w:pPr>
              <w:spacing w:after="0"/>
              <w:rPr>
                <w:sz w:val="20"/>
                <w:szCs w:val="20"/>
                <w:color w:val="auto"/>
              </w:rPr>
            </w:pPr>
            <w:r>
              <w:rPr>
                <w:rFonts w:ascii="Arial" w:cs="Arial" w:eastAsia="Arial" w:hAnsi="Arial"/>
                <w:sz w:val="14"/>
                <w:szCs w:val="14"/>
                <w:color w:val="auto"/>
              </w:rPr>
              <w:t>Administrative expenses:</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03"/>
        </w:trPr>
        <w:tc>
          <w:tcPr>
            <w:tcW w:w="6820" w:type="dxa"/>
            <w:vAlign w:val="bottom"/>
            <w:gridSpan w:val="2"/>
          </w:tcPr>
          <w:p>
            <w:pPr>
              <w:ind w:left="160"/>
              <w:spacing w:after="0"/>
              <w:rPr>
                <w:sz w:val="20"/>
                <w:szCs w:val="20"/>
                <w:color w:val="auto"/>
              </w:rPr>
            </w:pPr>
            <w:r>
              <w:rPr>
                <w:rFonts w:ascii="Arial" w:cs="Arial" w:eastAsia="Arial" w:hAnsi="Arial"/>
                <w:sz w:val="14"/>
                <w:szCs w:val="14"/>
                <w:color w:val="auto"/>
              </w:rPr>
              <w:t>Salaries and employee benefits</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(467)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(398)</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(947)</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(805)</w:t>
            </w:r>
          </w:p>
        </w:tc>
      </w:tr>
      <w:tr>
        <w:trPr>
          <w:trHeight w:val="183"/>
        </w:trPr>
        <w:tc>
          <w:tcPr>
            <w:tcW w:w="6820" w:type="dxa"/>
            <w:vAlign w:val="bottom"/>
            <w:gridSpan w:val="2"/>
          </w:tcPr>
          <w:p>
            <w:pPr>
              <w:ind w:left="160"/>
              <w:spacing w:after="0"/>
              <w:rPr>
                <w:sz w:val="20"/>
                <w:szCs w:val="20"/>
                <w:color w:val="auto"/>
              </w:rPr>
            </w:pPr>
            <w:r>
              <w:rPr>
                <w:rFonts w:ascii="Arial" w:cs="Arial" w:eastAsia="Arial" w:hAnsi="Arial"/>
                <w:sz w:val="14"/>
                <w:szCs w:val="14"/>
                <w:color w:val="auto"/>
              </w:rPr>
              <w:t>Professional services</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(192)</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(198)</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(376)</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(407)</w:t>
            </w:r>
          </w:p>
        </w:tc>
      </w:tr>
      <w:tr>
        <w:trPr>
          <w:trHeight w:val="191"/>
        </w:trPr>
        <w:tc>
          <w:tcPr>
            <w:tcW w:w="6720" w:type="dxa"/>
            <w:vAlign w:val="bottom"/>
            <w:tcBorders>
              <w:bottom w:val="single" w:sz="8" w:color="2C6937"/>
            </w:tcBorders>
          </w:tcPr>
          <w:p>
            <w:pPr>
              <w:ind w:left="160"/>
              <w:spacing w:after="0"/>
              <w:rPr>
                <w:sz w:val="20"/>
                <w:szCs w:val="20"/>
                <w:color w:val="auto"/>
              </w:rPr>
            </w:pPr>
            <w:r>
              <w:rPr>
                <w:rFonts w:ascii="Arial" w:cs="Arial" w:eastAsia="Arial" w:hAnsi="Arial"/>
                <w:sz w:val="14"/>
                <w:szCs w:val="14"/>
                <w:color w:val="auto"/>
              </w:rPr>
              <w:t>Other administrative expenses</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(205)</w:t>
            </w:r>
          </w:p>
        </w:tc>
        <w:tc>
          <w:tcPr>
            <w:tcW w:w="28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(199)</w:t>
            </w:r>
          </w:p>
        </w:tc>
        <w:tc>
          <w:tcPr>
            <w:tcW w:w="28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(409)</w:t>
            </w:r>
          </w:p>
        </w:tc>
        <w:tc>
          <w:tcPr>
            <w:tcW w:w="28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(391)</w:t>
            </w:r>
          </w:p>
        </w:tc>
      </w:tr>
      <w:tr>
        <w:trPr>
          <w:trHeight w:val="186"/>
        </w:trPr>
        <w:tc>
          <w:tcPr>
            <w:tcW w:w="672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administrative expenses</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(864)</w:t>
            </w:r>
          </w:p>
        </w:tc>
        <w:tc>
          <w:tcPr>
            <w:tcW w:w="28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(795)</w:t>
            </w:r>
          </w:p>
        </w:tc>
        <w:tc>
          <w:tcPr>
            <w:tcW w:w="28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(1,732)</w:t>
            </w:r>
          </w:p>
        </w:tc>
        <w:tc>
          <w:tcPr>
            <w:tcW w:w="28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(1,603)</w:t>
            </w:r>
          </w:p>
        </w:tc>
      </w:tr>
      <w:tr>
        <w:trPr>
          <w:trHeight w:val="176"/>
        </w:trPr>
        <w:tc>
          <w:tcPr>
            <w:tcW w:w="6820" w:type="dxa"/>
            <w:vAlign w:val="bottom"/>
            <w:gridSpan w:val="2"/>
          </w:tcPr>
          <w:p>
            <w:pPr>
              <w:spacing w:after="0"/>
              <w:rPr>
                <w:sz w:val="20"/>
                <w:szCs w:val="20"/>
                <w:color w:val="auto"/>
              </w:rPr>
            </w:pPr>
            <w:r>
              <w:rPr>
                <w:rFonts w:ascii="Arial" w:cs="Arial" w:eastAsia="Arial" w:hAnsi="Arial"/>
                <w:sz w:val="14"/>
                <w:szCs w:val="14"/>
                <w:color w:val="auto"/>
              </w:rPr>
              <w:t>TCCA fees</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(856)</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(841)</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(1,711)</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(1,665)</w:t>
            </w:r>
          </w:p>
        </w:tc>
      </w:tr>
      <w:tr>
        <w:trPr>
          <w:trHeight w:val="190"/>
        </w:trPr>
        <w:tc>
          <w:tcPr>
            <w:tcW w:w="6820" w:type="dxa"/>
            <w:vAlign w:val="bottom"/>
            <w:gridSpan w:val="2"/>
          </w:tcPr>
          <w:p>
            <w:pPr>
              <w:spacing w:after="0"/>
              <w:rPr>
                <w:sz w:val="20"/>
                <w:szCs w:val="20"/>
                <w:color w:val="auto"/>
              </w:rPr>
            </w:pPr>
            <w:r>
              <w:rPr>
                <w:rFonts w:ascii="Arial" w:cs="Arial" w:eastAsia="Arial" w:hAnsi="Arial"/>
                <w:sz w:val="14"/>
                <w:szCs w:val="14"/>
                <w:color w:val="auto"/>
              </w:rPr>
              <w:t>Credit enhancement expense</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(384)</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(332)</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(725)</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(610)</w:t>
            </w:r>
          </w:p>
        </w:tc>
      </w:tr>
      <w:tr>
        <w:trPr>
          <w:trHeight w:val="193"/>
        </w:trPr>
        <w:tc>
          <w:tcPr>
            <w:tcW w:w="6820" w:type="dxa"/>
            <w:vAlign w:val="bottom"/>
            <w:gridSpan w:val="2"/>
          </w:tcPr>
          <w:p>
            <w:pPr>
              <w:spacing w:after="0"/>
              <w:rPr>
                <w:sz w:val="20"/>
                <w:szCs w:val="20"/>
                <w:color w:val="auto"/>
              </w:rPr>
            </w:pPr>
            <w:r>
              <w:rPr>
                <w:rFonts w:ascii="Arial" w:cs="Arial" w:eastAsia="Arial" w:hAnsi="Arial"/>
                <w:sz w:val="14"/>
                <w:szCs w:val="14"/>
                <w:color w:val="auto"/>
              </w:rPr>
              <w:t>Change in expected credit enhancement recoveries</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(160)</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(47)</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(40)</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182"/>
        </w:trPr>
        <w:tc>
          <w:tcPr>
            <w:tcW w:w="6720" w:type="dxa"/>
            <w:vAlign w:val="bottom"/>
            <w:tcBorders>
              <w:bottom w:val="single" w:sz="8" w:color="2C6937"/>
            </w:tcBorders>
          </w:tcPr>
          <w:p>
            <w:pPr>
              <w:spacing w:after="0"/>
              <w:rPr>
                <w:sz w:val="20"/>
                <w:szCs w:val="20"/>
                <w:color w:val="auto"/>
              </w:rPr>
            </w:pPr>
            <w:r>
              <w:rPr>
                <w:rFonts w:ascii="Arial" w:cs="Arial" w:eastAsia="Arial" w:hAnsi="Arial"/>
                <w:sz w:val="14"/>
                <w:szCs w:val="14"/>
                <w:color w:val="auto"/>
              </w:rPr>
              <w:t>Other expenses, net</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(257)</w:t>
            </w:r>
          </w:p>
        </w:tc>
        <w:tc>
          <w:tcPr>
            <w:tcW w:w="280" w:type="dxa"/>
            <w:vAlign w:val="bottom"/>
          </w:tcPr>
          <w:p>
            <w:pPr>
              <w:spacing w:after="0"/>
              <w:rPr>
                <w:sz w:val="15"/>
                <w:szCs w:val="15"/>
                <w:color w:val="auto"/>
              </w:rPr>
            </w:pPr>
          </w:p>
        </w:tc>
        <w:tc>
          <w:tcPr>
            <w:tcW w:w="220" w:type="dxa"/>
            <w:vAlign w:val="bottom"/>
            <w:tcBorders>
              <w:bottom w:val="single" w:sz="8" w:color="2C6937"/>
            </w:tcBorders>
          </w:tcPr>
          <w:p>
            <w:pPr>
              <w:spacing w:after="0"/>
              <w:rPr>
                <w:sz w:val="15"/>
                <w:szCs w:val="15"/>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(261)</w:t>
            </w:r>
          </w:p>
        </w:tc>
        <w:tc>
          <w:tcPr>
            <w:tcW w:w="28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(387)</w:t>
            </w:r>
          </w:p>
        </w:tc>
        <w:tc>
          <w:tcPr>
            <w:tcW w:w="28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(458)</w:t>
            </w:r>
          </w:p>
        </w:tc>
      </w:tr>
      <w:tr>
        <w:trPr>
          <w:trHeight w:val="185"/>
        </w:trPr>
        <w:tc>
          <w:tcPr>
            <w:tcW w:w="672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expenses</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(2,521)</w:t>
            </w:r>
          </w:p>
        </w:tc>
        <w:tc>
          <w:tcPr>
            <w:tcW w:w="28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(2,276)</w:t>
            </w:r>
          </w:p>
        </w:tc>
        <w:tc>
          <w:tcPr>
            <w:tcW w:w="28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(4,595)</w:t>
            </w:r>
          </w:p>
        </w:tc>
        <w:tc>
          <w:tcPr>
            <w:tcW w:w="28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(4,323)</w:t>
            </w:r>
          </w:p>
        </w:tc>
      </w:tr>
      <w:tr>
        <w:trPr>
          <w:trHeight w:val="185"/>
        </w:trPr>
        <w:tc>
          <w:tcPr>
            <w:tcW w:w="6820" w:type="dxa"/>
            <w:vAlign w:val="bottom"/>
            <w:gridSpan w:val="2"/>
          </w:tcPr>
          <w:p>
            <w:pPr>
              <w:spacing w:after="0"/>
              <w:rPr>
                <w:sz w:val="20"/>
                <w:szCs w:val="20"/>
                <w:color w:val="auto"/>
              </w:rPr>
            </w:pPr>
            <w:r>
              <w:rPr>
                <w:rFonts w:ascii="Arial" w:cs="Arial" w:eastAsia="Arial" w:hAnsi="Arial"/>
                <w:sz w:val="14"/>
                <w:szCs w:val="14"/>
                <w:color w:val="auto"/>
              </w:rPr>
              <w:t>Income before federal income taxes</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6,279</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5,875</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b w:val="1"/>
                <w:bCs w:val="1"/>
                <w:color w:val="auto"/>
              </w:rPr>
              <w:t>11,059</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11,448</w:t>
            </w:r>
          </w:p>
        </w:tc>
      </w:tr>
      <w:tr>
        <w:trPr>
          <w:trHeight w:val="182"/>
        </w:trPr>
        <w:tc>
          <w:tcPr>
            <w:tcW w:w="6720" w:type="dxa"/>
            <w:vAlign w:val="bottom"/>
            <w:tcBorders>
              <w:bottom w:val="single" w:sz="8" w:color="2C6937"/>
            </w:tcBorders>
          </w:tcPr>
          <w:p>
            <w:pPr>
              <w:spacing w:after="0"/>
              <w:rPr>
                <w:sz w:val="20"/>
                <w:szCs w:val="20"/>
                <w:color w:val="auto"/>
              </w:rPr>
            </w:pPr>
            <w:r>
              <w:rPr>
                <w:rFonts w:ascii="Arial" w:cs="Arial" w:eastAsia="Arial" w:hAnsi="Arial"/>
                <w:sz w:val="14"/>
                <w:szCs w:val="14"/>
                <w:color w:val="auto"/>
              </w:rPr>
              <w:t>Provision for federal income taxes</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(1,285)</w:t>
            </w:r>
          </w:p>
        </w:tc>
        <w:tc>
          <w:tcPr>
            <w:tcW w:w="280" w:type="dxa"/>
            <w:vAlign w:val="bottom"/>
          </w:tcPr>
          <w:p>
            <w:pPr>
              <w:spacing w:after="0"/>
              <w:rPr>
                <w:sz w:val="15"/>
                <w:szCs w:val="15"/>
                <w:color w:val="auto"/>
              </w:rPr>
            </w:pPr>
          </w:p>
        </w:tc>
        <w:tc>
          <w:tcPr>
            <w:tcW w:w="220" w:type="dxa"/>
            <w:vAlign w:val="bottom"/>
            <w:tcBorders>
              <w:bottom w:val="single" w:sz="8" w:color="2C6937"/>
            </w:tcBorders>
          </w:tcPr>
          <w:p>
            <w:pPr>
              <w:spacing w:after="0"/>
              <w:rPr>
                <w:sz w:val="15"/>
                <w:szCs w:val="15"/>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(1,222)</w:t>
            </w:r>
          </w:p>
        </w:tc>
        <w:tc>
          <w:tcPr>
            <w:tcW w:w="28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(2,293)</w:t>
            </w:r>
          </w:p>
        </w:tc>
        <w:tc>
          <w:tcPr>
            <w:tcW w:w="28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(2,387)</w:t>
            </w:r>
          </w:p>
        </w:tc>
      </w:tr>
      <w:tr>
        <w:trPr>
          <w:trHeight w:val="185"/>
        </w:trPr>
        <w:tc>
          <w:tcPr>
            <w:tcW w:w="682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4,994</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4,653</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b w:val="1"/>
                <w:bCs w:val="1"/>
                <w:color w:val="auto"/>
              </w:rPr>
              <w:t>8,766</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9,061</w:t>
            </w:r>
          </w:p>
        </w:tc>
      </w:tr>
      <w:tr>
        <w:trPr>
          <w:trHeight w:val="194"/>
        </w:trPr>
        <w:tc>
          <w:tcPr>
            <w:tcW w:w="6720" w:type="dxa"/>
            <w:vAlign w:val="bottom"/>
            <w:tcBorders>
              <w:bottom w:val="single" w:sz="8" w:color="2C6937"/>
            </w:tcBorders>
          </w:tcPr>
          <w:p>
            <w:pPr>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w:t>
            </w:r>
          </w:p>
        </w:tc>
        <w:tc>
          <w:tcPr>
            <w:tcW w:w="28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w:t>
            </w:r>
          </w:p>
        </w:tc>
        <w:tc>
          <w:tcPr>
            <w:tcW w:w="28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w:t>
            </w:r>
          </w:p>
        </w:tc>
        <w:tc>
          <w:tcPr>
            <w:tcW w:w="28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w:t>
            </w:r>
          </w:p>
        </w:tc>
      </w:tr>
      <w:tr>
        <w:trPr>
          <w:trHeight w:val="174"/>
        </w:trPr>
        <w:tc>
          <w:tcPr>
            <w:tcW w:w="6720" w:type="dxa"/>
            <w:vAlign w:val="bottom"/>
            <w:tcBorders>
              <w:bottom w:val="single" w:sz="8" w:color="2C6937"/>
            </w:tcBorders>
          </w:tcPr>
          <w:p>
            <w:pPr>
              <w:spacing w:after="0"/>
              <w:rPr>
                <w:sz w:val="20"/>
                <w:szCs w:val="20"/>
                <w:color w:val="auto"/>
              </w:rPr>
            </w:pPr>
            <w:r>
              <w:rPr>
                <w:rFonts w:ascii="Arial" w:cs="Arial" w:eastAsia="Arial" w:hAnsi="Arial"/>
                <w:sz w:val="14"/>
                <w:szCs w:val="14"/>
                <w:color w:val="auto"/>
              </w:rPr>
              <w:t>Total comprehensive income</w:t>
            </w:r>
          </w:p>
        </w:tc>
        <w:tc>
          <w:tcPr>
            <w:tcW w:w="100" w:type="dxa"/>
            <w:vAlign w:val="bottom"/>
          </w:tcPr>
          <w:p>
            <w:pPr>
              <w:spacing w:after="0"/>
              <w:rPr>
                <w:sz w:val="15"/>
                <w:szCs w:val="15"/>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4,995</w:t>
            </w:r>
          </w:p>
        </w:tc>
        <w:tc>
          <w:tcPr>
            <w:tcW w:w="280" w:type="dxa"/>
            <w:vAlign w:val="bottom"/>
          </w:tcPr>
          <w:p>
            <w:pPr>
              <w:spacing w:after="0"/>
              <w:rPr>
                <w:sz w:val="15"/>
                <w:szCs w:val="15"/>
                <w:color w:val="auto"/>
              </w:rPr>
            </w:pPr>
          </w:p>
        </w:tc>
        <w:tc>
          <w:tcPr>
            <w:tcW w:w="220" w:type="dxa"/>
            <w:vAlign w:val="bottom"/>
            <w:tcBorders>
              <w:bottom w:val="single" w:sz="8" w:color="2C6937"/>
            </w:tcBorders>
          </w:tcPr>
          <w:p>
            <w:pPr>
              <w:jc w:val="right"/>
              <w:ind w:right="51"/>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4,649</w:t>
            </w:r>
          </w:p>
        </w:tc>
        <w:tc>
          <w:tcPr>
            <w:tcW w:w="280" w:type="dxa"/>
            <w:vAlign w:val="bottom"/>
          </w:tcPr>
          <w:p>
            <w:pPr>
              <w:spacing w:after="0"/>
              <w:rPr>
                <w:sz w:val="15"/>
                <w:szCs w:val="15"/>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8,767</w:t>
            </w:r>
          </w:p>
        </w:tc>
        <w:tc>
          <w:tcPr>
            <w:tcW w:w="280" w:type="dxa"/>
            <w:vAlign w:val="bottom"/>
          </w:tcPr>
          <w:p>
            <w:pPr>
              <w:spacing w:after="0"/>
              <w:rPr>
                <w:sz w:val="15"/>
                <w:szCs w:val="15"/>
                <w:color w:val="auto"/>
              </w:rPr>
            </w:pPr>
          </w:p>
        </w:tc>
        <w:tc>
          <w:tcPr>
            <w:tcW w:w="200" w:type="dxa"/>
            <w:vAlign w:val="bottom"/>
            <w:tcBorders>
              <w:bottom w:val="single" w:sz="8" w:color="2C6937"/>
            </w:tcBorders>
          </w:tcPr>
          <w:p>
            <w:pPr>
              <w:jc w:val="right"/>
              <w:ind w:right="51"/>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9,050</w:t>
            </w:r>
          </w:p>
        </w:tc>
      </w:tr>
      <w:tr>
        <w:trPr>
          <w:trHeight w:val="20"/>
        </w:trPr>
        <w:tc>
          <w:tcPr>
            <w:tcW w:w="67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r>
      <w:tr>
        <w:trPr>
          <w:trHeight w:val="183"/>
        </w:trPr>
        <w:tc>
          <w:tcPr>
            <w:tcW w:w="682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4,994</w:t>
            </w:r>
          </w:p>
        </w:tc>
        <w:tc>
          <w:tcPr>
            <w:tcW w:w="50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4,653</w:t>
            </w: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11"/>
              <w:spacing w:after="0"/>
              <w:rPr>
                <w:sz w:val="20"/>
                <w:szCs w:val="20"/>
                <w:color w:val="auto"/>
              </w:rPr>
            </w:pPr>
            <w:r>
              <w:rPr>
                <w:rFonts w:ascii="Arial" w:cs="Arial" w:eastAsia="Arial" w:hAnsi="Arial"/>
                <w:sz w:val="14"/>
                <w:szCs w:val="14"/>
                <w:b w:val="1"/>
                <w:bCs w:val="1"/>
                <w:color w:val="auto"/>
              </w:rPr>
              <w:t>8,766</w:t>
            </w:r>
          </w:p>
        </w:tc>
        <w:tc>
          <w:tcPr>
            <w:tcW w:w="48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9,061</w:t>
            </w:r>
          </w:p>
        </w:tc>
      </w:tr>
      <w:tr>
        <w:trPr>
          <w:trHeight w:val="194"/>
        </w:trPr>
        <w:tc>
          <w:tcPr>
            <w:tcW w:w="6720" w:type="dxa"/>
            <w:vAlign w:val="bottom"/>
            <w:tcBorders>
              <w:bottom w:val="single" w:sz="8" w:color="2C6937"/>
            </w:tcBorders>
          </w:tcPr>
          <w:p>
            <w:pPr>
              <w:spacing w:after="0"/>
              <w:rPr>
                <w:sz w:val="20"/>
                <w:szCs w:val="20"/>
                <w:color w:val="auto"/>
              </w:rPr>
            </w:pPr>
            <w:r>
              <w:rPr>
                <w:rFonts w:ascii="Arial" w:cs="Arial" w:eastAsia="Arial" w:hAnsi="Arial"/>
                <w:sz w:val="14"/>
                <w:szCs w:val="14"/>
                <w:color w:val="auto"/>
              </w:rPr>
              <w:t>Dividends distributed or amounts attributable to senior preferred stock</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(4,995)</w:t>
            </w:r>
          </w:p>
        </w:tc>
        <w:tc>
          <w:tcPr>
            <w:tcW w:w="28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(4,649)</w:t>
            </w:r>
          </w:p>
        </w:tc>
        <w:tc>
          <w:tcPr>
            <w:tcW w:w="28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(8,767)</w:t>
            </w:r>
          </w:p>
        </w:tc>
        <w:tc>
          <w:tcPr>
            <w:tcW w:w="28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(9,050)</w:t>
            </w:r>
          </w:p>
        </w:tc>
      </w:tr>
      <w:tr>
        <w:trPr>
          <w:trHeight w:val="174"/>
        </w:trPr>
        <w:tc>
          <w:tcPr>
            <w:tcW w:w="6720" w:type="dxa"/>
            <w:vAlign w:val="bottom"/>
            <w:tcBorders>
              <w:bottom w:val="single" w:sz="8" w:color="2C6937"/>
            </w:tcBorders>
          </w:tcPr>
          <w:p>
            <w:pPr>
              <w:spacing w:after="0"/>
              <w:rPr>
                <w:sz w:val="20"/>
                <w:szCs w:val="20"/>
                <w:color w:val="auto"/>
              </w:rPr>
            </w:pPr>
            <w:r>
              <w:rPr>
                <w:rFonts w:ascii="Arial" w:cs="Arial" w:eastAsia="Arial" w:hAnsi="Arial"/>
                <w:sz w:val="14"/>
                <w:szCs w:val="14"/>
                <w:color w:val="auto"/>
              </w:rPr>
              <w:t>Net income (loss) attributable to common stockholders</w:t>
            </w:r>
          </w:p>
        </w:tc>
        <w:tc>
          <w:tcPr>
            <w:tcW w:w="100" w:type="dxa"/>
            <w:vAlign w:val="bottom"/>
          </w:tcPr>
          <w:p>
            <w:pPr>
              <w:spacing w:after="0"/>
              <w:rPr>
                <w:sz w:val="15"/>
                <w:szCs w:val="15"/>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w:t>
            </w:r>
          </w:p>
        </w:tc>
        <w:tc>
          <w:tcPr>
            <w:tcW w:w="280" w:type="dxa"/>
            <w:vAlign w:val="bottom"/>
          </w:tcPr>
          <w:p>
            <w:pPr>
              <w:spacing w:after="0"/>
              <w:rPr>
                <w:sz w:val="15"/>
                <w:szCs w:val="15"/>
                <w:color w:val="auto"/>
              </w:rPr>
            </w:pPr>
          </w:p>
        </w:tc>
        <w:tc>
          <w:tcPr>
            <w:tcW w:w="220" w:type="dxa"/>
            <w:vAlign w:val="bottom"/>
            <w:tcBorders>
              <w:bottom w:val="single" w:sz="8" w:color="2C6937"/>
            </w:tcBorders>
          </w:tcPr>
          <w:p>
            <w:pPr>
              <w:jc w:val="right"/>
              <w:ind w:right="51"/>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w:t>
            </w:r>
          </w:p>
        </w:tc>
        <w:tc>
          <w:tcPr>
            <w:tcW w:w="280" w:type="dxa"/>
            <w:vAlign w:val="bottom"/>
          </w:tcPr>
          <w:p>
            <w:pPr>
              <w:spacing w:after="0"/>
              <w:rPr>
                <w:sz w:val="15"/>
                <w:szCs w:val="15"/>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w:t>
            </w:r>
          </w:p>
        </w:tc>
        <w:tc>
          <w:tcPr>
            <w:tcW w:w="280" w:type="dxa"/>
            <w:vAlign w:val="bottom"/>
          </w:tcPr>
          <w:p>
            <w:pPr>
              <w:spacing w:after="0"/>
              <w:rPr>
                <w:sz w:val="15"/>
                <w:szCs w:val="15"/>
                <w:color w:val="auto"/>
              </w:rPr>
            </w:pPr>
          </w:p>
        </w:tc>
        <w:tc>
          <w:tcPr>
            <w:tcW w:w="200" w:type="dxa"/>
            <w:vAlign w:val="bottom"/>
            <w:tcBorders>
              <w:bottom w:val="single" w:sz="8" w:color="2C6937"/>
            </w:tcBorders>
          </w:tcPr>
          <w:p>
            <w:pPr>
              <w:jc w:val="right"/>
              <w:ind w:right="51"/>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w:t>
            </w:r>
          </w:p>
        </w:tc>
      </w:tr>
      <w:tr>
        <w:trPr>
          <w:trHeight w:val="20"/>
        </w:trPr>
        <w:tc>
          <w:tcPr>
            <w:tcW w:w="67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r>
      <w:tr>
        <w:trPr>
          <w:trHeight w:val="186"/>
        </w:trPr>
        <w:tc>
          <w:tcPr>
            <w:tcW w:w="6820" w:type="dxa"/>
            <w:vAlign w:val="bottom"/>
            <w:gridSpan w:val="2"/>
          </w:tcPr>
          <w:p>
            <w:pPr>
              <w:spacing w:after="0"/>
              <w:rPr>
                <w:sz w:val="20"/>
                <w:szCs w:val="20"/>
                <w:color w:val="auto"/>
              </w:rPr>
            </w:pPr>
            <w:r>
              <w:rPr>
                <w:rFonts w:ascii="Arial" w:cs="Arial" w:eastAsia="Arial" w:hAnsi="Arial"/>
                <w:sz w:val="14"/>
                <w:szCs w:val="14"/>
                <w:color w:val="auto"/>
              </w:rPr>
              <w:t>Earnings per share:</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6"/>
        </w:trPr>
        <w:tc>
          <w:tcPr>
            <w:tcW w:w="6820" w:type="dxa"/>
            <w:vAlign w:val="bottom"/>
            <w:gridSpan w:val="2"/>
          </w:tcPr>
          <w:p>
            <w:pPr>
              <w:ind w:left="200"/>
              <w:spacing w:after="0"/>
              <w:rPr>
                <w:sz w:val="20"/>
                <w:szCs w:val="20"/>
                <w:color w:val="auto"/>
              </w:rPr>
            </w:pPr>
            <w:r>
              <w:rPr>
                <w:rFonts w:ascii="Arial" w:cs="Arial" w:eastAsia="Arial" w:hAnsi="Arial"/>
                <w:sz w:val="14"/>
                <w:szCs w:val="14"/>
                <w:color w:val="auto"/>
              </w:rPr>
              <w:t>Basic</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50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0.00</w:t>
            </w: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11"/>
              <w:spacing w:after="0"/>
              <w:rPr>
                <w:sz w:val="20"/>
                <w:szCs w:val="20"/>
                <w:color w:val="auto"/>
              </w:rPr>
            </w:pPr>
            <w:r>
              <w:rPr>
                <w:rFonts w:ascii="Arial" w:cs="Arial" w:eastAsia="Arial" w:hAnsi="Arial"/>
                <w:sz w:val="14"/>
                <w:szCs w:val="14"/>
                <w:b w:val="1"/>
                <w:bCs w:val="1"/>
                <w:color w:val="auto"/>
              </w:rPr>
              <w:t>0.00</w:t>
            </w:r>
          </w:p>
        </w:tc>
        <w:tc>
          <w:tcPr>
            <w:tcW w:w="48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189"/>
        </w:trPr>
        <w:tc>
          <w:tcPr>
            <w:tcW w:w="6820" w:type="dxa"/>
            <w:vAlign w:val="bottom"/>
            <w:gridSpan w:val="2"/>
          </w:tcPr>
          <w:p>
            <w:pPr>
              <w:ind w:left="200"/>
              <w:spacing w:after="0"/>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0.00</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b w:val="1"/>
                <w:bCs w:val="1"/>
                <w:color w:val="auto"/>
              </w:rPr>
              <w:t>0.00</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174"/>
        </w:trPr>
        <w:tc>
          <w:tcPr>
            <w:tcW w:w="6820" w:type="dxa"/>
            <w:vAlign w:val="bottom"/>
            <w:gridSpan w:val="2"/>
          </w:tcPr>
          <w:p>
            <w:pPr>
              <w:spacing w:after="0"/>
              <w:rPr>
                <w:sz w:val="20"/>
                <w:szCs w:val="20"/>
                <w:color w:val="auto"/>
              </w:rPr>
            </w:pPr>
            <w:r>
              <w:rPr>
                <w:rFonts w:ascii="Arial" w:cs="Arial" w:eastAsia="Arial" w:hAnsi="Arial"/>
                <w:sz w:val="14"/>
                <w:szCs w:val="14"/>
                <w:color w:val="auto"/>
              </w:rPr>
              <w:t>Weighted-average common shares outstanding:</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03"/>
        </w:trPr>
        <w:tc>
          <w:tcPr>
            <w:tcW w:w="6820" w:type="dxa"/>
            <w:vAlign w:val="bottom"/>
            <w:gridSpan w:val="2"/>
          </w:tcPr>
          <w:p>
            <w:pPr>
              <w:ind w:left="200"/>
              <w:spacing w:after="0"/>
              <w:rPr>
                <w:sz w:val="20"/>
                <w:szCs w:val="20"/>
                <w:color w:val="auto"/>
              </w:rPr>
            </w:pPr>
            <w:r>
              <w:rPr>
                <w:rFonts w:ascii="Arial" w:cs="Arial" w:eastAsia="Arial" w:hAnsi="Arial"/>
                <w:sz w:val="14"/>
                <w:szCs w:val="14"/>
                <w:color w:val="auto"/>
              </w:rPr>
              <w:t>Basic</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5,867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5,867</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b w:val="1"/>
                <w:bCs w:val="1"/>
                <w:color w:val="auto"/>
              </w:rPr>
              <w:t>5,867</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5,867</w:t>
            </w:r>
          </w:p>
        </w:tc>
      </w:tr>
      <w:tr>
        <w:trPr>
          <w:trHeight w:val="193"/>
        </w:trPr>
        <w:tc>
          <w:tcPr>
            <w:tcW w:w="6820" w:type="dxa"/>
            <w:vAlign w:val="bottom"/>
            <w:gridSpan w:val="2"/>
          </w:tcPr>
          <w:p>
            <w:pPr>
              <w:ind w:left="200"/>
              <w:spacing w:after="0"/>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5,867</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5,893</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b w:val="1"/>
                <w:bCs w:val="1"/>
                <w:color w:val="auto"/>
              </w:rPr>
              <w:t>5,867</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5,893</w:t>
            </w:r>
          </w:p>
        </w:tc>
      </w:tr>
    </w:tbl>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393700</wp:posOffset>
            </wp:positionV>
            <wp:extent cx="681101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2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150495</wp:posOffset>
            </wp:positionV>
            <wp:extent cx="7164070" cy="419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250" w:right="339" w:bottom="1440" w:gutter="0" w:footer="0" w:header="0"/>
        </w:sectPr>
      </w:pPr>
    </w:p>
    <w:bookmarkStart w:id="67" w:name="page68"/>
    <w:bookmarkEnd w:id="67"/>
    <w:p>
      <w:pPr>
        <w:ind w:left="6540"/>
        <w:spacing w:after="0"/>
        <w:rPr>
          <w:sz w:val="20"/>
          <w:szCs w:val="20"/>
          <w:color w:val="auto"/>
        </w:rPr>
      </w:pPr>
      <w:r>
        <w:rPr>
          <w:rFonts w:ascii="Arial" w:cs="Arial" w:eastAsia="Arial" w:hAnsi="Arial"/>
          <w:sz w:val="13"/>
          <w:szCs w:val="13"/>
          <w:color w:val="05314D"/>
        </w:rPr>
        <w:t>Financial Statements | 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22860</wp:posOffset>
            </wp:positionV>
            <wp:extent cx="70072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31"/>
          <w:szCs w:val="31"/>
          <w:b w:val="1"/>
          <w:bCs w:val="1"/>
          <w:color w:val="05314D"/>
        </w:rPr>
        <w:t>FANNIE MAE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001543"/>
        </w:rPr>
        <w:t>(In conservatorship)</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27"/>
          <w:szCs w:val="27"/>
          <w:b w:val="1"/>
          <w:bCs w:val="1"/>
          <w:color w:val="05314D"/>
        </w:rPr>
        <w:t>Condensed Consolidated Statements of Cash Flows — (Unaudited)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001543"/>
        </w:rPr>
        <w:t>(Dollars 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900" w:type="dxa"/>
            <w:vAlign w:val="bottom"/>
          </w:tcPr>
          <w:p>
            <w:pPr>
              <w:spacing w:after="0"/>
              <w:rPr>
                <w:sz w:val="16"/>
                <w:szCs w:val="16"/>
                <w:color w:val="auto"/>
              </w:rPr>
            </w:pPr>
          </w:p>
        </w:tc>
        <w:tc>
          <w:tcPr>
            <w:tcW w:w="2300" w:type="dxa"/>
            <w:vAlign w:val="bottom"/>
            <w:tcBorders>
              <w:bottom w:val="single" w:sz="8" w:color="2C6937"/>
            </w:tcBorders>
            <w:gridSpan w:val="9"/>
          </w:tcPr>
          <w:p>
            <w:pPr>
              <w:ind w:left="20"/>
              <w:spacing w:after="0"/>
              <w:rPr>
                <w:sz w:val="20"/>
                <w:szCs w:val="20"/>
                <w:color w:val="auto"/>
              </w:rPr>
            </w:pPr>
            <w:r>
              <w:rPr>
                <w:rFonts w:ascii="Arial" w:cs="Arial" w:eastAsia="Arial" w:hAnsi="Arial"/>
                <w:sz w:val="14"/>
                <w:szCs w:val="14"/>
                <w:b w:val="1"/>
                <w:bCs w:val="1"/>
                <w:color w:val="auto"/>
                <w:w w:val="97"/>
              </w:rPr>
              <w:t>For the Six Months Ended June 30,</w:t>
            </w:r>
          </w:p>
        </w:tc>
      </w:tr>
      <w:tr>
        <w:trPr>
          <w:trHeight w:val="185"/>
        </w:trPr>
        <w:tc>
          <w:tcPr>
            <w:tcW w:w="89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ind w:right="23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2C6937"/>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2C6937"/>
            </w:tcBorders>
          </w:tcPr>
          <w:p>
            <w:pPr>
              <w:spacing w:after="0"/>
              <w:rPr>
                <w:sz w:val="16"/>
                <w:szCs w:val="16"/>
                <w:color w:val="auto"/>
              </w:rPr>
            </w:pPr>
          </w:p>
        </w:tc>
      </w:tr>
      <w:tr>
        <w:trPr>
          <w:trHeight w:val="176"/>
        </w:trPr>
        <w:tc>
          <w:tcPr>
            <w:tcW w:w="8900" w:type="dxa"/>
            <w:vAlign w:val="bottom"/>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11"/>
              <w:spacing w:after="0"/>
              <w:rPr>
                <w:sz w:val="20"/>
                <w:szCs w:val="20"/>
                <w:color w:val="auto"/>
              </w:rPr>
            </w:pPr>
            <w:r>
              <w:rPr>
                <w:rFonts w:ascii="Arial" w:cs="Arial" w:eastAsia="Arial" w:hAnsi="Arial"/>
                <w:sz w:val="14"/>
                <w:szCs w:val="14"/>
                <w:b w:val="1"/>
                <w:bCs w:val="1"/>
                <w:color w:val="auto"/>
              </w:rPr>
              <w:t>6,245</w:t>
            </w:r>
          </w:p>
        </w:tc>
        <w:tc>
          <w:tcPr>
            <w:tcW w:w="100" w:type="dxa"/>
            <w:vAlign w:val="bottom"/>
          </w:tcPr>
          <w:p>
            <w:pPr>
              <w:spacing w:after="0"/>
              <w:rPr>
                <w:sz w:val="15"/>
                <w:szCs w:val="15"/>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24,163</w:t>
            </w:r>
          </w:p>
        </w:tc>
        <w:tc>
          <w:tcPr>
            <w:tcW w:w="100" w:type="dxa"/>
            <w:vAlign w:val="bottom"/>
          </w:tcPr>
          <w:p>
            <w:pPr>
              <w:spacing w:after="0"/>
              <w:rPr>
                <w:sz w:val="15"/>
                <w:szCs w:val="15"/>
                <w:color w:val="auto"/>
              </w:rPr>
            </w:pPr>
          </w:p>
        </w:tc>
      </w:tr>
      <w:tr>
        <w:trPr>
          <w:trHeight w:val="190"/>
        </w:trPr>
        <w:tc>
          <w:tcPr>
            <w:tcW w:w="8900" w:type="dxa"/>
            <w:vAlign w:val="bottom"/>
          </w:tcPr>
          <w:p>
            <w:pPr>
              <w:ind w:left="20"/>
              <w:spacing w:after="0"/>
              <w:rPr>
                <w:sz w:val="20"/>
                <w:szCs w:val="20"/>
                <w:color w:val="auto"/>
              </w:rPr>
            </w:pPr>
            <w:r>
              <w:rPr>
                <w:rFonts w:ascii="Arial" w:cs="Arial" w:eastAsia="Arial" w:hAnsi="Arial"/>
                <w:sz w:val="14"/>
                <w:szCs w:val="14"/>
                <w:b w:val="1"/>
                <w:bCs w:val="1"/>
                <w:color w:val="auto"/>
              </w:rPr>
              <w:t>Cash flows provided by (used in) investing activities: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8900" w:type="dxa"/>
            <w:vAlign w:val="bottom"/>
          </w:tcPr>
          <w:p>
            <w:pPr>
              <w:ind w:left="220"/>
              <w:spacing w:after="0"/>
              <w:rPr>
                <w:sz w:val="20"/>
                <w:szCs w:val="20"/>
                <w:color w:val="auto"/>
              </w:rPr>
            </w:pPr>
            <w:r>
              <w:rPr>
                <w:rFonts w:ascii="Arial" w:cs="Arial" w:eastAsia="Arial" w:hAnsi="Arial"/>
                <w:sz w:val="14"/>
                <w:szCs w:val="14"/>
                <w:color w:val="auto"/>
              </w:rPr>
              <w:t>Mortgage loans acquired held for investment: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3"/>
        </w:trPr>
        <w:tc>
          <w:tcPr>
            <w:tcW w:w="8900" w:type="dxa"/>
            <w:vAlign w:val="bottom"/>
          </w:tcPr>
          <w:p>
            <w:pPr>
              <w:ind w:left="400"/>
              <w:spacing w:after="0"/>
              <w:rPr>
                <w:sz w:val="20"/>
                <w:szCs w:val="20"/>
                <w:color w:val="auto"/>
              </w:rPr>
            </w:pPr>
            <w:r>
              <w:rPr>
                <w:rFonts w:ascii="Arial" w:cs="Arial" w:eastAsia="Arial" w:hAnsi="Arial"/>
                <w:sz w:val="14"/>
                <w:szCs w:val="14"/>
                <w:color w:val="auto"/>
              </w:rPr>
              <w:t>Purchases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(61,064)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(166,414)</w:t>
            </w:r>
          </w:p>
        </w:tc>
        <w:tc>
          <w:tcPr>
            <w:tcW w:w="100" w:type="dxa"/>
            <w:vAlign w:val="bottom"/>
          </w:tcPr>
          <w:p>
            <w:pPr>
              <w:spacing w:after="0"/>
              <w:rPr>
                <w:sz w:val="16"/>
                <w:szCs w:val="16"/>
                <w:color w:val="auto"/>
              </w:rPr>
            </w:pPr>
          </w:p>
        </w:tc>
      </w:tr>
      <w:tr>
        <w:trPr>
          <w:trHeight w:val="190"/>
        </w:trPr>
        <w:tc>
          <w:tcPr>
            <w:tcW w:w="8900" w:type="dxa"/>
            <w:vAlign w:val="bottom"/>
          </w:tcPr>
          <w:p>
            <w:pPr>
              <w:ind w:left="420"/>
              <w:spacing w:after="0"/>
              <w:rPr>
                <w:sz w:val="20"/>
                <w:szCs w:val="20"/>
                <w:color w:val="auto"/>
              </w:rPr>
            </w:pPr>
            <w:r>
              <w:rPr>
                <w:rFonts w:ascii="Arial" w:cs="Arial" w:eastAsia="Arial" w:hAnsi="Arial"/>
                <w:sz w:val="14"/>
                <w:szCs w:val="14"/>
                <w:color w:val="auto"/>
              </w:rPr>
              <w:t>Proceeds from sales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1"/>
              <w:spacing w:after="0"/>
              <w:rPr>
                <w:sz w:val="20"/>
                <w:szCs w:val="20"/>
                <w:color w:val="auto"/>
              </w:rPr>
            </w:pPr>
            <w:r>
              <w:rPr>
                <w:rFonts w:ascii="Arial" w:cs="Arial" w:eastAsia="Arial" w:hAnsi="Arial"/>
                <w:sz w:val="14"/>
                <w:szCs w:val="14"/>
                <w:b w:val="1"/>
                <w:bCs w:val="1"/>
                <w:color w:val="auto"/>
              </w:rPr>
              <w:t>1,540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4,122</w:t>
            </w:r>
          </w:p>
        </w:tc>
        <w:tc>
          <w:tcPr>
            <w:tcW w:w="100" w:type="dxa"/>
            <w:vAlign w:val="bottom"/>
          </w:tcPr>
          <w:p>
            <w:pPr>
              <w:spacing w:after="0"/>
              <w:rPr>
                <w:sz w:val="16"/>
                <w:szCs w:val="16"/>
                <w:color w:val="auto"/>
              </w:rPr>
            </w:pPr>
          </w:p>
        </w:tc>
      </w:tr>
      <w:tr>
        <w:trPr>
          <w:trHeight w:val="193"/>
        </w:trPr>
        <w:tc>
          <w:tcPr>
            <w:tcW w:w="8900" w:type="dxa"/>
            <w:vAlign w:val="bottom"/>
          </w:tcPr>
          <w:p>
            <w:pPr>
              <w:ind w:left="420"/>
              <w:spacing w:after="0"/>
              <w:rPr>
                <w:sz w:val="20"/>
                <w:szCs w:val="20"/>
                <w:color w:val="auto"/>
              </w:rPr>
            </w:pPr>
            <w:r>
              <w:rPr>
                <w:rFonts w:ascii="Arial" w:cs="Arial" w:eastAsia="Arial" w:hAnsi="Arial"/>
                <w:sz w:val="14"/>
                <w:szCs w:val="14"/>
                <w:color w:val="auto"/>
              </w:rPr>
              <w:t>Proceeds from repayments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1"/>
              <w:spacing w:after="0"/>
              <w:rPr>
                <w:sz w:val="20"/>
                <w:szCs w:val="20"/>
                <w:color w:val="auto"/>
              </w:rPr>
            </w:pPr>
            <w:r>
              <w:rPr>
                <w:rFonts w:ascii="Arial" w:cs="Arial" w:eastAsia="Arial" w:hAnsi="Arial"/>
                <w:sz w:val="14"/>
                <w:szCs w:val="14"/>
                <w:b w:val="1"/>
                <w:bCs w:val="1"/>
                <w:color w:val="auto"/>
              </w:rPr>
              <w:t>169,452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302,378</w:t>
            </w:r>
          </w:p>
        </w:tc>
        <w:tc>
          <w:tcPr>
            <w:tcW w:w="100" w:type="dxa"/>
            <w:vAlign w:val="bottom"/>
          </w:tcPr>
          <w:p>
            <w:pPr>
              <w:spacing w:after="0"/>
              <w:rPr>
                <w:sz w:val="16"/>
                <w:szCs w:val="16"/>
                <w:color w:val="auto"/>
              </w:rPr>
            </w:pPr>
          </w:p>
        </w:tc>
      </w:tr>
      <w:tr>
        <w:trPr>
          <w:trHeight w:val="183"/>
        </w:trPr>
        <w:tc>
          <w:tcPr>
            <w:tcW w:w="8900" w:type="dxa"/>
            <w:vAlign w:val="bottom"/>
          </w:tcPr>
          <w:p>
            <w:pPr>
              <w:ind w:left="220"/>
              <w:spacing w:after="0"/>
              <w:rPr>
                <w:sz w:val="20"/>
                <w:szCs w:val="20"/>
                <w:color w:val="auto"/>
              </w:rPr>
            </w:pPr>
            <w:r>
              <w:rPr>
                <w:rFonts w:ascii="Arial" w:cs="Arial" w:eastAsia="Arial" w:hAnsi="Arial"/>
                <w:sz w:val="14"/>
                <w:szCs w:val="14"/>
                <w:color w:val="auto"/>
              </w:rPr>
              <w:t>Advances to lenders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(53,273)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(114,263)</w:t>
            </w:r>
          </w:p>
        </w:tc>
        <w:tc>
          <w:tcPr>
            <w:tcW w:w="100" w:type="dxa"/>
            <w:vAlign w:val="bottom"/>
          </w:tcPr>
          <w:p>
            <w:pPr>
              <w:spacing w:after="0"/>
              <w:rPr>
                <w:sz w:val="15"/>
                <w:szCs w:val="15"/>
                <w:color w:val="auto"/>
              </w:rPr>
            </w:pPr>
          </w:p>
        </w:tc>
      </w:tr>
      <w:tr>
        <w:trPr>
          <w:trHeight w:val="190"/>
        </w:trPr>
        <w:tc>
          <w:tcPr>
            <w:tcW w:w="8900" w:type="dxa"/>
            <w:vAlign w:val="bottom"/>
          </w:tcPr>
          <w:p>
            <w:pPr>
              <w:ind w:left="220"/>
              <w:spacing w:after="0"/>
              <w:rPr>
                <w:sz w:val="20"/>
                <w:szCs w:val="20"/>
                <w:color w:val="auto"/>
              </w:rPr>
            </w:pPr>
            <w:r>
              <w:rPr>
                <w:rFonts w:ascii="Arial" w:cs="Arial" w:eastAsia="Arial" w:hAnsi="Arial"/>
                <w:sz w:val="14"/>
                <w:szCs w:val="14"/>
                <w:color w:val="auto"/>
              </w:rPr>
              <w:t>Proceeds from disposition of acquired property and preforeclosure sales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1"/>
              <w:spacing w:after="0"/>
              <w:rPr>
                <w:sz w:val="20"/>
                <w:szCs w:val="20"/>
                <w:color w:val="auto"/>
              </w:rPr>
            </w:pPr>
            <w:r>
              <w:rPr>
                <w:rFonts w:ascii="Arial" w:cs="Arial" w:eastAsia="Arial" w:hAnsi="Arial"/>
                <w:sz w:val="14"/>
                <w:szCs w:val="14"/>
                <w:b w:val="1"/>
                <w:bCs w:val="1"/>
                <w:color w:val="auto"/>
              </w:rPr>
              <w:t>2,662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1,438</w:t>
            </w:r>
          </w:p>
        </w:tc>
        <w:tc>
          <w:tcPr>
            <w:tcW w:w="100" w:type="dxa"/>
            <w:vAlign w:val="bottom"/>
          </w:tcPr>
          <w:p>
            <w:pPr>
              <w:spacing w:after="0"/>
              <w:rPr>
                <w:sz w:val="16"/>
                <w:szCs w:val="16"/>
                <w:color w:val="auto"/>
              </w:rPr>
            </w:pPr>
          </w:p>
        </w:tc>
      </w:tr>
      <w:tr>
        <w:trPr>
          <w:trHeight w:val="193"/>
        </w:trPr>
        <w:tc>
          <w:tcPr>
            <w:tcW w:w="8900" w:type="dxa"/>
            <w:vAlign w:val="bottom"/>
          </w:tcPr>
          <w:p>
            <w:pPr>
              <w:ind w:left="220"/>
              <w:spacing w:after="0"/>
              <w:rPr>
                <w:sz w:val="20"/>
                <w:szCs w:val="20"/>
                <w:color w:val="auto"/>
              </w:rPr>
            </w:pPr>
            <w:r>
              <w:rPr>
                <w:rFonts w:ascii="Arial" w:cs="Arial" w:eastAsia="Arial" w:hAnsi="Arial"/>
                <w:sz w:val="14"/>
                <w:szCs w:val="14"/>
                <w:color w:val="auto"/>
              </w:rPr>
              <w:t>Net change in securities purchased under agreements to resell</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(18,485)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5,352</w:t>
            </w:r>
          </w:p>
        </w:tc>
        <w:tc>
          <w:tcPr>
            <w:tcW w:w="100" w:type="dxa"/>
            <w:vAlign w:val="bottom"/>
          </w:tcPr>
          <w:p>
            <w:pPr>
              <w:spacing w:after="0"/>
              <w:rPr>
                <w:sz w:val="16"/>
                <w:szCs w:val="16"/>
                <w:color w:val="auto"/>
              </w:rPr>
            </w:pPr>
          </w:p>
        </w:tc>
      </w:tr>
      <w:tr>
        <w:trPr>
          <w:trHeight w:val="182"/>
        </w:trPr>
        <w:tc>
          <w:tcPr>
            <w:tcW w:w="890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Other, net</w:t>
            </w: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(1,162)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(1,248)</w:t>
            </w:r>
          </w:p>
        </w:tc>
        <w:tc>
          <w:tcPr>
            <w:tcW w:w="100" w:type="dxa"/>
            <w:vAlign w:val="bottom"/>
          </w:tcPr>
          <w:p>
            <w:pPr>
              <w:spacing w:after="0"/>
              <w:rPr>
                <w:sz w:val="15"/>
                <w:szCs w:val="15"/>
                <w:color w:val="auto"/>
              </w:rPr>
            </w:pPr>
          </w:p>
        </w:tc>
      </w:tr>
      <w:tr>
        <w:trPr>
          <w:trHeight w:val="185"/>
        </w:trPr>
        <w:tc>
          <w:tcPr>
            <w:tcW w:w="890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Net cash provided by investing activities</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39,670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31,365</w:t>
            </w:r>
          </w:p>
        </w:tc>
        <w:tc>
          <w:tcPr>
            <w:tcW w:w="100" w:type="dxa"/>
            <w:vAlign w:val="bottom"/>
          </w:tcPr>
          <w:p>
            <w:pPr>
              <w:spacing w:after="0"/>
              <w:rPr>
                <w:sz w:val="16"/>
                <w:szCs w:val="16"/>
                <w:color w:val="auto"/>
              </w:rPr>
            </w:pPr>
          </w:p>
        </w:tc>
      </w:tr>
      <w:tr>
        <w:trPr>
          <w:trHeight w:val="185"/>
        </w:trPr>
        <w:tc>
          <w:tcPr>
            <w:tcW w:w="8900" w:type="dxa"/>
            <w:vAlign w:val="bottom"/>
          </w:tcPr>
          <w:p>
            <w:pPr>
              <w:ind w:left="20"/>
              <w:spacing w:after="0"/>
              <w:rPr>
                <w:sz w:val="20"/>
                <w:szCs w:val="20"/>
                <w:color w:val="auto"/>
              </w:rPr>
            </w:pPr>
            <w:r>
              <w:rPr>
                <w:rFonts w:ascii="Arial" w:cs="Arial" w:eastAsia="Arial" w:hAnsi="Arial"/>
                <w:sz w:val="14"/>
                <w:szCs w:val="14"/>
                <w:b w:val="1"/>
                <w:bCs w:val="1"/>
                <w:color w:val="auto"/>
              </w:rPr>
              <w:t>Cash flows provided by (used in) financing activities: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8900" w:type="dxa"/>
            <w:vAlign w:val="bottom"/>
          </w:tcPr>
          <w:p>
            <w:pPr>
              <w:ind w:left="220"/>
              <w:spacing w:after="0"/>
              <w:rPr>
                <w:sz w:val="20"/>
                <w:szCs w:val="20"/>
                <w:color w:val="auto"/>
              </w:rPr>
            </w:pPr>
            <w:r>
              <w:rPr>
                <w:rFonts w:ascii="Arial" w:cs="Arial" w:eastAsia="Arial" w:hAnsi="Arial"/>
                <w:sz w:val="14"/>
                <w:szCs w:val="14"/>
                <w:color w:val="auto"/>
              </w:rPr>
              <w:t>Proceeds from issuance of debt of Fannie Mae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11"/>
              <w:spacing w:after="0"/>
              <w:rPr>
                <w:sz w:val="20"/>
                <w:szCs w:val="20"/>
                <w:color w:val="auto"/>
              </w:rPr>
            </w:pPr>
            <w:r>
              <w:rPr>
                <w:rFonts w:ascii="Arial" w:cs="Arial" w:eastAsia="Arial" w:hAnsi="Arial"/>
                <w:sz w:val="14"/>
                <w:szCs w:val="14"/>
                <w:b w:val="1"/>
                <w:bCs w:val="1"/>
                <w:color w:val="auto"/>
              </w:rPr>
              <w:t>206,879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167,585</w:t>
            </w:r>
          </w:p>
        </w:tc>
        <w:tc>
          <w:tcPr>
            <w:tcW w:w="100" w:type="dxa"/>
            <w:vAlign w:val="bottom"/>
          </w:tcPr>
          <w:p>
            <w:pPr>
              <w:spacing w:after="0"/>
              <w:rPr>
                <w:sz w:val="15"/>
                <w:szCs w:val="15"/>
                <w:color w:val="auto"/>
              </w:rPr>
            </w:pPr>
          </w:p>
        </w:tc>
      </w:tr>
      <w:tr>
        <w:trPr>
          <w:trHeight w:val="190"/>
        </w:trPr>
        <w:tc>
          <w:tcPr>
            <w:tcW w:w="8900" w:type="dxa"/>
            <w:vAlign w:val="bottom"/>
          </w:tcPr>
          <w:p>
            <w:pPr>
              <w:ind w:left="220"/>
              <w:spacing w:after="0"/>
              <w:rPr>
                <w:sz w:val="20"/>
                <w:szCs w:val="20"/>
                <w:color w:val="auto"/>
              </w:rPr>
            </w:pPr>
            <w:r>
              <w:rPr>
                <w:rFonts w:ascii="Arial" w:cs="Arial" w:eastAsia="Arial" w:hAnsi="Arial"/>
                <w:sz w:val="14"/>
                <w:szCs w:val="14"/>
                <w:color w:val="auto"/>
              </w:rPr>
              <w:t>Payments to redeem debt of Fannie Mae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(203,515)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(221,707)</w:t>
            </w:r>
          </w:p>
        </w:tc>
        <w:tc>
          <w:tcPr>
            <w:tcW w:w="100" w:type="dxa"/>
            <w:vAlign w:val="bottom"/>
          </w:tcPr>
          <w:p>
            <w:pPr>
              <w:spacing w:after="0"/>
              <w:rPr>
                <w:sz w:val="16"/>
                <w:szCs w:val="16"/>
                <w:color w:val="auto"/>
              </w:rPr>
            </w:pPr>
          </w:p>
        </w:tc>
      </w:tr>
      <w:tr>
        <w:trPr>
          <w:trHeight w:val="193"/>
        </w:trPr>
        <w:tc>
          <w:tcPr>
            <w:tcW w:w="8900" w:type="dxa"/>
            <w:vAlign w:val="bottom"/>
          </w:tcPr>
          <w:p>
            <w:pPr>
              <w:ind w:left="220"/>
              <w:spacing w:after="0"/>
              <w:rPr>
                <w:sz w:val="20"/>
                <w:szCs w:val="20"/>
                <w:color w:val="auto"/>
              </w:rPr>
            </w:pPr>
            <w:r>
              <w:rPr>
                <w:rFonts w:ascii="Arial" w:cs="Arial" w:eastAsia="Arial" w:hAnsi="Arial"/>
                <w:sz w:val="14"/>
                <w:szCs w:val="14"/>
                <w:color w:val="auto"/>
              </w:rPr>
              <w:t>Proceeds from issuance of debt of consolidated trusts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1"/>
              <w:spacing w:after="0"/>
              <w:rPr>
                <w:sz w:val="20"/>
                <w:szCs w:val="20"/>
                <w:color w:val="auto"/>
              </w:rPr>
            </w:pPr>
            <w:r>
              <w:rPr>
                <w:rFonts w:ascii="Arial" w:cs="Arial" w:eastAsia="Arial" w:hAnsi="Arial"/>
                <w:sz w:val="14"/>
                <w:szCs w:val="14"/>
                <w:b w:val="1"/>
                <w:bCs w:val="1"/>
                <w:color w:val="auto"/>
              </w:rPr>
              <w:t>109,556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308,293</w:t>
            </w:r>
          </w:p>
        </w:tc>
        <w:tc>
          <w:tcPr>
            <w:tcW w:w="100" w:type="dxa"/>
            <w:vAlign w:val="bottom"/>
          </w:tcPr>
          <w:p>
            <w:pPr>
              <w:spacing w:after="0"/>
              <w:rPr>
                <w:sz w:val="16"/>
                <w:szCs w:val="16"/>
                <w:color w:val="auto"/>
              </w:rPr>
            </w:pPr>
          </w:p>
        </w:tc>
      </w:tr>
      <w:tr>
        <w:trPr>
          <w:trHeight w:val="183"/>
        </w:trPr>
        <w:tc>
          <w:tcPr>
            <w:tcW w:w="8900" w:type="dxa"/>
            <w:vAlign w:val="bottom"/>
          </w:tcPr>
          <w:p>
            <w:pPr>
              <w:ind w:left="220"/>
              <w:spacing w:after="0"/>
              <w:rPr>
                <w:sz w:val="20"/>
                <w:szCs w:val="20"/>
                <w:color w:val="auto"/>
              </w:rPr>
            </w:pPr>
            <w:r>
              <w:rPr>
                <w:rFonts w:ascii="Arial" w:cs="Arial" w:eastAsia="Arial" w:hAnsi="Arial"/>
                <w:sz w:val="14"/>
                <w:szCs w:val="14"/>
                <w:color w:val="auto"/>
              </w:rPr>
              <w:t>Payments to redeem debt of consolidated trusts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(167,241)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(343,855)</w:t>
            </w:r>
          </w:p>
        </w:tc>
        <w:tc>
          <w:tcPr>
            <w:tcW w:w="100" w:type="dxa"/>
            <w:vAlign w:val="bottom"/>
          </w:tcPr>
          <w:p>
            <w:pPr>
              <w:spacing w:after="0"/>
              <w:rPr>
                <w:sz w:val="15"/>
                <w:szCs w:val="15"/>
                <w:color w:val="auto"/>
              </w:rPr>
            </w:pPr>
          </w:p>
        </w:tc>
      </w:tr>
      <w:tr>
        <w:trPr>
          <w:trHeight w:val="191"/>
        </w:trPr>
        <w:tc>
          <w:tcPr>
            <w:tcW w:w="8900" w:type="dxa"/>
            <w:vAlign w:val="bottom"/>
          </w:tcPr>
          <w:p>
            <w:pPr>
              <w:ind w:left="220"/>
              <w:spacing w:after="0"/>
              <w:rPr>
                <w:sz w:val="20"/>
                <w:szCs w:val="20"/>
                <w:color w:val="auto"/>
              </w:rPr>
            </w:pPr>
            <w:r>
              <w:rPr>
                <w:rFonts w:ascii="Arial" w:cs="Arial" w:eastAsia="Arial" w:hAnsi="Arial"/>
                <w:sz w:val="14"/>
                <w:szCs w:val="14"/>
                <w:color w:val="auto"/>
              </w:rPr>
              <w:t>Other, net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1,467</w:t>
            </w:r>
          </w:p>
        </w:tc>
        <w:tc>
          <w:tcPr>
            <w:tcW w:w="100" w:type="dxa"/>
            <w:vAlign w:val="bottom"/>
          </w:tcPr>
          <w:p>
            <w:pPr>
              <w:spacing w:after="0"/>
              <w:rPr>
                <w:sz w:val="16"/>
                <w:szCs w:val="16"/>
                <w:color w:val="auto"/>
              </w:rPr>
            </w:pPr>
          </w:p>
        </w:tc>
      </w:tr>
      <w:tr>
        <w:trPr>
          <w:trHeight w:val="186"/>
        </w:trPr>
        <w:tc>
          <w:tcPr>
            <w:tcW w:w="890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4"/>
                <w:szCs w:val="14"/>
                <w:color w:val="auto"/>
              </w:rPr>
              <w:t>Net cash used in financing activities</w:t>
            </w:r>
          </w:p>
        </w:tc>
        <w:tc>
          <w:tcPr>
            <w:tcW w:w="100" w:type="dxa"/>
            <w:vAlign w:val="bottom"/>
          </w:tcPr>
          <w:p>
            <w:pPr>
              <w:spacing w:after="0"/>
              <w:rPr>
                <w:sz w:val="16"/>
                <w:szCs w:val="16"/>
                <w:color w:val="auto"/>
              </w:rPr>
            </w:pPr>
          </w:p>
        </w:tc>
        <w:tc>
          <w:tcPr>
            <w:tcW w:w="180" w:type="dxa"/>
            <w:vAlign w:val="bottom"/>
            <w:tcBorders>
              <w:top w:val="single" w:sz="8" w:color="2C6937"/>
              <w:bottom w:val="single" w:sz="8" w:color="2C6937"/>
            </w:tcBorders>
          </w:tcPr>
          <w:p>
            <w:pPr>
              <w:spacing w:after="0"/>
              <w:rPr>
                <w:sz w:val="16"/>
                <w:szCs w:val="16"/>
                <w:color w:val="auto"/>
              </w:rPr>
            </w:pP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(54,321)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2C6937"/>
              <w:bottom w:val="single" w:sz="8" w:color="2C6937"/>
            </w:tcBorders>
          </w:tcPr>
          <w:p>
            <w:pPr>
              <w:spacing w:after="0"/>
              <w:rPr>
                <w:sz w:val="16"/>
                <w:szCs w:val="16"/>
                <w:color w:val="auto"/>
              </w:rPr>
            </w:pPr>
          </w:p>
        </w:tc>
        <w:tc>
          <w:tcPr>
            <w:tcW w:w="7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(88,217)</w:t>
            </w:r>
          </w:p>
        </w:tc>
        <w:tc>
          <w:tcPr>
            <w:tcW w:w="100" w:type="dxa"/>
            <w:vAlign w:val="bottom"/>
          </w:tcPr>
          <w:p>
            <w:pPr>
              <w:spacing w:after="0"/>
              <w:rPr>
                <w:sz w:val="16"/>
                <w:szCs w:val="16"/>
                <w:color w:val="auto"/>
              </w:rPr>
            </w:pPr>
          </w:p>
        </w:tc>
      </w:tr>
      <w:tr>
        <w:trPr>
          <w:trHeight w:val="176"/>
        </w:trPr>
        <w:tc>
          <w:tcPr>
            <w:tcW w:w="8900" w:type="dxa"/>
            <w:vAlign w:val="bottom"/>
          </w:tcPr>
          <w:p>
            <w:pPr>
              <w:ind w:left="20"/>
              <w:spacing w:after="0"/>
              <w:rPr>
                <w:sz w:val="20"/>
                <w:szCs w:val="20"/>
                <w:color w:val="auto"/>
              </w:rPr>
            </w:pPr>
            <w:r>
              <w:rPr>
                <w:rFonts w:ascii="Arial" w:cs="Arial" w:eastAsia="Arial" w:hAnsi="Arial"/>
                <w:sz w:val="14"/>
                <w:szCs w:val="14"/>
                <w:b w:val="1"/>
                <w:bCs w:val="1"/>
                <w:color w:val="auto"/>
              </w:rPr>
              <w:t>Net increase (decrease) in cash, cash equivalents and restricted cash and cash equivalents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(8,406)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(32,689)</w:t>
            </w:r>
          </w:p>
        </w:tc>
        <w:tc>
          <w:tcPr>
            <w:tcW w:w="100" w:type="dxa"/>
            <w:vAlign w:val="bottom"/>
          </w:tcPr>
          <w:p>
            <w:pPr>
              <w:spacing w:after="0"/>
              <w:rPr>
                <w:sz w:val="15"/>
                <w:szCs w:val="15"/>
                <w:color w:val="auto"/>
              </w:rPr>
            </w:pPr>
          </w:p>
        </w:tc>
      </w:tr>
      <w:tr>
        <w:trPr>
          <w:trHeight w:val="191"/>
        </w:trPr>
        <w:tc>
          <w:tcPr>
            <w:tcW w:w="890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Cash, cash equivalents and restricted cash and cash equivalents at beginning of period</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87,841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108,631</w:t>
            </w:r>
          </w:p>
        </w:tc>
        <w:tc>
          <w:tcPr>
            <w:tcW w:w="100" w:type="dxa"/>
            <w:vAlign w:val="bottom"/>
          </w:tcPr>
          <w:p>
            <w:pPr>
              <w:spacing w:after="0"/>
              <w:rPr>
                <w:sz w:val="16"/>
                <w:szCs w:val="16"/>
                <w:color w:val="auto"/>
              </w:rPr>
            </w:pPr>
          </w:p>
        </w:tc>
      </w:tr>
      <w:tr>
        <w:trPr>
          <w:trHeight w:val="174"/>
        </w:trPr>
        <w:tc>
          <w:tcPr>
            <w:tcW w:w="8900" w:type="dxa"/>
            <w:vAlign w:val="bottom"/>
          </w:tcPr>
          <w:p>
            <w:pPr>
              <w:ind w:left="180"/>
              <w:spacing w:after="0"/>
              <w:rPr>
                <w:sz w:val="20"/>
                <w:szCs w:val="20"/>
                <w:color w:val="auto"/>
              </w:rPr>
            </w:pPr>
            <w:r>
              <w:rPr>
                <w:rFonts w:ascii="Arial" w:cs="Arial" w:eastAsia="Arial" w:hAnsi="Arial"/>
                <w:sz w:val="14"/>
                <w:szCs w:val="14"/>
                <w:b w:val="1"/>
                <w:bCs w:val="1"/>
                <w:color w:val="auto"/>
              </w:rPr>
              <w:t>Cash, cash equivalents and restricted cash and cash equivalents at end of period</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11"/>
              <w:spacing w:after="0"/>
              <w:rPr>
                <w:sz w:val="20"/>
                <w:szCs w:val="20"/>
                <w:color w:val="auto"/>
              </w:rPr>
            </w:pPr>
            <w:r>
              <w:rPr>
                <w:rFonts w:ascii="Arial" w:cs="Arial" w:eastAsia="Arial" w:hAnsi="Arial"/>
                <w:sz w:val="14"/>
                <w:szCs w:val="14"/>
                <w:b w:val="1"/>
                <w:bCs w:val="1"/>
                <w:color w:val="auto"/>
              </w:rPr>
              <w:t>79,435</w:t>
            </w:r>
          </w:p>
        </w:tc>
        <w:tc>
          <w:tcPr>
            <w:tcW w:w="100" w:type="dxa"/>
            <w:vAlign w:val="bottom"/>
          </w:tcPr>
          <w:p>
            <w:pPr>
              <w:spacing w:after="0"/>
              <w:rPr>
                <w:sz w:val="15"/>
                <w:szCs w:val="15"/>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75,942</w:t>
            </w:r>
          </w:p>
        </w:tc>
        <w:tc>
          <w:tcPr>
            <w:tcW w:w="100" w:type="dxa"/>
            <w:vAlign w:val="bottom"/>
          </w:tcPr>
          <w:p>
            <w:pPr>
              <w:spacing w:after="0"/>
              <w:rPr>
                <w:sz w:val="15"/>
                <w:szCs w:val="15"/>
                <w:color w:val="auto"/>
              </w:rPr>
            </w:pPr>
          </w:p>
        </w:tc>
      </w:tr>
      <w:tr>
        <w:trPr>
          <w:trHeight w:val="20"/>
        </w:trPr>
        <w:tc>
          <w:tcPr>
            <w:tcW w:w="89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900" w:type="dxa"/>
            <w:vAlign w:val="bottom"/>
          </w:tcPr>
          <w:p>
            <w:pPr>
              <w:ind w:left="20"/>
              <w:spacing w:after="0"/>
              <w:rPr>
                <w:sz w:val="20"/>
                <w:szCs w:val="20"/>
                <w:color w:val="auto"/>
              </w:rPr>
            </w:pPr>
            <w:r>
              <w:rPr>
                <w:rFonts w:ascii="Arial" w:cs="Arial" w:eastAsia="Arial" w:hAnsi="Arial"/>
                <w:sz w:val="14"/>
                <w:szCs w:val="14"/>
                <w:b w:val="1"/>
                <w:bCs w:val="1"/>
                <w:color w:val="auto"/>
              </w:rPr>
              <w:t>Cash paid during the period for:</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3"/>
        </w:trPr>
        <w:tc>
          <w:tcPr>
            <w:tcW w:w="8900" w:type="dxa"/>
            <w:vAlign w:val="bottom"/>
          </w:tcPr>
          <w:p>
            <w:pPr>
              <w:ind w:left="220"/>
              <w:spacing w:after="0"/>
              <w:rPr>
                <w:sz w:val="20"/>
                <w:szCs w:val="20"/>
                <w:color w:val="auto"/>
              </w:rPr>
            </w:pPr>
            <w:r>
              <w:rPr>
                <w:rFonts w:ascii="Arial" w:cs="Arial" w:eastAsia="Arial" w:hAnsi="Arial"/>
                <w:sz w:val="14"/>
                <w:szCs w:val="14"/>
                <w:color w:val="auto"/>
              </w:rPr>
              <w:t>Interest</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11"/>
              <w:spacing w:after="0"/>
              <w:rPr>
                <w:sz w:val="20"/>
                <w:szCs w:val="20"/>
                <w:color w:val="auto"/>
              </w:rPr>
            </w:pPr>
            <w:r>
              <w:rPr>
                <w:rFonts w:ascii="Arial" w:cs="Arial" w:eastAsia="Arial" w:hAnsi="Arial"/>
                <w:sz w:val="14"/>
                <w:szCs w:val="14"/>
                <w:b w:val="1"/>
                <w:bCs w:val="1"/>
                <w:color w:val="auto"/>
              </w:rPr>
              <w:t>54,887</w:t>
            </w:r>
          </w:p>
        </w:tc>
        <w:tc>
          <w:tcPr>
            <w:tcW w:w="100" w:type="dxa"/>
            <w:vAlign w:val="bottom"/>
          </w:tcPr>
          <w:p>
            <w:pPr>
              <w:spacing w:after="0"/>
              <w:rPr>
                <w:sz w:val="16"/>
                <w:szCs w:val="16"/>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49,255</w:t>
            </w:r>
          </w:p>
        </w:tc>
        <w:tc>
          <w:tcPr>
            <w:tcW w:w="100" w:type="dxa"/>
            <w:vAlign w:val="bottom"/>
          </w:tcPr>
          <w:p>
            <w:pPr>
              <w:spacing w:after="0"/>
              <w:rPr>
                <w:sz w:val="16"/>
                <w:szCs w:val="16"/>
                <w:color w:val="auto"/>
              </w:rPr>
            </w:pPr>
          </w:p>
        </w:tc>
      </w:tr>
      <w:tr>
        <w:trPr>
          <w:trHeight w:val="193"/>
        </w:trPr>
        <w:tc>
          <w:tcPr>
            <w:tcW w:w="8900" w:type="dxa"/>
            <w:vAlign w:val="bottom"/>
          </w:tcPr>
          <w:p>
            <w:pPr>
              <w:ind w:left="220"/>
              <w:spacing w:after="0"/>
              <w:rPr>
                <w:sz w:val="20"/>
                <w:szCs w:val="20"/>
                <w:color w:val="auto"/>
              </w:rPr>
            </w:pPr>
            <w:r>
              <w:rPr>
                <w:rFonts w:ascii="Arial" w:cs="Arial" w:eastAsia="Arial" w:hAnsi="Arial"/>
                <w:sz w:val="14"/>
                <w:szCs w:val="14"/>
                <w:color w:val="auto"/>
              </w:rPr>
              <w:t>Income taxes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1"/>
              <w:spacing w:after="0"/>
              <w:rPr>
                <w:sz w:val="20"/>
                <w:szCs w:val="20"/>
                <w:color w:val="auto"/>
              </w:rPr>
            </w:pPr>
            <w:r>
              <w:rPr>
                <w:rFonts w:ascii="Arial" w:cs="Arial" w:eastAsia="Arial" w:hAnsi="Arial"/>
                <w:sz w:val="14"/>
                <w:szCs w:val="14"/>
                <w:b w:val="1"/>
                <w:bCs w:val="1"/>
                <w:color w:val="auto"/>
              </w:rPr>
              <w:t>1,300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1,900</w:t>
            </w:r>
          </w:p>
        </w:tc>
        <w:tc>
          <w:tcPr>
            <w:tcW w:w="100" w:type="dxa"/>
            <w:vAlign w:val="bottom"/>
          </w:tcPr>
          <w:p>
            <w:pPr>
              <w:spacing w:after="0"/>
              <w:rPr>
                <w:sz w:val="16"/>
                <w:szCs w:val="16"/>
                <w:color w:val="auto"/>
              </w:rPr>
            </w:pPr>
          </w:p>
        </w:tc>
      </w:tr>
    </w:tbl>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393700</wp:posOffset>
            </wp:positionV>
            <wp:extent cx="681101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50" w:right="379" w:bottom="1440" w:gutter="0" w:footer="0" w:header="0"/>
        </w:sectPr>
      </w:pPr>
    </w:p>
    <w:bookmarkStart w:id="68" w:name="page69"/>
    <w:bookmarkEnd w:id="68"/>
    <w:p>
      <w:pPr>
        <w:jc w:val="right"/>
        <w:ind w:right="100"/>
        <w:spacing w:after="0"/>
        <w:rPr>
          <w:sz w:val="20"/>
          <w:szCs w:val="20"/>
          <w:color w:val="auto"/>
        </w:rPr>
      </w:pPr>
      <w:r>
        <w:rPr>
          <w:rFonts w:ascii="Arial" w:cs="Arial" w:eastAsia="Arial" w:hAnsi="Arial"/>
          <w:sz w:val="14"/>
          <w:szCs w:val="14"/>
          <w:color w:val="001543"/>
        </w:rPr>
        <w:t>Financial Statements | Condensed Consolidated Statements of Changes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15875</wp:posOffset>
            </wp:positionV>
            <wp:extent cx="70072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05314D"/>
        </w:rPr>
        <w:t>FANNIE MAE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01543"/>
        </w:rPr>
        <w:t>(In conservatorship)</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05314D"/>
        </w:rPr>
        <w:t>Condensed Consolidated Statements of Changes in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05314D"/>
        </w:rPr>
        <w:t>Equity — (Unaudited)</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5314D"/>
        </w:rPr>
        <w:t>(Dollars and shares in millions)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2C6937"/>
            </w:tcBorders>
          </w:tcPr>
          <w:p>
            <w:pPr>
              <w:spacing w:after="0"/>
              <w:rPr>
                <w:sz w:val="13"/>
                <w:szCs w:val="13"/>
                <w:color w:val="auto"/>
              </w:rPr>
            </w:pPr>
          </w:p>
        </w:tc>
        <w:tc>
          <w:tcPr>
            <w:tcW w:w="100" w:type="dxa"/>
            <w:vAlign w:val="bottom"/>
            <w:tcBorders>
              <w:bottom w:val="single" w:sz="8" w:color="2C6937"/>
            </w:tcBorders>
          </w:tcPr>
          <w:p>
            <w:pPr>
              <w:spacing w:after="0"/>
              <w:rPr>
                <w:sz w:val="13"/>
                <w:szCs w:val="13"/>
                <w:color w:val="auto"/>
              </w:rPr>
            </w:pPr>
          </w:p>
        </w:tc>
        <w:tc>
          <w:tcPr>
            <w:tcW w:w="660" w:type="dxa"/>
            <w:vAlign w:val="bottom"/>
            <w:tcBorders>
              <w:bottom w:val="single" w:sz="8" w:color="2C6937"/>
            </w:tcBorders>
          </w:tcPr>
          <w:p>
            <w:pPr>
              <w:spacing w:after="0"/>
              <w:rPr>
                <w:sz w:val="13"/>
                <w:szCs w:val="13"/>
                <w:color w:val="auto"/>
              </w:rPr>
            </w:pPr>
          </w:p>
        </w:tc>
        <w:tc>
          <w:tcPr>
            <w:tcW w:w="100" w:type="dxa"/>
            <w:vAlign w:val="bottom"/>
            <w:tcBorders>
              <w:bottom w:val="single" w:sz="8" w:color="2C6937"/>
            </w:tcBorders>
          </w:tcPr>
          <w:p>
            <w:pPr>
              <w:spacing w:after="0"/>
              <w:rPr>
                <w:sz w:val="13"/>
                <w:szCs w:val="13"/>
                <w:color w:val="auto"/>
              </w:rPr>
            </w:pPr>
          </w:p>
        </w:tc>
        <w:tc>
          <w:tcPr>
            <w:tcW w:w="80" w:type="dxa"/>
            <w:vAlign w:val="bottom"/>
            <w:tcBorders>
              <w:bottom w:val="single" w:sz="8" w:color="2C6937"/>
            </w:tcBorders>
          </w:tcPr>
          <w:p>
            <w:pPr>
              <w:spacing w:after="0"/>
              <w:rPr>
                <w:sz w:val="13"/>
                <w:szCs w:val="13"/>
                <w:color w:val="auto"/>
              </w:rPr>
            </w:pPr>
          </w:p>
        </w:tc>
        <w:tc>
          <w:tcPr>
            <w:tcW w:w="580" w:type="dxa"/>
            <w:vAlign w:val="bottom"/>
            <w:tcBorders>
              <w:bottom w:val="single" w:sz="8" w:color="2C6937"/>
            </w:tcBorders>
          </w:tcPr>
          <w:p>
            <w:pPr>
              <w:spacing w:after="0"/>
              <w:rPr>
                <w:sz w:val="13"/>
                <w:szCs w:val="13"/>
                <w:color w:val="auto"/>
              </w:rPr>
            </w:pPr>
          </w:p>
        </w:tc>
        <w:tc>
          <w:tcPr>
            <w:tcW w:w="100" w:type="dxa"/>
            <w:vAlign w:val="bottom"/>
            <w:tcBorders>
              <w:bottom w:val="single" w:sz="8" w:color="2C6937"/>
            </w:tcBorders>
          </w:tcPr>
          <w:p>
            <w:pPr>
              <w:spacing w:after="0"/>
              <w:rPr>
                <w:sz w:val="13"/>
                <w:szCs w:val="13"/>
                <w:color w:val="auto"/>
              </w:rPr>
            </w:pPr>
          </w:p>
        </w:tc>
        <w:tc>
          <w:tcPr>
            <w:tcW w:w="160" w:type="dxa"/>
            <w:vAlign w:val="bottom"/>
            <w:tcBorders>
              <w:bottom w:val="single" w:sz="8" w:color="2C6937"/>
            </w:tcBorders>
          </w:tcPr>
          <w:p>
            <w:pPr>
              <w:spacing w:after="0"/>
              <w:rPr>
                <w:sz w:val="13"/>
                <w:szCs w:val="13"/>
                <w:color w:val="auto"/>
              </w:rPr>
            </w:pPr>
          </w:p>
        </w:tc>
        <w:tc>
          <w:tcPr>
            <w:tcW w:w="560" w:type="dxa"/>
            <w:vAlign w:val="bottom"/>
            <w:tcBorders>
              <w:bottom w:val="single" w:sz="8" w:color="2C6937"/>
            </w:tcBorders>
          </w:tcPr>
          <w:p>
            <w:pPr>
              <w:spacing w:after="0"/>
              <w:rPr>
                <w:sz w:val="13"/>
                <w:szCs w:val="13"/>
                <w:color w:val="auto"/>
              </w:rPr>
            </w:pPr>
          </w:p>
        </w:tc>
        <w:tc>
          <w:tcPr>
            <w:tcW w:w="120" w:type="dxa"/>
            <w:vAlign w:val="bottom"/>
            <w:tcBorders>
              <w:bottom w:val="single" w:sz="8" w:color="2C6937"/>
            </w:tcBorders>
          </w:tcPr>
          <w:p>
            <w:pPr>
              <w:spacing w:after="0"/>
              <w:rPr>
                <w:sz w:val="13"/>
                <w:szCs w:val="13"/>
                <w:color w:val="auto"/>
              </w:rPr>
            </w:pPr>
          </w:p>
        </w:tc>
        <w:tc>
          <w:tcPr>
            <w:tcW w:w="100" w:type="dxa"/>
            <w:vAlign w:val="bottom"/>
            <w:tcBorders>
              <w:bottom w:val="single" w:sz="8" w:color="2C6937"/>
            </w:tcBorders>
          </w:tcPr>
          <w:p>
            <w:pPr>
              <w:spacing w:after="0"/>
              <w:rPr>
                <w:sz w:val="13"/>
                <w:szCs w:val="13"/>
                <w:color w:val="auto"/>
              </w:rPr>
            </w:pPr>
          </w:p>
        </w:tc>
        <w:tc>
          <w:tcPr>
            <w:tcW w:w="2340" w:type="dxa"/>
            <w:vAlign w:val="bottom"/>
            <w:tcBorders>
              <w:bottom w:val="single" w:sz="8" w:color="2C6937"/>
            </w:tcBorders>
            <w:gridSpan w:val="7"/>
          </w:tcPr>
          <w:p>
            <w:pPr>
              <w:jc w:val="right"/>
              <w:ind w:right="630"/>
              <w:spacing w:after="0"/>
              <w:rPr>
                <w:sz w:val="20"/>
                <w:szCs w:val="20"/>
                <w:color w:val="auto"/>
              </w:rPr>
            </w:pPr>
            <w:r>
              <w:rPr>
                <w:rFonts w:ascii="Arial" w:cs="Arial" w:eastAsia="Arial" w:hAnsi="Arial"/>
                <w:sz w:val="10"/>
                <w:szCs w:val="10"/>
                <w:b w:val="1"/>
                <w:bCs w:val="1"/>
                <w:color w:val="auto"/>
              </w:rPr>
              <w:t>Fannie Mae Stockholders’ Equity</w:t>
            </w:r>
          </w:p>
        </w:tc>
        <w:tc>
          <w:tcPr>
            <w:tcW w:w="120" w:type="dxa"/>
            <w:vAlign w:val="bottom"/>
            <w:tcBorders>
              <w:bottom w:val="single" w:sz="8" w:color="2C6937"/>
            </w:tcBorders>
          </w:tcPr>
          <w:p>
            <w:pPr>
              <w:spacing w:after="0"/>
              <w:rPr>
                <w:sz w:val="13"/>
                <w:szCs w:val="13"/>
                <w:color w:val="auto"/>
              </w:rPr>
            </w:pPr>
          </w:p>
        </w:tc>
        <w:tc>
          <w:tcPr>
            <w:tcW w:w="120" w:type="dxa"/>
            <w:vAlign w:val="bottom"/>
            <w:tcBorders>
              <w:bottom w:val="single" w:sz="8" w:color="2C6937"/>
            </w:tcBorders>
          </w:tcPr>
          <w:p>
            <w:pPr>
              <w:spacing w:after="0"/>
              <w:rPr>
                <w:sz w:val="13"/>
                <w:szCs w:val="13"/>
                <w:color w:val="auto"/>
              </w:rPr>
            </w:pPr>
          </w:p>
        </w:tc>
        <w:tc>
          <w:tcPr>
            <w:tcW w:w="900" w:type="dxa"/>
            <w:vAlign w:val="bottom"/>
            <w:tcBorders>
              <w:bottom w:val="single" w:sz="8" w:color="2C6937"/>
            </w:tcBorders>
          </w:tcPr>
          <w:p>
            <w:pPr>
              <w:spacing w:after="0"/>
              <w:rPr>
                <w:sz w:val="13"/>
                <w:szCs w:val="13"/>
                <w:color w:val="auto"/>
              </w:rPr>
            </w:pPr>
          </w:p>
        </w:tc>
        <w:tc>
          <w:tcPr>
            <w:tcW w:w="120" w:type="dxa"/>
            <w:vAlign w:val="bottom"/>
            <w:tcBorders>
              <w:bottom w:val="single" w:sz="8" w:color="2C6937"/>
            </w:tcBorders>
          </w:tcPr>
          <w:p>
            <w:pPr>
              <w:spacing w:after="0"/>
              <w:rPr>
                <w:sz w:val="13"/>
                <w:szCs w:val="13"/>
                <w:color w:val="auto"/>
              </w:rPr>
            </w:pPr>
          </w:p>
        </w:tc>
        <w:tc>
          <w:tcPr>
            <w:tcW w:w="100" w:type="dxa"/>
            <w:vAlign w:val="bottom"/>
            <w:tcBorders>
              <w:bottom w:val="single" w:sz="8" w:color="2C6937"/>
            </w:tcBorders>
          </w:tcPr>
          <w:p>
            <w:pPr>
              <w:spacing w:after="0"/>
              <w:rPr>
                <w:sz w:val="13"/>
                <w:szCs w:val="13"/>
                <w:color w:val="auto"/>
              </w:rPr>
            </w:pPr>
          </w:p>
        </w:tc>
        <w:tc>
          <w:tcPr>
            <w:tcW w:w="540" w:type="dxa"/>
            <w:vAlign w:val="bottom"/>
            <w:tcBorders>
              <w:bottom w:val="single" w:sz="8" w:color="2C6937"/>
            </w:tcBorders>
          </w:tcPr>
          <w:p>
            <w:pPr>
              <w:spacing w:after="0"/>
              <w:rPr>
                <w:sz w:val="13"/>
                <w:szCs w:val="13"/>
                <w:color w:val="auto"/>
              </w:rPr>
            </w:pPr>
          </w:p>
        </w:tc>
        <w:tc>
          <w:tcPr>
            <w:tcW w:w="100" w:type="dxa"/>
            <w:vAlign w:val="bottom"/>
            <w:tcBorders>
              <w:bottom w:val="single" w:sz="8" w:color="2C6937"/>
            </w:tcBorders>
          </w:tcPr>
          <w:p>
            <w:pPr>
              <w:spacing w:after="0"/>
              <w:rPr>
                <w:sz w:val="13"/>
                <w:szCs w:val="13"/>
                <w:color w:val="auto"/>
              </w:rPr>
            </w:pPr>
          </w:p>
        </w:tc>
        <w:tc>
          <w:tcPr>
            <w:tcW w:w="120" w:type="dxa"/>
            <w:vAlign w:val="bottom"/>
            <w:tcBorders>
              <w:bottom w:val="single" w:sz="8" w:color="2C6937"/>
            </w:tcBorders>
          </w:tcPr>
          <w:p>
            <w:pPr>
              <w:spacing w:after="0"/>
              <w:rPr>
                <w:sz w:val="13"/>
                <w:szCs w:val="13"/>
                <w:color w:val="auto"/>
              </w:rPr>
            </w:pPr>
          </w:p>
        </w:tc>
        <w:tc>
          <w:tcPr>
            <w:tcW w:w="500" w:type="dxa"/>
            <w:vAlign w:val="bottom"/>
            <w:tcBorders>
              <w:bottom w:val="single" w:sz="8" w:color="2C6937"/>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Borders>
              <w:bottom w:val="single" w:sz="8" w:color="2C6937"/>
            </w:tcBorders>
            <w:gridSpan w:val="5"/>
          </w:tcPr>
          <w:p>
            <w:pPr>
              <w:ind w:left="620"/>
              <w:spacing w:after="0"/>
              <w:rPr>
                <w:sz w:val="20"/>
                <w:szCs w:val="20"/>
                <w:color w:val="auto"/>
              </w:rPr>
            </w:pPr>
            <w:r>
              <w:rPr>
                <w:rFonts w:ascii="Arial" w:cs="Arial" w:eastAsia="Arial" w:hAnsi="Arial"/>
                <w:sz w:val="10"/>
                <w:szCs w:val="10"/>
                <w:b w:val="1"/>
                <w:bCs w:val="1"/>
                <w:color w:val="auto"/>
              </w:rPr>
              <w:t>Shares Outstanding</w:t>
            </w:r>
          </w:p>
        </w:tc>
        <w:tc>
          <w:tcPr>
            <w:tcW w:w="58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center"/>
              <w:ind w:right="91"/>
              <w:spacing w:after="0"/>
              <w:rPr>
                <w:sz w:val="20"/>
                <w:szCs w:val="20"/>
                <w:color w:val="auto"/>
              </w:rPr>
            </w:pPr>
            <w:r>
              <w:rPr>
                <w:rFonts w:ascii="Arial" w:cs="Arial" w:eastAsia="Arial" w:hAnsi="Arial"/>
                <w:sz w:val="9"/>
                <w:szCs w:val="9"/>
                <w:b w:val="1"/>
                <w:bCs w:val="1"/>
                <w:color w:val="auto"/>
                <w:w w:val="99"/>
              </w:rPr>
              <w:t>Accumulated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2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vMerge w:val="restart"/>
          </w:tcPr>
          <w:p>
            <w:pPr>
              <w:jc w:val="right"/>
              <w:ind w:right="170"/>
              <w:spacing w:after="0"/>
              <w:rPr>
                <w:sz w:val="20"/>
                <w:szCs w:val="20"/>
                <w:color w:val="auto"/>
              </w:rPr>
            </w:pPr>
            <w:r>
              <w:rPr>
                <w:rFonts w:ascii="Arial" w:cs="Arial" w:eastAsia="Arial" w:hAnsi="Arial"/>
                <w:sz w:val="9"/>
                <w:szCs w:val="9"/>
                <w:b w:val="1"/>
                <w:bCs w:val="1"/>
                <w:color w:val="auto"/>
              </w:rPr>
              <w:t>Senior</w:t>
            </w: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restart"/>
          </w:tcPr>
          <w:p>
            <w:pPr>
              <w:jc w:val="right"/>
              <w:ind w:right="170"/>
              <w:spacing w:after="0"/>
              <w:rPr>
                <w:sz w:val="20"/>
                <w:szCs w:val="20"/>
                <w:color w:val="auto"/>
              </w:rPr>
            </w:pPr>
            <w:r>
              <w:rPr>
                <w:rFonts w:ascii="Arial" w:cs="Arial" w:eastAsia="Arial" w:hAnsi="Arial"/>
                <w:sz w:val="9"/>
                <w:szCs w:val="9"/>
                <w:b w:val="1"/>
                <w:bCs w:val="1"/>
                <w:color w:val="auto"/>
              </w:rPr>
              <w:t>Senior</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restart"/>
          </w:tcPr>
          <w:p>
            <w:pPr>
              <w:jc w:val="right"/>
              <w:ind w:right="90"/>
              <w:spacing w:after="0"/>
              <w:rPr>
                <w:sz w:val="20"/>
                <w:szCs w:val="20"/>
                <w:color w:val="auto"/>
              </w:rPr>
            </w:pPr>
            <w:r>
              <w:rPr>
                <w:rFonts w:ascii="Arial" w:cs="Arial" w:eastAsia="Arial" w:hAnsi="Arial"/>
                <w:sz w:val="9"/>
                <w:szCs w:val="9"/>
                <w:b w:val="1"/>
                <w:bCs w:val="1"/>
                <w:color w:val="auto"/>
                <w:w w:val="99"/>
              </w:rPr>
              <w:t>Preferred</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restart"/>
          </w:tcPr>
          <w:p>
            <w:pPr>
              <w:jc w:val="right"/>
              <w:ind w:right="110"/>
              <w:spacing w:after="0"/>
              <w:rPr>
                <w:sz w:val="20"/>
                <w:szCs w:val="20"/>
                <w:color w:val="auto"/>
              </w:rPr>
            </w:pPr>
            <w:r>
              <w:rPr>
                <w:rFonts w:ascii="Arial" w:cs="Arial" w:eastAsia="Arial" w:hAnsi="Arial"/>
                <w:sz w:val="9"/>
                <w:szCs w:val="9"/>
                <w:b w:val="1"/>
                <w:bCs w:val="1"/>
                <w:color w:val="auto"/>
              </w:rPr>
              <w:t>Common</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vMerge w:val="restart"/>
          </w:tcPr>
          <w:p>
            <w:pPr>
              <w:jc w:val="right"/>
              <w:ind w:right="90"/>
              <w:spacing w:after="0"/>
              <w:rPr>
                <w:sz w:val="20"/>
                <w:szCs w:val="20"/>
                <w:color w:val="auto"/>
              </w:rPr>
            </w:pPr>
            <w:r>
              <w:rPr>
                <w:rFonts w:ascii="Arial" w:cs="Arial" w:eastAsia="Arial" w:hAnsi="Arial"/>
                <w:sz w:val="9"/>
                <w:szCs w:val="9"/>
                <w:b w:val="1"/>
                <w:bCs w:val="1"/>
                <w:color w:val="auto"/>
              </w:rPr>
              <w:t>Accumulated</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jc w:val="center"/>
              <w:ind w:right="91"/>
              <w:spacing w:after="0" w:line="91" w:lineRule="exact"/>
              <w:rPr>
                <w:sz w:val="20"/>
                <w:szCs w:val="20"/>
                <w:color w:val="auto"/>
              </w:rPr>
            </w:pPr>
            <w:r>
              <w:rPr>
                <w:rFonts w:ascii="Arial" w:cs="Arial" w:eastAsia="Arial" w:hAnsi="Arial"/>
                <w:sz w:val="9"/>
                <w:szCs w:val="9"/>
                <w:b w:val="1"/>
                <w:bCs w:val="1"/>
                <w:color w:val="auto"/>
                <w:w w:val="99"/>
              </w:rPr>
              <w:t>Other</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restart"/>
          </w:tcPr>
          <w:p>
            <w:pPr>
              <w:jc w:val="center"/>
              <w:ind w:right="70"/>
              <w:spacing w:after="0"/>
              <w:rPr>
                <w:sz w:val="20"/>
                <w:szCs w:val="20"/>
                <w:color w:val="auto"/>
              </w:rPr>
            </w:pPr>
            <w:r>
              <w:rPr>
                <w:rFonts w:ascii="Arial" w:cs="Arial" w:eastAsia="Arial" w:hAnsi="Arial"/>
                <w:sz w:val="9"/>
                <w:szCs w:val="9"/>
                <w:b w:val="1"/>
                <w:bCs w:val="1"/>
                <w:color w:val="auto"/>
                <w:w w:val="99"/>
              </w:rPr>
              <w:t>Treasury</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restart"/>
          </w:tcPr>
          <w:p>
            <w:pPr>
              <w:jc w:val="right"/>
              <w:ind w:right="15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90"/>
        </w:trPr>
        <w:tc>
          <w:tcPr>
            <w:tcW w:w="2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restart"/>
          </w:tcPr>
          <w:p>
            <w:pPr>
              <w:jc w:val="right"/>
              <w:ind w:right="90"/>
              <w:spacing w:after="0"/>
              <w:rPr>
                <w:sz w:val="20"/>
                <w:szCs w:val="20"/>
                <w:color w:val="auto"/>
              </w:rPr>
            </w:pPr>
            <w:r>
              <w:rPr>
                <w:rFonts w:ascii="Arial" w:cs="Arial" w:eastAsia="Arial" w:hAnsi="Arial"/>
                <w:sz w:val="9"/>
                <w:szCs w:val="9"/>
                <w:b w:val="1"/>
                <w:bCs w:val="1"/>
                <w:color w:val="auto"/>
              </w:rPr>
              <w:t>Preferred</w:t>
            </w:r>
          </w:p>
        </w:tc>
        <w:tc>
          <w:tcPr>
            <w:tcW w:w="10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580" w:type="dxa"/>
            <w:vAlign w:val="bottom"/>
            <w:vMerge w:val="restart"/>
          </w:tcPr>
          <w:p>
            <w:pPr>
              <w:jc w:val="right"/>
              <w:ind w:right="90"/>
              <w:spacing w:after="0"/>
              <w:rPr>
                <w:sz w:val="20"/>
                <w:szCs w:val="20"/>
                <w:color w:val="auto"/>
              </w:rPr>
            </w:pPr>
            <w:r>
              <w:rPr>
                <w:rFonts w:ascii="Arial" w:cs="Arial" w:eastAsia="Arial" w:hAnsi="Arial"/>
                <w:sz w:val="9"/>
                <w:szCs w:val="9"/>
                <w:b w:val="1"/>
                <w:bCs w:val="1"/>
                <w:color w:val="auto"/>
              </w:rPr>
              <w:t>Common</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jc w:val="center"/>
              <w:ind w:right="71"/>
              <w:spacing w:after="0" w:line="91" w:lineRule="exact"/>
              <w:rPr>
                <w:sz w:val="20"/>
                <w:szCs w:val="20"/>
                <w:color w:val="auto"/>
              </w:rPr>
            </w:pPr>
            <w:r>
              <w:rPr>
                <w:rFonts w:ascii="Arial" w:cs="Arial" w:eastAsia="Arial" w:hAnsi="Arial"/>
                <w:sz w:val="9"/>
                <w:szCs w:val="9"/>
                <w:b w:val="1"/>
                <w:bCs w:val="1"/>
                <w:color w:val="auto"/>
                <w:w w:val="97"/>
              </w:rPr>
              <w:t>Comprehensive</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2C6937"/>
            </w:tcBorders>
          </w:tcPr>
          <w:p>
            <w:pPr>
              <w:jc w:val="right"/>
              <w:ind w:right="110"/>
              <w:spacing w:after="0"/>
              <w:rPr>
                <w:sz w:val="20"/>
                <w:szCs w:val="20"/>
                <w:color w:val="auto"/>
              </w:rPr>
            </w:pPr>
            <w:r>
              <w:rPr>
                <w:rFonts w:ascii="Arial" w:cs="Arial" w:eastAsia="Arial" w:hAnsi="Arial"/>
                <w:sz w:val="9"/>
                <w:szCs w:val="9"/>
                <w:b w:val="1"/>
                <w:bCs w:val="1"/>
                <w:color w:val="auto"/>
              </w:rPr>
              <w:t>Preferred</w:t>
            </w:r>
          </w:p>
        </w:tc>
        <w:tc>
          <w:tcPr>
            <w:tcW w:w="100" w:type="dxa"/>
            <w:vAlign w:val="bottom"/>
          </w:tcPr>
          <w:p>
            <w:pPr>
              <w:spacing w:after="0"/>
              <w:rPr>
                <w:sz w:val="11"/>
                <w:szCs w:val="11"/>
                <w:color w:val="auto"/>
              </w:rPr>
            </w:pPr>
          </w:p>
        </w:tc>
        <w:tc>
          <w:tcPr>
            <w:tcW w:w="660" w:type="dxa"/>
            <w:vAlign w:val="bottom"/>
            <w:tcBorders>
              <w:bottom w:val="single" w:sz="8" w:color="2C6937"/>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80" w:type="dxa"/>
            <w:vAlign w:val="bottom"/>
            <w:tcBorders>
              <w:bottom w:val="single" w:sz="8" w:color="2C6937"/>
            </w:tcBorders>
            <w:vMerge w:val="continue"/>
          </w:tcPr>
          <w:p>
            <w:pPr>
              <w:spacing w:after="0"/>
              <w:rPr>
                <w:sz w:val="11"/>
                <w:szCs w:val="11"/>
                <w:color w:val="auto"/>
              </w:rPr>
            </w:pPr>
          </w:p>
        </w:tc>
        <w:tc>
          <w:tcPr>
            <w:tcW w:w="580" w:type="dxa"/>
            <w:vAlign w:val="bottom"/>
            <w:tcBorders>
              <w:bottom w:val="single" w:sz="8" w:color="2C6937"/>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bottom w:val="single" w:sz="8" w:color="2C6937"/>
            </w:tcBorders>
            <w:gridSpan w:val="2"/>
          </w:tcPr>
          <w:p>
            <w:pPr>
              <w:ind w:left="40"/>
              <w:spacing w:after="0"/>
              <w:rPr>
                <w:sz w:val="20"/>
                <w:szCs w:val="20"/>
                <w:color w:val="auto"/>
              </w:rPr>
            </w:pPr>
            <w:r>
              <w:rPr>
                <w:rFonts w:ascii="Arial" w:cs="Arial" w:eastAsia="Arial" w:hAnsi="Arial"/>
                <w:sz w:val="9"/>
                <w:szCs w:val="9"/>
                <w:b w:val="1"/>
                <w:bCs w:val="1"/>
                <w:color w:val="auto"/>
                <w:w w:val="98"/>
              </w:rPr>
              <w:t>Preferred Stock</w:t>
            </w:r>
          </w:p>
        </w:tc>
        <w:tc>
          <w:tcPr>
            <w:tcW w:w="120" w:type="dxa"/>
            <w:vAlign w:val="bottom"/>
          </w:tcPr>
          <w:p>
            <w:pPr>
              <w:spacing w:after="0"/>
              <w:rPr>
                <w:sz w:val="11"/>
                <w:szCs w:val="11"/>
                <w:color w:val="auto"/>
              </w:rPr>
            </w:pPr>
          </w:p>
        </w:tc>
        <w:tc>
          <w:tcPr>
            <w:tcW w:w="100" w:type="dxa"/>
            <w:vAlign w:val="bottom"/>
            <w:tcBorders>
              <w:bottom w:val="single" w:sz="8" w:color="2C6937"/>
            </w:tcBorders>
          </w:tcPr>
          <w:p>
            <w:pPr>
              <w:spacing w:after="0"/>
              <w:rPr>
                <w:sz w:val="11"/>
                <w:szCs w:val="11"/>
                <w:color w:val="auto"/>
              </w:rPr>
            </w:pPr>
          </w:p>
        </w:tc>
        <w:tc>
          <w:tcPr>
            <w:tcW w:w="560" w:type="dxa"/>
            <w:vAlign w:val="bottom"/>
            <w:tcBorders>
              <w:bottom w:val="single" w:sz="8" w:color="2C6937"/>
            </w:tcBorders>
          </w:tcPr>
          <w:p>
            <w:pPr>
              <w:jc w:val="right"/>
              <w:ind w:right="150"/>
              <w:spacing w:after="0"/>
              <w:rPr>
                <w:sz w:val="20"/>
                <w:szCs w:val="20"/>
                <w:color w:val="auto"/>
              </w:rPr>
            </w:pPr>
            <w:r>
              <w:rPr>
                <w:rFonts w:ascii="Arial" w:cs="Arial" w:eastAsia="Arial" w:hAnsi="Arial"/>
                <w:sz w:val="9"/>
                <w:szCs w:val="9"/>
                <w:b w:val="1"/>
                <w:bCs w:val="1"/>
                <w:color w:val="auto"/>
              </w:rPr>
              <w:t>Stock</w:t>
            </w:r>
          </w:p>
        </w:tc>
        <w:tc>
          <w:tcPr>
            <w:tcW w:w="100" w:type="dxa"/>
            <w:vAlign w:val="bottom"/>
          </w:tcPr>
          <w:p>
            <w:pPr>
              <w:spacing w:after="0"/>
              <w:rPr>
                <w:sz w:val="11"/>
                <w:szCs w:val="11"/>
                <w:color w:val="auto"/>
              </w:rPr>
            </w:pPr>
          </w:p>
        </w:tc>
        <w:tc>
          <w:tcPr>
            <w:tcW w:w="120" w:type="dxa"/>
            <w:vAlign w:val="bottom"/>
            <w:tcBorders>
              <w:bottom w:val="single" w:sz="8" w:color="2C6937"/>
            </w:tcBorders>
          </w:tcPr>
          <w:p>
            <w:pPr>
              <w:spacing w:after="0"/>
              <w:rPr>
                <w:sz w:val="11"/>
                <w:szCs w:val="11"/>
                <w:color w:val="auto"/>
              </w:rPr>
            </w:pPr>
          </w:p>
        </w:tc>
        <w:tc>
          <w:tcPr>
            <w:tcW w:w="600" w:type="dxa"/>
            <w:vAlign w:val="bottom"/>
            <w:tcBorders>
              <w:bottom w:val="single" w:sz="8" w:color="2C6937"/>
            </w:tcBorders>
          </w:tcPr>
          <w:p>
            <w:pPr>
              <w:jc w:val="right"/>
              <w:ind w:right="190"/>
              <w:spacing w:after="0"/>
              <w:rPr>
                <w:sz w:val="20"/>
                <w:szCs w:val="20"/>
                <w:color w:val="auto"/>
              </w:rPr>
            </w:pPr>
            <w:r>
              <w:rPr>
                <w:rFonts w:ascii="Arial" w:cs="Arial" w:eastAsia="Arial" w:hAnsi="Arial"/>
                <w:sz w:val="9"/>
                <w:szCs w:val="9"/>
                <w:b w:val="1"/>
                <w:bCs w:val="1"/>
                <w:color w:val="auto"/>
              </w:rPr>
              <w:t>Stock</w:t>
            </w:r>
          </w:p>
        </w:tc>
        <w:tc>
          <w:tcPr>
            <w:tcW w:w="120" w:type="dxa"/>
            <w:vAlign w:val="bottom"/>
          </w:tcPr>
          <w:p>
            <w:pPr>
              <w:spacing w:after="0"/>
              <w:rPr>
                <w:sz w:val="11"/>
                <w:szCs w:val="11"/>
                <w:color w:val="auto"/>
              </w:rPr>
            </w:pPr>
          </w:p>
        </w:tc>
        <w:tc>
          <w:tcPr>
            <w:tcW w:w="100" w:type="dxa"/>
            <w:vAlign w:val="bottom"/>
            <w:tcBorders>
              <w:bottom w:val="single" w:sz="8" w:color="2C6937"/>
            </w:tcBorders>
          </w:tcPr>
          <w:p>
            <w:pPr>
              <w:spacing w:after="0"/>
              <w:rPr>
                <w:sz w:val="11"/>
                <w:szCs w:val="11"/>
                <w:color w:val="auto"/>
              </w:rPr>
            </w:pPr>
          </w:p>
        </w:tc>
        <w:tc>
          <w:tcPr>
            <w:tcW w:w="740" w:type="dxa"/>
            <w:vAlign w:val="bottom"/>
            <w:tcBorders>
              <w:bottom w:val="single" w:sz="8" w:color="2C6937"/>
            </w:tcBorders>
          </w:tcPr>
          <w:p>
            <w:pPr>
              <w:jc w:val="right"/>
              <w:ind w:right="230"/>
              <w:spacing w:after="0"/>
              <w:rPr>
                <w:sz w:val="20"/>
                <w:szCs w:val="20"/>
                <w:color w:val="auto"/>
              </w:rPr>
            </w:pPr>
            <w:r>
              <w:rPr>
                <w:rFonts w:ascii="Arial" w:cs="Arial" w:eastAsia="Arial" w:hAnsi="Arial"/>
                <w:sz w:val="9"/>
                <w:szCs w:val="9"/>
                <w:b w:val="1"/>
                <w:bCs w:val="1"/>
                <w:color w:val="auto"/>
              </w:rPr>
              <w:t>Deficit</w:t>
            </w:r>
          </w:p>
        </w:tc>
        <w:tc>
          <w:tcPr>
            <w:tcW w:w="120" w:type="dxa"/>
            <w:vAlign w:val="bottom"/>
          </w:tcPr>
          <w:p>
            <w:pPr>
              <w:spacing w:after="0"/>
              <w:rPr>
                <w:sz w:val="11"/>
                <w:szCs w:val="11"/>
                <w:color w:val="auto"/>
              </w:rPr>
            </w:pPr>
          </w:p>
        </w:tc>
        <w:tc>
          <w:tcPr>
            <w:tcW w:w="120" w:type="dxa"/>
            <w:vAlign w:val="bottom"/>
            <w:tcBorders>
              <w:bottom w:val="single" w:sz="8" w:color="2C6937"/>
            </w:tcBorders>
          </w:tcPr>
          <w:p>
            <w:pPr>
              <w:spacing w:after="0"/>
              <w:rPr>
                <w:sz w:val="11"/>
                <w:szCs w:val="11"/>
                <w:color w:val="auto"/>
              </w:rPr>
            </w:pPr>
          </w:p>
        </w:tc>
        <w:tc>
          <w:tcPr>
            <w:tcW w:w="900" w:type="dxa"/>
            <w:vAlign w:val="bottom"/>
            <w:tcBorders>
              <w:bottom w:val="single" w:sz="8" w:color="2C6937"/>
            </w:tcBorders>
          </w:tcPr>
          <w:p>
            <w:pPr>
              <w:jc w:val="center"/>
              <w:ind w:right="71"/>
              <w:spacing w:after="0"/>
              <w:rPr>
                <w:sz w:val="20"/>
                <w:szCs w:val="20"/>
                <w:color w:val="auto"/>
              </w:rPr>
            </w:pPr>
            <w:r>
              <w:rPr>
                <w:rFonts w:ascii="Arial" w:cs="Arial" w:eastAsia="Arial" w:hAnsi="Arial"/>
                <w:sz w:val="9"/>
                <w:szCs w:val="9"/>
                <w:b w:val="1"/>
                <w:bCs w:val="1"/>
                <w:color w:val="auto"/>
                <w:w w:val="95"/>
              </w:rPr>
              <w:t>Income</w:t>
            </w:r>
          </w:p>
        </w:tc>
        <w:tc>
          <w:tcPr>
            <w:tcW w:w="120" w:type="dxa"/>
            <w:vAlign w:val="bottom"/>
          </w:tcPr>
          <w:p>
            <w:pPr>
              <w:spacing w:after="0"/>
              <w:rPr>
                <w:sz w:val="11"/>
                <w:szCs w:val="11"/>
                <w:color w:val="auto"/>
              </w:rPr>
            </w:pPr>
          </w:p>
        </w:tc>
        <w:tc>
          <w:tcPr>
            <w:tcW w:w="100" w:type="dxa"/>
            <w:vAlign w:val="bottom"/>
            <w:tcBorders>
              <w:bottom w:val="single" w:sz="8" w:color="2C6937"/>
            </w:tcBorders>
          </w:tcPr>
          <w:p>
            <w:pPr>
              <w:spacing w:after="0"/>
              <w:rPr>
                <w:sz w:val="11"/>
                <w:szCs w:val="11"/>
                <w:color w:val="auto"/>
              </w:rPr>
            </w:pPr>
          </w:p>
        </w:tc>
        <w:tc>
          <w:tcPr>
            <w:tcW w:w="540" w:type="dxa"/>
            <w:vAlign w:val="bottom"/>
            <w:tcBorders>
              <w:bottom w:val="single" w:sz="8" w:color="2C6937"/>
            </w:tcBorders>
          </w:tcPr>
          <w:p>
            <w:pPr>
              <w:jc w:val="center"/>
              <w:ind w:right="70"/>
              <w:spacing w:after="0"/>
              <w:rPr>
                <w:sz w:val="20"/>
                <w:szCs w:val="20"/>
                <w:color w:val="auto"/>
              </w:rPr>
            </w:pPr>
            <w:r>
              <w:rPr>
                <w:rFonts w:ascii="Arial" w:cs="Arial" w:eastAsia="Arial" w:hAnsi="Arial"/>
                <w:sz w:val="9"/>
                <w:szCs w:val="9"/>
                <w:b w:val="1"/>
                <w:bCs w:val="1"/>
                <w:color w:val="auto"/>
              </w:rPr>
              <w:t>Stock</w:t>
            </w:r>
          </w:p>
        </w:tc>
        <w:tc>
          <w:tcPr>
            <w:tcW w:w="100" w:type="dxa"/>
            <w:vAlign w:val="bottom"/>
          </w:tcPr>
          <w:p>
            <w:pPr>
              <w:spacing w:after="0"/>
              <w:rPr>
                <w:sz w:val="11"/>
                <w:szCs w:val="11"/>
                <w:color w:val="auto"/>
              </w:rPr>
            </w:pPr>
          </w:p>
        </w:tc>
        <w:tc>
          <w:tcPr>
            <w:tcW w:w="120" w:type="dxa"/>
            <w:vAlign w:val="bottom"/>
            <w:tcBorders>
              <w:bottom w:val="single" w:sz="8" w:color="2C6937"/>
            </w:tcBorders>
          </w:tcPr>
          <w:p>
            <w:pPr>
              <w:spacing w:after="0"/>
              <w:rPr>
                <w:sz w:val="11"/>
                <w:szCs w:val="11"/>
                <w:color w:val="auto"/>
              </w:rPr>
            </w:pPr>
          </w:p>
        </w:tc>
        <w:tc>
          <w:tcPr>
            <w:tcW w:w="500" w:type="dxa"/>
            <w:vAlign w:val="bottom"/>
            <w:tcBorders>
              <w:bottom w:val="single" w:sz="8" w:color="2C6937"/>
            </w:tcBorders>
          </w:tcPr>
          <w:p>
            <w:pPr>
              <w:jc w:val="right"/>
              <w:ind w:right="130"/>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41"/>
        </w:trPr>
        <w:tc>
          <w:tcPr>
            <w:tcW w:w="2980" w:type="dxa"/>
            <w:vAlign w:val="bottom"/>
            <w:gridSpan w:val="2"/>
          </w:tcPr>
          <w:p>
            <w:pPr>
              <w:ind w:left="40"/>
              <w:spacing w:after="0"/>
              <w:rPr>
                <w:sz w:val="20"/>
                <w:szCs w:val="20"/>
                <w:color w:val="auto"/>
              </w:rPr>
            </w:pPr>
            <w:r>
              <w:rPr>
                <w:rFonts w:ascii="Arial" w:cs="Arial" w:eastAsia="Arial" w:hAnsi="Arial"/>
                <w:sz w:val="10"/>
                <w:szCs w:val="10"/>
                <w:b w:val="1"/>
                <w:bCs w:val="1"/>
                <w:color w:val="auto"/>
              </w:rPr>
              <w:t>Balance as of March 31, 2023</w:t>
            </w:r>
          </w:p>
        </w:tc>
        <w:tc>
          <w:tcPr>
            <w:tcW w:w="700" w:type="dxa"/>
            <w:vAlign w:val="bottom"/>
          </w:tcPr>
          <w:p>
            <w:pPr>
              <w:jc w:val="right"/>
              <w:ind w:right="30"/>
              <w:spacing w:after="0"/>
              <w:rPr>
                <w:sz w:val="20"/>
                <w:szCs w:val="20"/>
                <w:color w:val="auto"/>
              </w:rPr>
            </w:pPr>
            <w:r>
              <w:rPr>
                <w:rFonts w:ascii="Arial" w:cs="Arial" w:eastAsia="Arial" w:hAnsi="Arial"/>
                <w:sz w:val="10"/>
                <w:szCs w:val="10"/>
                <w:color w:val="auto"/>
              </w:rPr>
              <w:t>1</w:t>
            </w:r>
          </w:p>
        </w:tc>
        <w:tc>
          <w:tcPr>
            <w:tcW w:w="760" w:type="dxa"/>
            <w:vAlign w:val="bottom"/>
            <w:gridSpan w:val="2"/>
          </w:tcPr>
          <w:p>
            <w:pPr>
              <w:jc w:val="right"/>
              <w:ind w:right="10"/>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0"/>
              <w:spacing w:after="0"/>
              <w:rPr>
                <w:sz w:val="20"/>
                <w:szCs w:val="20"/>
                <w:color w:val="auto"/>
              </w:rPr>
            </w:pPr>
            <w:r>
              <w:rPr>
                <w:rFonts w:ascii="Arial" w:cs="Arial" w:eastAsia="Arial" w:hAnsi="Arial"/>
                <w:sz w:val="10"/>
                <w:szCs w:val="10"/>
                <w:color w:val="auto"/>
              </w:rPr>
              <w:t>1,158</w:t>
            </w:r>
          </w:p>
        </w:tc>
        <w:tc>
          <w:tcPr>
            <w:tcW w:w="26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120,836</w:t>
            </w:r>
          </w:p>
        </w:tc>
        <w:tc>
          <w:tcPr>
            <w:tcW w:w="22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10"/>
              <w:spacing w:after="0"/>
              <w:rPr>
                <w:sz w:val="20"/>
                <w:szCs w:val="20"/>
                <w:color w:val="auto"/>
              </w:rPr>
            </w:pPr>
            <w:r>
              <w:rPr>
                <w:rFonts w:ascii="Arial" w:cs="Arial" w:eastAsia="Arial" w:hAnsi="Arial"/>
                <w:sz w:val="10"/>
                <w:szCs w:val="10"/>
                <w:color w:val="auto"/>
              </w:rPr>
              <w:t>19,130</w:t>
            </w:r>
          </w:p>
        </w:tc>
        <w:tc>
          <w:tcPr>
            <w:tcW w:w="2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10"/>
              <w:spacing w:after="0"/>
              <w:rPr>
                <w:sz w:val="20"/>
                <w:szCs w:val="20"/>
                <w:color w:val="auto"/>
              </w:rPr>
            </w:pPr>
            <w:r>
              <w:rPr>
                <w:rFonts w:ascii="Arial" w:cs="Arial" w:eastAsia="Arial" w:hAnsi="Arial"/>
                <w:sz w:val="10"/>
                <w:szCs w:val="10"/>
                <w:color w:val="auto"/>
              </w:rPr>
              <w:t>687</w:t>
            </w:r>
          </w:p>
        </w:tc>
        <w:tc>
          <w:tcPr>
            <w:tcW w:w="2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(69,239)</w:t>
            </w:r>
          </w:p>
        </w:tc>
        <w:tc>
          <w:tcPr>
            <w:tcW w:w="2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35</w:t>
            </w:r>
          </w:p>
        </w:tc>
        <w:tc>
          <w:tcPr>
            <w:tcW w:w="2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(7,400)</w:t>
            </w:r>
          </w:p>
        </w:tc>
        <w:tc>
          <w:tcPr>
            <w:tcW w:w="2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64,049</w:t>
            </w:r>
          </w:p>
        </w:tc>
        <w:tc>
          <w:tcPr>
            <w:tcW w:w="0" w:type="dxa"/>
            <w:vAlign w:val="bottom"/>
          </w:tcPr>
          <w:p>
            <w:pPr>
              <w:spacing w:after="0"/>
              <w:rPr>
                <w:sz w:val="1"/>
                <w:szCs w:val="1"/>
                <w:color w:val="auto"/>
              </w:rPr>
            </w:pPr>
          </w:p>
        </w:tc>
      </w:tr>
      <w:tr>
        <w:trPr>
          <w:trHeight w:val="147"/>
        </w:trPr>
        <w:tc>
          <w:tcPr>
            <w:tcW w:w="2980" w:type="dxa"/>
            <w:vAlign w:val="bottom"/>
            <w:gridSpan w:val="2"/>
          </w:tcPr>
          <w:p>
            <w:pPr>
              <w:ind w:left="40"/>
              <w:spacing w:after="0"/>
              <w:rPr>
                <w:sz w:val="20"/>
                <w:szCs w:val="20"/>
                <w:color w:val="auto"/>
              </w:rPr>
            </w:pPr>
            <w:r>
              <w:rPr>
                <w:rFonts w:ascii="Arial" w:cs="Arial" w:eastAsia="Arial" w:hAnsi="Arial"/>
                <w:sz w:val="10"/>
                <w:szCs w:val="10"/>
                <w:color w:val="auto"/>
              </w:rPr>
              <w:t>Comprehensive income: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980" w:type="dxa"/>
            <w:vAlign w:val="bottom"/>
            <w:gridSpan w:val="2"/>
          </w:tcPr>
          <w:p>
            <w:pPr>
              <w:ind w:left="40"/>
              <w:spacing w:after="0"/>
              <w:rPr>
                <w:sz w:val="20"/>
                <w:szCs w:val="20"/>
                <w:color w:val="auto"/>
              </w:rPr>
            </w:pPr>
            <w:r>
              <w:rPr>
                <w:rFonts w:ascii="Arial" w:cs="Arial" w:eastAsia="Arial" w:hAnsi="Arial"/>
                <w:sz w:val="10"/>
                <w:szCs w:val="10"/>
                <w:color w:val="auto"/>
              </w:rPr>
              <w:t>Net income</w:t>
            </w:r>
          </w:p>
        </w:tc>
        <w:tc>
          <w:tcPr>
            <w:tcW w:w="700" w:type="dxa"/>
            <w:vAlign w:val="bottom"/>
          </w:tcPr>
          <w:p>
            <w:pPr>
              <w:jc w:val="right"/>
              <w:ind w:right="3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4,994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ind w:left="3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4,994</w:t>
            </w:r>
          </w:p>
        </w:tc>
        <w:tc>
          <w:tcPr>
            <w:tcW w:w="0" w:type="dxa"/>
            <w:vAlign w:val="bottom"/>
          </w:tcPr>
          <w:p>
            <w:pPr>
              <w:spacing w:after="0"/>
              <w:rPr>
                <w:sz w:val="1"/>
                <w:szCs w:val="1"/>
                <w:color w:val="auto"/>
              </w:rPr>
            </w:pPr>
          </w:p>
        </w:tc>
      </w:tr>
      <w:tr>
        <w:trPr>
          <w:trHeight w:val="155"/>
        </w:trPr>
        <w:tc>
          <w:tcPr>
            <w:tcW w:w="2980" w:type="dxa"/>
            <w:vAlign w:val="bottom"/>
            <w:gridSpan w:val="2"/>
          </w:tcPr>
          <w:p>
            <w:pPr>
              <w:ind w:left="40"/>
              <w:spacing w:after="0"/>
              <w:rPr>
                <w:sz w:val="20"/>
                <w:szCs w:val="20"/>
                <w:color w:val="auto"/>
              </w:rPr>
            </w:pPr>
            <w:r>
              <w:rPr>
                <w:rFonts w:ascii="Arial" w:cs="Arial" w:eastAsia="Arial" w:hAnsi="Arial"/>
                <w:sz w:val="10"/>
                <w:szCs w:val="10"/>
                <w:color w:val="auto"/>
              </w:rPr>
              <w:t>Other comprehensive income, net of tax effect:</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980" w:type="dxa"/>
            <w:vAlign w:val="bottom"/>
            <w:gridSpan w:val="2"/>
          </w:tcPr>
          <w:p>
            <w:pPr>
              <w:ind w:left="180"/>
              <w:spacing w:after="0"/>
              <w:rPr>
                <w:sz w:val="20"/>
                <w:szCs w:val="20"/>
                <w:color w:val="auto"/>
              </w:rPr>
            </w:pPr>
            <w:r>
              <w:rPr>
                <w:rFonts w:ascii="Arial" w:cs="Arial" w:eastAsia="Arial" w:hAnsi="Arial"/>
                <w:sz w:val="10"/>
                <w:szCs w:val="10"/>
                <w:color w:val="auto"/>
              </w:rPr>
              <w:t>Changes in net unrealized gains on available-for-sale</w:t>
            </w:r>
          </w:p>
        </w:tc>
        <w:tc>
          <w:tcPr>
            <w:tcW w:w="700" w:type="dxa"/>
            <w:vAlign w:val="bottom"/>
            <w:vMerge w:val="restart"/>
          </w:tcPr>
          <w:p>
            <w:pPr>
              <w:jc w:val="right"/>
              <w:ind w:right="3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0"/>
                <w:szCs w:val="10"/>
                <w:color w:val="auto"/>
              </w:rPr>
              <w:t>—</w:t>
            </w:r>
          </w:p>
        </w:tc>
        <w:tc>
          <w:tcPr>
            <w:tcW w:w="580" w:type="dxa"/>
            <w:vAlign w:val="bottom"/>
            <w:vMerge w:val="restart"/>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ind w:right="1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ind w:right="11"/>
              <w:spacing w:after="0"/>
              <w:rPr>
                <w:sz w:val="20"/>
                <w:szCs w:val="20"/>
                <w:color w:val="auto"/>
              </w:rPr>
            </w:pPr>
            <w:r>
              <w:rPr>
                <w:rFonts w:ascii="Arial" w:cs="Arial" w:eastAsia="Arial" w:hAnsi="Arial"/>
                <w:sz w:val="10"/>
                <w:szCs w:val="10"/>
                <w:color w:val="auto"/>
              </w:rPr>
              <w:t>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ind w:left="3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restart"/>
          </w:tcPr>
          <w:p>
            <w:pPr>
              <w:jc w:val="right"/>
              <w:ind w:right="10"/>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29"/>
        </w:trPr>
        <w:tc>
          <w:tcPr>
            <w:tcW w:w="2980" w:type="dxa"/>
            <w:vAlign w:val="bottom"/>
            <w:gridSpan w:val="2"/>
          </w:tcPr>
          <w:p>
            <w:pPr>
              <w:ind w:left="340"/>
              <w:spacing w:after="0"/>
              <w:rPr>
                <w:sz w:val="20"/>
                <w:szCs w:val="20"/>
                <w:color w:val="auto"/>
              </w:rPr>
            </w:pPr>
            <w:r>
              <w:rPr>
                <w:rFonts w:ascii="Arial" w:cs="Arial" w:eastAsia="Arial" w:hAnsi="Arial"/>
                <w:sz w:val="10"/>
                <w:szCs w:val="10"/>
                <w:color w:val="auto"/>
              </w:rPr>
              <w:t>securities (net of taxes of $1)</w:t>
            </w: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980" w:type="dxa"/>
            <w:vAlign w:val="bottom"/>
            <w:gridSpan w:val="2"/>
          </w:tcPr>
          <w:p>
            <w:pPr>
              <w:ind w:left="180"/>
              <w:spacing w:after="0"/>
              <w:rPr>
                <w:sz w:val="20"/>
                <w:szCs w:val="20"/>
                <w:color w:val="auto"/>
              </w:rPr>
            </w:pPr>
            <w:r>
              <w:rPr>
                <w:rFonts w:ascii="Arial" w:cs="Arial" w:eastAsia="Arial" w:hAnsi="Arial"/>
                <w:sz w:val="10"/>
                <w:szCs w:val="10"/>
                <w:color w:val="auto"/>
              </w:rPr>
              <w:t>Other (net of taxes of $1)</w:t>
            </w:r>
          </w:p>
        </w:tc>
        <w:tc>
          <w:tcPr>
            <w:tcW w:w="700" w:type="dxa"/>
            <w:vAlign w:val="bottom"/>
          </w:tcPr>
          <w:p>
            <w:pPr>
              <w:jc w:val="right"/>
              <w:ind w:right="3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ind w:left="3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22"/>
        </w:trPr>
        <w:tc>
          <w:tcPr>
            <w:tcW w:w="2980" w:type="dxa"/>
            <w:vAlign w:val="bottom"/>
            <w:gridSpan w:val="2"/>
            <w:vMerge w:val="restart"/>
          </w:tcPr>
          <w:p>
            <w:pPr>
              <w:ind w:left="40"/>
              <w:spacing w:after="0"/>
              <w:rPr>
                <w:sz w:val="20"/>
                <w:szCs w:val="20"/>
                <w:color w:val="auto"/>
              </w:rPr>
            </w:pPr>
            <w:r>
              <w:rPr>
                <w:rFonts w:ascii="Arial" w:cs="Arial" w:eastAsia="Arial" w:hAnsi="Arial"/>
                <w:sz w:val="10"/>
                <w:szCs w:val="10"/>
                <w:color w:val="auto"/>
              </w:rPr>
              <w:t>Total comprehensive income</w:t>
            </w: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50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298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4,995</w:t>
            </w:r>
          </w:p>
        </w:tc>
        <w:tc>
          <w:tcPr>
            <w:tcW w:w="0" w:type="dxa"/>
            <w:vAlign w:val="bottom"/>
          </w:tcPr>
          <w:p>
            <w:pPr>
              <w:spacing w:after="0"/>
              <w:rPr>
                <w:sz w:val="1"/>
                <w:szCs w:val="1"/>
                <w:color w:val="auto"/>
              </w:rPr>
            </w:pPr>
          </w:p>
        </w:tc>
      </w:tr>
      <w:tr>
        <w:trPr>
          <w:trHeight w:val="22"/>
        </w:trPr>
        <w:tc>
          <w:tcPr>
            <w:tcW w:w="28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5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56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5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60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90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5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50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880" w:type="dxa"/>
            <w:vAlign w:val="bottom"/>
          </w:tcPr>
          <w:p>
            <w:pPr>
              <w:ind w:left="40"/>
              <w:spacing w:after="0"/>
              <w:rPr>
                <w:sz w:val="20"/>
                <w:szCs w:val="20"/>
                <w:color w:val="auto"/>
              </w:rPr>
            </w:pPr>
            <w:r>
              <w:rPr>
                <w:rFonts w:ascii="Arial" w:cs="Arial" w:eastAsia="Arial" w:hAnsi="Arial"/>
                <w:sz w:val="10"/>
                <w:szCs w:val="10"/>
                <w:b w:val="1"/>
                <w:bCs w:val="1"/>
                <w:color w:val="auto"/>
              </w:rPr>
              <w:t>Balance as of June 30, 2023</w:t>
            </w:r>
          </w:p>
        </w:tc>
        <w:tc>
          <w:tcPr>
            <w:tcW w:w="100" w:type="dxa"/>
            <w:vAlign w:val="bottom"/>
          </w:tcPr>
          <w:p>
            <w:pPr>
              <w:spacing w:after="0"/>
              <w:rPr>
                <w:sz w:val="12"/>
                <w:szCs w:val="12"/>
                <w:color w:val="auto"/>
              </w:rPr>
            </w:pPr>
          </w:p>
        </w:tc>
        <w:tc>
          <w:tcPr>
            <w:tcW w:w="700" w:type="dxa"/>
            <w:vAlign w:val="bottom"/>
          </w:tcPr>
          <w:p>
            <w:pPr>
              <w:jc w:val="right"/>
              <w:ind w:right="30"/>
              <w:spacing w:after="0"/>
              <w:rPr>
                <w:sz w:val="20"/>
                <w:szCs w:val="20"/>
                <w:color w:val="auto"/>
              </w:rPr>
            </w:pPr>
            <w:r>
              <w:rPr>
                <w:rFonts w:ascii="Arial" w:cs="Arial" w:eastAsia="Arial" w:hAnsi="Arial"/>
                <w:sz w:val="10"/>
                <w:szCs w:val="10"/>
                <w:color w:val="auto"/>
              </w:rPr>
              <w:t>1</w:t>
            </w:r>
          </w:p>
        </w:tc>
        <w:tc>
          <w:tcPr>
            <w:tcW w:w="760" w:type="dxa"/>
            <w:vAlign w:val="bottom"/>
            <w:gridSpan w:val="2"/>
          </w:tcPr>
          <w:p>
            <w:pPr>
              <w:jc w:val="right"/>
              <w:ind w:right="10"/>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0"/>
              <w:spacing w:after="0"/>
              <w:rPr>
                <w:sz w:val="20"/>
                <w:szCs w:val="20"/>
                <w:color w:val="auto"/>
              </w:rPr>
            </w:pPr>
            <w:r>
              <w:rPr>
                <w:rFonts w:ascii="Arial" w:cs="Arial" w:eastAsia="Arial" w:hAnsi="Arial"/>
                <w:sz w:val="10"/>
                <w:szCs w:val="10"/>
                <w:color w:val="auto"/>
              </w:rPr>
              <w:t>1,158</w:t>
            </w:r>
          </w:p>
        </w:tc>
        <w:tc>
          <w:tcPr>
            <w:tcW w:w="26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120,836</w:t>
            </w:r>
          </w:p>
        </w:tc>
        <w:tc>
          <w:tcPr>
            <w:tcW w:w="22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10"/>
              <w:spacing w:after="0"/>
              <w:rPr>
                <w:sz w:val="20"/>
                <w:szCs w:val="20"/>
                <w:color w:val="auto"/>
              </w:rPr>
            </w:pPr>
            <w:r>
              <w:rPr>
                <w:rFonts w:ascii="Arial" w:cs="Arial" w:eastAsia="Arial" w:hAnsi="Arial"/>
                <w:sz w:val="10"/>
                <w:szCs w:val="10"/>
                <w:color w:val="auto"/>
              </w:rPr>
              <w:t>19,130</w:t>
            </w:r>
          </w:p>
        </w:tc>
        <w:tc>
          <w:tcPr>
            <w:tcW w:w="2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10"/>
              <w:spacing w:after="0"/>
              <w:rPr>
                <w:sz w:val="20"/>
                <w:szCs w:val="20"/>
                <w:color w:val="auto"/>
              </w:rPr>
            </w:pPr>
            <w:r>
              <w:rPr>
                <w:rFonts w:ascii="Arial" w:cs="Arial" w:eastAsia="Arial" w:hAnsi="Arial"/>
                <w:sz w:val="10"/>
                <w:szCs w:val="10"/>
                <w:color w:val="auto"/>
              </w:rPr>
              <w:t>687</w:t>
            </w:r>
          </w:p>
        </w:tc>
        <w:tc>
          <w:tcPr>
            <w:tcW w:w="2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(64,245)</w:t>
            </w:r>
          </w:p>
        </w:tc>
        <w:tc>
          <w:tcPr>
            <w:tcW w:w="2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36</w:t>
            </w:r>
          </w:p>
        </w:tc>
        <w:tc>
          <w:tcPr>
            <w:tcW w:w="2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(7,400)</w:t>
            </w:r>
          </w:p>
        </w:tc>
        <w:tc>
          <w:tcPr>
            <w:tcW w:w="2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69,044</w:t>
            </w:r>
          </w:p>
        </w:tc>
        <w:tc>
          <w:tcPr>
            <w:tcW w:w="0" w:type="dxa"/>
            <w:vAlign w:val="bottom"/>
          </w:tcPr>
          <w:p>
            <w:pPr>
              <w:spacing w:after="0"/>
              <w:rPr>
                <w:sz w:val="1"/>
                <w:szCs w:val="1"/>
                <w:color w:val="auto"/>
              </w:rPr>
            </w:pPr>
          </w:p>
        </w:tc>
      </w:tr>
      <w:tr>
        <w:trPr>
          <w:trHeight w:val="24"/>
        </w:trPr>
        <w:tc>
          <w:tcPr>
            <w:tcW w:w="288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2C6937"/>
              <w:bottom w:val="single" w:sz="8" w:color="2C6937"/>
            </w:tcBorders>
          </w:tcPr>
          <w:p>
            <w:pPr>
              <w:spacing w:after="0"/>
              <w:rPr>
                <w:sz w:val="2"/>
                <w:szCs w:val="2"/>
                <w:color w:val="auto"/>
              </w:rPr>
            </w:pPr>
          </w:p>
        </w:tc>
        <w:tc>
          <w:tcPr>
            <w:tcW w:w="58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2C6937"/>
              <w:bottom w:val="single" w:sz="8" w:color="2C6937"/>
            </w:tcBorders>
          </w:tcPr>
          <w:p>
            <w:pPr>
              <w:spacing w:after="0"/>
              <w:rPr>
                <w:sz w:val="2"/>
                <w:szCs w:val="2"/>
                <w:color w:val="auto"/>
              </w:rPr>
            </w:pPr>
          </w:p>
        </w:tc>
        <w:tc>
          <w:tcPr>
            <w:tcW w:w="560" w:type="dxa"/>
            <w:vAlign w:val="bottom"/>
            <w:tcBorders>
              <w:top w:val="single" w:sz="8" w:color="2C6937"/>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5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2C6937"/>
              <w:bottom w:val="single" w:sz="8" w:color="2C6937"/>
            </w:tcBorders>
          </w:tcPr>
          <w:p>
            <w:pPr>
              <w:spacing w:after="0"/>
              <w:rPr>
                <w:sz w:val="2"/>
                <w:szCs w:val="2"/>
                <w:color w:val="auto"/>
              </w:rPr>
            </w:pPr>
          </w:p>
        </w:tc>
        <w:tc>
          <w:tcPr>
            <w:tcW w:w="600" w:type="dxa"/>
            <w:vAlign w:val="bottom"/>
            <w:tcBorders>
              <w:top w:val="single" w:sz="8" w:color="2C6937"/>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740" w:type="dxa"/>
            <w:vAlign w:val="bottom"/>
            <w:tcBorders>
              <w:top w:val="single" w:sz="8" w:color="2C6937"/>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2C6937"/>
              <w:bottom w:val="single" w:sz="8" w:color="2C6937"/>
            </w:tcBorders>
          </w:tcPr>
          <w:p>
            <w:pPr>
              <w:spacing w:after="0"/>
              <w:rPr>
                <w:sz w:val="2"/>
                <w:szCs w:val="2"/>
                <w:color w:val="auto"/>
              </w:rPr>
            </w:pPr>
          </w:p>
        </w:tc>
        <w:tc>
          <w:tcPr>
            <w:tcW w:w="900" w:type="dxa"/>
            <w:vAlign w:val="bottom"/>
            <w:tcBorders>
              <w:top w:val="single" w:sz="8" w:color="2C6937"/>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54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2C6937"/>
              <w:bottom w:val="single" w:sz="8" w:color="2C6937"/>
            </w:tcBorders>
          </w:tcPr>
          <w:p>
            <w:pPr>
              <w:spacing w:after="0"/>
              <w:rPr>
                <w:sz w:val="2"/>
                <w:szCs w:val="2"/>
                <w:color w:val="auto"/>
              </w:rPr>
            </w:pPr>
          </w:p>
        </w:tc>
        <w:tc>
          <w:tcPr>
            <w:tcW w:w="500" w:type="dxa"/>
            <w:vAlign w:val="bottom"/>
            <w:tcBorders>
              <w:top w:val="single" w:sz="8" w:color="2C6937"/>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2C6937"/>
            </w:tcBorders>
          </w:tcPr>
          <w:p>
            <w:pPr>
              <w:spacing w:after="0"/>
              <w:rPr>
                <w:sz w:val="13"/>
                <w:szCs w:val="13"/>
                <w:color w:val="auto"/>
              </w:rPr>
            </w:pPr>
          </w:p>
        </w:tc>
        <w:tc>
          <w:tcPr>
            <w:tcW w:w="100" w:type="dxa"/>
            <w:vAlign w:val="bottom"/>
            <w:tcBorders>
              <w:bottom w:val="single" w:sz="8" w:color="2C6937"/>
            </w:tcBorders>
          </w:tcPr>
          <w:p>
            <w:pPr>
              <w:spacing w:after="0"/>
              <w:rPr>
                <w:sz w:val="13"/>
                <w:szCs w:val="13"/>
                <w:color w:val="auto"/>
              </w:rPr>
            </w:pPr>
          </w:p>
        </w:tc>
        <w:tc>
          <w:tcPr>
            <w:tcW w:w="660" w:type="dxa"/>
            <w:vAlign w:val="bottom"/>
            <w:tcBorders>
              <w:bottom w:val="single" w:sz="8" w:color="2C6937"/>
            </w:tcBorders>
          </w:tcPr>
          <w:p>
            <w:pPr>
              <w:spacing w:after="0"/>
              <w:rPr>
                <w:sz w:val="13"/>
                <w:szCs w:val="13"/>
                <w:color w:val="auto"/>
              </w:rPr>
            </w:pPr>
          </w:p>
        </w:tc>
        <w:tc>
          <w:tcPr>
            <w:tcW w:w="100" w:type="dxa"/>
            <w:vAlign w:val="bottom"/>
            <w:tcBorders>
              <w:bottom w:val="single" w:sz="8" w:color="2C6937"/>
            </w:tcBorders>
          </w:tcPr>
          <w:p>
            <w:pPr>
              <w:spacing w:after="0"/>
              <w:rPr>
                <w:sz w:val="13"/>
                <w:szCs w:val="13"/>
                <w:color w:val="auto"/>
              </w:rPr>
            </w:pPr>
          </w:p>
        </w:tc>
        <w:tc>
          <w:tcPr>
            <w:tcW w:w="80" w:type="dxa"/>
            <w:vAlign w:val="bottom"/>
            <w:tcBorders>
              <w:bottom w:val="single" w:sz="8" w:color="2C6937"/>
            </w:tcBorders>
          </w:tcPr>
          <w:p>
            <w:pPr>
              <w:spacing w:after="0"/>
              <w:rPr>
                <w:sz w:val="13"/>
                <w:szCs w:val="13"/>
                <w:color w:val="auto"/>
              </w:rPr>
            </w:pPr>
          </w:p>
        </w:tc>
        <w:tc>
          <w:tcPr>
            <w:tcW w:w="580" w:type="dxa"/>
            <w:vAlign w:val="bottom"/>
            <w:tcBorders>
              <w:bottom w:val="single" w:sz="8" w:color="2C6937"/>
            </w:tcBorders>
          </w:tcPr>
          <w:p>
            <w:pPr>
              <w:spacing w:after="0"/>
              <w:rPr>
                <w:sz w:val="13"/>
                <w:szCs w:val="13"/>
                <w:color w:val="auto"/>
              </w:rPr>
            </w:pPr>
          </w:p>
        </w:tc>
        <w:tc>
          <w:tcPr>
            <w:tcW w:w="100" w:type="dxa"/>
            <w:vAlign w:val="bottom"/>
            <w:tcBorders>
              <w:bottom w:val="single" w:sz="8" w:color="2C6937"/>
            </w:tcBorders>
          </w:tcPr>
          <w:p>
            <w:pPr>
              <w:spacing w:after="0"/>
              <w:rPr>
                <w:sz w:val="13"/>
                <w:szCs w:val="13"/>
                <w:color w:val="auto"/>
              </w:rPr>
            </w:pPr>
          </w:p>
        </w:tc>
        <w:tc>
          <w:tcPr>
            <w:tcW w:w="160" w:type="dxa"/>
            <w:vAlign w:val="bottom"/>
            <w:tcBorders>
              <w:bottom w:val="single" w:sz="8" w:color="2C6937"/>
            </w:tcBorders>
          </w:tcPr>
          <w:p>
            <w:pPr>
              <w:spacing w:after="0"/>
              <w:rPr>
                <w:sz w:val="13"/>
                <w:szCs w:val="13"/>
                <w:color w:val="auto"/>
              </w:rPr>
            </w:pPr>
          </w:p>
        </w:tc>
        <w:tc>
          <w:tcPr>
            <w:tcW w:w="560" w:type="dxa"/>
            <w:vAlign w:val="bottom"/>
            <w:tcBorders>
              <w:bottom w:val="single" w:sz="8" w:color="2C6937"/>
            </w:tcBorders>
          </w:tcPr>
          <w:p>
            <w:pPr>
              <w:spacing w:after="0"/>
              <w:rPr>
                <w:sz w:val="13"/>
                <w:szCs w:val="13"/>
                <w:color w:val="auto"/>
              </w:rPr>
            </w:pPr>
          </w:p>
        </w:tc>
        <w:tc>
          <w:tcPr>
            <w:tcW w:w="120" w:type="dxa"/>
            <w:vAlign w:val="bottom"/>
            <w:tcBorders>
              <w:bottom w:val="single" w:sz="8" w:color="2C6937"/>
            </w:tcBorders>
          </w:tcPr>
          <w:p>
            <w:pPr>
              <w:spacing w:after="0"/>
              <w:rPr>
                <w:sz w:val="13"/>
                <w:szCs w:val="13"/>
                <w:color w:val="auto"/>
              </w:rPr>
            </w:pPr>
          </w:p>
        </w:tc>
        <w:tc>
          <w:tcPr>
            <w:tcW w:w="100" w:type="dxa"/>
            <w:vAlign w:val="bottom"/>
            <w:tcBorders>
              <w:bottom w:val="single" w:sz="8" w:color="2C6937"/>
            </w:tcBorders>
          </w:tcPr>
          <w:p>
            <w:pPr>
              <w:spacing w:after="0"/>
              <w:rPr>
                <w:sz w:val="13"/>
                <w:szCs w:val="13"/>
                <w:color w:val="auto"/>
              </w:rPr>
            </w:pPr>
          </w:p>
        </w:tc>
        <w:tc>
          <w:tcPr>
            <w:tcW w:w="2340" w:type="dxa"/>
            <w:vAlign w:val="bottom"/>
            <w:tcBorders>
              <w:bottom w:val="single" w:sz="8" w:color="2C6937"/>
            </w:tcBorders>
            <w:gridSpan w:val="7"/>
          </w:tcPr>
          <w:p>
            <w:pPr>
              <w:jc w:val="right"/>
              <w:ind w:right="630"/>
              <w:spacing w:after="0"/>
              <w:rPr>
                <w:sz w:val="20"/>
                <w:szCs w:val="20"/>
                <w:color w:val="auto"/>
              </w:rPr>
            </w:pPr>
            <w:r>
              <w:rPr>
                <w:rFonts w:ascii="Arial" w:cs="Arial" w:eastAsia="Arial" w:hAnsi="Arial"/>
                <w:sz w:val="10"/>
                <w:szCs w:val="10"/>
                <w:b w:val="1"/>
                <w:bCs w:val="1"/>
                <w:color w:val="auto"/>
              </w:rPr>
              <w:t>Fannie Mae Stockholders’ Equity</w:t>
            </w:r>
          </w:p>
        </w:tc>
        <w:tc>
          <w:tcPr>
            <w:tcW w:w="120" w:type="dxa"/>
            <w:vAlign w:val="bottom"/>
            <w:tcBorders>
              <w:bottom w:val="single" w:sz="8" w:color="2C6937"/>
            </w:tcBorders>
          </w:tcPr>
          <w:p>
            <w:pPr>
              <w:spacing w:after="0"/>
              <w:rPr>
                <w:sz w:val="13"/>
                <w:szCs w:val="13"/>
                <w:color w:val="auto"/>
              </w:rPr>
            </w:pPr>
          </w:p>
        </w:tc>
        <w:tc>
          <w:tcPr>
            <w:tcW w:w="120" w:type="dxa"/>
            <w:vAlign w:val="bottom"/>
            <w:tcBorders>
              <w:bottom w:val="single" w:sz="8" w:color="2C6937"/>
            </w:tcBorders>
          </w:tcPr>
          <w:p>
            <w:pPr>
              <w:spacing w:after="0"/>
              <w:rPr>
                <w:sz w:val="13"/>
                <w:szCs w:val="13"/>
                <w:color w:val="auto"/>
              </w:rPr>
            </w:pPr>
          </w:p>
        </w:tc>
        <w:tc>
          <w:tcPr>
            <w:tcW w:w="900" w:type="dxa"/>
            <w:vAlign w:val="bottom"/>
            <w:tcBorders>
              <w:bottom w:val="single" w:sz="8" w:color="2C6937"/>
            </w:tcBorders>
          </w:tcPr>
          <w:p>
            <w:pPr>
              <w:spacing w:after="0"/>
              <w:rPr>
                <w:sz w:val="13"/>
                <w:szCs w:val="13"/>
                <w:color w:val="auto"/>
              </w:rPr>
            </w:pPr>
          </w:p>
        </w:tc>
        <w:tc>
          <w:tcPr>
            <w:tcW w:w="120" w:type="dxa"/>
            <w:vAlign w:val="bottom"/>
            <w:tcBorders>
              <w:bottom w:val="single" w:sz="8" w:color="2C6937"/>
            </w:tcBorders>
          </w:tcPr>
          <w:p>
            <w:pPr>
              <w:spacing w:after="0"/>
              <w:rPr>
                <w:sz w:val="13"/>
                <w:szCs w:val="13"/>
                <w:color w:val="auto"/>
              </w:rPr>
            </w:pPr>
          </w:p>
        </w:tc>
        <w:tc>
          <w:tcPr>
            <w:tcW w:w="100" w:type="dxa"/>
            <w:vAlign w:val="bottom"/>
            <w:tcBorders>
              <w:bottom w:val="single" w:sz="8" w:color="2C6937"/>
            </w:tcBorders>
          </w:tcPr>
          <w:p>
            <w:pPr>
              <w:spacing w:after="0"/>
              <w:rPr>
                <w:sz w:val="13"/>
                <w:szCs w:val="13"/>
                <w:color w:val="auto"/>
              </w:rPr>
            </w:pPr>
          </w:p>
        </w:tc>
        <w:tc>
          <w:tcPr>
            <w:tcW w:w="540" w:type="dxa"/>
            <w:vAlign w:val="bottom"/>
            <w:tcBorders>
              <w:bottom w:val="single" w:sz="8" w:color="2C6937"/>
            </w:tcBorders>
          </w:tcPr>
          <w:p>
            <w:pPr>
              <w:spacing w:after="0"/>
              <w:rPr>
                <w:sz w:val="13"/>
                <w:szCs w:val="13"/>
                <w:color w:val="auto"/>
              </w:rPr>
            </w:pPr>
          </w:p>
        </w:tc>
        <w:tc>
          <w:tcPr>
            <w:tcW w:w="100" w:type="dxa"/>
            <w:vAlign w:val="bottom"/>
            <w:tcBorders>
              <w:bottom w:val="single" w:sz="8" w:color="2C6937"/>
            </w:tcBorders>
          </w:tcPr>
          <w:p>
            <w:pPr>
              <w:spacing w:after="0"/>
              <w:rPr>
                <w:sz w:val="13"/>
                <w:szCs w:val="13"/>
                <w:color w:val="auto"/>
              </w:rPr>
            </w:pPr>
          </w:p>
        </w:tc>
        <w:tc>
          <w:tcPr>
            <w:tcW w:w="120" w:type="dxa"/>
            <w:vAlign w:val="bottom"/>
            <w:tcBorders>
              <w:bottom w:val="single" w:sz="8" w:color="2C6937"/>
            </w:tcBorders>
          </w:tcPr>
          <w:p>
            <w:pPr>
              <w:spacing w:after="0"/>
              <w:rPr>
                <w:sz w:val="13"/>
                <w:szCs w:val="13"/>
                <w:color w:val="auto"/>
              </w:rPr>
            </w:pPr>
          </w:p>
        </w:tc>
        <w:tc>
          <w:tcPr>
            <w:tcW w:w="500" w:type="dxa"/>
            <w:vAlign w:val="bottom"/>
            <w:tcBorders>
              <w:bottom w:val="single" w:sz="8" w:color="2C6937"/>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Borders>
              <w:bottom w:val="single" w:sz="8" w:color="2C6937"/>
            </w:tcBorders>
            <w:gridSpan w:val="5"/>
          </w:tcPr>
          <w:p>
            <w:pPr>
              <w:ind w:left="620"/>
              <w:spacing w:after="0"/>
              <w:rPr>
                <w:sz w:val="20"/>
                <w:szCs w:val="20"/>
                <w:color w:val="auto"/>
              </w:rPr>
            </w:pPr>
            <w:r>
              <w:rPr>
                <w:rFonts w:ascii="Arial" w:cs="Arial" w:eastAsia="Arial" w:hAnsi="Arial"/>
                <w:sz w:val="10"/>
                <w:szCs w:val="10"/>
                <w:b w:val="1"/>
                <w:bCs w:val="1"/>
                <w:color w:val="auto"/>
              </w:rPr>
              <w:t>Shares Outstanding</w:t>
            </w:r>
          </w:p>
        </w:tc>
        <w:tc>
          <w:tcPr>
            <w:tcW w:w="58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center"/>
              <w:ind w:right="91"/>
              <w:spacing w:after="0"/>
              <w:rPr>
                <w:sz w:val="20"/>
                <w:szCs w:val="20"/>
                <w:color w:val="auto"/>
              </w:rPr>
            </w:pPr>
            <w:r>
              <w:rPr>
                <w:rFonts w:ascii="Arial" w:cs="Arial" w:eastAsia="Arial" w:hAnsi="Arial"/>
                <w:sz w:val="9"/>
                <w:szCs w:val="9"/>
                <w:b w:val="1"/>
                <w:bCs w:val="1"/>
                <w:color w:val="auto"/>
                <w:w w:val="99"/>
              </w:rPr>
              <w:t>Accumulated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2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vMerge w:val="restart"/>
          </w:tcPr>
          <w:p>
            <w:pPr>
              <w:jc w:val="right"/>
              <w:ind w:right="170"/>
              <w:spacing w:after="0"/>
              <w:rPr>
                <w:sz w:val="20"/>
                <w:szCs w:val="20"/>
                <w:color w:val="auto"/>
              </w:rPr>
            </w:pPr>
            <w:r>
              <w:rPr>
                <w:rFonts w:ascii="Arial" w:cs="Arial" w:eastAsia="Arial" w:hAnsi="Arial"/>
                <w:sz w:val="9"/>
                <w:szCs w:val="9"/>
                <w:b w:val="1"/>
                <w:bCs w:val="1"/>
                <w:color w:val="auto"/>
              </w:rPr>
              <w:t>Senior</w:t>
            </w: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restart"/>
          </w:tcPr>
          <w:p>
            <w:pPr>
              <w:jc w:val="right"/>
              <w:ind w:right="170"/>
              <w:spacing w:after="0"/>
              <w:rPr>
                <w:sz w:val="20"/>
                <w:szCs w:val="20"/>
                <w:color w:val="auto"/>
              </w:rPr>
            </w:pPr>
            <w:r>
              <w:rPr>
                <w:rFonts w:ascii="Arial" w:cs="Arial" w:eastAsia="Arial" w:hAnsi="Arial"/>
                <w:sz w:val="9"/>
                <w:szCs w:val="9"/>
                <w:b w:val="1"/>
                <w:bCs w:val="1"/>
                <w:color w:val="auto"/>
              </w:rPr>
              <w:t>Senior</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restart"/>
          </w:tcPr>
          <w:p>
            <w:pPr>
              <w:jc w:val="right"/>
              <w:ind w:right="90"/>
              <w:spacing w:after="0"/>
              <w:rPr>
                <w:sz w:val="20"/>
                <w:szCs w:val="20"/>
                <w:color w:val="auto"/>
              </w:rPr>
            </w:pPr>
            <w:r>
              <w:rPr>
                <w:rFonts w:ascii="Arial" w:cs="Arial" w:eastAsia="Arial" w:hAnsi="Arial"/>
                <w:sz w:val="9"/>
                <w:szCs w:val="9"/>
                <w:b w:val="1"/>
                <w:bCs w:val="1"/>
                <w:color w:val="auto"/>
                <w:w w:val="99"/>
              </w:rPr>
              <w:t>Preferred</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restart"/>
          </w:tcPr>
          <w:p>
            <w:pPr>
              <w:jc w:val="right"/>
              <w:ind w:right="110"/>
              <w:spacing w:after="0"/>
              <w:rPr>
                <w:sz w:val="20"/>
                <w:szCs w:val="20"/>
                <w:color w:val="auto"/>
              </w:rPr>
            </w:pPr>
            <w:r>
              <w:rPr>
                <w:rFonts w:ascii="Arial" w:cs="Arial" w:eastAsia="Arial" w:hAnsi="Arial"/>
                <w:sz w:val="9"/>
                <w:szCs w:val="9"/>
                <w:b w:val="1"/>
                <w:bCs w:val="1"/>
                <w:color w:val="auto"/>
              </w:rPr>
              <w:t>Common</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vMerge w:val="restart"/>
          </w:tcPr>
          <w:p>
            <w:pPr>
              <w:jc w:val="right"/>
              <w:ind w:right="90"/>
              <w:spacing w:after="0"/>
              <w:rPr>
                <w:sz w:val="20"/>
                <w:szCs w:val="20"/>
                <w:color w:val="auto"/>
              </w:rPr>
            </w:pPr>
            <w:r>
              <w:rPr>
                <w:rFonts w:ascii="Arial" w:cs="Arial" w:eastAsia="Arial" w:hAnsi="Arial"/>
                <w:sz w:val="9"/>
                <w:szCs w:val="9"/>
                <w:b w:val="1"/>
                <w:bCs w:val="1"/>
                <w:color w:val="auto"/>
              </w:rPr>
              <w:t>Accumulated</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jc w:val="center"/>
              <w:ind w:right="91"/>
              <w:spacing w:after="0" w:line="91" w:lineRule="exact"/>
              <w:rPr>
                <w:sz w:val="20"/>
                <w:szCs w:val="20"/>
                <w:color w:val="auto"/>
              </w:rPr>
            </w:pPr>
            <w:r>
              <w:rPr>
                <w:rFonts w:ascii="Arial" w:cs="Arial" w:eastAsia="Arial" w:hAnsi="Arial"/>
                <w:sz w:val="9"/>
                <w:szCs w:val="9"/>
                <w:b w:val="1"/>
                <w:bCs w:val="1"/>
                <w:color w:val="auto"/>
                <w:w w:val="99"/>
              </w:rPr>
              <w:t>Other</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restart"/>
          </w:tcPr>
          <w:p>
            <w:pPr>
              <w:jc w:val="center"/>
              <w:ind w:right="70"/>
              <w:spacing w:after="0"/>
              <w:rPr>
                <w:sz w:val="20"/>
                <w:szCs w:val="20"/>
                <w:color w:val="auto"/>
              </w:rPr>
            </w:pPr>
            <w:r>
              <w:rPr>
                <w:rFonts w:ascii="Arial" w:cs="Arial" w:eastAsia="Arial" w:hAnsi="Arial"/>
                <w:sz w:val="9"/>
                <w:szCs w:val="9"/>
                <w:b w:val="1"/>
                <w:bCs w:val="1"/>
                <w:color w:val="auto"/>
                <w:w w:val="99"/>
              </w:rPr>
              <w:t>Treasury</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restart"/>
          </w:tcPr>
          <w:p>
            <w:pPr>
              <w:jc w:val="right"/>
              <w:ind w:right="15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90"/>
        </w:trPr>
        <w:tc>
          <w:tcPr>
            <w:tcW w:w="2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restart"/>
          </w:tcPr>
          <w:p>
            <w:pPr>
              <w:jc w:val="right"/>
              <w:ind w:right="90"/>
              <w:spacing w:after="0"/>
              <w:rPr>
                <w:sz w:val="20"/>
                <w:szCs w:val="20"/>
                <w:color w:val="auto"/>
              </w:rPr>
            </w:pPr>
            <w:r>
              <w:rPr>
                <w:rFonts w:ascii="Arial" w:cs="Arial" w:eastAsia="Arial" w:hAnsi="Arial"/>
                <w:sz w:val="9"/>
                <w:szCs w:val="9"/>
                <w:b w:val="1"/>
                <w:bCs w:val="1"/>
                <w:color w:val="auto"/>
              </w:rPr>
              <w:t>Preferred</w:t>
            </w:r>
          </w:p>
        </w:tc>
        <w:tc>
          <w:tcPr>
            <w:tcW w:w="10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580" w:type="dxa"/>
            <w:vAlign w:val="bottom"/>
            <w:vMerge w:val="restart"/>
          </w:tcPr>
          <w:p>
            <w:pPr>
              <w:jc w:val="right"/>
              <w:ind w:right="90"/>
              <w:spacing w:after="0"/>
              <w:rPr>
                <w:sz w:val="20"/>
                <w:szCs w:val="20"/>
                <w:color w:val="auto"/>
              </w:rPr>
            </w:pPr>
            <w:r>
              <w:rPr>
                <w:rFonts w:ascii="Arial" w:cs="Arial" w:eastAsia="Arial" w:hAnsi="Arial"/>
                <w:sz w:val="9"/>
                <w:szCs w:val="9"/>
                <w:b w:val="1"/>
                <w:bCs w:val="1"/>
                <w:color w:val="auto"/>
              </w:rPr>
              <w:t>Common</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jc w:val="center"/>
              <w:ind w:right="71"/>
              <w:spacing w:after="0" w:line="91" w:lineRule="exact"/>
              <w:rPr>
                <w:sz w:val="20"/>
                <w:szCs w:val="20"/>
                <w:color w:val="auto"/>
              </w:rPr>
            </w:pPr>
            <w:r>
              <w:rPr>
                <w:rFonts w:ascii="Arial" w:cs="Arial" w:eastAsia="Arial" w:hAnsi="Arial"/>
                <w:sz w:val="9"/>
                <w:szCs w:val="9"/>
                <w:b w:val="1"/>
                <w:bCs w:val="1"/>
                <w:color w:val="auto"/>
                <w:w w:val="97"/>
              </w:rPr>
              <w:t>Comprehensive</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2C6937"/>
            </w:tcBorders>
          </w:tcPr>
          <w:p>
            <w:pPr>
              <w:jc w:val="right"/>
              <w:ind w:right="110"/>
              <w:spacing w:after="0"/>
              <w:rPr>
                <w:sz w:val="20"/>
                <w:szCs w:val="20"/>
                <w:color w:val="auto"/>
              </w:rPr>
            </w:pPr>
            <w:r>
              <w:rPr>
                <w:rFonts w:ascii="Arial" w:cs="Arial" w:eastAsia="Arial" w:hAnsi="Arial"/>
                <w:sz w:val="9"/>
                <w:szCs w:val="9"/>
                <w:b w:val="1"/>
                <w:bCs w:val="1"/>
                <w:color w:val="auto"/>
              </w:rPr>
              <w:t>Preferred</w:t>
            </w:r>
          </w:p>
        </w:tc>
        <w:tc>
          <w:tcPr>
            <w:tcW w:w="100" w:type="dxa"/>
            <w:vAlign w:val="bottom"/>
          </w:tcPr>
          <w:p>
            <w:pPr>
              <w:spacing w:after="0"/>
              <w:rPr>
                <w:sz w:val="11"/>
                <w:szCs w:val="11"/>
                <w:color w:val="auto"/>
              </w:rPr>
            </w:pPr>
          </w:p>
        </w:tc>
        <w:tc>
          <w:tcPr>
            <w:tcW w:w="660" w:type="dxa"/>
            <w:vAlign w:val="bottom"/>
            <w:tcBorders>
              <w:bottom w:val="single" w:sz="8" w:color="2C6937"/>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80" w:type="dxa"/>
            <w:vAlign w:val="bottom"/>
            <w:tcBorders>
              <w:bottom w:val="single" w:sz="8" w:color="2C6937"/>
            </w:tcBorders>
            <w:vMerge w:val="continue"/>
          </w:tcPr>
          <w:p>
            <w:pPr>
              <w:spacing w:after="0"/>
              <w:rPr>
                <w:sz w:val="11"/>
                <w:szCs w:val="11"/>
                <w:color w:val="auto"/>
              </w:rPr>
            </w:pPr>
          </w:p>
        </w:tc>
        <w:tc>
          <w:tcPr>
            <w:tcW w:w="580" w:type="dxa"/>
            <w:vAlign w:val="bottom"/>
            <w:tcBorders>
              <w:bottom w:val="single" w:sz="8" w:color="2C6937"/>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bottom w:val="single" w:sz="8" w:color="2C6937"/>
            </w:tcBorders>
            <w:gridSpan w:val="2"/>
          </w:tcPr>
          <w:p>
            <w:pPr>
              <w:ind w:left="40"/>
              <w:spacing w:after="0"/>
              <w:rPr>
                <w:sz w:val="20"/>
                <w:szCs w:val="20"/>
                <w:color w:val="auto"/>
              </w:rPr>
            </w:pPr>
            <w:r>
              <w:rPr>
                <w:rFonts w:ascii="Arial" w:cs="Arial" w:eastAsia="Arial" w:hAnsi="Arial"/>
                <w:sz w:val="9"/>
                <w:szCs w:val="9"/>
                <w:b w:val="1"/>
                <w:bCs w:val="1"/>
                <w:color w:val="auto"/>
                <w:w w:val="98"/>
              </w:rPr>
              <w:t>Preferred Stock</w:t>
            </w:r>
          </w:p>
        </w:tc>
        <w:tc>
          <w:tcPr>
            <w:tcW w:w="120" w:type="dxa"/>
            <w:vAlign w:val="bottom"/>
          </w:tcPr>
          <w:p>
            <w:pPr>
              <w:spacing w:after="0"/>
              <w:rPr>
                <w:sz w:val="11"/>
                <w:szCs w:val="11"/>
                <w:color w:val="auto"/>
              </w:rPr>
            </w:pPr>
          </w:p>
        </w:tc>
        <w:tc>
          <w:tcPr>
            <w:tcW w:w="100" w:type="dxa"/>
            <w:vAlign w:val="bottom"/>
            <w:tcBorders>
              <w:bottom w:val="single" w:sz="8" w:color="2C6937"/>
            </w:tcBorders>
          </w:tcPr>
          <w:p>
            <w:pPr>
              <w:spacing w:after="0"/>
              <w:rPr>
                <w:sz w:val="11"/>
                <w:szCs w:val="11"/>
                <w:color w:val="auto"/>
              </w:rPr>
            </w:pPr>
          </w:p>
        </w:tc>
        <w:tc>
          <w:tcPr>
            <w:tcW w:w="560" w:type="dxa"/>
            <w:vAlign w:val="bottom"/>
            <w:tcBorders>
              <w:bottom w:val="single" w:sz="8" w:color="2C6937"/>
            </w:tcBorders>
          </w:tcPr>
          <w:p>
            <w:pPr>
              <w:jc w:val="right"/>
              <w:ind w:right="150"/>
              <w:spacing w:after="0"/>
              <w:rPr>
                <w:sz w:val="20"/>
                <w:szCs w:val="20"/>
                <w:color w:val="auto"/>
              </w:rPr>
            </w:pPr>
            <w:r>
              <w:rPr>
                <w:rFonts w:ascii="Arial" w:cs="Arial" w:eastAsia="Arial" w:hAnsi="Arial"/>
                <w:sz w:val="9"/>
                <w:szCs w:val="9"/>
                <w:b w:val="1"/>
                <w:bCs w:val="1"/>
                <w:color w:val="auto"/>
              </w:rPr>
              <w:t>Stock</w:t>
            </w:r>
          </w:p>
        </w:tc>
        <w:tc>
          <w:tcPr>
            <w:tcW w:w="100" w:type="dxa"/>
            <w:vAlign w:val="bottom"/>
          </w:tcPr>
          <w:p>
            <w:pPr>
              <w:spacing w:after="0"/>
              <w:rPr>
                <w:sz w:val="11"/>
                <w:szCs w:val="11"/>
                <w:color w:val="auto"/>
              </w:rPr>
            </w:pPr>
          </w:p>
        </w:tc>
        <w:tc>
          <w:tcPr>
            <w:tcW w:w="120" w:type="dxa"/>
            <w:vAlign w:val="bottom"/>
            <w:tcBorders>
              <w:bottom w:val="single" w:sz="8" w:color="2C6937"/>
            </w:tcBorders>
          </w:tcPr>
          <w:p>
            <w:pPr>
              <w:spacing w:after="0"/>
              <w:rPr>
                <w:sz w:val="11"/>
                <w:szCs w:val="11"/>
                <w:color w:val="auto"/>
              </w:rPr>
            </w:pPr>
          </w:p>
        </w:tc>
        <w:tc>
          <w:tcPr>
            <w:tcW w:w="600" w:type="dxa"/>
            <w:vAlign w:val="bottom"/>
            <w:tcBorders>
              <w:bottom w:val="single" w:sz="8" w:color="2C6937"/>
            </w:tcBorders>
          </w:tcPr>
          <w:p>
            <w:pPr>
              <w:jc w:val="right"/>
              <w:ind w:right="190"/>
              <w:spacing w:after="0"/>
              <w:rPr>
                <w:sz w:val="20"/>
                <w:szCs w:val="20"/>
                <w:color w:val="auto"/>
              </w:rPr>
            </w:pPr>
            <w:r>
              <w:rPr>
                <w:rFonts w:ascii="Arial" w:cs="Arial" w:eastAsia="Arial" w:hAnsi="Arial"/>
                <w:sz w:val="9"/>
                <w:szCs w:val="9"/>
                <w:b w:val="1"/>
                <w:bCs w:val="1"/>
                <w:color w:val="auto"/>
              </w:rPr>
              <w:t>Stock</w:t>
            </w:r>
          </w:p>
        </w:tc>
        <w:tc>
          <w:tcPr>
            <w:tcW w:w="120" w:type="dxa"/>
            <w:vAlign w:val="bottom"/>
          </w:tcPr>
          <w:p>
            <w:pPr>
              <w:spacing w:after="0"/>
              <w:rPr>
                <w:sz w:val="11"/>
                <w:szCs w:val="11"/>
                <w:color w:val="auto"/>
              </w:rPr>
            </w:pPr>
          </w:p>
        </w:tc>
        <w:tc>
          <w:tcPr>
            <w:tcW w:w="100" w:type="dxa"/>
            <w:vAlign w:val="bottom"/>
            <w:tcBorders>
              <w:bottom w:val="single" w:sz="8" w:color="2C6937"/>
            </w:tcBorders>
          </w:tcPr>
          <w:p>
            <w:pPr>
              <w:spacing w:after="0"/>
              <w:rPr>
                <w:sz w:val="11"/>
                <w:szCs w:val="11"/>
                <w:color w:val="auto"/>
              </w:rPr>
            </w:pPr>
          </w:p>
        </w:tc>
        <w:tc>
          <w:tcPr>
            <w:tcW w:w="740" w:type="dxa"/>
            <w:vAlign w:val="bottom"/>
            <w:tcBorders>
              <w:bottom w:val="single" w:sz="8" w:color="2C6937"/>
            </w:tcBorders>
          </w:tcPr>
          <w:p>
            <w:pPr>
              <w:jc w:val="right"/>
              <w:ind w:right="230"/>
              <w:spacing w:after="0"/>
              <w:rPr>
                <w:sz w:val="20"/>
                <w:szCs w:val="20"/>
                <w:color w:val="auto"/>
              </w:rPr>
            </w:pPr>
            <w:r>
              <w:rPr>
                <w:rFonts w:ascii="Arial" w:cs="Arial" w:eastAsia="Arial" w:hAnsi="Arial"/>
                <w:sz w:val="9"/>
                <w:szCs w:val="9"/>
                <w:b w:val="1"/>
                <w:bCs w:val="1"/>
                <w:color w:val="auto"/>
              </w:rPr>
              <w:t>Deficit</w:t>
            </w:r>
          </w:p>
        </w:tc>
        <w:tc>
          <w:tcPr>
            <w:tcW w:w="120" w:type="dxa"/>
            <w:vAlign w:val="bottom"/>
          </w:tcPr>
          <w:p>
            <w:pPr>
              <w:spacing w:after="0"/>
              <w:rPr>
                <w:sz w:val="11"/>
                <w:szCs w:val="11"/>
                <w:color w:val="auto"/>
              </w:rPr>
            </w:pPr>
          </w:p>
        </w:tc>
        <w:tc>
          <w:tcPr>
            <w:tcW w:w="120" w:type="dxa"/>
            <w:vAlign w:val="bottom"/>
            <w:tcBorders>
              <w:bottom w:val="single" w:sz="8" w:color="2C6937"/>
            </w:tcBorders>
          </w:tcPr>
          <w:p>
            <w:pPr>
              <w:spacing w:after="0"/>
              <w:rPr>
                <w:sz w:val="11"/>
                <w:szCs w:val="11"/>
                <w:color w:val="auto"/>
              </w:rPr>
            </w:pPr>
          </w:p>
        </w:tc>
        <w:tc>
          <w:tcPr>
            <w:tcW w:w="900" w:type="dxa"/>
            <w:vAlign w:val="bottom"/>
            <w:tcBorders>
              <w:bottom w:val="single" w:sz="8" w:color="2C6937"/>
            </w:tcBorders>
          </w:tcPr>
          <w:p>
            <w:pPr>
              <w:jc w:val="center"/>
              <w:ind w:right="91"/>
              <w:spacing w:after="0"/>
              <w:rPr>
                <w:sz w:val="20"/>
                <w:szCs w:val="20"/>
                <w:color w:val="auto"/>
              </w:rPr>
            </w:pPr>
            <w:r>
              <w:rPr>
                <w:rFonts w:ascii="Arial" w:cs="Arial" w:eastAsia="Arial" w:hAnsi="Arial"/>
                <w:sz w:val="9"/>
                <w:szCs w:val="9"/>
                <w:b w:val="1"/>
                <w:bCs w:val="1"/>
                <w:color w:val="auto"/>
              </w:rPr>
              <w:t>Income</w:t>
            </w:r>
          </w:p>
        </w:tc>
        <w:tc>
          <w:tcPr>
            <w:tcW w:w="120" w:type="dxa"/>
            <w:vAlign w:val="bottom"/>
          </w:tcPr>
          <w:p>
            <w:pPr>
              <w:spacing w:after="0"/>
              <w:rPr>
                <w:sz w:val="11"/>
                <w:szCs w:val="11"/>
                <w:color w:val="auto"/>
              </w:rPr>
            </w:pPr>
          </w:p>
        </w:tc>
        <w:tc>
          <w:tcPr>
            <w:tcW w:w="100" w:type="dxa"/>
            <w:vAlign w:val="bottom"/>
            <w:tcBorders>
              <w:bottom w:val="single" w:sz="8" w:color="2C6937"/>
            </w:tcBorders>
          </w:tcPr>
          <w:p>
            <w:pPr>
              <w:spacing w:after="0"/>
              <w:rPr>
                <w:sz w:val="11"/>
                <w:szCs w:val="11"/>
                <w:color w:val="auto"/>
              </w:rPr>
            </w:pPr>
          </w:p>
        </w:tc>
        <w:tc>
          <w:tcPr>
            <w:tcW w:w="540" w:type="dxa"/>
            <w:vAlign w:val="bottom"/>
            <w:tcBorders>
              <w:bottom w:val="single" w:sz="8" w:color="2C6937"/>
            </w:tcBorders>
          </w:tcPr>
          <w:p>
            <w:pPr>
              <w:jc w:val="center"/>
              <w:ind w:right="70"/>
              <w:spacing w:after="0"/>
              <w:rPr>
                <w:sz w:val="20"/>
                <w:szCs w:val="20"/>
                <w:color w:val="auto"/>
              </w:rPr>
            </w:pPr>
            <w:r>
              <w:rPr>
                <w:rFonts w:ascii="Arial" w:cs="Arial" w:eastAsia="Arial" w:hAnsi="Arial"/>
                <w:sz w:val="9"/>
                <w:szCs w:val="9"/>
                <w:b w:val="1"/>
                <w:bCs w:val="1"/>
                <w:color w:val="auto"/>
              </w:rPr>
              <w:t>Stock</w:t>
            </w:r>
          </w:p>
        </w:tc>
        <w:tc>
          <w:tcPr>
            <w:tcW w:w="100" w:type="dxa"/>
            <w:vAlign w:val="bottom"/>
          </w:tcPr>
          <w:p>
            <w:pPr>
              <w:spacing w:after="0"/>
              <w:rPr>
                <w:sz w:val="11"/>
                <w:szCs w:val="11"/>
                <w:color w:val="auto"/>
              </w:rPr>
            </w:pPr>
          </w:p>
        </w:tc>
        <w:tc>
          <w:tcPr>
            <w:tcW w:w="120" w:type="dxa"/>
            <w:vAlign w:val="bottom"/>
            <w:tcBorders>
              <w:bottom w:val="single" w:sz="8" w:color="2C6937"/>
            </w:tcBorders>
          </w:tcPr>
          <w:p>
            <w:pPr>
              <w:spacing w:after="0"/>
              <w:rPr>
                <w:sz w:val="11"/>
                <w:szCs w:val="11"/>
                <w:color w:val="auto"/>
              </w:rPr>
            </w:pPr>
          </w:p>
        </w:tc>
        <w:tc>
          <w:tcPr>
            <w:tcW w:w="500" w:type="dxa"/>
            <w:vAlign w:val="bottom"/>
            <w:tcBorders>
              <w:bottom w:val="single" w:sz="8" w:color="2C6937"/>
            </w:tcBorders>
          </w:tcPr>
          <w:p>
            <w:pPr>
              <w:jc w:val="right"/>
              <w:ind w:right="130"/>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41"/>
        </w:trPr>
        <w:tc>
          <w:tcPr>
            <w:tcW w:w="2980" w:type="dxa"/>
            <w:vAlign w:val="bottom"/>
            <w:gridSpan w:val="2"/>
          </w:tcPr>
          <w:p>
            <w:pPr>
              <w:ind w:left="20"/>
              <w:spacing w:after="0"/>
              <w:rPr>
                <w:sz w:val="20"/>
                <w:szCs w:val="20"/>
                <w:color w:val="auto"/>
              </w:rPr>
            </w:pPr>
            <w:r>
              <w:rPr>
                <w:rFonts w:ascii="Arial" w:cs="Arial" w:eastAsia="Arial" w:hAnsi="Arial"/>
                <w:sz w:val="10"/>
                <w:szCs w:val="10"/>
                <w:b w:val="1"/>
                <w:bCs w:val="1"/>
                <w:color w:val="auto"/>
              </w:rPr>
              <w:t>Balance as of December 31, 2022</w:t>
            </w:r>
          </w:p>
        </w:tc>
        <w:tc>
          <w:tcPr>
            <w:tcW w:w="700" w:type="dxa"/>
            <w:vAlign w:val="bottom"/>
          </w:tcPr>
          <w:p>
            <w:pPr>
              <w:jc w:val="right"/>
              <w:ind w:right="30"/>
              <w:spacing w:after="0"/>
              <w:rPr>
                <w:sz w:val="20"/>
                <w:szCs w:val="20"/>
                <w:color w:val="auto"/>
              </w:rPr>
            </w:pPr>
            <w:r>
              <w:rPr>
                <w:rFonts w:ascii="Arial" w:cs="Arial" w:eastAsia="Arial" w:hAnsi="Arial"/>
                <w:sz w:val="10"/>
                <w:szCs w:val="10"/>
                <w:color w:val="auto"/>
              </w:rPr>
              <w:t>1</w:t>
            </w:r>
          </w:p>
        </w:tc>
        <w:tc>
          <w:tcPr>
            <w:tcW w:w="760" w:type="dxa"/>
            <w:vAlign w:val="bottom"/>
            <w:gridSpan w:val="2"/>
          </w:tcPr>
          <w:p>
            <w:pPr>
              <w:jc w:val="right"/>
              <w:ind w:right="10"/>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0"/>
              <w:spacing w:after="0"/>
              <w:rPr>
                <w:sz w:val="20"/>
                <w:szCs w:val="20"/>
                <w:color w:val="auto"/>
              </w:rPr>
            </w:pPr>
            <w:r>
              <w:rPr>
                <w:rFonts w:ascii="Arial" w:cs="Arial" w:eastAsia="Arial" w:hAnsi="Arial"/>
                <w:sz w:val="10"/>
                <w:szCs w:val="10"/>
                <w:color w:val="auto"/>
              </w:rPr>
              <w:t>1,158</w:t>
            </w:r>
          </w:p>
        </w:tc>
        <w:tc>
          <w:tcPr>
            <w:tcW w:w="26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120,836</w:t>
            </w:r>
          </w:p>
        </w:tc>
        <w:tc>
          <w:tcPr>
            <w:tcW w:w="22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10"/>
              <w:spacing w:after="0"/>
              <w:rPr>
                <w:sz w:val="20"/>
                <w:szCs w:val="20"/>
                <w:color w:val="auto"/>
              </w:rPr>
            </w:pPr>
            <w:r>
              <w:rPr>
                <w:rFonts w:ascii="Arial" w:cs="Arial" w:eastAsia="Arial" w:hAnsi="Arial"/>
                <w:sz w:val="10"/>
                <w:szCs w:val="10"/>
                <w:color w:val="auto"/>
              </w:rPr>
              <w:t>19,130</w:t>
            </w:r>
          </w:p>
        </w:tc>
        <w:tc>
          <w:tcPr>
            <w:tcW w:w="2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10"/>
              <w:spacing w:after="0"/>
              <w:rPr>
                <w:sz w:val="20"/>
                <w:szCs w:val="20"/>
                <w:color w:val="auto"/>
              </w:rPr>
            </w:pPr>
            <w:r>
              <w:rPr>
                <w:rFonts w:ascii="Arial" w:cs="Arial" w:eastAsia="Arial" w:hAnsi="Arial"/>
                <w:sz w:val="10"/>
                <w:szCs w:val="10"/>
                <w:color w:val="auto"/>
              </w:rPr>
              <w:t>687</w:t>
            </w:r>
          </w:p>
        </w:tc>
        <w:tc>
          <w:tcPr>
            <w:tcW w:w="2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(73,011)</w:t>
            </w:r>
          </w:p>
        </w:tc>
        <w:tc>
          <w:tcPr>
            <w:tcW w:w="2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35</w:t>
            </w:r>
          </w:p>
        </w:tc>
        <w:tc>
          <w:tcPr>
            <w:tcW w:w="2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(7,400)</w:t>
            </w:r>
          </w:p>
        </w:tc>
        <w:tc>
          <w:tcPr>
            <w:tcW w:w="2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60,277</w:t>
            </w:r>
          </w:p>
        </w:tc>
        <w:tc>
          <w:tcPr>
            <w:tcW w:w="0" w:type="dxa"/>
            <w:vAlign w:val="bottom"/>
          </w:tcPr>
          <w:p>
            <w:pPr>
              <w:spacing w:after="0"/>
              <w:rPr>
                <w:sz w:val="1"/>
                <w:szCs w:val="1"/>
                <w:color w:val="auto"/>
              </w:rPr>
            </w:pPr>
          </w:p>
        </w:tc>
      </w:tr>
      <w:tr>
        <w:trPr>
          <w:trHeight w:val="147"/>
        </w:trPr>
        <w:tc>
          <w:tcPr>
            <w:tcW w:w="2980" w:type="dxa"/>
            <w:vAlign w:val="bottom"/>
            <w:gridSpan w:val="2"/>
          </w:tcPr>
          <w:p>
            <w:pPr>
              <w:ind w:left="20"/>
              <w:spacing w:after="0"/>
              <w:rPr>
                <w:sz w:val="20"/>
                <w:szCs w:val="20"/>
                <w:color w:val="auto"/>
              </w:rPr>
            </w:pPr>
            <w:r>
              <w:rPr>
                <w:rFonts w:ascii="Arial" w:cs="Arial" w:eastAsia="Arial" w:hAnsi="Arial"/>
                <w:sz w:val="10"/>
                <w:szCs w:val="10"/>
                <w:color w:val="auto"/>
              </w:rPr>
              <w:t>Comprehensive income: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980" w:type="dxa"/>
            <w:vAlign w:val="bottom"/>
            <w:gridSpan w:val="2"/>
          </w:tcPr>
          <w:p>
            <w:pPr>
              <w:ind w:left="20"/>
              <w:spacing w:after="0"/>
              <w:rPr>
                <w:sz w:val="20"/>
                <w:szCs w:val="20"/>
                <w:color w:val="auto"/>
              </w:rPr>
            </w:pPr>
            <w:r>
              <w:rPr>
                <w:rFonts w:ascii="Arial" w:cs="Arial" w:eastAsia="Arial" w:hAnsi="Arial"/>
                <w:sz w:val="10"/>
                <w:szCs w:val="10"/>
                <w:color w:val="auto"/>
              </w:rPr>
              <w:t>Net income</w:t>
            </w:r>
          </w:p>
        </w:tc>
        <w:tc>
          <w:tcPr>
            <w:tcW w:w="700" w:type="dxa"/>
            <w:vAlign w:val="bottom"/>
          </w:tcPr>
          <w:p>
            <w:pPr>
              <w:jc w:val="right"/>
              <w:ind w:right="3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10"/>
              <w:spacing w:after="0"/>
              <w:rPr>
                <w:sz w:val="20"/>
                <w:szCs w:val="20"/>
                <w:color w:val="auto"/>
              </w:rPr>
            </w:pPr>
            <w:r>
              <w:rPr>
                <w:rFonts w:ascii="Arial" w:cs="Arial" w:eastAsia="Arial" w:hAnsi="Arial"/>
                <w:sz w:val="10"/>
                <w:szCs w:val="10"/>
                <w:color w:val="auto"/>
              </w:rPr>
              <w:t>8,766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ind w:left="3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8,766</w:t>
            </w:r>
          </w:p>
        </w:tc>
        <w:tc>
          <w:tcPr>
            <w:tcW w:w="0" w:type="dxa"/>
            <w:vAlign w:val="bottom"/>
          </w:tcPr>
          <w:p>
            <w:pPr>
              <w:spacing w:after="0"/>
              <w:rPr>
                <w:sz w:val="1"/>
                <w:szCs w:val="1"/>
                <w:color w:val="auto"/>
              </w:rPr>
            </w:pPr>
          </w:p>
        </w:tc>
      </w:tr>
      <w:tr>
        <w:trPr>
          <w:trHeight w:val="155"/>
        </w:trPr>
        <w:tc>
          <w:tcPr>
            <w:tcW w:w="2980" w:type="dxa"/>
            <w:vAlign w:val="bottom"/>
            <w:gridSpan w:val="2"/>
          </w:tcPr>
          <w:p>
            <w:pPr>
              <w:ind w:left="20"/>
              <w:spacing w:after="0"/>
              <w:rPr>
                <w:sz w:val="20"/>
                <w:szCs w:val="20"/>
                <w:color w:val="auto"/>
              </w:rPr>
            </w:pPr>
            <w:r>
              <w:rPr>
                <w:rFonts w:ascii="Arial" w:cs="Arial" w:eastAsia="Arial" w:hAnsi="Arial"/>
                <w:sz w:val="10"/>
                <w:szCs w:val="10"/>
                <w:color w:val="auto"/>
              </w:rPr>
              <w:t>Other comprehensive income, net of tax effect:</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980" w:type="dxa"/>
            <w:vAlign w:val="bottom"/>
            <w:gridSpan w:val="2"/>
          </w:tcPr>
          <w:p>
            <w:pPr>
              <w:ind w:left="180"/>
              <w:spacing w:after="0"/>
              <w:rPr>
                <w:sz w:val="20"/>
                <w:szCs w:val="20"/>
                <w:color w:val="auto"/>
              </w:rPr>
            </w:pPr>
            <w:r>
              <w:rPr>
                <w:rFonts w:ascii="Arial" w:cs="Arial" w:eastAsia="Arial" w:hAnsi="Arial"/>
                <w:sz w:val="10"/>
                <w:szCs w:val="10"/>
                <w:color w:val="auto"/>
              </w:rPr>
              <w:t>Changes in net unrealized gains on available-for-sale</w:t>
            </w:r>
          </w:p>
        </w:tc>
        <w:tc>
          <w:tcPr>
            <w:tcW w:w="700" w:type="dxa"/>
            <w:vAlign w:val="bottom"/>
            <w:vMerge w:val="restart"/>
          </w:tcPr>
          <w:p>
            <w:pPr>
              <w:jc w:val="right"/>
              <w:ind w:right="3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0"/>
                <w:szCs w:val="10"/>
                <w:color w:val="auto"/>
              </w:rPr>
              <w:t>—</w:t>
            </w:r>
          </w:p>
        </w:tc>
        <w:tc>
          <w:tcPr>
            <w:tcW w:w="580" w:type="dxa"/>
            <w:vAlign w:val="bottom"/>
            <w:vMerge w:val="restart"/>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ind w:right="1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1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ind w:right="11"/>
              <w:spacing w:after="0"/>
              <w:rPr>
                <w:sz w:val="20"/>
                <w:szCs w:val="20"/>
                <w:color w:val="auto"/>
              </w:rPr>
            </w:pPr>
            <w:r>
              <w:rPr>
                <w:rFonts w:ascii="Arial" w:cs="Arial" w:eastAsia="Arial" w:hAnsi="Arial"/>
                <w:sz w:val="10"/>
                <w:szCs w:val="10"/>
                <w:color w:val="auto"/>
              </w:rPr>
              <w:t>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ind w:left="3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restart"/>
          </w:tcPr>
          <w:p>
            <w:pPr>
              <w:jc w:val="right"/>
              <w:ind w:right="10"/>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29"/>
        </w:trPr>
        <w:tc>
          <w:tcPr>
            <w:tcW w:w="2980" w:type="dxa"/>
            <w:vAlign w:val="bottom"/>
            <w:gridSpan w:val="2"/>
          </w:tcPr>
          <w:p>
            <w:pPr>
              <w:ind w:left="340"/>
              <w:spacing w:after="0"/>
              <w:rPr>
                <w:sz w:val="20"/>
                <w:szCs w:val="20"/>
                <w:color w:val="auto"/>
              </w:rPr>
            </w:pPr>
            <w:r>
              <w:rPr>
                <w:rFonts w:ascii="Arial" w:cs="Arial" w:eastAsia="Arial" w:hAnsi="Arial"/>
                <w:sz w:val="10"/>
                <w:szCs w:val="10"/>
                <w:color w:val="auto"/>
              </w:rPr>
              <w:t>securities (net of taxes of $1)</w:t>
            </w: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980" w:type="dxa"/>
            <w:vAlign w:val="bottom"/>
            <w:gridSpan w:val="2"/>
          </w:tcPr>
          <w:p>
            <w:pPr>
              <w:ind w:left="180"/>
              <w:spacing w:after="0"/>
              <w:rPr>
                <w:sz w:val="20"/>
                <w:szCs w:val="20"/>
                <w:color w:val="auto"/>
              </w:rPr>
            </w:pPr>
            <w:r>
              <w:rPr>
                <w:rFonts w:ascii="Arial" w:cs="Arial" w:eastAsia="Arial" w:hAnsi="Arial"/>
                <w:sz w:val="10"/>
                <w:szCs w:val="10"/>
                <w:color w:val="auto"/>
              </w:rPr>
              <w:t>Other (net of taxes of $1)</w:t>
            </w:r>
          </w:p>
        </w:tc>
        <w:tc>
          <w:tcPr>
            <w:tcW w:w="700" w:type="dxa"/>
            <w:vAlign w:val="bottom"/>
          </w:tcPr>
          <w:p>
            <w:pPr>
              <w:jc w:val="right"/>
              <w:ind w:right="3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ind w:left="3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22"/>
        </w:trPr>
        <w:tc>
          <w:tcPr>
            <w:tcW w:w="2980" w:type="dxa"/>
            <w:vAlign w:val="bottom"/>
            <w:gridSpan w:val="2"/>
            <w:vMerge w:val="restart"/>
          </w:tcPr>
          <w:p>
            <w:pPr>
              <w:ind w:left="20"/>
              <w:spacing w:after="0"/>
              <w:rPr>
                <w:sz w:val="20"/>
                <w:szCs w:val="20"/>
                <w:color w:val="auto"/>
              </w:rPr>
            </w:pPr>
            <w:r>
              <w:rPr>
                <w:rFonts w:ascii="Arial" w:cs="Arial" w:eastAsia="Arial" w:hAnsi="Arial"/>
                <w:sz w:val="10"/>
                <w:szCs w:val="10"/>
                <w:color w:val="auto"/>
              </w:rPr>
              <w:t>Total comprehensive income</w:t>
            </w: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50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298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8,767</w:t>
            </w:r>
          </w:p>
        </w:tc>
        <w:tc>
          <w:tcPr>
            <w:tcW w:w="0" w:type="dxa"/>
            <w:vAlign w:val="bottom"/>
          </w:tcPr>
          <w:p>
            <w:pPr>
              <w:spacing w:after="0"/>
              <w:rPr>
                <w:sz w:val="1"/>
                <w:szCs w:val="1"/>
                <w:color w:val="auto"/>
              </w:rPr>
            </w:pPr>
          </w:p>
        </w:tc>
      </w:tr>
      <w:tr>
        <w:trPr>
          <w:trHeight w:val="22"/>
        </w:trPr>
        <w:tc>
          <w:tcPr>
            <w:tcW w:w="28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5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56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5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60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90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5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50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880" w:type="dxa"/>
            <w:vAlign w:val="bottom"/>
          </w:tcPr>
          <w:p>
            <w:pPr>
              <w:ind w:left="40"/>
              <w:spacing w:after="0"/>
              <w:rPr>
                <w:sz w:val="20"/>
                <w:szCs w:val="20"/>
                <w:color w:val="auto"/>
              </w:rPr>
            </w:pPr>
            <w:r>
              <w:rPr>
                <w:rFonts w:ascii="Arial" w:cs="Arial" w:eastAsia="Arial" w:hAnsi="Arial"/>
                <w:sz w:val="10"/>
                <w:szCs w:val="10"/>
                <w:b w:val="1"/>
                <w:bCs w:val="1"/>
                <w:color w:val="auto"/>
              </w:rPr>
              <w:t>Balance as of June 30, 2023</w:t>
            </w:r>
          </w:p>
        </w:tc>
        <w:tc>
          <w:tcPr>
            <w:tcW w:w="100" w:type="dxa"/>
            <w:vAlign w:val="bottom"/>
          </w:tcPr>
          <w:p>
            <w:pPr>
              <w:spacing w:after="0"/>
              <w:rPr>
                <w:sz w:val="12"/>
                <w:szCs w:val="12"/>
                <w:color w:val="auto"/>
              </w:rPr>
            </w:pPr>
          </w:p>
        </w:tc>
        <w:tc>
          <w:tcPr>
            <w:tcW w:w="700" w:type="dxa"/>
            <w:vAlign w:val="bottom"/>
          </w:tcPr>
          <w:p>
            <w:pPr>
              <w:jc w:val="right"/>
              <w:ind w:right="30"/>
              <w:spacing w:after="0"/>
              <w:rPr>
                <w:sz w:val="20"/>
                <w:szCs w:val="20"/>
                <w:color w:val="auto"/>
              </w:rPr>
            </w:pPr>
            <w:r>
              <w:rPr>
                <w:rFonts w:ascii="Arial" w:cs="Arial" w:eastAsia="Arial" w:hAnsi="Arial"/>
                <w:sz w:val="10"/>
                <w:szCs w:val="10"/>
                <w:color w:val="auto"/>
              </w:rPr>
              <w:t>1</w:t>
            </w:r>
          </w:p>
        </w:tc>
        <w:tc>
          <w:tcPr>
            <w:tcW w:w="760" w:type="dxa"/>
            <w:vAlign w:val="bottom"/>
            <w:gridSpan w:val="2"/>
          </w:tcPr>
          <w:p>
            <w:pPr>
              <w:jc w:val="right"/>
              <w:ind w:right="10"/>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0"/>
              <w:spacing w:after="0"/>
              <w:rPr>
                <w:sz w:val="20"/>
                <w:szCs w:val="20"/>
                <w:color w:val="auto"/>
              </w:rPr>
            </w:pPr>
            <w:r>
              <w:rPr>
                <w:rFonts w:ascii="Arial" w:cs="Arial" w:eastAsia="Arial" w:hAnsi="Arial"/>
                <w:sz w:val="10"/>
                <w:szCs w:val="10"/>
                <w:color w:val="auto"/>
              </w:rPr>
              <w:t>1,158</w:t>
            </w:r>
          </w:p>
        </w:tc>
        <w:tc>
          <w:tcPr>
            <w:tcW w:w="26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120,836</w:t>
            </w:r>
          </w:p>
        </w:tc>
        <w:tc>
          <w:tcPr>
            <w:tcW w:w="22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10"/>
              <w:spacing w:after="0"/>
              <w:rPr>
                <w:sz w:val="20"/>
                <w:szCs w:val="20"/>
                <w:color w:val="auto"/>
              </w:rPr>
            </w:pPr>
            <w:r>
              <w:rPr>
                <w:rFonts w:ascii="Arial" w:cs="Arial" w:eastAsia="Arial" w:hAnsi="Arial"/>
                <w:sz w:val="10"/>
                <w:szCs w:val="10"/>
                <w:color w:val="auto"/>
              </w:rPr>
              <w:t>19,130</w:t>
            </w:r>
          </w:p>
        </w:tc>
        <w:tc>
          <w:tcPr>
            <w:tcW w:w="2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10"/>
              <w:spacing w:after="0"/>
              <w:rPr>
                <w:sz w:val="20"/>
                <w:szCs w:val="20"/>
                <w:color w:val="auto"/>
              </w:rPr>
            </w:pPr>
            <w:r>
              <w:rPr>
                <w:rFonts w:ascii="Arial" w:cs="Arial" w:eastAsia="Arial" w:hAnsi="Arial"/>
                <w:sz w:val="10"/>
                <w:szCs w:val="10"/>
                <w:color w:val="auto"/>
              </w:rPr>
              <w:t>687</w:t>
            </w:r>
          </w:p>
        </w:tc>
        <w:tc>
          <w:tcPr>
            <w:tcW w:w="2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(64,245)</w:t>
            </w:r>
          </w:p>
        </w:tc>
        <w:tc>
          <w:tcPr>
            <w:tcW w:w="2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36</w:t>
            </w:r>
          </w:p>
        </w:tc>
        <w:tc>
          <w:tcPr>
            <w:tcW w:w="2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(7,400)</w:t>
            </w:r>
          </w:p>
        </w:tc>
        <w:tc>
          <w:tcPr>
            <w:tcW w:w="2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69,044</w:t>
            </w:r>
          </w:p>
        </w:tc>
        <w:tc>
          <w:tcPr>
            <w:tcW w:w="0" w:type="dxa"/>
            <w:vAlign w:val="bottom"/>
          </w:tcPr>
          <w:p>
            <w:pPr>
              <w:spacing w:after="0"/>
              <w:rPr>
                <w:sz w:val="1"/>
                <w:szCs w:val="1"/>
                <w:color w:val="auto"/>
              </w:rPr>
            </w:pPr>
          </w:p>
        </w:tc>
      </w:tr>
      <w:tr>
        <w:trPr>
          <w:trHeight w:val="24"/>
        </w:trPr>
        <w:tc>
          <w:tcPr>
            <w:tcW w:w="288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2C6937"/>
              <w:bottom w:val="single" w:sz="8" w:color="2C6937"/>
            </w:tcBorders>
          </w:tcPr>
          <w:p>
            <w:pPr>
              <w:spacing w:after="0"/>
              <w:rPr>
                <w:sz w:val="2"/>
                <w:szCs w:val="2"/>
                <w:color w:val="auto"/>
              </w:rPr>
            </w:pPr>
          </w:p>
        </w:tc>
        <w:tc>
          <w:tcPr>
            <w:tcW w:w="58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2C6937"/>
              <w:bottom w:val="single" w:sz="8" w:color="2C6937"/>
            </w:tcBorders>
          </w:tcPr>
          <w:p>
            <w:pPr>
              <w:spacing w:after="0"/>
              <w:rPr>
                <w:sz w:val="2"/>
                <w:szCs w:val="2"/>
                <w:color w:val="auto"/>
              </w:rPr>
            </w:pPr>
          </w:p>
        </w:tc>
        <w:tc>
          <w:tcPr>
            <w:tcW w:w="560" w:type="dxa"/>
            <w:vAlign w:val="bottom"/>
            <w:tcBorders>
              <w:top w:val="single" w:sz="8" w:color="2C6937"/>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5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2C6937"/>
              <w:bottom w:val="single" w:sz="8" w:color="2C6937"/>
            </w:tcBorders>
          </w:tcPr>
          <w:p>
            <w:pPr>
              <w:spacing w:after="0"/>
              <w:rPr>
                <w:sz w:val="2"/>
                <w:szCs w:val="2"/>
                <w:color w:val="auto"/>
              </w:rPr>
            </w:pPr>
          </w:p>
        </w:tc>
        <w:tc>
          <w:tcPr>
            <w:tcW w:w="600" w:type="dxa"/>
            <w:vAlign w:val="bottom"/>
            <w:tcBorders>
              <w:top w:val="single" w:sz="8" w:color="2C6937"/>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740" w:type="dxa"/>
            <w:vAlign w:val="bottom"/>
            <w:tcBorders>
              <w:top w:val="single" w:sz="8" w:color="2C6937"/>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2C6937"/>
              <w:bottom w:val="single" w:sz="8" w:color="2C6937"/>
            </w:tcBorders>
          </w:tcPr>
          <w:p>
            <w:pPr>
              <w:spacing w:after="0"/>
              <w:rPr>
                <w:sz w:val="2"/>
                <w:szCs w:val="2"/>
                <w:color w:val="auto"/>
              </w:rPr>
            </w:pPr>
          </w:p>
        </w:tc>
        <w:tc>
          <w:tcPr>
            <w:tcW w:w="900" w:type="dxa"/>
            <w:vAlign w:val="bottom"/>
            <w:tcBorders>
              <w:top w:val="single" w:sz="8" w:color="2C6937"/>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54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2C6937"/>
              <w:bottom w:val="single" w:sz="8" w:color="2C6937"/>
            </w:tcBorders>
          </w:tcPr>
          <w:p>
            <w:pPr>
              <w:spacing w:after="0"/>
              <w:rPr>
                <w:sz w:val="2"/>
                <w:szCs w:val="2"/>
                <w:color w:val="auto"/>
              </w:rPr>
            </w:pPr>
          </w:p>
        </w:tc>
        <w:tc>
          <w:tcPr>
            <w:tcW w:w="500" w:type="dxa"/>
            <w:vAlign w:val="bottom"/>
            <w:tcBorders>
              <w:top w:val="single" w:sz="8" w:color="2C6937"/>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2350135</wp:posOffset>
            </wp:positionV>
            <wp:extent cx="681101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2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158750</wp:posOffset>
            </wp:positionV>
            <wp:extent cx="7164070" cy="419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40" w:top="250" w:right="359" w:bottom="1440" w:gutter="0" w:footer="0" w:header="0"/>
        </w:sectPr>
      </w:pPr>
    </w:p>
    <w:bookmarkStart w:id="69" w:name="page70"/>
    <w:bookmarkEnd w:id="69"/>
    <w:p>
      <w:pPr>
        <w:jc w:val="right"/>
        <w:ind w:right="100"/>
        <w:spacing w:after="0"/>
        <w:rPr>
          <w:sz w:val="20"/>
          <w:szCs w:val="20"/>
          <w:color w:val="auto"/>
        </w:rPr>
      </w:pPr>
      <w:r>
        <w:rPr>
          <w:rFonts w:ascii="Arial" w:cs="Arial" w:eastAsia="Arial" w:hAnsi="Arial"/>
          <w:sz w:val="14"/>
          <w:szCs w:val="14"/>
          <w:color w:val="001543"/>
        </w:rPr>
        <w:t>Financial Statements | Condensed Consolidated Statements of Changes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15875</wp:posOffset>
            </wp:positionV>
            <wp:extent cx="70072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05314D"/>
        </w:rPr>
        <w:t>FANNIE MAE</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01543"/>
        </w:rPr>
        <w:t>(In conservatorship)</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05314D"/>
        </w:rPr>
        <w:t>Condensed Consolidated Statements of Changes in</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05314D"/>
        </w:rPr>
        <w:t>Equity — (Unaudited)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5314D"/>
        </w:rPr>
        <w:t>(Dollars and shares in millions)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8"/>
          </w:tcPr>
          <w:p>
            <w:pPr>
              <w:ind w:left="20"/>
              <w:spacing w:after="0"/>
              <w:rPr>
                <w:sz w:val="20"/>
                <w:szCs w:val="20"/>
                <w:color w:val="auto"/>
              </w:rPr>
            </w:pPr>
            <w:r>
              <w:rPr>
                <w:rFonts w:ascii="Arial" w:cs="Arial" w:eastAsia="Arial" w:hAnsi="Arial"/>
                <w:sz w:val="12"/>
                <w:szCs w:val="12"/>
                <w:b w:val="1"/>
                <w:bCs w:val="1"/>
                <w:color w:val="auto"/>
              </w:rPr>
              <w:t>Fannie Mae Stockholders’ Equity</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2C6937"/>
            </w:tcBorders>
            <w:gridSpan w:val="2"/>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56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56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56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58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90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52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50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4"/>
        </w:trPr>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Borders>
              <w:bottom w:val="single" w:sz="8" w:color="2C6937"/>
            </w:tcBorders>
            <w:gridSpan w:val="5"/>
          </w:tcPr>
          <w:p>
            <w:pPr>
              <w:ind w:left="600"/>
              <w:spacing w:after="0"/>
              <w:rPr>
                <w:sz w:val="20"/>
                <w:szCs w:val="20"/>
                <w:color w:val="auto"/>
              </w:rPr>
            </w:pPr>
            <w:r>
              <w:rPr>
                <w:rFonts w:ascii="Arial" w:cs="Arial" w:eastAsia="Arial" w:hAnsi="Arial"/>
                <w:sz w:val="10"/>
                <w:szCs w:val="10"/>
                <w:b w:val="1"/>
                <w:bCs w:val="1"/>
                <w:color w:val="auto"/>
              </w:rPr>
              <w:t>Shares Outstanding</w:t>
            </w:r>
          </w:p>
        </w:tc>
        <w:tc>
          <w:tcPr>
            <w:tcW w:w="560" w:type="dxa"/>
            <w:vAlign w:val="bottom"/>
            <w:tcBorders>
              <w:bottom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center"/>
              <w:ind w:right="91"/>
              <w:spacing w:after="0"/>
              <w:rPr>
                <w:sz w:val="20"/>
                <w:szCs w:val="20"/>
                <w:color w:val="auto"/>
              </w:rPr>
            </w:pPr>
            <w:r>
              <w:rPr>
                <w:rFonts w:ascii="Arial" w:cs="Arial" w:eastAsia="Arial" w:hAnsi="Arial"/>
                <w:sz w:val="9"/>
                <w:szCs w:val="9"/>
                <w:b w:val="1"/>
                <w:bCs w:val="1"/>
                <w:color w:val="auto"/>
                <w:w w:val="99"/>
              </w:rPr>
              <w:t>Accumulated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2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restart"/>
          </w:tcPr>
          <w:p>
            <w:pPr>
              <w:jc w:val="right"/>
              <w:ind w:right="150"/>
              <w:spacing w:after="0"/>
              <w:rPr>
                <w:sz w:val="20"/>
                <w:szCs w:val="20"/>
                <w:color w:val="auto"/>
              </w:rPr>
            </w:pPr>
            <w:r>
              <w:rPr>
                <w:rFonts w:ascii="Arial" w:cs="Arial" w:eastAsia="Arial" w:hAnsi="Arial"/>
                <w:sz w:val="9"/>
                <w:szCs w:val="9"/>
                <w:b w:val="1"/>
                <w:bCs w:val="1"/>
                <w:color w:val="auto"/>
              </w:rPr>
              <w:t>Senior</w:t>
            </w: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restart"/>
          </w:tcPr>
          <w:p>
            <w:pPr>
              <w:jc w:val="right"/>
              <w:ind w:right="149"/>
              <w:spacing w:after="0"/>
              <w:rPr>
                <w:sz w:val="20"/>
                <w:szCs w:val="20"/>
                <w:color w:val="auto"/>
              </w:rPr>
            </w:pPr>
            <w:r>
              <w:rPr>
                <w:rFonts w:ascii="Arial" w:cs="Arial" w:eastAsia="Arial" w:hAnsi="Arial"/>
                <w:sz w:val="9"/>
                <w:szCs w:val="9"/>
                <w:b w:val="1"/>
                <w:bCs w:val="1"/>
                <w:color w:val="auto"/>
              </w:rPr>
              <w:t>Senior</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restart"/>
          </w:tcPr>
          <w:p>
            <w:pPr>
              <w:jc w:val="right"/>
              <w:ind w:right="70"/>
              <w:spacing w:after="0"/>
              <w:rPr>
                <w:sz w:val="20"/>
                <w:szCs w:val="20"/>
                <w:color w:val="auto"/>
              </w:rPr>
            </w:pPr>
            <w:r>
              <w:rPr>
                <w:rFonts w:ascii="Arial" w:cs="Arial" w:eastAsia="Arial" w:hAnsi="Arial"/>
                <w:sz w:val="9"/>
                <w:szCs w:val="9"/>
                <w:b w:val="1"/>
                <w:bCs w:val="1"/>
                <w:color w:val="auto"/>
              </w:rPr>
              <w:t>Preferred</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restart"/>
          </w:tcPr>
          <w:p>
            <w:pPr>
              <w:jc w:val="right"/>
              <w:ind w:right="110"/>
              <w:spacing w:after="0"/>
              <w:rPr>
                <w:sz w:val="20"/>
                <w:szCs w:val="20"/>
                <w:color w:val="auto"/>
              </w:rPr>
            </w:pPr>
            <w:r>
              <w:rPr>
                <w:rFonts w:ascii="Arial" w:cs="Arial" w:eastAsia="Arial" w:hAnsi="Arial"/>
                <w:sz w:val="9"/>
                <w:szCs w:val="9"/>
                <w:b w:val="1"/>
                <w:bCs w:val="1"/>
                <w:color w:val="auto"/>
              </w:rPr>
              <w:t>Common</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vMerge w:val="restart"/>
          </w:tcPr>
          <w:p>
            <w:pPr>
              <w:jc w:val="right"/>
              <w:ind w:right="90"/>
              <w:spacing w:after="0"/>
              <w:rPr>
                <w:sz w:val="20"/>
                <w:szCs w:val="20"/>
                <w:color w:val="auto"/>
              </w:rPr>
            </w:pPr>
            <w:r>
              <w:rPr>
                <w:rFonts w:ascii="Arial" w:cs="Arial" w:eastAsia="Arial" w:hAnsi="Arial"/>
                <w:sz w:val="9"/>
                <w:szCs w:val="9"/>
                <w:b w:val="1"/>
                <w:bCs w:val="1"/>
                <w:color w:val="auto"/>
              </w:rPr>
              <w:t>Accumulated</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jc w:val="center"/>
              <w:ind w:right="91"/>
              <w:spacing w:after="0" w:line="91" w:lineRule="exact"/>
              <w:rPr>
                <w:sz w:val="20"/>
                <w:szCs w:val="20"/>
                <w:color w:val="auto"/>
              </w:rPr>
            </w:pPr>
            <w:r>
              <w:rPr>
                <w:rFonts w:ascii="Arial" w:cs="Arial" w:eastAsia="Arial" w:hAnsi="Arial"/>
                <w:sz w:val="9"/>
                <w:szCs w:val="9"/>
                <w:b w:val="1"/>
                <w:bCs w:val="1"/>
                <w:color w:val="auto"/>
                <w:w w:val="99"/>
              </w:rPr>
              <w:t>Other</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restart"/>
          </w:tcPr>
          <w:p>
            <w:pPr>
              <w:jc w:val="right"/>
              <w:ind w:right="70"/>
              <w:spacing w:after="0"/>
              <w:rPr>
                <w:sz w:val="20"/>
                <w:szCs w:val="20"/>
                <w:color w:val="auto"/>
              </w:rPr>
            </w:pPr>
            <w:r>
              <w:rPr>
                <w:rFonts w:ascii="Arial" w:cs="Arial" w:eastAsia="Arial" w:hAnsi="Arial"/>
                <w:sz w:val="9"/>
                <w:szCs w:val="9"/>
                <w:b w:val="1"/>
                <w:bCs w:val="1"/>
                <w:color w:val="auto"/>
                <w:w w:val="99"/>
              </w:rPr>
              <w:t>Treasury</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restart"/>
          </w:tcPr>
          <w:p>
            <w:pPr>
              <w:jc w:val="right"/>
              <w:ind w:right="15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90"/>
        </w:trPr>
        <w:tc>
          <w:tcPr>
            <w:tcW w:w="2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restart"/>
          </w:tcPr>
          <w:p>
            <w:pPr>
              <w:jc w:val="right"/>
              <w:ind w:right="70"/>
              <w:spacing w:after="0"/>
              <w:rPr>
                <w:sz w:val="20"/>
                <w:szCs w:val="20"/>
                <w:color w:val="auto"/>
              </w:rPr>
            </w:pPr>
            <w:r>
              <w:rPr>
                <w:rFonts w:ascii="Arial" w:cs="Arial" w:eastAsia="Arial" w:hAnsi="Arial"/>
                <w:sz w:val="9"/>
                <w:szCs w:val="9"/>
                <w:b w:val="1"/>
                <w:bCs w:val="1"/>
                <w:color w:val="auto"/>
              </w:rPr>
              <w:t>Preferred</w:t>
            </w:r>
          </w:p>
        </w:tc>
        <w:tc>
          <w:tcPr>
            <w:tcW w:w="12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560" w:type="dxa"/>
            <w:vAlign w:val="bottom"/>
            <w:vMerge w:val="restart"/>
          </w:tcPr>
          <w:p>
            <w:pPr>
              <w:jc w:val="right"/>
              <w:ind w:right="89"/>
              <w:spacing w:after="0"/>
              <w:rPr>
                <w:sz w:val="20"/>
                <w:szCs w:val="20"/>
                <w:color w:val="auto"/>
              </w:rPr>
            </w:pPr>
            <w:r>
              <w:rPr>
                <w:rFonts w:ascii="Arial" w:cs="Arial" w:eastAsia="Arial" w:hAnsi="Arial"/>
                <w:sz w:val="9"/>
                <w:szCs w:val="9"/>
                <w:b w:val="1"/>
                <w:bCs w:val="1"/>
                <w:color w:val="auto"/>
              </w:rPr>
              <w:t>Common</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jc w:val="center"/>
              <w:ind w:right="71"/>
              <w:spacing w:after="0" w:line="91" w:lineRule="exact"/>
              <w:rPr>
                <w:sz w:val="20"/>
                <w:szCs w:val="20"/>
                <w:color w:val="auto"/>
              </w:rPr>
            </w:pPr>
            <w:r>
              <w:rPr>
                <w:rFonts w:ascii="Arial" w:cs="Arial" w:eastAsia="Arial" w:hAnsi="Arial"/>
                <w:sz w:val="9"/>
                <w:szCs w:val="9"/>
                <w:b w:val="1"/>
                <w:bCs w:val="1"/>
                <w:color w:val="auto"/>
                <w:w w:val="97"/>
              </w:rPr>
              <w:t>Comprehensive</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bottom w:val="single" w:sz="8" w:color="2C6937"/>
            </w:tcBorders>
          </w:tcPr>
          <w:p>
            <w:pPr>
              <w:jc w:val="right"/>
              <w:ind w:right="90"/>
              <w:spacing w:after="0"/>
              <w:rPr>
                <w:sz w:val="20"/>
                <w:szCs w:val="20"/>
                <w:color w:val="auto"/>
              </w:rPr>
            </w:pPr>
            <w:r>
              <w:rPr>
                <w:rFonts w:ascii="Arial" w:cs="Arial" w:eastAsia="Arial" w:hAnsi="Arial"/>
                <w:sz w:val="9"/>
                <w:szCs w:val="9"/>
                <w:b w:val="1"/>
                <w:bCs w:val="1"/>
                <w:color w:val="auto"/>
              </w:rPr>
              <w:t>Preferred</w:t>
            </w:r>
          </w:p>
        </w:tc>
        <w:tc>
          <w:tcPr>
            <w:tcW w:w="100" w:type="dxa"/>
            <w:vAlign w:val="bottom"/>
          </w:tcPr>
          <w:p>
            <w:pPr>
              <w:spacing w:after="0"/>
              <w:rPr>
                <w:sz w:val="11"/>
                <w:szCs w:val="11"/>
                <w:color w:val="auto"/>
              </w:rPr>
            </w:pPr>
          </w:p>
        </w:tc>
        <w:tc>
          <w:tcPr>
            <w:tcW w:w="660" w:type="dxa"/>
            <w:vAlign w:val="bottom"/>
            <w:tcBorders>
              <w:bottom w:val="single" w:sz="8" w:color="2C6937"/>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80" w:type="dxa"/>
            <w:vAlign w:val="bottom"/>
            <w:tcBorders>
              <w:bottom w:val="single" w:sz="8" w:color="2C6937"/>
            </w:tcBorders>
            <w:vMerge w:val="continue"/>
          </w:tcPr>
          <w:p>
            <w:pPr>
              <w:spacing w:after="0"/>
              <w:rPr>
                <w:sz w:val="11"/>
                <w:szCs w:val="11"/>
                <w:color w:val="auto"/>
              </w:rPr>
            </w:pPr>
          </w:p>
        </w:tc>
        <w:tc>
          <w:tcPr>
            <w:tcW w:w="560" w:type="dxa"/>
            <w:vAlign w:val="bottom"/>
            <w:tcBorders>
              <w:bottom w:val="single" w:sz="8" w:color="2C6937"/>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bottom w:val="single" w:sz="8" w:color="2C6937"/>
            </w:tcBorders>
            <w:gridSpan w:val="2"/>
          </w:tcPr>
          <w:p>
            <w:pPr>
              <w:ind w:left="40"/>
              <w:spacing w:after="0"/>
              <w:rPr>
                <w:sz w:val="20"/>
                <w:szCs w:val="20"/>
                <w:color w:val="auto"/>
              </w:rPr>
            </w:pPr>
            <w:r>
              <w:rPr>
                <w:rFonts w:ascii="Arial" w:cs="Arial" w:eastAsia="Arial" w:hAnsi="Arial"/>
                <w:sz w:val="9"/>
                <w:szCs w:val="9"/>
                <w:b w:val="1"/>
                <w:bCs w:val="1"/>
                <w:color w:val="auto"/>
                <w:w w:val="98"/>
              </w:rPr>
              <w:t>Preferred Stock</w:t>
            </w:r>
          </w:p>
        </w:tc>
        <w:tc>
          <w:tcPr>
            <w:tcW w:w="120" w:type="dxa"/>
            <w:vAlign w:val="bottom"/>
          </w:tcPr>
          <w:p>
            <w:pPr>
              <w:spacing w:after="0"/>
              <w:rPr>
                <w:sz w:val="11"/>
                <w:szCs w:val="11"/>
                <w:color w:val="auto"/>
              </w:rPr>
            </w:pPr>
          </w:p>
        </w:tc>
        <w:tc>
          <w:tcPr>
            <w:tcW w:w="100" w:type="dxa"/>
            <w:vAlign w:val="bottom"/>
            <w:tcBorders>
              <w:bottom w:val="single" w:sz="8" w:color="2C6937"/>
            </w:tcBorders>
          </w:tcPr>
          <w:p>
            <w:pPr>
              <w:spacing w:after="0"/>
              <w:rPr>
                <w:sz w:val="11"/>
                <w:szCs w:val="11"/>
                <w:color w:val="auto"/>
              </w:rPr>
            </w:pPr>
          </w:p>
        </w:tc>
        <w:tc>
          <w:tcPr>
            <w:tcW w:w="560" w:type="dxa"/>
            <w:vAlign w:val="bottom"/>
            <w:tcBorders>
              <w:bottom w:val="single" w:sz="8" w:color="2C6937"/>
            </w:tcBorders>
          </w:tcPr>
          <w:p>
            <w:pPr>
              <w:jc w:val="right"/>
              <w:ind w:right="150"/>
              <w:spacing w:after="0"/>
              <w:rPr>
                <w:sz w:val="20"/>
                <w:szCs w:val="20"/>
                <w:color w:val="auto"/>
              </w:rPr>
            </w:pPr>
            <w:r>
              <w:rPr>
                <w:rFonts w:ascii="Arial" w:cs="Arial" w:eastAsia="Arial" w:hAnsi="Arial"/>
                <w:sz w:val="9"/>
                <w:szCs w:val="9"/>
                <w:b w:val="1"/>
                <w:bCs w:val="1"/>
                <w:color w:val="auto"/>
              </w:rPr>
              <w:t>Stock</w:t>
            </w:r>
          </w:p>
        </w:tc>
        <w:tc>
          <w:tcPr>
            <w:tcW w:w="120" w:type="dxa"/>
            <w:vAlign w:val="bottom"/>
          </w:tcPr>
          <w:p>
            <w:pPr>
              <w:spacing w:after="0"/>
              <w:rPr>
                <w:sz w:val="11"/>
                <w:szCs w:val="11"/>
                <w:color w:val="auto"/>
              </w:rPr>
            </w:pPr>
          </w:p>
        </w:tc>
        <w:tc>
          <w:tcPr>
            <w:tcW w:w="120" w:type="dxa"/>
            <w:vAlign w:val="bottom"/>
            <w:tcBorders>
              <w:bottom w:val="single" w:sz="8" w:color="2C6937"/>
            </w:tcBorders>
          </w:tcPr>
          <w:p>
            <w:pPr>
              <w:spacing w:after="0"/>
              <w:rPr>
                <w:sz w:val="11"/>
                <w:szCs w:val="11"/>
                <w:color w:val="auto"/>
              </w:rPr>
            </w:pPr>
          </w:p>
        </w:tc>
        <w:tc>
          <w:tcPr>
            <w:tcW w:w="580" w:type="dxa"/>
            <w:vAlign w:val="bottom"/>
            <w:tcBorders>
              <w:bottom w:val="single" w:sz="8" w:color="2C6937"/>
            </w:tcBorders>
          </w:tcPr>
          <w:p>
            <w:pPr>
              <w:jc w:val="right"/>
              <w:ind w:right="190"/>
              <w:spacing w:after="0"/>
              <w:rPr>
                <w:sz w:val="20"/>
                <w:szCs w:val="20"/>
                <w:color w:val="auto"/>
              </w:rPr>
            </w:pPr>
            <w:r>
              <w:rPr>
                <w:rFonts w:ascii="Arial" w:cs="Arial" w:eastAsia="Arial" w:hAnsi="Arial"/>
                <w:sz w:val="9"/>
                <w:szCs w:val="9"/>
                <w:b w:val="1"/>
                <w:bCs w:val="1"/>
                <w:color w:val="auto"/>
              </w:rPr>
              <w:t>Stock</w:t>
            </w:r>
          </w:p>
        </w:tc>
        <w:tc>
          <w:tcPr>
            <w:tcW w:w="120" w:type="dxa"/>
            <w:vAlign w:val="bottom"/>
          </w:tcPr>
          <w:p>
            <w:pPr>
              <w:spacing w:after="0"/>
              <w:rPr>
                <w:sz w:val="11"/>
                <w:szCs w:val="11"/>
                <w:color w:val="auto"/>
              </w:rPr>
            </w:pPr>
          </w:p>
        </w:tc>
        <w:tc>
          <w:tcPr>
            <w:tcW w:w="100" w:type="dxa"/>
            <w:vAlign w:val="bottom"/>
            <w:tcBorders>
              <w:bottom w:val="single" w:sz="8" w:color="2C6937"/>
            </w:tcBorders>
          </w:tcPr>
          <w:p>
            <w:pPr>
              <w:spacing w:after="0"/>
              <w:rPr>
                <w:sz w:val="11"/>
                <w:szCs w:val="11"/>
                <w:color w:val="auto"/>
              </w:rPr>
            </w:pPr>
          </w:p>
        </w:tc>
        <w:tc>
          <w:tcPr>
            <w:tcW w:w="740" w:type="dxa"/>
            <w:vAlign w:val="bottom"/>
            <w:tcBorders>
              <w:bottom w:val="single" w:sz="8" w:color="2C6937"/>
            </w:tcBorders>
          </w:tcPr>
          <w:p>
            <w:pPr>
              <w:jc w:val="right"/>
              <w:ind w:right="230"/>
              <w:spacing w:after="0"/>
              <w:rPr>
                <w:sz w:val="20"/>
                <w:szCs w:val="20"/>
                <w:color w:val="auto"/>
              </w:rPr>
            </w:pPr>
            <w:r>
              <w:rPr>
                <w:rFonts w:ascii="Arial" w:cs="Arial" w:eastAsia="Arial" w:hAnsi="Arial"/>
                <w:sz w:val="9"/>
                <w:szCs w:val="9"/>
                <w:b w:val="1"/>
                <w:bCs w:val="1"/>
                <w:color w:val="auto"/>
              </w:rPr>
              <w:t>Deficit</w:t>
            </w:r>
          </w:p>
        </w:tc>
        <w:tc>
          <w:tcPr>
            <w:tcW w:w="120" w:type="dxa"/>
            <w:vAlign w:val="bottom"/>
          </w:tcPr>
          <w:p>
            <w:pPr>
              <w:spacing w:after="0"/>
              <w:rPr>
                <w:sz w:val="11"/>
                <w:szCs w:val="11"/>
                <w:color w:val="auto"/>
              </w:rPr>
            </w:pPr>
          </w:p>
        </w:tc>
        <w:tc>
          <w:tcPr>
            <w:tcW w:w="120" w:type="dxa"/>
            <w:vAlign w:val="bottom"/>
            <w:tcBorders>
              <w:bottom w:val="single" w:sz="8" w:color="2C6937"/>
            </w:tcBorders>
          </w:tcPr>
          <w:p>
            <w:pPr>
              <w:spacing w:after="0"/>
              <w:rPr>
                <w:sz w:val="11"/>
                <w:szCs w:val="11"/>
                <w:color w:val="auto"/>
              </w:rPr>
            </w:pPr>
          </w:p>
        </w:tc>
        <w:tc>
          <w:tcPr>
            <w:tcW w:w="900" w:type="dxa"/>
            <w:vAlign w:val="bottom"/>
            <w:tcBorders>
              <w:bottom w:val="single" w:sz="8" w:color="2C6937"/>
            </w:tcBorders>
          </w:tcPr>
          <w:p>
            <w:pPr>
              <w:jc w:val="center"/>
              <w:ind w:right="71"/>
              <w:spacing w:after="0"/>
              <w:rPr>
                <w:sz w:val="20"/>
                <w:szCs w:val="20"/>
                <w:color w:val="auto"/>
              </w:rPr>
            </w:pPr>
            <w:r>
              <w:rPr>
                <w:rFonts w:ascii="Arial" w:cs="Arial" w:eastAsia="Arial" w:hAnsi="Arial"/>
                <w:sz w:val="9"/>
                <w:szCs w:val="9"/>
                <w:b w:val="1"/>
                <w:bCs w:val="1"/>
                <w:color w:val="auto"/>
                <w:w w:val="95"/>
              </w:rPr>
              <w:t>Income</w:t>
            </w:r>
          </w:p>
        </w:tc>
        <w:tc>
          <w:tcPr>
            <w:tcW w:w="120" w:type="dxa"/>
            <w:vAlign w:val="bottom"/>
          </w:tcPr>
          <w:p>
            <w:pPr>
              <w:spacing w:after="0"/>
              <w:rPr>
                <w:sz w:val="11"/>
                <w:szCs w:val="11"/>
                <w:color w:val="auto"/>
              </w:rPr>
            </w:pPr>
          </w:p>
        </w:tc>
        <w:tc>
          <w:tcPr>
            <w:tcW w:w="100" w:type="dxa"/>
            <w:vAlign w:val="bottom"/>
            <w:tcBorders>
              <w:bottom w:val="single" w:sz="8" w:color="2C6937"/>
            </w:tcBorders>
          </w:tcPr>
          <w:p>
            <w:pPr>
              <w:spacing w:after="0"/>
              <w:rPr>
                <w:sz w:val="11"/>
                <w:szCs w:val="11"/>
                <w:color w:val="auto"/>
              </w:rPr>
            </w:pPr>
          </w:p>
        </w:tc>
        <w:tc>
          <w:tcPr>
            <w:tcW w:w="520" w:type="dxa"/>
            <w:vAlign w:val="bottom"/>
            <w:tcBorders>
              <w:bottom w:val="single" w:sz="8" w:color="2C6937"/>
            </w:tcBorders>
          </w:tcPr>
          <w:p>
            <w:pPr>
              <w:jc w:val="right"/>
              <w:ind w:right="150"/>
              <w:spacing w:after="0"/>
              <w:rPr>
                <w:sz w:val="20"/>
                <w:szCs w:val="20"/>
                <w:color w:val="auto"/>
              </w:rPr>
            </w:pPr>
            <w:r>
              <w:rPr>
                <w:rFonts w:ascii="Arial" w:cs="Arial" w:eastAsia="Arial" w:hAnsi="Arial"/>
                <w:sz w:val="9"/>
                <w:szCs w:val="9"/>
                <w:b w:val="1"/>
                <w:bCs w:val="1"/>
                <w:color w:val="auto"/>
              </w:rPr>
              <w:t>Stock</w:t>
            </w:r>
          </w:p>
        </w:tc>
        <w:tc>
          <w:tcPr>
            <w:tcW w:w="120" w:type="dxa"/>
            <w:vAlign w:val="bottom"/>
          </w:tcPr>
          <w:p>
            <w:pPr>
              <w:spacing w:after="0"/>
              <w:rPr>
                <w:sz w:val="11"/>
                <w:szCs w:val="11"/>
                <w:color w:val="auto"/>
              </w:rPr>
            </w:pPr>
          </w:p>
        </w:tc>
        <w:tc>
          <w:tcPr>
            <w:tcW w:w="120" w:type="dxa"/>
            <w:vAlign w:val="bottom"/>
            <w:tcBorders>
              <w:bottom w:val="single" w:sz="8" w:color="2C6937"/>
            </w:tcBorders>
          </w:tcPr>
          <w:p>
            <w:pPr>
              <w:spacing w:after="0"/>
              <w:rPr>
                <w:sz w:val="11"/>
                <w:szCs w:val="11"/>
                <w:color w:val="auto"/>
              </w:rPr>
            </w:pPr>
          </w:p>
        </w:tc>
        <w:tc>
          <w:tcPr>
            <w:tcW w:w="500" w:type="dxa"/>
            <w:vAlign w:val="bottom"/>
            <w:tcBorders>
              <w:bottom w:val="single" w:sz="8" w:color="2C6937"/>
            </w:tcBorders>
          </w:tcPr>
          <w:p>
            <w:pPr>
              <w:jc w:val="right"/>
              <w:ind w:right="130"/>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41"/>
        </w:trPr>
        <w:tc>
          <w:tcPr>
            <w:tcW w:w="3000" w:type="dxa"/>
            <w:vAlign w:val="bottom"/>
            <w:gridSpan w:val="2"/>
          </w:tcPr>
          <w:p>
            <w:pPr>
              <w:ind w:left="40"/>
              <w:spacing w:after="0"/>
              <w:rPr>
                <w:sz w:val="20"/>
                <w:szCs w:val="20"/>
                <w:color w:val="auto"/>
              </w:rPr>
            </w:pPr>
            <w:r>
              <w:rPr>
                <w:rFonts w:ascii="Arial" w:cs="Arial" w:eastAsia="Arial" w:hAnsi="Arial"/>
                <w:sz w:val="10"/>
                <w:szCs w:val="10"/>
                <w:b w:val="1"/>
                <w:bCs w:val="1"/>
                <w:color w:val="auto"/>
              </w:rPr>
              <w:t>Balance as of March 31, 2022</w:t>
            </w:r>
          </w:p>
        </w:tc>
        <w:tc>
          <w:tcPr>
            <w:tcW w:w="680" w:type="dxa"/>
            <w:vAlign w:val="bottom"/>
          </w:tcPr>
          <w:p>
            <w:pPr>
              <w:jc w:val="right"/>
              <w:ind w:right="10"/>
              <w:spacing w:after="0"/>
              <w:rPr>
                <w:sz w:val="20"/>
                <w:szCs w:val="20"/>
                <w:color w:val="auto"/>
              </w:rPr>
            </w:pPr>
            <w:r>
              <w:rPr>
                <w:rFonts w:ascii="Arial" w:cs="Arial" w:eastAsia="Arial" w:hAnsi="Arial"/>
                <w:sz w:val="10"/>
                <w:szCs w:val="10"/>
                <w:color w:val="auto"/>
              </w:rPr>
              <w:t>1</w:t>
            </w:r>
          </w:p>
        </w:tc>
        <w:tc>
          <w:tcPr>
            <w:tcW w:w="760" w:type="dxa"/>
            <w:vAlign w:val="bottom"/>
            <w:gridSpan w:val="2"/>
          </w:tcPr>
          <w:p>
            <w:pPr>
              <w:jc w:val="right"/>
              <w:ind w:right="10"/>
              <w:spacing w:after="0"/>
              <w:rPr>
                <w:sz w:val="20"/>
                <w:szCs w:val="20"/>
                <w:color w:val="auto"/>
              </w:rPr>
            </w:pPr>
            <w:r>
              <w:rPr>
                <w:rFonts w:ascii="Arial" w:cs="Arial" w:eastAsia="Arial" w:hAnsi="Arial"/>
                <w:sz w:val="10"/>
                <w:szCs w:val="10"/>
                <w:color w:val="auto"/>
              </w:rPr>
              <w:t>556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9"/>
              <w:spacing w:after="0"/>
              <w:rPr>
                <w:sz w:val="20"/>
                <w:szCs w:val="20"/>
                <w:color w:val="auto"/>
              </w:rPr>
            </w:pPr>
            <w:r>
              <w:rPr>
                <w:rFonts w:ascii="Arial" w:cs="Arial" w:eastAsia="Arial" w:hAnsi="Arial"/>
                <w:sz w:val="10"/>
                <w:szCs w:val="10"/>
                <w:color w:val="auto"/>
              </w:rPr>
              <w:t>1,158</w:t>
            </w:r>
          </w:p>
        </w:tc>
        <w:tc>
          <w:tcPr>
            <w:tcW w:w="26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120,836</w:t>
            </w:r>
          </w:p>
        </w:tc>
        <w:tc>
          <w:tcPr>
            <w:tcW w:w="220" w:type="dxa"/>
            <w:vAlign w:val="bottom"/>
            <w:gridSpan w:val="2"/>
          </w:tcPr>
          <w:p>
            <w:pPr>
              <w:ind w:left="14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19,130</w:t>
            </w:r>
          </w:p>
        </w:tc>
        <w:tc>
          <w:tcPr>
            <w:tcW w:w="24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10"/>
              <w:spacing w:after="0"/>
              <w:rPr>
                <w:sz w:val="20"/>
                <w:szCs w:val="20"/>
                <w:color w:val="auto"/>
              </w:rPr>
            </w:pPr>
            <w:r>
              <w:rPr>
                <w:rFonts w:ascii="Arial" w:cs="Arial" w:eastAsia="Arial" w:hAnsi="Arial"/>
                <w:sz w:val="10"/>
                <w:szCs w:val="10"/>
                <w:color w:val="auto"/>
              </w:rPr>
              <w:t>687</w:t>
            </w:r>
          </w:p>
        </w:tc>
        <w:tc>
          <w:tcPr>
            <w:tcW w:w="2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(81,526)</w:t>
            </w:r>
          </w:p>
        </w:tc>
        <w:tc>
          <w:tcPr>
            <w:tcW w:w="2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31</w:t>
            </w:r>
          </w:p>
        </w:tc>
        <w:tc>
          <w:tcPr>
            <w:tcW w:w="2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(7,400)</w:t>
            </w:r>
          </w:p>
        </w:tc>
        <w:tc>
          <w:tcPr>
            <w:tcW w:w="2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51,758</w:t>
            </w:r>
          </w:p>
        </w:tc>
        <w:tc>
          <w:tcPr>
            <w:tcW w:w="0" w:type="dxa"/>
            <w:vAlign w:val="bottom"/>
          </w:tcPr>
          <w:p>
            <w:pPr>
              <w:spacing w:after="0"/>
              <w:rPr>
                <w:sz w:val="1"/>
                <w:szCs w:val="1"/>
                <w:color w:val="auto"/>
              </w:rPr>
            </w:pPr>
          </w:p>
        </w:tc>
      </w:tr>
      <w:tr>
        <w:trPr>
          <w:trHeight w:val="147"/>
        </w:trPr>
        <w:tc>
          <w:tcPr>
            <w:tcW w:w="3000" w:type="dxa"/>
            <w:vAlign w:val="bottom"/>
            <w:gridSpan w:val="2"/>
          </w:tcPr>
          <w:p>
            <w:pPr>
              <w:ind w:left="40"/>
              <w:spacing w:after="0"/>
              <w:rPr>
                <w:sz w:val="20"/>
                <w:szCs w:val="20"/>
                <w:color w:val="auto"/>
              </w:rPr>
            </w:pPr>
            <w:r>
              <w:rPr>
                <w:rFonts w:ascii="Arial" w:cs="Arial" w:eastAsia="Arial" w:hAnsi="Arial"/>
                <w:sz w:val="10"/>
                <w:szCs w:val="10"/>
                <w:color w:val="auto"/>
              </w:rPr>
              <w:t>Comprehensive income: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00" w:type="dxa"/>
            <w:vAlign w:val="bottom"/>
            <w:gridSpan w:val="2"/>
          </w:tcPr>
          <w:p>
            <w:pPr>
              <w:ind w:left="40"/>
              <w:spacing w:after="0"/>
              <w:rPr>
                <w:sz w:val="20"/>
                <w:szCs w:val="20"/>
                <w:color w:val="auto"/>
              </w:rPr>
            </w:pPr>
            <w:r>
              <w:rPr>
                <w:rFonts w:ascii="Arial" w:cs="Arial" w:eastAsia="Arial" w:hAnsi="Arial"/>
                <w:sz w:val="10"/>
                <w:szCs w:val="10"/>
                <w:color w:val="auto"/>
              </w:rPr>
              <w:t>Net income</w:t>
            </w:r>
          </w:p>
        </w:tc>
        <w:tc>
          <w:tcPr>
            <w:tcW w:w="68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4,653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4,653</w:t>
            </w:r>
          </w:p>
        </w:tc>
        <w:tc>
          <w:tcPr>
            <w:tcW w:w="0" w:type="dxa"/>
            <w:vAlign w:val="bottom"/>
          </w:tcPr>
          <w:p>
            <w:pPr>
              <w:spacing w:after="0"/>
              <w:rPr>
                <w:sz w:val="1"/>
                <w:szCs w:val="1"/>
                <w:color w:val="auto"/>
              </w:rPr>
            </w:pPr>
          </w:p>
        </w:tc>
      </w:tr>
      <w:tr>
        <w:trPr>
          <w:trHeight w:val="155"/>
        </w:trPr>
        <w:tc>
          <w:tcPr>
            <w:tcW w:w="3000" w:type="dxa"/>
            <w:vAlign w:val="bottom"/>
            <w:gridSpan w:val="2"/>
          </w:tcPr>
          <w:p>
            <w:pPr>
              <w:ind w:left="40"/>
              <w:spacing w:after="0"/>
              <w:rPr>
                <w:sz w:val="20"/>
                <w:szCs w:val="20"/>
                <w:color w:val="auto"/>
              </w:rPr>
            </w:pPr>
            <w:r>
              <w:rPr>
                <w:rFonts w:ascii="Arial" w:cs="Arial" w:eastAsia="Arial" w:hAnsi="Arial"/>
                <w:sz w:val="10"/>
                <w:szCs w:val="10"/>
                <w:color w:val="auto"/>
              </w:rPr>
              <w:t>Other comprehensive income, net of tax effect:</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000" w:type="dxa"/>
            <w:vAlign w:val="bottom"/>
            <w:gridSpan w:val="2"/>
          </w:tcPr>
          <w:p>
            <w:pPr>
              <w:ind w:left="180"/>
              <w:spacing w:after="0"/>
              <w:rPr>
                <w:sz w:val="20"/>
                <w:szCs w:val="20"/>
                <w:color w:val="auto"/>
              </w:rPr>
            </w:pPr>
            <w:r>
              <w:rPr>
                <w:rFonts w:ascii="Arial" w:cs="Arial" w:eastAsia="Arial" w:hAnsi="Arial"/>
                <w:sz w:val="10"/>
                <w:szCs w:val="10"/>
                <w:color w:val="auto"/>
              </w:rPr>
              <w:t>Changes in net unrealized gains on available-for-sale</w:t>
            </w:r>
          </w:p>
        </w:tc>
        <w:tc>
          <w:tcPr>
            <w:tcW w:w="680" w:type="dxa"/>
            <w:vAlign w:val="bottom"/>
            <w:vMerge w:val="restart"/>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60" w:type="dxa"/>
            <w:vAlign w:val="bottom"/>
            <w:gridSpan w:val="3"/>
            <w:vMerge w:val="restart"/>
          </w:tcPr>
          <w:p>
            <w:pPr>
              <w:jc w:val="right"/>
              <w:ind w:right="260"/>
              <w:spacing w:after="0"/>
              <w:rPr>
                <w:sz w:val="20"/>
                <w:szCs w:val="20"/>
                <w:color w:val="auto"/>
              </w:rPr>
            </w:pPr>
            <w:r>
              <w:rPr>
                <w:rFonts w:ascii="Arial" w:cs="Arial" w:eastAsia="Arial" w:hAnsi="Arial"/>
                <w:sz w:val="10"/>
                <w:szCs w:val="10"/>
                <w:color w:val="auto"/>
              </w:rPr>
              <w:t>—</w:t>
            </w:r>
          </w:p>
        </w:tc>
        <w:tc>
          <w:tcPr>
            <w:tcW w:w="560" w:type="dxa"/>
            <w:vAlign w:val="bottom"/>
            <w:vMerge w:val="restart"/>
          </w:tcPr>
          <w:p>
            <w:pPr>
              <w:jc w:val="right"/>
              <w:ind w:right="9"/>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0"/>
                <w:szCs w:val="10"/>
                <w:color w:val="auto"/>
              </w:rPr>
              <w:t>(6)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(6)</w:t>
            </w:r>
          </w:p>
        </w:tc>
        <w:tc>
          <w:tcPr>
            <w:tcW w:w="0" w:type="dxa"/>
            <w:vAlign w:val="bottom"/>
          </w:tcPr>
          <w:p>
            <w:pPr>
              <w:spacing w:after="0"/>
              <w:rPr>
                <w:sz w:val="1"/>
                <w:szCs w:val="1"/>
                <w:color w:val="auto"/>
              </w:rPr>
            </w:pPr>
          </w:p>
        </w:tc>
      </w:tr>
      <w:tr>
        <w:trPr>
          <w:trHeight w:val="129"/>
        </w:trPr>
        <w:tc>
          <w:tcPr>
            <w:tcW w:w="3000" w:type="dxa"/>
            <w:vAlign w:val="bottom"/>
            <w:gridSpan w:val="2"/>
          </w:tcPr>
          <w:p>
            <w:pPr>
              <w:ind w:left="340"/>
              <w:spacing w:after="0"/>
              <w:rPr>
                <w:sz w:val="20"/>
                <w:szCs w:val="20"/>
                <w:color w:val="auto"/>
              </w:rPr>
            </w:pPr>
            <w:r>
              <w:rPr>
                <w:rFonts w:ascii="Arial" w:cs="Arial" w:eastAsia="Arial" w:hAnsi="Arial"/>
                <w:sz w:val="10"/>
                <w:szCs w:val="10"/>
                <w:color w:val="auto"/>
              </w:rPr>
              <w:t>securities (net of taxes of $2)</w:t>
            </w: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0" w:type="dxa"/>
            <w:vAlign w:val="bottom"/>
            <w:gridSpan w:val="2"/>
          </w:tcPr>
          <w:p>
            <w:pPr>
              <w:ind w:left="180"/>
              <w:spacing w:after="0"/>
              <w:rPr>
                <w:sz w:val="20"/>
                <w:szCs w:val="20"/>
                <w:color w:val="auto"/>
              </w:rPr>
            </w:pPr>
            <w:r>
              <w:rPr>
                <w:rFonts w:ascii="Arial" w:cs="Arial" w:eastAsia="Arial" w:hAnsi="Arial"/>
                <w:sz w:val="10"/>
                <w:szCs w:val="10"/>
                <w:color w:val="auto"/>
              </w:rPr>
              <w:t>Reclassification adjustment for gains included in net</w:t>
            </w:r>
          </w:p>
        </w:tc>
        <w:tc>
          <w:tcPr>
            <w:tcW w:w="680" w:type="dxa"/>
            <w:vAlign w:val="bottom"/>
            <w:vMerge w:val="restart"/>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60" w:type="dxa"/>
            <w:vAlign w:val="bottom"/>
            <w:gridSpan w:val="3"/>
            <w:vMerge w:val="restart"/>
          </w:tcPr>
          <w:p>
            <w:pPr>
              <w:jc w:val="right"/>
              <w:ind w:right="260"/>
              <w:spacing w:after="0"/>
              <w:rPr>
                <w:sz w:val="20"/>
                <w:szCs w:val="20"/>
                <w:color w:val="auto"/>
              </w:rPr>
            </w:pPr>
            <w:r>
              <w:rPr>
                <w:rFonts w:ascii="Arial" w:cs="Arial" w:eastAsia="Arial" w:hAnsi="Arial"/>
                <w:sz w:val="10"/>
                <w:szCs w:val="10"/>
                <w:color w:val="auto"/>
              </w:rPr>
              <w:t>—</w:t>
            </w:r>
          </w:p>
        </w:tc>
        <w:tc>
          <w:tcPr>
            <w:tcW w:w="560" w:type="dxa"/>
            <w:vAlign w:val="bottom"/>
            <w:vMerge w:val="restart"/>
          </w:tcPr>
          <w:p>
            <w:pPr>
              <w:jc w:val="right"/>
              <w:ind w:right="9"/>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ind w:right="11"/>
              <w:spacing w:after="0"/>
              <w:rPr>
                <w:sz w:val="20"/>
                <w:szCs w:val="20"/>
                <w:color w:val="auto"/>
              </w:rPr>
            </w:pPr>
            <w:r>
              <w:rPr>
                <w:rFonts w:ascii="Arial" w:cs="Arial" w:eastAsia="Arial" w:hAnsi="Arial"/>
                <w:sz w:val="10"/>
                <w:szCs w:val="10"/>
                <w:color w:val="auto"/>
              </w:rPr>
              <w:t>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restart"/>
          </w:tcPr>
          <w:p>
            <w:pPr>
              <w:jc w:val="right"/>
              <w:ind w:right="10"/>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29"/>
        </w:trPr>
        <w:tc>
          <w:tcPr>
            <w:tcW w:w="3000" w:type="dxa"/>
            <w:vAlign w:val="bottom"/>
            <w:gridSpan w:val="2"/>
          </w:tcPr>
          <w:p>
            <w:pPr>
              <w:ind w:left="340"/>
              <w:spacing w:after="0"/>
              <w:rPr>
                <w:sz w:val="20"/>
                <w:szCs w:val="20"/>
                <w:color w:val="auto"/>
              </w:rPr>
            </w:pPr>
            <w:r>
              <w:rPr>
                <w:rFonts w:ascii="Arial" w:cs="Arial" w:eastAsia="Arial" w:hAnsi="Arial"/>
                <w:sz w:val="10"/>
                <w:szCs w:val="10"/>
                <w:color w:val="auto"/>
              </w:rPr>
              <w:t>income (net of taxes of $1)</w:t>
            </w: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000" w:type="dxa"/>
            <w:vAlign w:val="bottom"/>
            <w:gridSpan w:val="2"/>
          </w:tcPr>
          <w:p>
            <w:pPr>
              <w:ind w:left="180"/>
              <w:spacing w:after="0"/>
              <w:rPr>
                <w:sz w:val="20"/>
                <w:szCs w:val="20"/>
                <w:color w:val="auto"/>
              </w:rPr>
            </w:pPr>
            <w:r>
              <w:rPr>
                <w:rFonts w:ascii="Arial" w:cs="Arial" w:eastAsia="Arial" w:hAnsi="Arial"/>
                <w:sz w:val="10"/>
                <w:szCs w:val="10"/>
                <w:color w:val="auto"/>
              </w:rPr>
              <w:t>Other (net of taxes of $1)</w:t>
            </w:r>
          </w:p>
        </w:tc>
        <w:tc>
          <w:tcPr>
            <w:tcW w:w="68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120" w:type="dxa"/>
            <w:vAlign w:val="bottom"/>
            <w:tcBorders>
              <w:bottom w:val="single" w:sz="8" w:color="2C6937"/>
            </w:tcBorders>
          </w:tcPr>
          <w:p>
            <w:pPr>
              <w:spacing w:after="0"/>
              <w:rPr>
                <w:sz w:val="14"/>
                <w:szCs w:val="14"/>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33"/>
        </w:trPr>
        <w:tc>
          <w:tcPr>
            <w:tcW w:w="3000" w:type="dxa"/>
            <w:vAlign w:val="bottom"/>
            <w:gridSpan w:val="2"/>
          </w:tcPr>
          <w:p>
            <w:pPr>
              <w:ind w:left="40"/>
              <w:spacing w:after="0"/>
              <w:rPr>
                <w:sz w:val="20"/>
                <w:szCs w:val="20"/>
                <w:color w:val="auto"/>
              </w:rPr>
            </w:pPr>
            <w:r>
              <w:rPr>
                <w:rFonts w:ascii="Arial" w:cs="Arial" w:eastAsia="Arial" w:hAnsi="Arial"/>
                <w:sz w:val="10"/>
                <w:szCs w:val="10"/>
                <w:color w:val="auto"/>
              </w:rPr>
              <w:t>Total comprehensive income</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4,649</w:t>
            </w:r>
          </w:p>
        </w:tc>
        <w:tc>
          <w:tcPr>
            <w:tcW w:w="0" w:type="dxa"/>
            <w:vAlign w:val="bottom"/>
          </w:tcPr>
          <w:p>
            <w:pPr>
              <w:spacing w:after="0"/>
              <w:rPr>
                <w:sz w:val="1"/>
                <w:szCs w:val="1"/>
                <w:color w:val="auto"/>
              </w:rPr>
            </w:pPr>
          </w:p>
        </w:tc>
      </w:tr>
      <w:tr>
        <w:trPr>
          <w:trHeight w:val="22"/>
        </w:trPr>
        <w:tc>
          <w:tcPr>
            <w:tcW w:w="288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5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56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56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58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90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52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50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880" w:type="dxa"/>
            <w:vAlign w:val="bottom"/>
          </w:tcPr>
          <w:p>
            <w:pPr>
              <w:ind w:left="40"/>
              <w:spacing w:after="0"/>
              <w:rPr>
                <w:sz w:val="20"/>
                <w:szCs w:val="20"/>
                <w:color w:val="auto"/>
              </w:rPr>
            </w:pPr>
            <w:r>
              <w:rPr>
                <w:rFonts w:ascii="Arial" w:cs="Arial" w:eastAsia="Arial" w:hAnsi="Arial"/>
                <w:sz w:val="10"/>
                <w:szCs w:val="10"/>
                <w:b w:val="1"/>
                <w:bCs w:val="1"/>
                <w:color w:val="auto"/>
              </w:rPr>
              <w:t>Balance as of June 30, 2022</w:t>
            </w:r>
          </w:p>
        </w:tc>
        <w:tc>
          <w:tcPr>
            <w:tcW w:w="120" w:type="dxa"/>
            <w:vAlign w:val="bottom"/>
          </w:tcPr>
          <w:p>
            <w:pPr>
              <w:spacing w:after="0"/>
              <w:rPr>
                <w:sz w:val="12"/>
                <w:szCs w:val="12"/>
                <w:color w:val="auto"/>
              </w:rPr>
            </w:pPr>
          </w:p>
        </w:tc>
        <w:tc>
          <w:tcPr>
            <w:tcW w:w="680" w:type="dxa"/>
            <w:vAlign w:val="bottom"/>
          </w:tcPr>
          <w:p>
            <w:pPr>
              <w:jc w:val="right"/>
              <w:ind w:right="10"/>
              <w:spacing w:after="0"/>
              <w:rPr>
                <w:sz w:val="20"/>
                <w:szCs w:val="20"/>
                <w:color w:val="auto"/>
              </w:rPr>
            </w:pPr>
            <w:r>
              <w:rPr>
                <w:rFonts w:ascii="Arial" w:cs="Arial" w:eastAsia="Arial" w:hAnsi="Arial"/>
                <w:sz w:val="10"/>
                <w:szCs w:val="10"/>
                <w:color w:val="auto"/>
              </w:rPr>
              <w:t>1</w:t>
            </w:r>
          </w:p>
        </w:tc>
        <w:tc>
          <w:tcPr>
            <w:tcW w:w="760" w:type="dxa"/>
            <w:vAlign w:val="bottom"/>
            <w:gridSpan w:val="2"/>
          </w:tcPr>
          <w:p>
            <w:pPr>
              <w:jc w:val="right"/>
              <w:ind w:right="10"/>
              <w:spacing w:after="0"/>
              <w:rPr>
                <w:sz w:val="20"/>
                <w:szCs w:val="20"/>
                <w:color w:val="auto"/>
              </w:rPr>
            </w:pPr>
            <w:r>
              <w:rPr>
                <w:rFonts w:ascii="Arial" w:cs="Arial" w:eastAsia="Arial" w:hAnsi="Arial"/>
                <w:sz w:val="10"/>
                <w:szCs w:val="10"/>
                <w:color w:val="auto"/>
              </w:rPr>
              <w:t>556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9"/>
              <w:spacing w:after="0"/>
              <w:rPr>
                <w:sz w:val="20"/>
                <w:szCs w:val="20"/>
                <w:color w:val="auto"/>
              </w:rPr>
            </w:pPr>
            <w:r>
              <w:rPr>
                <w:rFonts w:ascii="Arial" w:cs="Arial" w:eastAsia="Arial" w:hAnsi="Arial"/>
                <w:sz w:val="10"/>
                <w:szCs w:val="10"/>
                <w:color w:val="auto"/>
              </w:rPr>
              <w:t>1,158</w:t>
            </w:r>
          </w:p>
        </w:tc>
        <w:tc>
          <w:tcPr>
            <w:tcW w:w="26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120,836</w:t>
            </w:r>
          </w:p>
        </w:tc>
        <w:tc>
          <w:tcPr>
            <w:tcW w:w="220" w:type="dxa"/>
            <w:vAlign w:val="bottom"/>
            <w:gridSpan w:val="2"/>
          </w:tcPr>
          <w:p>
            <w:pPr>
              <w:ind w:left="14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19,130</w:t>
            </w:r>
          </w:p>
        </w:tc>
        <w:tc>
          <w:tcPr>
            <w:tcW w:w="24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10"/>
              <w:spacing w:after="0"/>
              <w:rPr>
                <w:sz w:val="20"/>
                <w:szCs w:val="20"/>
                <w:color w:val="auto"/>
              </w:rPr>
            </w:pPr>
            <w:r>
              <w:rPr>
                <w:rFonts w:ascii="Arial" w:cs="Arial" w:eastAsia="Arial" w:hAnsi="Arial"/>
                <w:sz w:val="10"/>
                <w:szCs w:val="10"/>
                <w:color w:val="auto"/>
              </w:rPr>
              <w:t>687</w:t>
            </w:r>
          </w:p>
        </w:tc>
        <w:tc>
          <w:tcPr>
            <w:tcW w:w="2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(76,873)</w:t>
            </w:r>
          </w:p>
        </w:tc>
        <w:tc>
          <w:tcPr>
            <w:tcW w:w="2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27</w:t>
            </w:r>
          </w:p>
        </w:tc>
        <w:tc>
          <w:tcPr>
            <w:tcW w:w="2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(7,400)</w:t>
            </w:r>
          </w:p>
        </w:tc>
        <w:tc>
          <w:tcPr>
            <w:tcW w:w="2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56,407</w:t>
            </w:r>
          </w:p>
        </w:tc>
        <w:tc>
          <w:tcPr>
            <w:tcW w:w="0" w:type="dxa"/>
            <w:vAlign w:val="bottom"/>
          </w:tcPr>
          <w:p>
            <w:pPr>
              <w:spacing w:after="0"/>
              <w:rPr>
                <w:sz w:val="1"/>
                <w:szCs w:val="1"/>
                <w:color w:val="auto"/>
              </w:rPr>
            </w:pPr>
          </w:p>
        </w:tc>
      </w:tr>
      <w:tr>
        <w:trPr>
          <w:trHeight w:val="24"/>
        </w:trPr>
        <w:tc>
          <w:tcPr>
            <w:tcW w:w="2880" w:type="dxa"/>
            <w:vAlign w:val="bottom"/>
            <w:tcBorders>
              <w:top w:val="single" w:sz="8" w:color="2C6937"/>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top w:val="single" w:sz="8" w:color="2C6937"/>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top w:val="single" w:sz="8" w:color="2C6937"/>
              <w:bottom w:val="single" w:sz="8" w:color="2C6937"/>
            </w:tcBorders>
          </w:tcPr>
          <w:p>
            <w:pPr>
              <w:spacing w:after="0"/>
              <w:rPr>
                <w:sz w:val="2"/>
                <w:szCs w:val="2"/>
                <w:color w:val="auto"/>
              </w:rPr>
            </w:pPr>
          </w:p>
        </w:tc>
        <w:tc>
          <w:tcPr>
            <w:tcW w:w="5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2C6937"/>
              <w:bottom w:val="single" w:sz="8" w:color="2C6937"/>
            </w:tcBorders>
          </w:tcPr>
          <w:p>
            <w:pPr>
              <w:spacing w:after="0"/>
              <w:rPr>
                <w:sz w:val="2"/>
                <w:szCs w:val="2"/>
                <w:color w:val="auto"/>
              </w:rPr>
            </w:pPr>
          </w:p>
        </w:tc>
        <w:tc>
          <w:tcPr>
            <w:tcW w:w="560" w:type="dxa"/>
            <w:vAlign w:val="bottom"/>
            <w:tcBorders>
              <w:top w:val="single" w:sz="8" w:color="2C6937"/>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560" w:type="dxa"/>
            <w:vAlign w:val="bottom"/>
            <w:tcBorders>
              <w:top w:val="single" w:sz="8" w:color="2C6937"/>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2C6937"/>
              <w:bottom w:val="single" w:sz="8" w:color="2C6937"/>
            </w:tcBorders>
          </w:tcPr>
          <w:p>
            <w:pPr>
              <w:spacing w:after="0"/>
              <w:rPr>
                <w:sz w:val="2"/>
                <w:szCs w:val="2"/>
                <w:color w:val="auto"/>
              </w:rPr>
            </w:pPr>
          </w:p>
        </w:tc>
        <w:tc>
          <w:tcPr>
            <w:tcW w:w="580" w:type="dxa"/>
            <w:vAlign w:val="bottom"/>
            <w:tcBorders>
              <w:top w:val="single" w:sz="8" w:color="2C6937"/>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740" w:type="dxa"/>
            <w:vAlign w:val="bottom"/>
            <w:tcBorders>
              <w:top w:val="single" w:sz="8" w:color="2C6937"/>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2C6937"/>
              <w:bottom w:val="single" w:sz="8" w:color="2C6937"/>
            </w:tcBorders>
          </w:tcPr>
          <w:p>
            <w:pPr>
              <w:spacing w:after="0"/>
              <w:rPr>
                <w:sz w:val="2"/>
                <w:szCs w:val="2"/>
                <w:color w:val="auto"/>
              </w:rPr>
            </w:pPr>
          </w:p>
        </w:tc>
        <w:tc>
          <w:tcPr>
            <w:tcW w:w="900" w:type="dxa"/>
            <w:vAlign w:val="bottom"/>
            <w:tcBorders>
              <w:top w:val="single" w:sz="8" w:color="2C6937"/>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520" w:type="dxa"/>
            <w:vAlign w:val="bottom"/>
            <w:tcBorders>
              <w:top w:val="single" w:sz="8" w:color="2C6937"/>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2C6937"/>
              <w:bottom w:val="single" w:sz="8" w:color="2C6937"/>
            </w:tcBorders>
          </w:tcPr>
          <w:p>
            <w:pPr>
              <w:spacing w:after="0"/>
              <w:rPr>
                <w:sz w:val="2"/>
                <w:szCs w:val="2"/>
                <w:color w:val="auto"/>
              </w:rPr>
            </w:pPr>
          </w:p>
        </w:tc>
        <w:tc>
          <w:tcPr>
            <w:tcW w:w="500" w:type="dxa"/>
            <w:vAlign w:val="bottom"/>
            <w:tcBorders>
              <w:top w:val="single" w:sz="8" w:color="2C6937"/>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660" w:type="dxa"/>
            <w:vAlign w:val="bottom"/>
            <w:tcBorders>
              <w:bottom w:val="single" w:sz="8" w:color="2C6937"/>
            </w:tcBorders>
          </w:tcPr>
          <w:p>
            <w:pPr>
              <w:spacing w:after="0"/>
              <w:rPr>
                <w:sz w:val="14"/>
                <w:szCs w:val="14"/>
                <w:color w:val="auto"/>
              </w:rPr>
            </w:pPr>
          </w:p>
        </w:tc>
        <w:tc>
          <w:tcPr>
            <w:tcW w:w="120" w:type="dxa"/>
            <w:vAlign w:val="bottom"/>
            <w:tcBorders>
              <w:bottom w:val="single" w:sz="8" w:color="2C6937"/>
            </w:tcBorders>
          </w:tcPr>
          <w:p>
            <w:pPr>
              <w:spacing w:after="0"/>
              <w:rPr>
                <w:sz w:val="14"/>
                <w:szCs w:val="14"/>
                <w:color w:val="auto"/>
              </w:rPr>
            </w:pPr>
          </w:p>
        </w:tc>
        <w:tc>
          <w:tcPr>
            <w:tcW w:w="80" w:type="dxa"/>
            <w:vAlign w:val="bottom"/>
            <w:tcBorders>
              <w:bottom w:val="single" w:sz="8" w:color="2C6937"/>
            </w:tcBorders>
          </w:tcPr>
          <w:p>
            <w:pPr>
              <w:spacing w:after="0"/>
              <w:rPr>
                <w:sz w:val="14"/>
                <w:szCs w:val="14"/>
                <w:color w:val="auto"/>
              </w:rPr>
            </w:pPr>
          </w:p>
        </w:tc>
        <w:tc>
          <w:tcPr>
            <w:tcW w:w="56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160" w:type="dxa"/>
            <w:vAlign w:val="bottom"/>
            <w:tcBorders>
              <w:bottom w:val="single" w:sz="8" w:color="2C6937"/>
            </w:tcBorders>
          </w:tcPr>
          <w:p>
            <w:pPr>
              <w:spacing w:after="0"/>
              <w:rPr>
                <w:sz w:val="14"/>
                <w:szCs w:val="14"/>
                <w:color w:val="auto"/>
              </w:rPr>
            </w:pPr>
          </w:p>
        </w:tc>
        <w:tc>
          <w:tcPr>
            <w:tcW w:w="560" w:type="dxa"/>
            <w:vAlign w:val="bottom"/>
            <w:tcBorders>
              <w:bottom w:val="single" w:sz="8" w:color="2C6937"/>
            </w:tcBorders>
          </w:tcPr>
          <w:p>
            <w:pPr>
              <w:spacing w:after="0"/>
              <w:rPr>
                <w:sz w:val="14"/>
                <w:szCs w:val="14"/>
                <w:color w:val="auto"/>
              </w:rPr>
            </w:pPr>
          </w:p>
        </w:tc>
        <w:tc>
          <w:tcPr>
            <w:tcW w:w="120" w:type="dxa"/>
            <w:vAlign w:val="bottom"/>
            <w:tcBorders>
              <w:bottom w:val="single" w:sz="8" w:color="2C6937"/>
            </w:tcBorders>
          </w:tcPr>
          <w:p>
            <w:pPr>
              <w:spacing w:after="0"/>
              <w:rPr>
                <w:sz w:val="14"/>
                <w:szCs w:val="14"/>
                <w:color w:val="auto"/>
              </w:rPr>
            </w:pPr>
          </w:p>
        </w:tc>
        <w:tc>
          <w:tcPr>
            <w:tcW w:w="2440" w:type="dxa"/>
            <w:vAlign w:val="bottom"/>
            <w:tcBorders>
              <w:bottom w:val="single" w:sz="8" w:color="2C6937"/>
            </w:tcBorders>
            <w:gridSpan w:val="8"/>
          </w:tcPr>
          <w:p>
            <w:pPr>
              <w:ind w:left="20"/>
              <w:spacing w:after="0"/>
              <w:rPr>
                <w:sz w:val="20"/>
                <w:szCs w:val="20"/>
                <w:color w:val="auto"/>
              </w:rPr>
            </w:pPr>
            <w:r>
              <w:rPr>
                <w:rFonts w:ascii="Arial" w:cs="Arial" w:eastAsia="Arial" w:hAnsi="Arial"/>
                <w:sz w:val="12"/>
                <w:szCs w:val="12"/>
                <w:b w:val="1"/>
                <w:bCs w:val="1"/>
                <w:color w:val="auto"/>
              </w:rPr>
              <w:t>Fannie Mae Stockholders’ Equity</w:t>
            </w:r>
          </w:p>
        </w:tc>
        <w:tc>
          <w:tcPr>
            <w:tcW w:w="120" w:type="dxa"/>
            <w:vAlign w:val="bottom"/>
            <w:tcBorders>
              <w:bottom w:val="single" w:sz="8" w:color="2C6937"/>
            </w:tcBorders>
          </w:tcPr>
          <w:p>
            <w:pPr>
              <w:spacing w:after="0"/>
              <w:rPr>
                <w:sz w:val="14"/>
                <w:szCs w:val="14"/>
                <w:color w:val="auto"/>
              </w:rPr>
            </w:pPr>
          </w:p>
        </w:tc>
        <w:tc>
          <w:tcPr>
            <w:tcW w:w="120" w:type="dxa"/>
            <w:vAlign w:val="bottom"/>
            <w:tcBorders>
              <w:bottom w:val="single" w:sz="8" w:color="2C6937"/>
            </w:tcBorders>
          </w:tcPr>
          <w:p>
            <w:pPr>
              <w:spacing w:after="0"/>
              <w:rPr>
                <w:sz w:val="14"/>
                <w:szCs w:val="14"/>
                <w:color w:val="auto"/>
              </w:rPr>
            </w:pPr>
          </w:p>
        </w:tc>
        <w:tc>
          <w:tcPr>
            <w:tcW w:w="900" w:type="dxa"/>
            <w:vAlign w:val="bottom"/>
            <w:tcBorders>
              <w:bottom w:val="single" w:sz="8" w:color="2C6937"/>
            </w:tcBorders>
          </w:tcPr>
          <w:p>
            <w:pPr>
              <w:spacing w:after="0"/>
              <w:rPr>
                <w:sz w:val="14"/>
                <w:szCs w:val="14"/>
                <w:color w:val="auto"/>
              </w:rPr>
            </w:pPr>
          </w:p>
        </w:tc>
        <w:tc>
          <w:tcPr>
            <w:tcW w:w="12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520" w:type="dxa"/>
            <w:vAlign w:val="bottom"/>
            <w:tcBorders>
              <w:bottom w:val="single" w:sz="8" w:color="2C6937"/>
            </w:tcBorders>
          </w:tcPr>
          <w:p>
            <w:pPr>
              <w:spacing w:after="0"/>
              <w:rPr>
                <w:sz w:val="14"/>
                <w:szCs w:val="14"/>
                <w:color w:val="auto"/>
              </w:rPr>
            </w:pPr>
          </w:p>
        </w:tc>
        <w:tc>
          <w:tcPr>
            <w:tcW w:w="120" w:type="dxa"/>
            <w:vAlign w:val="bottom"/>
            <w:tcBorders>
              <w:bottom w:val="single" w:sz="8" w:color="2C6937"/>
            </w:tcBorders>
          </w:tcPr>
          <w:p>
            <w:pPr>
              <w:spacing w:after="0"/>
              <w:rPr>
                <w:sz w:val="14"/>
                <w:szCs w:val="14"/>
                <w:color w:val="auto"/>
              </w:rPr>
            </w:pPr>
          </w:p>
        </w:tc>
        <w:tc>
          <w:tcPr>
            <w:tcW w:w="120" w:type="dxa"/>
            <w:vAlign w:val="bottom"/>
            <w:tcBorders>
              <w:bottom w:val="single" w:sz="8" w:color="2C6937"/>
            </w:tcBorders>
          </w:tcPr>
          <w:p>
            <w:pPr>
              <w:spacing w:after="0"/>
              <w:rPr>
                <w:sz w:val="14"/>
                <w:szCs w:val="14"/>
                <w:color w:val="auto"/>
              </w:rPr>
            </w:pPr>
          </w:p>
        </w:tc>
        <w:tc>
          <w:tcPr>
            <w:tcW w:w="500" w:type="dxa"/>
            <w:vAlign w:val="bottom"/>
            <w:tcBorders>
              <w:bottom w:val="single" w:sz="8" w:color="2C6937"/>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Borders>
              <w:bottom w:val="single" w:sz="8" w:color="2C6937"/>
            </w:tcBorders>
            <w:gridSpan w:val="5"/>
          </w:tcPr>
          <w:p>
            <w:pPr>
              <w:ind w:left="600"/>
              <w:spacing w:after="0"/>
              <w:rPr>
                <w:sz w:val="20"/>
                <w:szCs w:val="20"/>
                <w:color w:val="auto"/>
              </w:rPr>
            </w:pPr>
            <w:r>
              <w:rPr>
                <w:rFonts w:ascii="Arial" w:cs="Arial" w:eastAsia="Arial" w:hAnsi="Arial"/>
                <w:sz w:val="10"/>
                <w:szCs w:val="10"/>
                <w:b w:val="1"/>
                <w:bCs w:val="1"/>
                <w:color w:val="auto"/>
              </w:rPr>
              <w:t>Shares Outstanding</w:t>
            </w:r>
          </w:p>
        </w:tc>
        <w:tc>
          <w:tcPr>
            <w:tcW w:w="560" w:type="dxa"/>
            <w:vAlign w:val="bottom"/>
            <w:tcBorders>
              <w:bottom w:val="single" w:sz="8" w:color="2C6937"/>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center"/>
              <w:ind w:right="91"/>
              <w:spacing w:after="0"/>
              <w:rPr>
                <w:sz w:val="20"/>
                <w:szCs w:val="20"/>
                <w:color w:val="auto"/>
              </w:rPr>
            </w:pPr>
            <w:r>
              <w:rPr>
                <w:rFonts w:ascii="Arial" w:cs="Arial" w:eastAsia="Arial" w:hAnsi="Arial"/>
                <w:sz w:val="9"/>
                <w:szCs w:val="9"/>
                <w:b w:val="1"/>
                <w:bCs w:val="1"/>
                <w:color w:val="auto"/>
                <w:w w:val="99"/>
              </w:rPr>
              <w:t>Accumulated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2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restart"/>
          </w:tcPr>
          <w:p>
            <w:pPr>
              <w:jc w:val="right"/>
              <w:ind w:right="150"/>
              <w:spacing w:after="0"/>
              <w:rPr>
                <w:sz w:val="20"/>
                <w:szCs w:val="20"/>
                <w:color w:val="auto"/>
              </w:rPr>
            </w:pPr>
            <w:r>
              <w:rPr>
                <w:rFonts w:ascii="Arial" w:cs="Arial" w:eastAsia="Arial" w:hAnsi="Arial"/>
                <w:sz w:val="9"/>
                <w:szCs w:val="9"/>
                <w:b w:val="1"/>
                <w:bCs w:val="1"/>
                <w:color w:val="auto"/>
              </w:rPr>
              <w:t>Senior</w:t>
            </w: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restart"/>
          </w:tcPr>
          <w:p>
            <w:pPr>
              <w:jc w:val="right"/>
              <w:ind w:right="149"/>
              <w:spacing w:after="0"/>
              <w:rPr>
                <w:sz w:val="20"/>
                <w:szCs w:val="20"/>
                <w:color w:val="auto"/>
              </w:rPr>
            </w:pPr>
            <w:r>
              <w:rPr>
                <w:rFonts w:ascii="Arial" w:cs="Arial" w:eastAsia="Arial" w:hAnsi="Arial"/>
                <w:sz w:val="9"/>
                <w:szCs w:val="9"/>
                <w:b w:val="1"/>
                <w:bCs w:val="1"/>
                <w:color w:val="auto"/>
              </w:rPr>
              <w:t>Senior</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restart"/>
          </w:tcPr>
          <w:p>
            <w:pPr>
              <w:jc w:val="right"/>
              <w:ind w:right="70"/>
              <w:spacing w:after="0"/>
              <w:rPr>
                <w:sz w:val="20"/>
                <w:szCs w:val="20"/>
                <w:color w:val="auto"/>
              </w:rPr>
            </w:pPr>
            <w:r>
              <w:rPr>
                <w:rFonts w:ascii="Arial" w:cs="Arial" w:eastAsia="Arial" w:hAnsi="Arial"/>
                <w:sz w:val="9"/>
                <w:szCs w:val="9"/>
                <w:b w:val="1"/>
                <w:bCs w:val="1"/>
                <w:color w:val="auto"/>
              </w:rPr>
              <w:t>Preferred</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restart"/>
          </w:tcPr>
          <w:p>
            <w:pPr>
              <w:jc w:val="right"/>
              <w:ind w:right="110"/>
              <w:spacing w:after="0"/>
              <w:rPr>
                <w:sz w:val="20"/>
                <w:szCs w:val="20"/>
                <w:color w:val="auto"/>
              </w:rPr>
            </w:pPr>
            <w:r>
              <w:rPr>
                <w:rFonts w:ascii="Arial" w:cs="Arial" w:eastAsia="Arial" w:hAnsi="Arial"/>
                <w:sz w:val="9"/>
                <w:szCs w:val="9"/>
                <w:b w:val="1"/>
                <w:bCs w:val="1"/>
                <w:color w:val="auto"/>
              </w:rPr>
              <w:t>Common</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vMerge w:val="restart"/>
          </w:tcPr>
          <w:p>
            <w:pPr>
              <w:jc w:val="right"/>
              <w:ind w:right="90"/>
              <w:spacing w:after="0"/>
              <w:rPr>
                <w:sz w:val="20"/>
                <w:szCs w:val="20"/>
                <w:color w:val="auto"/>
              </w:rPr>
            </w:pPr>
            <w:r>
              <w:rPr>
                <w:rFonts w:ascii="Arial" w:cs="Arial" w:eastAsia="Arial" w:hAnsi="Arial"/>
                <w:sz w:val="9"/>
                <w:szCs w:val="9"/>
                <w:b w:val="1"/>
                <w:bCs w:val="1"/>
                <w:color w:val="auto"/>
              </w:rPr>
              <w:t>Accumulated</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jc w:val="center"/>
              <w:ind w:right="91"/>
              <w:spacing w:after="0" w:line="91" w:lineRule="exact"/>
              <w:rPr>
                <w:sz w:val="20"/>
                <w:szCs w:val="20"/>
                <w:color w:val="auto"/>
              </w:rPr>
            </w:pPr>
            <w:r>
              <w:rPr>
                <w:rFonts w:ascii="Arial" w:cs="Arial" w:eastAsia="Arial" w:hAnsi="Arial"/>
                <w:sz w:val="9"/>
                <w:szCs w:val="9"/>
                <w:b w:val="1"/>
                <w:bCs w:val="1"/>
                <w:color w:val="auto"/>
                <w:w w:val="99"/>
              </w:rPr>
              <w:t>Other</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restart"/>
          </w:tcPr>
          <w:p>
            <w:pPr>
              <w:jc w:val="right"/>
              <w:ind w:right="70"/>
              <w:spacing w:after="0"/>
              <w:rPr>
                <w:sz w:val="20"/>
                <w:szCs w:val="20"/>
                <w:color w:val="auto"/>
              </w:rPr>
            </w:pPr>
            <w:r>
              <w:rPr>
                <w:rFonts w:ascii="Arial" w:cs="Arial" w:eastAsia="Arial" w:hAnsi="Arial"/>
                <w:sz w:val="9"/>
                <w:szCs w:val="9"/>
                <w:b w:val="1"/>
                <w:bCs w:val="1"/>
                <w:color w:val="auto"/>
                <w:w w:val="99"/>
              </w:rPr>
              <w:t>Treasury</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restart"/>
          </w:tcPr>
          <w:p>
            <w:pPr>
              <w:jc w:val="right"/>
              <w:ind w:right="15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90"/>
        </w:trPr>
        <w:tc>
          <w:tcPr>
            <w:tcW w:w="2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restart"/>
          </w:tcPr>
          <w:p>
            <w:pPr>
              <w:jc w:val="right"/>
              <w:ind w:right="70"/>
              <w:spacing w:after="0"/>
              <w:rPr>
                <w:sz w:val="20"/>
                <w:szCs w:val="20"/>
                <w:color w:val="auto"/>
              </w:rPr>
            </w:pPr>
            <w:r>
              <w:rPr>
                <w:rFonts w:ascii="Arial" w:cs="Arial" w:eastAsia="Arial" w:hAnsi="Arial"/>
                <w:sz w:val="9"/>
                <w:szCs w:val="9"/>
                <w:b w:val="1"/>
                <w:bCs w:val="1"/>
                <w:color w:val="auto"/>
              </w:rPr>
              <w:t>Preferred</w:t>
            </w:r>
          </w:p>
        </w:tc>
        <w:tc>
          <w:tcPr>
            <w:tcW w:w="12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560" w:type="dxa"/>
            <w:vAlign w:val="bottom"/>
            <w:vMerge w:val="restart"/>
          </w:tcPr>
          <w:p>
            <w:pPr>
              <w:jc w:val="right"/>
              <w:ind w:right="89"/>
              <w:spacing w:after="0"/>
              <w:rPr>
                <w:sz w:val="20"/>
                <w:szCs w:val="20"/>
                <w:color w:val="auto"/>
              </w:rPr>
            </w:pPr>
            <w:r>
              <w:rPr>
                <w:rFonts w:ascii="Arial" w:cs="Arial" w:eastAsia="Arial" w:hAnsi="Arial"/>
                <w:sz w:val="9"/>
                <w:szCs w:val="9"/>
                <w:b w:val="1"/>
                <w:bCs w:val="1"/>
                <w:color w:val="auto"/>
              </w:rPr>
              <w:t>Common</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jc w:val="center"/>
              <w:ind w:right="71"/>
              <w:spacing w:after="0" w:line="91" w:lineRule="exact"/>
              <w:rPr>
                <w:sz w:val="20"/>
                <w:szCs w:val="20"/>
                <w:color w:val="auto"/>
              </w:rPr>
            </w:pPr>
            <w:r>
              <w:rPr>
                <w:rFonts w:ascii="Arial" w:cs="Arial" w:eastAsia="Arial" w:hAnsi="Arial"/>
                <w:sz w:val="9"/>
                <w:szCs w:val="9"/>
                <w:b w:val="1"/>
                <w:bCs w:val="1"/>
                <w:color w:val="auto"/>
                <w:w w:val="97"/>
              </w:rPr>
              <w:t>Comprehensive</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bottom w:val="single" w:sz="8" w:color="2C6937"/>
            </w:tcBorders>
          </w:tcPr>
          <w:p>
            <w:pPr>
              <w:jc w:val="right"/>
              <w:ind w:right="90"/>
              <w:spacing w:after="0"/>
              <w:rPr>
                <w:sz w:val="20"/>
                <w:szCs w:val="20"/>
                <w:color w:val="auto"/>
              </w:rPr>
            </w:pPr>
            <w:r>
              <w:rPr>
                <w:rFonts w:ascii="Arial" w:cs="Arial" w:eastAsia="Arial" w:hAnsi="Arial"/>
                <w:sz w:val="9"/>
                <w:szCs w:val="9"/>
                <w:b w:val="1"/>
                <w:bCs w:val="1"/>
                <w:color w:val="auto"/>
              </w:rPr>
              <w:t>Preferred</w:t>
            </w:r>
          </w:p>
        </w:tc>
        <w:tc>
          <w:tcPr>
            <w:tcW w:w="100" w:type="dxa"/>
            <w:vAlign w:val="bottom"/>
          </w:tcPr>
          <w:p>
            <w:pPr>
              <w:spacing w:after="0"/>
              <w:rPr>
                <w:sz w:val="11"/>
                <w:szCs w:val="11"/>
                <w:color w:val="auto"/>
              </w:rPr>
            </w:pPr>
          </w:p>
        </w:tc>
        <w:tc>
          <w:tcPr>
            <w:tcW w:w="660" w:type="dxa"/>
            <w:vAlign w:val="bottom"/>
            <w:tcBorders>
              <w:bottom w:val="single" w:sz="8" w:color="2C6937"/>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80" w:type="dxa"/>
            <w:vAlign w:val="bottom"/>
            <w:tcBorders>
              <w:bottom w:val="single" w:sz="8" w:color="2C6937"/>
            </w:tcBorders>
            <w:vMerge w:val="continue"/>
          </w:tcPr>
          <w:p>
            <w:pPr>
              <w:spacing w:after="0"/>
              <w:rPr>
                <w:sz w:val="11"/>
                <w:szCs w:val="11"/>
                <w:color w:val="auto"/>
              </w:rPr>
            </w:pPr>
          </w:p>
        </w:tc>
        <w:tc>
          <w:tcPr>
            <w:tcW w:w="560" w:type="dxa"/>
            <w:vAlign w:val="bottom"/>
            <w:tcBorders>
              <w:bottom w:val="single" w:sz="8" w:color="2C6937"/>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bottom w:val="single" w:sz="8" w:color="2C6937"/>
            </w:tcBorders>
            <w:gridSpan w:val="2"/>
          </w:tcPr>
          <w:p>
            <w:pPr>
              <w:ind w:left="40"/>
              <w:spacing w:after="0"/>
              <w:rPr>
                <w:sz w:val="20"/>
                <w:szCs w:val="20"/>
                <w:color w:val="auto"/>
              </w:rPr>
            </w:pPr>
            <w:r>
              <w:rPr>
                <w:rFonts w:ascii="Arial" w:cs="Arial" w:eastAsia="Arial" w:hAnsi="Arial"/>
                <w:sz w:val="9"/>
                <w:szCs w:val="9"/>
                <w:b w:val="1"/>
                <w:bCs w:val="1"/>
                <w:color w:val="auto"/>
                <w:w w:val="98"/>
              </w:rPr>
              <w:t>Preferred Stock</w:t>
            </w:r>
          </w:p>
        </w:tc>
        <w:tc>
          <w:tcPr>
            <w:tcW w:w="120" w:type="dxa"/>
            <w:vAlign w:val="bottom"/>
          </w:tcPr>
          <w:p>
            <w:pPr>
              <w:spacing w:after="0"/>
              <w:rPr>
                <w:sz w:val="11"/>
                <w:szCs w:val="11"/>
                <w:color w:val="auto"/>
              </w:rPr>
            </w:pPr>
          </w:p>
        </w:tc>
        <w:tc>
          <w:tcPr>
            <w:tcW w:w="100" w:type="dxa"/>
            <w:vAlign w:val="bottom"/>
            <w:tcBorders>
              <w:bottom w:val="single" w:sz="8" w:color="2C6937"/>
            </w:tcBorders>
          </w:tcPr>
          <w:p>
            <w:pPr>
              <w:spacing w:after="0"/>
              <w:rPr>
                <w:sz w:val="11"/>
                <w:szCs w:val="11"/>
                <w:color w:val="auto"/>
              </w:rPr>
            </w:pPr>
          </w:p>
        </w:tc>
        <w:tc>
          <w:tcPr>
            <w:tcW w:w="560" w:type="dxa"/>
            <w:vAlign w:val="bottom"/>
            <w:tcBorders>
              <w:bottom w:val="single" w:sz="8" w:color="2C6937"/>
            </w:tcBorders>
          </w:tcPr>
          <w:p>
            <w:pPr>
              <w:jc w:val="right"/>
              <w:ind w:right="150"/>
              <w:spacing w:after="0"/>
              <w:rPr>
                <w:sz w:val="20"/>
                <w:szCs w:val="20"/>
                <w:color w:val="auto"/>
              </w:rPr>
            </w:pPr>
            <w:r>
              <w:rPr>
                <w:rFonts w:ascii="Arial" w:cs="Arial" w:eastAsia="Arial" w:hAnsi="Arial"/>
                <w:sz w:val="9"/>
                <w:szCs w:val="9"/>
                <w:b w:val="1"/>
                <w:bCs w:val="1"/>
                <w:color w:val="auto"/>
              </w:rPr>
              <w:t>Stock</w:t>
            </w:r>
          </w:p>
        </w:tc>
        <w:tc>
          <w:tcPr>
            <w:tcW w:w="120" w:type="dxa"/>
            <w:vAlign w:val="bottom"/>
          </w:tcPr>
          <w:p>
            <w:pPr>
              <w:spacing w:after="0"/>
              <w:rPr>
                <w:sz w:val="11"/>
                <w:szCs w:val="11"/>
                <w:color w:val="auto"/>
              </w:rPr>
            </w:pPr>
          </w:p>
        </w:tc>
        <w:tc>
          <w:tcPr>
            <w:tcW w:w="120" w:type="dxa"/>
            <w:vAlign w:val="bottom"/>
            <w:tcBorders>
              <w:bottom w:val="single" w:sz="8" w:color="2C6937"/>
            </w:tcBorders>
          </w:tcPr>
          <w:p>
            <w:pPr>
              <w:spacing w:after="0"/>
              <w:rPr>
                <w:sz w:val="11"/>
                <w:szCs w:val="11"/>
                <w:color w:val="auto"/>
              </w:rPr>
            </w:pPr>
          </w:p>
        </w:tc>
        <w:tc>
          <w:tcPr>
            <w:tcW w:w="580" w:type="dxa"/>
            <w:vAlign w:val="bottom"/>
            <w:tcBorders>
              <w:bottom w:val="single" w:sz="8" w:color="2C6937"/>
            </w:tcBorders>
          </w:tcPr>
          <w:p>
            <w:pPr>
              <w:jc w:val="right"/>
              <w:ind w:right="190"/>
              <w:spacing w:after="0"/>
              <w:rPr>
                <w:sz w:val="20"/>
                <w:szCs w:val="20"/>
                <w:color w:val="auto"/>
              </w:rPr>
            </w:pPr>
            <w:r>
              <w:rPr>
                <w:rFonts w:ascii="Arial" w:cs="Arial" w:eastAsia="Arial" w:hAnsi="Arial"/>
                <w:sz w:val="9"/>
                <w:szCs w:val="9"/>
                <w:b w:val="1"/>
                <w:bCs w:val="1"/>
                <w:color w:val="auto"/>
              </w:rPr>
              <w:t>Stock</w:t>
            </w:r>
          </w:p>
        </w:tc>
        <w:tc>
          <w:tcPr>
            <w:tcW w:w="120" w:type="dxa"/>
            <w:vAlign w:val="bottom"/>
          </w:tcPr>
          <w:p>
            <w:pPr>
              <w:spacing w:after="0"/>
              <w:rPr>
                <w:sz w:val="11"/>
                <w:szCs w:val="11"/>
                <w:color w:val="auto"/>
              </w:rPr>
            </w:pPr>
          </w:p>
        </w:tc>
        <w:tc>
          <w:tcPr>
            <w:tcW w:w="100" w:type="dxa"/>
            <w:vAlign w:val="bottom"/>
            <w:tcBorders>
              <w:bottom w:val="single" w:sz="8" w:color="2C6937"/>
            </w:tcBorders>
          </w:tcPr>
          <w:p>
            <w:pPr>
              <w:spacing w:after="0"/>
              <w:rPr>
                <w:sz w:val="11"/>
                <w:szCs w:val="11"/>
                <w:color w:val="auto"/>
              </w:rPr>
            </w:pPr>
          </w:p>
        </w:tc>
        <w:tc>
          <w:tcPr>
            <w:tcW w:w="740" w:type="dxa"/>
            <w:vAlign w:val="bottom"/>
            <w:tcBorders>
              <w:bottom w:val="single" w:sz="8" w:color="2C6937"/>
            </w:tcBorders>
          </w:tcPr>
          <w:p>
            <w:pPr>
              <w:jc w:val="right"/>
              <w:ind w:right="230"/>
              <w:spacing w:after="0"/>
              <w:rPr>
                <w:sz w:val="20"/>
                <w:szCs w:val="20"/>
                <w:color w:val="auto"/>
              </w:rPr>
            </w:pPr>
            <w:r>
              <w:rPr>
                <w:rFonts w:ascii="Arial" w:cs="Arial" w:eastAsia="Arial" w:hAnsi="Arial"/>
                <w:sz w:val="9"/>
                <w:szCs w:val="9"/>
                <w:b w:val="1"/>
                <w:bCs w:val="1"/>
                <w:color w:val="auto"/>
              </w:rPr>
              <w:t>Deficit</w:t>
            </w:r>
          </w:p>
        </w:tc>
        <w:tc>
          <w:tcPr>
            <w:tcW w:w="120" w:type="dxa"/>
            <w:vAlign w:val="bottom"/>
          </w:tcPr>
          <w:p>
            <w:pPr>
              <w:spacing w:after="0"/>
              <w:rPr>
                <w:sz w:val="11"/>
                <w:szCs w:val="11"/>
                <w:color w:val="auto"/>
              </w:rPr>
            </w:pPr>
          </w:p>
        </w:tc>
        <w:tc>
          <w:tcPr>
            <w:tcW w:w="120" w:type="dxa"/>
            <w:vAlign w:val="bottom"/>
            <w:tcBorders>
              <w:bottom w:val="single" w:sz="8" w:color="2C6937"/>
            </w:tcBorders>
          </w:tcPr>
          <w:p>
            <w:pPr>
              <w:spacing w:after="0"/>
              <w:rPr>
                <w:sz w:val="11"/>
                <w:szCs w:val="11"/>
                <w:color w:val="auto"/>
              </w:rPr>
            </w:pPr>
          </w:p>
        </w:tc>
        <w:tc>
          <w:tcPr>
            <w:tcW w:w="900" w:type="dxa"/>
            <w:vAlign w:val="bottom"/>
            <w:tcBorders>
              <w:bottom w:val="single" w:sz="8" w:color="2C6937"/>
            </w:tcBorders>
          </w:tcPr>
          <w:p>
            <w:pPr>
              <w:jc w:val="center"/>
              <w:ind w:right="71"/>
              <w:spacing w:after="0"/>
              <w:rPr>
                <w:sz w:val="20"/>
                <w:szCs w:val="20"/>
                <w:color w:val="auto"/>
              </w:rPr>
            </w:pPr>
            <w:r>
              <w:rPr>
                <w:rFonts w:ascii="Arial" w:cs="Arial" w:eastAsia="Arial" w:hAnsi="Arial"/>
                <w:sz w:val="9"/>
                <w:szCs w:val="9"/>
                <w:b w:val="1"/>
                <w:bCs w:val="1"/>
                <w:color w:val="auto"/>
                <w:w w:val="95"/>
              </w:rPr>
              <w:t>Income</w:t>
            </w:r>
          </w:p>
        </w:tc>
        <w:tc>
          <w:tcPr>
            <w:tcW w:w="120" w:type="dxa"/>
            <w:vAlign w:val="bottom"/>
          </w:tcPr>
          <w:p>
            <w:pPr>
              <w:spacing w:after="0"/>
              <w:rPr>
                <w:sz w:val="11"/>
                <w:szCs w:val="11"/>
                <w:color w:val="auto"/>
              </w:rPr>
            </w:pPr>
          </w:p>
        </w:tc>
        <w:tc>
          <w:tcPr>
            <w:tcW w:w="100" w:type="dxa"/>
            <w:vAlign w:val="bottom"/>
            <w:tcBorders>
              <w:bottom w:val="single" w:sz="8" w:color="2C6937"/>
            </w:tcBorders>
          </w:tcPr>
          <w:p>
            <w:pPr>
              <w:spacing w:after="0"/>
              <w:rPr>
                <w:sz w:val="11"/>
                <w:szCs w:val="11"/>
                <w:color w:val="auto"/>
              </w:rPr>
            </w:pPr>
          </w:p>
        </w:tc>
        <w:tc>
          <w:tcPr>
            <w:tcW w:w="520" w:type="dxa"/>
            <w:vAlign w:val="bottom"/>
            <w:tcBorders>
              <w:bottom w:val="single" w:sz="8" w:color="2C6937"/>
            </w:tcBorders>
          </w:tcPr>
          <w:p>
            <w:pPr>
              <w:jc w:val="right"/>
              <w:ind w:right="150"/>
              <w:spacing w:after="0"/>
              <w:rPr>
                <w:sz w:val="20"/>
                <w:szCs w:val="20"/>
                <w:color w:val="auto"/>
              </w:rPr>
            </w:pPr>
            <w:r>
              <w:rPr>
                <w:rFonts w:ascii="Arial" w:cs="Arial" w:eastAsia="Arial" w:hAnsi="Arial"/>
                <w:sz w:val="9"/>
                <w:szCs w:val="9"/>
                <w:b w:val="1"/>
                <w:bCs w:val="1"/>
                <w:color w:val="auto"/>
              </w:rPr>
              <w:t>Stock</w:t>
            </w:r>
          </w:p>
        </w:tc>
        <w:tc>
          <w:tcPr>
            <w:tcW w:w="120" w:type="dxa"/>
            <w:vAlign w:val="bottom"/>
          </w:tcPr>
          <w:p>
            <w:pPr>
              <w:spacing w:after="0"/>
              <w:rPr>
                <w:sz w:val="11"/>
                <w:szCs w:val="11"/>
                <w:color w:val="auto"/>
              </w:rPr>
            </w:pPr>
          </w:p>
        </w:tc>
        <w:tc>
          <w:tcPr>
            <w:tcW w:w="120" w:type="dxa"/>
            <w:vAlign w:val="bottom"/>
            <w:tcBorders>
              <w:bottom w:val="single" w:sz="8" w:color="2C6937"/>
            </w:tcBorders>
          </w:tcPr>
          <w:p>
            <w:pPr>
              <w:spacing w:after="0"/>
              <w:rPr>
                <w:sz w:val="11"/>
                <w:szCs w:val="11"/>
                <w:color w:val="auto"/>
              </w:rPr>
            </w:pPr>
          </w:p>
        </w:tc>
        <w:tc>
          <w:tcPr>
            <w:tcW w:w="500" w:type="dxa"/>
            <w:vAlign w:val="bottom"/>
            <w:tcBorders>
              <w:bottom w:val="single" w:sz="8" w:color="2C6937"/>
            </w:tcBorders>
          </w:tcPr>
          <w:p>
            <w:pPr>
              <w:jc w:val="right"/>
              <w:ind w:right="130"/>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41"/>
        </w:trPr>
        <w:tc>
          <w:tcPr>
            <w:tcW w:w="3000" w:type="dxa"/>
            <w:vAlign w:val="bottom"/>
            <w:gridSpan w:val="2"/>
          </w:tcPr>
          <w:p>
            <w:pPr>
              <w:ind w:left="40"/>
              <w:spacing w:after="0"/>
              <w:rPr>
                <w:sz w:val="20"/>
                <w:szCs w:val="20"/>
                <w:color w:val="auto"/>
              </w:rPr>
            </w:pPr>
            <w:r>
              <w:rPr>
                <w:rFonts w:ascii="Arial" w:cs="Arial" w:eastAsia="Arial" w:hAnsi="Arial"/>
                <w:sz w:val="10"/>
                <w:szCs w:val="10"/>
                <w:b w:val="1"/>
                <w:bCs w:val="1"/>
                <w:color w:val="auto"/>
              </w:rPr>
              <w:t>Balance as of December 31, 2021</w:t>
            </w:r>
          </w:p>
        </w:tc>
        <w:tc>
          <w:tcPr>
            <w:tcW w:w="680" w:type="dxa"/>
            <w:vAlign w:val="bottom"/>
          </w:tcPr>
          <w:p>
            <w:pPr>
              <w:jc w:val="right"/>
              <w:ind w:right="10"/>
              <w:spacing w:after="0"/>
              <w:rPr>
                <w:sz w:val="20"/>
                <w:szCs w:val="20"/>
                <w:color w:val="auto"/>
              </w:rPr>
            </w:pPr>
            <w:r>
              <w:rPr>
                <w:rFonts w:ascii="Arial" w:cs="Arial" w:eastAsia="Arial" w:hAnsi="Arial"/>
                <w:sz w:val="10"/>
                <w:szCs w:val="10"/>
                <w:color w:val="auto"/>
              </w:rPr>
              <w:t>1</w:t>
            </w:r>
          </w:p>
        </w:tc>
        <w:tc>
          <w:tcPr>
            <w:tcW w:w="760" w:type="dxa"/>
            <w:vAlign w:val="bottom"/>
            <w:gridSpan w:val="2"/>
          </w:tcPr>
          <w:p>
            <w:pPr>
              <w:jc w:val="right"/>
              <w:ind w:right="10"/>
              <w:spacing w:after="0"/>
              <w:rPr>
                <w:sz w:val="20"/>
                <w:szCs w:val="20"/>
                <w:color w:val="auto"/>
              </w:rPr>
            </w:pPr>
            <w:r>
              <w:rPr>
                <w:rFonts w:ascii="Arial" w:cs="Arial" w:eastAsia="Arial" w:hAnsi="Arial"/>
                <w:sz w:val="10"/>
                <w:szCs w:val="10"/>
                <w:color w:val="auto"/>
              </w:rPr>
              <w:t>556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9"/>
              <w:spacing w:after="0"/>
              <w:rPr>
                <w:sz w:val="20"/>
                <w:szCs w:val="20"/>
                <w:color w:val="auto"/>
              </w:rPr>
            </w:pPr>
            <w:r>
              <w:rPr>
                <w:rFonts w:ascii="Arial" w:cs="Arial" w:eastAsia="Arial" w:hAnsi="Arial"/>
                <w:sz w:val="10"/>
                <w:szCs w:val="10"/>
                <w:color w:val="auto"/>
              </w:rPr>
              <w:t>1,158</w:t>
            </w:r>
          </w:p>
        </w:tc>
        <w:tc>
          <w:tcPr>
            <w:tcW w:w="26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120,836</w:t>
            </w:r>
          </w:p>
        </w:tc>
        <w:tc>
          <w:tcPr>
            <w:tcW w:w="220" w:type="dxa"/>
            <w:vAlign w:val="bottom"/>
            <w:gridSpan w:val="2"/>
          </w:tcPr>
          <w:p>
            <w:pPr>
              <w:ind w:left="14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19,130</w:t>
            </w:r>
          </w:p>
        </w:tc>
        <w:tc>
          <w:tcPr>
            <w:tcW w:w="24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10"/>
              <w:spacing w:after="0"/>
              <w:rPr>
                <w:sz w:val="20"/>
                <w:szCs w:val="20"/>
                <w:color w:val="auto"/>
              </w:rPr>
            </w:pPr>
            <w:r>
              <w:rPr>
                <w:rFonts w:ascii="Arial" w:cs="Arial" w:eastAsia="Arial" w:hAnsi="Arial"/>
                <w:sz w:val="10"/>
                <w:szCs w:val="10"/>
                <w:color w:val="auto"/>
              </w:rPr>
              <w:t>687</w:t>
            </w:r>
          </w:p>
        </w:tc>
        <w:tc>
          <w:tcPr>
            <w:tcW w:w="2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(85,934)</w:t>
            </w:r>
          </w:p>
        </w:tc>
        <w:tc>
          <w:tcPr>
            <w:tcW w:w="2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38</w:t>
            </w:r>
          </w:p>
        </w:tc>
        <w:tc>
          <w:tcPr>
            <w:tcW w:w="2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(7,400)</w:t>
            </w:r>
          </w:p>
        </w:tc>
        <w:tc>
          <w:tcPr>
            <w:tcW w:w="2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47,357</w:t>
            </w:r>
          </w:p>
        </w:tc>
        <w:tc>
          <w:tcPr>
            <w:tcW w:w="0" w:type="dxa"/>
            <w:vAlign w:val="bottom"/>
          </w:tcPr>
          <w:p>
            <w:pPr>
              <w:spacing w:after="0"/>
              <w:rPr>
                <w:sz w:val="1"/>
                <w:szCs w:val="1"/>
                <w:color w:val="auto"/>
              </w:rPr>
            </w:pPr>
          </w:p>
        </w:tc>
      </w:tr>
      <w:tr>
        <w:trPr>
          <w:trHeight w:val="147"/>
        </w:trPr>
        <w:tc>
          <w:tcPr>
            <w:tcW w:w="3000" w:type="dxa"/>
            <w:vAlign w:val="bottom"/>
            <w:gridSpan w:val="2"/>
          </w:tcPr>
          <w:p>
            <w:pPr>
              <w:ind w:left="40"/>
              <w:spacing w:after="0"/>
              <w:rPr>
                <w:sz w:val="20"/>
                <w:szCs w:val="20"/>
                <w:color w:val="auto"/>
              </w:rPr>
            </w:pPr>
            <w:r>
              <w:rPr>
                <w:rFonts w:ascii="Arial" w:cs="Arial" w:eastAsia="Arial" w:hAnsi="Arial"/>
                <w:sz w:val="10"/>
                <w:szCs w:val="10"/>
                <w:color w:val="auto"/>
              </w:rPr>
              <w:t>Comprehensive income: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00" w:type="dxa"/>
            <w:vAlign w:val="bottom"/>
            <w:gridSpan w:val="2"/>
          </w:tcPr>
          <w:p>
            <w:pPr>
              <w:ind w:left="40"/>
              <w:spacing w:after="0"/>
              <w:rPr>
                <w:sz w:val="20"/>
                <w:szCs w:val="20"/>
                <w:color w:val="auto"/>
              </w:rPr>
            </w:pPr>
            <w:r>
              <w:rPr>
                <w:rFonts w:ascii="Arial" w:cs="Arial" w:eastAsia="Arial" w:hAnsi="Arial"/>
                <w:sz w:val="10"/>
                <w:szCs w:val="10"/>
                <w:color w:val="auto"/>
              </w:rPr>
              <w:t>Net income</w:t>
            </w:r>
          </w:p>
        </w:tc>
        <w:tc>
          <w:tcPr>
            <w:tcW w:w="68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9,061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9,061</w:t>
            </w:r>
          </w:p>
        </w:tc>
        <w:tc>
          <w:tcPr>
            <w:tcW w:w="0" w:type="dxa"/>
            <w:vAlign w:val="bottom"/>
          </w:tcPr>
          <w:p>
            <w:pPr>
              <w:spacing w:after="0"/>
              <w:rPr>
                <w:sz w:val="1"/>
                <w:szCs w:val="1"/>
                <w:color w:val="auto"/>
              </w:rPr>
            </w:pPr>
          </w:p>
        </w:tc>
      </w:tr>
      <w:tr>
        <w:trPr>
          <w:trHeight w:val="155"/>
        </w:trPr>
        <w:tc>
          <w:tcPr>
            <w:tcW w:w="3000" w:type="dxa"/>
            <w:vAlign w:val="bottom"/>
            <w:gridSpan w:val="2"/>
          </w:tcPr>
          <w:p>
            <w:pPr>
              <w:ind w:left="40"/>
              <w:spacing w:after="0"/>
              <w:rPr>
                <w:sz w:val="20"/>
                <w:szCs w:val="20"/>
                <w:color w:val="auto"/>
              </w:rPr>
            </w:pPr>
            <w:r>
              <w:rPr>
                <w:rFonts w:ascii="Arial" w:cs="Arial" w:eastAsia="Arial" w:hAnsi="Arial"/>
                <w:sz w:val="10"/>
                <w:szCs w:val="10"/>
                <w:color w:val="auto"/>
              </w:rPr>
              <w:t>Other comprehensive income, net of tax effect:</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000" w:type="dxa"/>
            <w:vAlign w:val="bottom"/>
            <w:gridSpan w:val="2"/>
          </w:tcPr>
          <w:p>
            <w:pPr>
              <w:ind w:left="180"/>
              <w:spacing w:after="0"/>
              <w:rPr>
                <w:sz w:val="20"/>
                <w:szCs w:val="20"/>
                <w:color w:val="auto"/>
              </w:rPr>
            </w:pPr>
            <w:r>
              <w:rPr>
                <w:rFonts w:ascii="Arial" w:cs="Arial" w:eastAsia="Arial" w:hAnsi="Arial"/>
                <w:sz w:val="10"/>
                <w:szCs w:val="10"/>
                <w:color w:val="auto"/>
              </w:rPr>
              <w:t>Changes in net unrealized gains on available-for-sale</w:t>
            </w:r>
          </w:p>
        </w:tc>
        <w:tc>
          <w:tcPr>
            <w:tcW w:w="680" w:type="dxa"/>
            <w:vAlign w:val="bottom"/>
            <w:vMerge w:val="restart"/>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60" w:type="dxa"/>
            <w:vAlign w:val="bottom"/>
            <w:gridSpan w:val="3"/>
            <w:vMerge w:val="restart"/>
          </w:tcPr>
          <w:p>
            <w:pPr>
              <w:jc w:val="right"/>
              <w:ind w:right="260"/>
              <w:spacing w:after="0"/>
              <w:rPr>
                <w:sz w:val="20"/>
                <w:szCs w:val="20"/>
                <w:color w:val="auto"/>
              </w:rPr>
            </w:pPr>
            <w:r>
              <w:rPr>
                <w:rFonts w:ascii="Arial" w:cs="Arial" w:eastAsia="Arial" w:hAnsi="Arial"/>
                <w:sz w:val="10"/>
                <w:szCs w:val="10"/>
                <w:color w:val="auto"/>
              </w:rPr>
              <w:t>—</w:t>
            </w:r>
          </w:p>
        </w:tc>
        <w:tc>
          <w:tcPr>
            <w:tcW w:w="560" w:type="dxa"/>
            <w:vAlign w:val="bottom"/>
            <w:vMerge w:val="restart"/>
          </w:tcPr>
          <w:p>
            <w:pPr>
              <w:jc w:val="right"/>
              <w:ind w:right="9"/>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0"/>
                <w:szCs w:val="10"/>
                <w:color w:val="auto"/>
              </w:rPr>
              <w:t>(15)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(15)</w:t>
            </w:r>
          </w:p>
        </w:tc>
        <w:tc>
          <w:tcPr>
            <w:tcW w:w="0" w:type="dxa"/>
            <w:vAlign w:val="bottom"/>
          </w:tcPr>
          <w:p>
            <w:pPr>
              <w:spacing w:after="0"/>
              <w:rPr>
                <w:sz w:val="1"/>
                <w:szCs w:val="1"/>
                <w:color w:val="auto"/>
              </w:rPr>
            </w:pPr>
          </w:p>
        </w:tc>
      </w:tr>
      <w:tr>
        <w:trPr>
          <w:trHeight w:val="129"/>
        </w:trPr>
        <w:tc>
          <w:tcPr>
            <w:tcW w:w="3000" w:type="dxa"/>
            <w:vAlign w:val="bottom"/>
            <w:gridSpan w:val="2"/>
          </w:tcPr>
          <w:p>
            <w:pPr>
              <w:ind w:left="340"/>
              <w:spacing w:after="0"/>
              <w:rPr>
                <w:sz w:val="20"/>
                <w:szCs w:val="20"/>
                <w:color w:val="auto"/>
              </w:rPr>
            </w:pPr>
            <w:r>
              <w:rPr>
                <w:rFonts w:ascii="Arial" w:cs="Arial" w:eastAsia="Arial" w:hAnsi="Arial"/>
                <w:sz w:val="10"/>
                <w:szCs w:val="10"/>
                <w:color w:val="auto"/>
              </w:rPr>
              <w:t>securities (net of taxes of $4)</w:t>
            </w: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0" w:type="dxa"/>
            <w:vAlign w:val="bottom"/>
            <w:gridSpan w:val="2"/>
          </w:tcPr>
          <w:p>
            <w:pPr>
              <w:ind w:left="180"/>
              <w:spacing w:after="0"/>
              <w:rPr>
                <w:sz w:val="20"/>
                <w:szCs w:val="20"/>
                <w:color w:val="auto"/>
              </w:rPr>
            </w:pPr>
            <w:r>
              <w:rPr>
                <w:rFonts w:ascii="Arial" w:cs="Arial" w:eastAsia="Arial" w:hAnsi="Arial"/>
                <w:sz w:val="10"/>
                <w:szCs w:val="10"/>
                <w:color w:val="auto"/>
              </w:rPr>
              <w:t>Reclassification adjustment for gains included in net</w:t>
            </w:r>
          </w:p>
        </w:tc>
        <w:tc>
          <w:tcPr>
            <w:tcW w:w="680" w:type="dxa"/>
            <w:vAlign w:val="bottom"/>
            <w:vMerge w:val="restart"/>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60" w:type="dxa"/>
            <w:vAlign w:val="bottom"/>
            <w:gridSpan w:val="3"/>
            <w:vMerge w:val="restart"/>
          </w:tcPr>
          <w:p>
            <w:pPr>
              <w:jc w:val="right"/>
              <w:ind w:right="260"/>
              <w:spacing w:after="0"/>
              <w:rPr>
                <w:sz w:val="20"/>
                <w:szCs w:val="20"/>
                <w:color w:val="auto"/>
              </w:rPr>
            </w:pPr>
            <w:r>
              <w:rPr>
                <w:rFonts w:ascii="Arial" w:cs="Arial" w:eastAsia="Arial" w:hAnsi="Arial"/>
                <w:sz w:val="10"/>
                <w:szCs w:val="10"/>
                <w:color w:val="auto"/>
              </w:rPr>
              <w:t>—</w:t>
            </w:r>
          </w:p>
        </w:tc>
        <w:tc>
          <w:tcPr>
            <w:tcW w:w="560" w:type="dxa"/>
            <w:vAlign w:val="bottom"/>
            <w:vMerge w:val="restart"/>
          </w:tcPr>
          <w:p>
            <w:pPr>
              <w:jc w:val="right"/>
              <w:ind w:right="9"/>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ind w:right="11"/>
              <w:spacing w:after="0"/>
              <w:rPr>
                <w:sz w:val="20"/>
                <w:szCs w:val="20"/>
                <w:color w:val="auto"/>
              </w:rPr>
            </w:pPr>
            <w:r>
              <w:rPr>
                <w:rFonts w:ascii="Arial" w:cs="Arial" w:eastAsia="Arial" w:hAnsi="Arial"/>
                <w:sz w:val="10"/>
                <w:szCs w:val="10"/>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restart"/>
          </w:tcPr>
          <w:p>
            <w:pPr>
              <w:jc w:val="right"/>
              <w:ind w:right="10"/>
              <w:spacing w:after="0"/>
              <w:rPr>
                <w:sz w:val="20"/>
                <w:szCs w:val="20"/>
                <w:color w:val="auto"/>
              </w:rPr>
            </w:pP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129"/>
        </w:trPr>
        <w:tc>
          <w:tcPr>
            <w:tcW w:w="3000" w:type="dxa"/>
            <w:vAlign w:val="bottom"/>
            <w:gridSpan w:val="2"/>
          </w:tcPr>
          <w:p>
            <w:pPr>
              <w:ind w:left="340"/>
              <w:spacing w:after="0"/>
              <w:rPr>
                <w:sz w:val="20"/>
                <w:szCs w:val="20"/>
                <w:color w:val="auto"/>
              </w:rPr>
            </w:pPr>
            <w:r>
              <w:rPr>
                <w:rFonts w:ascii="Arial" w:cs="Arial" w:eastAsia="Arial" w:hAnsi="Arial"/>
                <w:sz w:val="10"/>
                <w:szCs w:val="10"/>
                <w:color w:val="auto"/>
              </w:rPr>
              <w:t>income (net of taxes of $2)</w:t>
            </w: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000" w:type="dxa"/>
            <w:vAlign w:val="bottom"/>
            <w:gridSpan w:val="2"/>
          </w:tcPr>
          <w:p>
            <w:pPr>
              <w:ind w:left="180"/>
              <w:spacing w:after="0"/>
              <w:rPr>
                <w:sz w:val="20"/>
                <w:szCs w:val="20"/>
                <w:color w:val="auto"/>
              </w:rPr>
            </w:pPr>
            <w:r>
              <w:rPr>
                <w:rFonts w:ascii="Arial" w:cs="Arial" w:eastAsia="Arial" w:hAnsi="Arial"/>
                <w:sz w:val="10"/>
                <w:szCs w:val="10"/>
                <w:color w:val="auto"/>
              </w:rPr>
              <w:t>Other (net of taxes of $1)</w:t>
            </w:r>
          </w:p>
        </w:tc>
        <w:tc>
          <w:tcPr>
            <w:tcW w:w="68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22"/>
        </w:trPr>
        <w:tc>
          <w:tcPr>
            <w:tcW w:w="3000" w:type="dxa"/>
            <w:vAlign w:val="bottom"/>
            <w:gridSpan w:val="2"/>
            <w:vMerge w:val="restart"/>
          </w:tcPr>
          <w:p>
            <w:pPr>
              <w:ind w:left="40"/>
              <w:spacing w:after="0"/>
              <w:rPr>
                <w:sz w:val="20"/>
                <w:szCs w:val="20"/>
                <w:color w:val="auto"/>
              </w:rPr>
            </w:pPr>
            <w:r>
              <w:rPr>
                <w:rFonts w:ascii="Arial" w:cs="Arial" w:eastAsia="Arial" w:hAnsi="Arial"/>
                <w:sz w:val="10"/>
                <w:szCs w:val="10"/>
                <w:color w:val="auto"/>
              </w:rPr>
              <w:t>Total comprehensive income</w:t>
            </w: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50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300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9,050</w:t>
            </w:r>
          </w:p>
        </w:tc>
        <w:tc>
          <w:tcPr>
            <w:tcW w:w="0" w:type="dxa"/>
            <w:vAlign w:val="bottom"/>
          </w:tcPr>
          <w:p>
            <w:pPr>
              <w:spacing w:after="0"/>
              <w:rPr>
                <w:sz w:val="1"/>
                <w:szCs w:val="1"/>
                <w:color w:val="auto"/>
              </w:rPr>
            </w:pPr>
          </w:p>
        </w:tc>
      </w:tr>
      <w:tr>
        <w:trPr>
          <w:trHeight w:val="22"/>
        </w:trPr>
        <w:tc>
          <w:tcPr>
            <w:tcW w:w="288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5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56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56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58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90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52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50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880" w:type="dxa"/>
            <w:vAlign w:val="bottom"/>
          </w:tcPr>
          <w:p>
            <w:pPr>
              <w:ind w:left="40"/>
              <w:spacing w:after="0"/>
              <w:rPr>
                <w:sz w:val="20"/>
                <w:szCs w:val="20"/>
                <w:color w:val="auto"/>
              </w:rPr>
            </w:pPr>
            <w:r>
              <w:rPr>
                <w:rFonts w:ascii="Arial" w:cs="Arial" w:eastAsia="Arial" w:hAnsi="Arial"/>
                <w:sz w:val="10"/>
                <w:szCs w:val="10"/>
                <w:b w:val="1"/>
                <w:bCs w:val="1"/>
                <w:color w:val="auto"/>
              </w:rPr>
              <w:t>Balance as of June 30, 2022</w:t>
            </w:r>
          </w:p>
        </w:tc>
        <w:tc>
          <w:tcPr>
            <w:tcW w:w="120" w:type="dxa"/>
            <w:vAlign w:val="bottom"/>
          </w:tcPr>
          <w:p>
            <w:pPr>
              <w:spacing w:after="0"/>
              <w:rPr>
                <w:sz w:val="12"/>
                <w:szCs w:val="12"/>
                <w:color w:val="auto"/>
              </w:rPr>
            </w:pPr>
          </w:p>
        </w:tc>
        <w:tc>
          <w:tcPr>
            <w:tcW w:w="680" w:type="dxa"/>
            <w:vAlign w:val="bottom"/>
          </w:tcPr>
          <w:p>
            <w:pPr>
              <w:jc w:val="right"/>
              <w:ind w:right="10"/>
              <w:spacing w:after="0"/>
              <w:rPr>
                <w:sz w:val="20"/>
                <w:szCs w:val="20"/>
                <w:color w:val="auto"/>
              </w:rPr>
            </w:pPr>
            <w:r>
              <w:rPr>
                <w:rFonts w:ascii="Arial" w:cs="Arial" w:eastAsia="Arial" w:hAnsi="Arial"/>
                <w:sz w:val="10"/>
                <w:szCs w:val="10"/>
                <w:color w:val="auto"/>
              </w:rPr>
              <w:t>1</w:t>
            </w:r>
          </w:p>
        </w:tc>
        <w:tc>
          <w:tcPr>
            <w:tcW w:w="760" w:type="dxa"/>
            <w:vAlign w:val="bottom"/>
            <w:gridSpan w:val="2"/>
          </w:tcPr>
          <w:p>
            <w:pPr>
              <w:jc w:val="right"/>
              <w:ind w:right="10"/>
              <w:spacing w:after="0"/>
              <w:rPr>
                <w:sz w:val="20"/>
                <w:szCs w:val="20"/>
                <w:color w:val="auto"/>
              </w:rPr>
            </w:pPr>
            <w:r>
              <w:rPr>
                <w:rFonts w:ascii="Arial" w:cs="Arial" w:eastAsia="Arial" w:hAnsi="Arial"/>
                <w:sz w:val="10"/>
                <w:szCs w:val="10"/>
                <w:color w:val="auto"/>
              </w:rPr>
              <w:t>556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9"/>
              <w:spacing w:after="0"/>
              <w:rPr>
                <w:sz w:val="20"/>
                <w:szCs w:val="20"/>
                <w:color w:val="auto"/>
              </w:rPr>
            </w:pPr>
            <w:r>
              <w:rPr>
                <w:rFonts w:ascii="Arial" w:cs="Arial" w:eastAsia="Arial" w:hAnsi="Arial"/>
                <w:sz w:val="10"/>
                <w:szCs w:val="10"/>
                <w:color w:val="auto"/>
              </w:rPr>
              <w:t>1,158</w:t>
            </w:r>
          </w:p>
        </w:tc>
        <w:tc>
          <w:tcPr>
            <w:tcW w:w="26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120,836</w:t>
            </w:r>
          </w:p>
        </w:tc>
        <w:tc>
          <w:tcPr>
            <w:tcW w:w="220" w:type="dxa"/>
            <w:vAlign w:val="bottom"/>
            <w:gridSpan w:val="2"/>
          </w:tcPr>
          <w:p>
            <w:pPr>
              <w:ind w:left="14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19,130</w:t>
            </w:r>
          </w:p>
        </w:tc>
        <w:tc>
          <w:tcPr>
            <w:tcW w:w="24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10"/>
              <w:spacing w:after="0"/>
              <w:rPr>
                <w:sz w:val="20"/>
                <w:szCs w:val="20"/>
                <w:color w:val="auto"/>
              </w:rPr>
            </w:pPr>
            <w:r>
              <w:rPr>
                <w:rFonts w:ascii="Arial" w:cs="Arial" w:eastAsia="Arial" w:hAnsi="Arial"/>
                <w:sz w:val="10"/>
                <w:szCs w:val="10"/>
                <w:color w:val="auto"/>
              </w:rPr>
              <w:t>687</w:t>
            </w:r>
          </w:p>
        </w:tc>
        <w:tc>
          <w:tcPr>
            <w:tcW w:w="2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(76,873)</w:t>
            </w:r>
          </w:p>
        </w:tc>
        <w:tc>
          <w:tcPr>
            <w:tcW w:w="2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27</w:t>
            </w:r>
          </w:p>
        </w:tc>
        <w:tc>
          <w:tcPr>
            <w:tcW w:w="2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(7,400)</w:t>
            </w:r>
          </w:p>
        </w:tc>
        <w:tc>
          <w:tcPr>
            <w:tcW w:w="2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56,407</w:t>
            </w:r>
          </w:p>
        </w:tc>
        <w:tc>
          <w:tcPr>
            <w:tcW w:w="0" w:type="dxa"/>
            <w:vAlign w:val="bottom"/>
          </w:tcPr>
          <w:p>
            <w:pPr>
              <w:spacing w:after="0"/>
              <w:rPr>
                <w:sz w:val="1"/>
                <w:szCs w:val="1"/>
                <w:color w:val="auto"/>
              </w:rPr>
            </w:pPr>
          </w:p>
        </w:tc>
      </w:tr>
      <w:tr>
        <w:trPr>
          <w:trHeight w:val="24"/>
        </w:trPr>
        <w:tc>
          <w:tcPr>
            <w:tcW w:w="2880" w:type="dxa"/>
            <w:vAlign w:val="bottom"/>
            <w:tcBorders>
              <w:top w:val="single" w:sz="8" w:color="2C6937"/>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top w:val="single" w:sz="8" w:color="2C6937"/>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top w:val="single" w:sz="8" w:color="2C6937"/>
              <w:bottom w:val="single" w:sz="8" w:color="2C6937"/>
            </w:tcBorders>
          </w:tcPr>
          <w:p>
            <w:pPr>
              <w:spacing w:after="0"/>
              <w:rPr>
                <w:sz w:val="2"/>
                <w:szCs w:val="2"/>
                <w:color w:val="auto"/>
              </w:rPr>
            </w:pPr>
          </w:p>
        </w:tc>
        <w:tc>
          <w:tcPr>
            <w:tcW w:w="5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2C6937"/>
              <w:bottom w:val="single" w:sz="8" w:color="2C6937"/>
            </w:tcBorders>
          </w:tcPr>
          <w:p>
            <w:pPr>
              <w:spacing w:after="0"/>
              <w:rPr>
                <w:sz w:val="2"/>
                <w:szCs w:val="2"/>
                <w:color w:val="auto"/>
              </w:rPr>
            </w:pPr>
          </w:p>
        </w:tc>
        <w:tc>
          <w:tcPr>
            <w:tcW w:w="560" w:type="dxa"/>
            <w:vAlign w:val="bottom"/>
            <w:tcBorders>
              <w:top w:val="single" w:sz="8" w:color="2C6937"/>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560" w:type="dxa"/>
            <w:vAlign w:val="bottom"/>
            <w:tcBorders>
              <w:top w:val="single" w:sz="8" w:color="2C6937"/>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2C6937"/>
              <w:bottom w:val="single" w:sz="8" w:color="2C6937"/>
            </w:tcBorders>
          </w:tcPr>
          <w:p>
            <w:pPr>
              <w:spacing w:after="0"/>
              <w:rPr>
                <w:sz w:val="2"/>
                <w:szCs w:val="2"/>
                <w:color w:val="auto"/>
              </w:rPr>
            </w:pPr>
          </w:p>
        </w:tc>
        <w:tc>
          <w:tcPr>
            <w:tcW w:w="580" w:type="dxa"/>
            <w:vAlign w:val="bottom"/>
            <w:tcBorders>
              <w:top w:val="single" w:sz="8" w:color="2C6937"/>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740" w:type="dxa"/>
            <w:vAlign w:val="bottom"/>
            <w:tcBorders>
              <w:top w:val="single" w:sz="8" w:color="2C6937"/>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2C6937"/>
              <w:bottom w:val="single" w:sz="8" w:color="2C6937"/>
            </w:tcBorders>
          </w:tcPr>
          <w:p>
            <w:pPr>
              <w:spacing w:after="0"/>
              <w:rPr>
                <w:sz w:val="2"/>
                <w:szCs w:val="2"/>
                <w:color w:val="auto"/>
              </w:rPr>
            </w:pPr>
          </w:p>
        </w:tc>
        <w:tc>
          <w:tcPr>
            <w:tcW w:w="900" w:type="dxa"/>
            <w:vAlign w:val="bottom"/>
            <w:tcBorders>
              <w:top w:val="single" w:sz="8" w:color="2C6937"/>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520" w:type="dxa"/>
            <w:vAlign w:val="bottom"/>
            <w:tcBorders>
              <w:top w:val="single" w:sz="8" w:color="2C6937"/>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2C6937"/>
              <w:bottom w:val="single" w:sz="8" w:color="2C6937"/>
            </w:tcBorders>
          </w:tcPr>
          <w:p>
            <w:pPr>
              <w:spacing w:after="0"/>
              <w:rPr>
                <w:sz w:val="2"/>
                <w:szCs w:val="2"/>
                <w:color w:val="auto"/>
              </w:rPr>
            </w:pPr>
          </w:p>
        </w:tc>
        <w:tc>
          <w:tcPr>
            <w:tcW w:w="500" w:type="dxa"/>
            <w:vAlign w:val="bottom"/>
            <w:tcBorders>
              <w:top w:val="single" w:sz="8" w:color="2C6937"/>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541020</wp:posOffset>
            </wp:positionV>
            <wp:extent cx="681101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2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158750</wp:posOffset>
            </wp:positionV>
            <wp:extent cx="7164070" cy="419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40" w:top="250" w:right="359" w:bottom="1440" w:gutter="0" w:footer="0" w:header="0"/>
        </w:sectPr>
      </w:pPr>
    </w:p>
    <w:bookmarkStart w:id="70" w:name="page71"/>
    <w:bookmarkEnd w:id="70"/>
    <w:p>
      <w:pPr>
        <w:ind w:left="4980"/>
        <w:spacing w:after="0"/>
        <w:rPr>
          <w:sz w:val="20"/>
          <w:szCs w:val="20"/>
          <w:color w:val="auto"/>
        </w:rPr>
      </w:pPr>
      <w:r>
        <w:rPr>
          <w:rFonts w:ascii="Arial" w:cs="Arial" w:eastAsia="Arial" w:hAnsi="Arial"/>
          <w:sz w:val="13"/>
          <w:szCs w:val="13"/>
          <w:color w:val="05314D"/>
        </w:rPr>
        <w:t>Notes to Condensed Consolidated Financial Statements |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22860</wp:posOffset>
            </wp:positionV>
            <wp:extent cx="70237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31"/>
          <w:szCs w:val="31"/>
          <w:b w:val="1"/>
          <w:bCs w:val="1"/>
          <w:color w:val="05314D"/>
        </w:rPr>
        <w:t>FANNIE MAE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001543"/>
        </w:rPr>
        <w:t>(In conservatorship)</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27"/>
          <w:szCs w:val="27"/>
          <w:b w:val="1"/>
          <w:bCs w:val="1"/>
          <w:color w:val="05314D"/>
        </w:rPr>
        <w:t>Notes to Condensed Consolidated Financial Statements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27"/>
          <w:szCs w:val="27"/>
          <w:b w:val="1"/>
          <w:bCs w:val="1"/>
          <w:color w:val="05314D"/>
        </w:rPr>
        <w:t>(Unaudited)</w:t>
      </w:r>
    </w:p>
    <w:p>
      <w:pPr>
        <w:spacing w:after="0" w:line="183" w:lineRule="exact"/>
        <w:rPr>
          <w:sz w:val="20"/>
          <w:szCs w:val="20"/>
          <w:color w:val="auto"/>
        </w:rPr>
      </w:pPr>
    </w:p>
    <w:p>
      <w:pPr>
        <w:spacing w:after="0"/>
        <w:rPr>
          <w:sz w:val="20"/>
          <w:szCs w:val="20"/>
          <w:color w:val="auto"/>
        </w:rPr>
      </w:pPr>
      <w:r>
        <w:rPr>
          <w:rFonts w:ascii="Arial" w:cs="Arial" w:eastAsia="Arial" w:hAnsi="Arial"/>
          <w:sz w:val="31"/>
          <w:szCs w:val="31"/>
          <w:b w:val="1"/>
          <w:bCs w:val="1"/>
          <w:color w:val="05314D"/>
        </w:rPr>
        <w:t>1. Summary of Significant Accounting Policies</w:t>
      </w:r>
    </w:p>
    <w:p>
      <w:pPr>
        <w:spacing w:after="0" w:line="105"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Fannie Mae is a leading source of financing for mortgages in the United States. We are a shareholder-owned corporation organized as a government-sponsored enterprise (“GSE”) and existing under the Federal National Mortgage Association Charter Act (the “Charter Act” or our “charter”). We were chartered by Congress to provide liquidity and stability to the residential mortgage market and to promote access to mortgage credit. Our regulators include the Federal Housing Finance Agency (“FHFA”), the U.S. Department of Housing and Urban Development (“HUD”), the U.S. Securities and Exchange Commission (“SEC”) and the U.S. Department of the Treasury (“Treasury”). The U.S. government does not guarantee our securities or other obligations.</w:t>
      </w:r>
    </w:p>
    <w:p>
      <w:pPr>
        <w:spacing w:after="0" w:line="45" w:lineRule="exact"/>
        <w:rPr>
          <w:sz w:val="20"/>
          <w:szCs w:val="20"/>
          <w:color w:val="auto"/>
        </w:rPr>
      </w:pPr>
    </w:p>
    <w:p>
      <w:pPr>
        <w:jc w:val="both"/>
        <w:ind w:right="620"/>
        <w:spacing w:after="0" w:line="267" w:lineRule="auto"/>
        <w:rPr>
          <w:sz w:val="20"/>
          <w:szCs w:val="20"/>
          <w:color w:val="auto"/>
        </w:rPr>
      </w:pPr>
      <w:r>
        <w:rPr>
          <w:rFonts w:ascii="Arial" w:cs="Arial" w:eastAsia="Arial" w:hAnsi="Arial"/>
          <w:sz w:val="16"/>
          <w:szCs w:val="16"/>
          <w:color w:val="auto"/>
        </w:rPr>
        <w:t>We have been under conservatorship, with FHFA acting as conservator, since September 6, 2008. See below and “Note 1, Summary of Significant Accounting Policies” in our annual report on Form 10-K for the year ended December 31, 2022 (“2022 Form 10-K”) for additional information on our conservatorship and the impact of U.S. government support of our business.</w:t>
      </w:r>
    </w:p>
    <w:p>
      <w:pPr>
        <w:spacing w:after="0" w:line="43"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The unaudited interim condensed consolidated financial statements as of and for the three and six months ended June 30, 2023 and related notes should be read in conjunction with our audited consolidated financial statements and related notes included in our 2022 Form 10-K.</w:t>
      </w:r>
    </w:p>
    <w:p>
      <w:pPr>
        <w:spacing w:after="0" w:line="72"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Basis of Presentation</w:t>
      </w:r>
    </w:p>
    <w:p>
      <w:pPr>
        <w:spacing w:after="0" w:line="82"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The accompanying unaudited interim condensed consolidated financial statements have been prepared in accordance with generally accepted accounting principles in the United States of America (“GAAP”) for interim financial information and with the SEC’s instructions to Form 10-Q and Article 10 of Regulation S-X. Accordingly, they do not include all of the information and note disclosures required by GAAP for complete consolidated financial statements. In the opinion of management, all adjustments of a normal recurring nature considered necessary for a fair presentation have been included. The accompanying condensed consolidated financial statements include our accounts as well as the accounts of other entities in which we have a controlling financial interest. All intercompany accounts and transactions have been eliminated. Results for the three and six months ended June 30, 2023 may not necessarily be indicative of the results for the year ending December 31, 2023.</w:t>
      </w:r>
    </w:p>
    <w:p>
      <w:pPr>
        <w:spacing w:after="0" w:line="77"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Use of Estimates</w:t>
      </w:r>
    </w:p>
    <w:p>
      <w:pPr>
        <w:spacing w:after="0" w:line="95"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Preparing condensed consolidated financial statements in accordance with GAAP requires management to make estimates and assumptions that affect our reported amounts of assets and liabilities and disclosure of contingent assets and liabilities as of the dates of our condensed consolidated financial statements, as well as our reported amounts of revenues and expenses during the reporting periods. Management has made significant estimates in a variety of areas including, but not limited to, the allowance for loan losses. Actual results could be different from these estimates.</w:t>
      </w:r>
    </w:p>
    <w:p>
      <w:pPr>
        <w:spacing w:after="0" w:line="89"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Conservatorship</w:t>
      </w:r>
    </w:p>
    <w:p>
      <w:pPr>
        <w:spacing w:after="0" w:line="82"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On September 7, 2008, the Secretary of the Treasury and the Director of FHFA announced several actions taken by Treasury and FHFA regarding Fannie Mae, which included: (1) placing us in conservatorship, with FHFA acting as our conservator, and (2) the execution of a senior preferred stock purchase agreement by our conservator, on our behalf, and Treasury, pursuant to which we issued to Treasury both senior preferred stock and a warrant to purchase common stock.</w:t>
      </w:r>
    </w:p>
    <w:p>
      <w:pPr>
        <w:spacing w:after="0" w:line="6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Under the Federal Housing Enterprises Financial Safety and Soundness Act of 1992, as amended, including by the Housing and Economic Recovery Act of 2008 (together, the “GSE Act”), the conservator immediately succeeded to (1) all rights, titles, powers and privileges of Fannie Mae, and of any stockholder, officer or director of Fannie Mae with respect to Fannie Mae and its assets, and (2) title to the books, records and assets of any other legal custodian of Fannie Mae. The conservator subsequently issued an order that provided for our Board of Directors to exercise specified functions and authorities. The conservator also provided instructions regarding matters for which conservator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371475</wp:posOffset>
            </wp:positionV>
            <wp:extent cx="681101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50" w:right="359" w:bottom="1440" w:gutter="0" w:footer="0" w:header="0"/>
        </w:sectPr>
      </w:pPr>
    </w:p>
    <w:bookmarkStart w:id="71" w:name="page72"/>
    <w:bookmarkEnd w:id="71"/>
    <w:p>
      <w:pPr>
        <w:ind w:left="4980"/>
        <w:spacing w:after="0"/>
        <w:rPr>
          <w:sz w:val="20"/>
          <w:szCs w:val="20"/>
          <w:color w:val="auto"/>
        </w:rPr>
      </w:pPr>
      <w:r>
        <w:rPr>
          <w:rFonts w:ascii="Arial" w:cs="Arial" w:eastAsia="Arial" w:hAnsi="Arial"/>
          <w:sz w:val="13"/>
          <w:szCs w:val="13"/>
          <w:color w:val="05314D"/>
        </w:rPr>
        <w:t>Notes to Condensed Consolidated Financial Statements |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22860</wp:posOffset>
            </wp:positionV>
            <wp:extent cx="70237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decision or notification is required. The conservator retains the authority to amend or withdraw its order and instructions at any time.</w:t>
      </w:r>
    </w:p>
    <w:p>
      <w:pPr>
        <w:spacing w:after="0" w:line="87"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The conservatorship has no specified termination date and there continues to be significant uncertainty regarding our future, including how long we will continue to exist in our current form, the extent of our role in the market, the level of government support of our business, how long we will be in conservatorship, what form we will have and what ownership interest, if any, our current common and preferred stockholders will hold in us after the conservatorship is terminated and whether we will continue to exist following conservatorship. Under the GSE Act, the Director of FHFA must place us into receivership if they make a written determination that our assets are less than our obligations or if we have not been paying our debts, in either case, for a period of 60 days. In addition, the Director of FHFA may place us into receivership at the Director’s discretion at any time for other reasons set forth in the GSE Act, including if we are critically undercapitalized or if we are undercapitalized and have no reasonable prospect of becoming adequately capitalized. Should we be placed into receivership, different assumptions would be required to determine the carrying value of our assets, which would likely lead to substantially different financial results. Treasury has made a commitment under the senior preferred stock purchase agreement to provide funding to us under certain circumstances if we have a net worth deficit. We are not aware of any plans of FHFA (1) to fundamentally change our business model, or (2) to reduce the aggregate amount available to or held by the company under our equity structure, which includes the senior preferred stock purchase agreement.</w:t>
      </w:r>
    </w:p>
    <w:p>
      <w:pPr>
        <w:spacing w:after="0" w:line="277"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Senior Preferred Stock Purchase Agreement and Senior Preferred Stock</w:t>
      </w:r>
    </w:p>
    <w:p>
      <w:pPr>
        <w:spacing w:after="0" w:line="95" w:lineRule="exact"/>
        <w:rPr>
          <w:sz w:val="20"/>
          <w:szCs w:val="20"/>
          <w:color w:val="auto"/>
        </w:rPr>
      </w:pPr>
    </w:p>
    <w:p>
      <w:pPr>
        <w:ind w:right="560"/>
        <w:spacing w:after="0" w:line="283" w:lineRule="auto"/>
        <w:rPr>
          <w:sz w:val="20"/>
          <w:szCs w:val="20"/>
          <w:color w:val="auto"/>
        </w:rPr>
      </w:pPr>
      <w:r>
        <w:rPr>
          <w:rFonts w:ascii="Arial" w:cs="Arial" w:eastAsia="Arial" w:hAnsi="Arial"/>
          <w:sz w:val="16"/>
          <w:szCs w:val="16"/>
          <w:color w:val="auto"/>
        </w:rPr>
        <w:t>We discuss more fully our senior preferred stock and the terms of the senior preferred stock purchase agreement, as amended, including Treasury’s funding commitment, in “Note 11, Equity” in our 2022 Form 10-K.</w:t>
      </w:r>
    </w:p>
    <w:p>
      <w:pPr>
        <w:spacing w:after="0" w:line="30"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Treasury has made a commitment under the senior preferred stock purchase agreement to provide funding to us under certain circumstances if we have a net worth deficit. Pursuant to the senior preferred stock purchase agreement, we have received a total of $119.8 billion from Treasury as of June 30, 2023, and the amount of remaining funding available to us under the agreement is $113.9 billion. We have not received any funding from Treasury under this commitment since the first quarter of 2018. We had positive net worth of $69.0 billion as of June 30, 2023.</w:t>
      </w:r>
    </w:p>
    <w:p>
      <w:pPr>
        <w:spacing w:after="0" w:line="42"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The dividend provisions of the senior preferred stock permit us to retain increases in our net worth until our net worth exceeds the amount of adjusted total capital necessary for us to meet the capital requirements and buffers under the enterprise regulatory capital framework established by FHFA.</w:t>
      </w:r>
    </w:p>
    <w:p>
      <w:pPr>
        <w:spacing w:after="0" w:line="56"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The aggregate liquidation preference of the senior preferred stock increased to $185.5 billion as of June 30, 2023 from $181.8 billion as of March 31, 2023, due to the $3.8 billion increase in our net worth in the first quarter of 2023. The aggregate liquidation preference of the senior preferred stock will further increase to $190.5 billion as of September 30, 2023, due to the $5.0 billion increase in our net worth in the second quarter of 2023.</w:t>
      </w:r>
    </w:p>
    <w:p>
      <w:pPr>
        <w:spacing w:after="0" w:line="64"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Related Parties</w:t>
      </w:r>
    </w:p>
    <w:p>
      <w:pPr>
        <w:spacing w:after="0" w:line="108"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auto"/>
        </w:rPr>
        <w:t>Treasury holds an investment in our senior preferred stock with a liquidation preference as discussed in “Senior Preferred Stock Purchase Agreement and Senior Preferred Stock” above, as well as a warrant to purchase shares of Fannie Mae common stock equal to 79.9% of the total number of shares of Fannie Mae common stock. Therefore, we and Treasury are deemed related parties.</w:t>
      </w:r>
    </w:p>
    <w:p>
      <w:pPr>
        <w:spacing w:after="0" w:line="36"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FHFA’s control of both Fannie Mae and Freddie Mac has caused Fannie Mae, FHFA and Freddie Mac to be deemed related parties. Additionally, Fannie Mae and Freddie Mac jointly own Common Securitization Solutions, LLC (“CSS”), a limited liability company created to operate a common securitization platform; as a result, CSS is deemed a related party. As a part of our joint ownership, Fannie Mae, Freddie Mac and CSS are parties to a limited liability company agreement that sets forth the overall framework for the joint venture, including Fannie Mae’s and Freddie Mac’s rights and responsibilities as members of CSS. Fannie Mae, Freddie Mac and CSS are also parties to a customer services agreement that sets forth the terms under which CSS provides mortgage securitization services to us and Freddie Mac, including the operation of the common securitization platform, as well as an administrative services agreement. CSS operates as a separate company from us and Freddie Mac, with all funding and limited administrative support services and other resources provided to it by us and Freddie Mac.</w:t>
      </w:r>
    </w:p>
    <w:p>
      <w:pPr>
        <w:spacing w:after="0" w:line="49" w:lineRule="exact"/>
        <w:rPr>
          <w:sz w:val="20"/>
          <w:szCs w:val="20"/>
          <w:color w:val="auto"/>
        </w:rPr>
      </w:pPr>
    </w:p>
    <w:p>
      <w:pPr>
        <w:jc w:val="both"/>
        <w:ind w:right="180"/>
        <w:spacing w:after="0" w:line="268" w:lineRule="auto"/>
        <w:rPr>
          <w:sz w:val="20"/>
          <w:szCs w:val="20"/>
          <w:color w:val="auto"/>
        </w:rPr>
      </w:pPr>
      <w:r>
        <w:rPr>
          <w:rFonts w:ascii="Arial" w:cs="Arial" w:eastAsia="Arial" w:hAnsi="Arial"/>
          <w:sz w:val="16"/>
          <w:szCs w:val="16"/>
          <w:color w:val="auto"/>
        </w:rPr>
        <w:t>In the ordinary course of business, Fannie Mae may purchase and sell securities issued by Treasury and Freddie Mac in the capital markets. Some of the structured securities we issue are backed in whole or in part by Freddie Mac securities. Fannie Mae and Freddie Mac each have agreed to indemnify the other party for losses caused by: its failure to meet its payment or other specified obligations under the trust agreements pursuant to which the underlying resecuritized securities were issued; its failure to meet its obligations under the customer services agreement;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365760</wp:posOffset>
            </wp:positionV>
            <wp:extent cx="681101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164070" cy="419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72" w:name="page73"/>
    <w:bookmarkEnd w:id="72"/>
    <w:p>
      <w:pPr>
        <w:ind w:left="4980"/>
        <w:spacing w:after="0"/>
        <w:rPr>
          <w:sz w:val="20"/>
          <w:szCs w:val="20"/>
          <w:color w:val="auto"/>
        </w:rPr>
      </w:pPr>
      <w:r>
        <w:rPr>
          <w:rFonts w:ascii="Arial" w:cs="Arial" w:eastAsia="Arial" w:hAnsi="Arial"/>
          <w:sz w:val="13"/>
          <w:szCs w:val="13"/>
          <w:color w:val="05314D"/>
        </w:rPr>
        <w:t>Notes to Condensed Consolidated Financial Statements |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22860</wp:posOffset>
            </wp:positionV>
            <wp:extent cx="70237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540"/>
        <w:spacing w:after="0" w:line="267" w:lineRule="auto"/>
        <w:rPr>
          <w:sz w:val="20"/>
          <w:szCs w:val="20"/>
          <w:color w:val="auto"/>
        </w:rPr>
      </w:pPr>
      <w:r>
        <w:rPr>
          <w:rFonts w:ascii="Arial" w:cs="Arial" w:eastAsia="Arial" w:hAnsi="Arial"/>
          <w:sz w:val="16"/>
          <w:szCs w:val="16"/>
          <w:color w:val="auto"/>
        </w:rPr>
        <w:t>violations of laws; or with respect to material misstatements or omissions in offering documents, ongoing disclosures and materials relating to the underlying resecuritized securities. Additionally, we make regular income tax payments to and receive tax refunds from the Internal Revenue Service (“IRS”), a bureau of Treasury.</w:t>
      </w:r>
    </w:p>
    <w:p>
      <w:pPr>
        <w:spacing w:after="0" w:line="92" w:lineRule="exact"/>
        <w:rPr>
          <w:sz w:val="20"/>
          <w:szCs w:val="20"/>
          <w:color w:val="auto"/>
        </w:rPr>
      </w:pPr>
    </w:p>
    <w:p>
      <w:pPr>
        <w:spacing w:after="0"/>
        <w:rPr>
          <w:sz w:val="20"/>
          <w:szCs w:val="20"/>
          <w:color w:val="auto"/>
        </w:rPr>
      </w:pPr>
      <w:r>
        <w:rPr>
          <w:rFonts w:ascii="Arial" w:cs="Arial" w:eastAsia="Arial" w:hAnsi="Arial"/>
          <w:sz w:val="21"/>
          <w:szCs w:val="21"/>
          <w:i w:val="1"/>
          <w:iCs w:val="1"/>
          <w:color w:val="05314D"/>
        </w:rPr>
        <w:t>Transactions with Treasury</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u w:val="single" w:color="auto"/>
          <w:color w:val="05314D"/>
        </w:rPr>
        <w:t>Treasury Making Home Affordable Program</w:t>
      </w:r>
    </w:p>
    <w:p>
      <w:pPr>
        <w:spacing w:after="0" w:line="83" w:lineRule="exact"/>
        <w:rPr>
          <w:sz w:val="20"/>
          <w:szCs w:val="20"/>
          <w:color w:val="auto"/>
        </w:rPr>
      </w:pPr>
    </w:p>
    <w:p>
      <w:pPr>
        <w:ind w:right="480"/>
        <w:spacing w:after="0" w:line="267" w:lineRule="auto"/>
        <w:rPr>
          <w:sz w:val="20"/>
          <w:szCs w:val="20"/>
          <w:color w:val="auto"/>
        </w:rPr>
      </w:pPr>
      <w:r>
        <w:rPr>
          <w:rFonts w:ascii="Arial" w:cs="Arial" w:eastAsia="Arial" w:hAnsi="Arial"/>
          <w:sz w:val="16"/>
          <w:szCs w:val="16"/>
          <w:color w:val="auto"/>
        </w:rPr>
        <w:t>Our administrative expenses were reduced by $3 million for the three months ended June 30, 2023 and 2022, and $6 million and $7 million for the six months ended June 30, 2023 and 2022, respectively, due to reimbursements from Treasury and Freddie Mac for expenses incurred as program administrator for Treasury’s Home Affordable Modification Program and other initiatives under Treasury’s Making Home Affordable Program.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u w:val="single" w:color="auto"/>
          <w:color w:val="05314D"/>
        </w:rPr>
        <w:t>Obligation to Pay TCCA Fees to Treasury</w:t>
      </w:r>
    </w:p>
    <w:p>
      <w:pPr>
        <w:spacing w:after="0" w:line="83"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We recognized Temporary Payroll Tax Cut Continuation Act of 2011 (“TCCA”) fees of $856 million and $841 million for the three months ended June 30, 2023 and 2022, respectively, and $1.7 billion for the six months ended June 30, 2023 and 2022, of which $856 million had not been remitted to Treasury as of June 30, 2023.</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u w:val="single" w:color="auto"/>
          <w:color w:val="05314D"/>
        </w:rPr>
        <w:t>Treasury Interest in Affordable Housing Allocations</w:t>
      </w:r>
    </w:p>
    <w:p>
      <w:pPr>
        <w:spacing w:after="0" w:line="83"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The GSE Act requires us to set aside certain funding obligations, a portion of which is attributable to Treasury’s Capital Magnet Fund. These funding obligations are measured as the product of 4.2 basis points and the unpaid principal balance of our total new business purchases for the respective period, with 35% of this amount payable to Treasury’s Capital Magnet Fund. We recognized a total of $16 million and $28 million in “Other expenses, net” for the three months ended June 30, 2023 and 2022, respectively, and $27 million and $66 million for the six months ended June 30, 2023 and 2022, respectively, in connection with Treasury’s Capital Magnet Fund, of which $27 million had not been remitted as of June 30, 2023.</w:t>
      </w:r>
    </w:p>
    <w:p>
      <w:pPr>
        <w:spacing w:after="0" w:line="80" w:lineRule="exact"/>
        <w:rPr>
          <w:sz w:val="20"/>
          <w:szCs w:val="20"/>
          <w:color w:val="auto"/>
        </w:rPr>
      </w:pPr>
    </w:p>
    <w:p>
      <w:pPr>
        <w:spacing w:after="0"/>
        <w:rPr>
          <w:sz w:val="20"/>
          <w:szCs w:val="20"/>
          <w:color w:val="auto"/>
        </w:rPr>
      </w:pPr>
      <w:r>
        <w:rPr>
          <w:rFonts w:ascii="Arial" w:cs="Arial" w:eastAsia="Arial" w:hAnsi="Arial"/>
          <w:sz w:val="21"/>
          <w:szCs w:val="21"/>
          <w:i w:val="1"/>
          <w:iCs w:val="1"/>
          <w:color w:val="05314D"/>
        </w:rPr>
        <w:t>Transactions with FHFA</w:t>
      </w:r>
    </w:p>
    <w:p>
      <w:pPr>
        <w:spacing w:after="0" w:line="71"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color w:val="auto"/>
        </w:rPr>
        <w:t>The GSE Act authorizes FHFA to establish an annual assessment for regulated entities, including Fannie Mae, which is payable on a semi-annual basis (April and October), for FHFA’s costs and expenses, as well as to maintain FHFA’s working capital. We recognized FHFA assessment fees, which are recorded in “Administrative expenses” in our condensed consolidated statements of operations and comprehensive income, of $40 million and $31 million for the three months ended June 30, 2023 and 2022, respectively, and $79 million and $63 million for the six months ended June 30, 2023 and 2022,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21"/>
          <w:szCs w:val="21"/>
          <w:i w:val="1"/>
          <w:iCs w:val="1"/>
          <w:color w:val="05314D"/>
        </w:rPr>
        <w:t>Transactions with CSS and Freddie Mac</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We contributed funds to CSS, the company we jointly own with Freddie Mac, of $16 million for the three months ended June 30, 2023 and 2022, and</w:t>
      </w:r>
    </w:p>
    <w:p>
      <w:pPr>
        <w:spacing w:after="0" w:line="21"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$42 million and $38 million for the six months ended June 30, 2023 and 2022, respectively. Net operating losses associated with our investment in CSS are recorded in “Other expenses, net” in our condensed consolidated statements of operations and comprehensive income.</w:t>
      </w:r>
    </w:p>
    <w:p>
      <w:pPr>
        <w:spacing w:after="0" w:line="58"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Acquired Property, Net</w:t>
      </w:r>
    </w:p>
    <w:p>
      <w:pPr>
        <w:spacing w:after="0" w:line="78" w:lineRule="exact"/>
        <w:rPr>
          <w:sz w:val="20"/>
          <w:szCs w:val="20"/>
          <w:color w:val="auto"/>
        </w:rPr>
      </w:pPr>
    </w:p>
    <w:p>
      <w:pPr>
        <w:jc w:val="both"/>
        <w:ind w:right="160"/>
        <w:spacing w:after="0" w:line="270" w:lineRule="auto"/>
        <w:rPr>
          <w:sz w:val="20"/>
          <w:szCs w:val="20"/>
          <w:color w:val="auto"/>
        </w:rPr>
      </w:pPr>
      <w:r>
        <w:rPr>
          <w:rFonts w:ascii="Arial" w:cs="Arial" w:eastAsia="Arial" w:hAnsi="Arial"/>
          <w:sz w:val="16"/>
          <w:szCs w:val="16"/>
          <w:color w:val="auto"/>
        </w:rPr>
        <w:t>We recognize foreclosed property (</w:t>
      </w:r>
      <w:r>
        <w:rPr>
          <w:rFonts w:ascii="Arial" w:cs="Arial" w:eastAsia="Arial" w:hAnsi="Arial"/>
          <w:sz w:val="16"/>
          <w:szCs w:val="16"/>
          <w:i w:val="1"/>
          <w:iCs w:val="1"/>
          <w:color w:val="auto"/>
        </w:rPr>
        <w:t>i.e.</w:t>
      </w:r>
      <w:r>
        <w:rPr>
          <w:rFonts w:ascii="Arial" w:cs="Arial" w:eastAsia="Arial" w:hAnsi="Arial"/>
          <w:sz w:val="16"/>
          <w:szCs w:val="16"/>
          <w:color w:val="auto"/>
        </w:rPr>
        <w:t>, “Acquired property, net”) upon the earlier of the loan foreclosure event or when we take physical possession of the property (</w:t>
      </w:r>
      <w:r>
        <w:rPr>
          <w:rFonts w:ascii="Arial" w:cs="Arial" w:eastAsia="Arial" w:hAnsi="Arial"/>
          <w:sz w:val="16"/>
          <w:szCs w:val="16"/>
          <w:i w:val="1"/>
          <w:iCs w:val="1"/>
          <w:color w:val="auto"/>
        </w:rPr>
        <w:t>i.e.</w:t>
      </w:r>
      <w:r>
        <w:rPr>
          <w:rFonts w:ascii="Arial" w:cs="Arial" w:eastAsia="Arial" w:hAnsi="Arial"/>
          <w:sz w:val="16"/>
          <w:szCs w:val="16"/>
          <w:color w:val="auto"/>
        </w:rPr>
        <w:t>, through a deed-in-lieu of foreclosure transaction). We present foreclosed property in “Other assets” in our condensed consolidated balance sheets. We held $1.6 billion of acquired property, net as of June 30, 2023 and December 31, 2022.</w:t>
      </w:r>
    </w:p>
    <w:p>
      <w:pPr>
        <w:spacing w:after="0" w:line="82"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Earnings per Share</w:t>
      </w:r>
    </w:p>
    <w:p>
      <w:pPr>
        <w:spacing w:after="0" w:line="8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Earnings per share (“EPS”) is presented for basic and diluted EPS. We compute basic EPS by dividing net income attributable to common stockholders by the weighted-average number of shares of common stock outstanding during the period. However, as a result of our conservatorship status and the terms of the senior preferred stock, no amounts would be available to distribute as dividends to common or preferred stockholders (other than to Treasury as the holder of the senior preferred stock). Net income attributable to common stockholders excludes amounts attributable to the senior preferred stock liquidation preference, which increases as described in “Note 11, Equity” in our 2022 Form 10-K. Weighted average common shares include 4.7 billion shares for the periods ended June 30, 2023 and 2022 that would have been issued upon the full exercise of the warrant issued to Treasury from the date the warrant was issued through June 30, 2023 and 2022.</w:t>
      </w:r>
    </w:p>
    <w:p>
      <w:pPr>
        <w:spacing w:after="0" w:line="49" w:lineRule="exact"/>
        <w:rPr>
          <w:sz w:val="20"/>
          <w:szCs w:val="20"/>
          <w:color w:val="auto"/>
        </w:rPr>
      </w:pPr>
    </w:p>
    <w:p>
      <w:pPr>
        <w:ind w:right="580"/>
        <w:spacing w:after="0" w:line="300" w:lineRule="auto"/>
        <w:rPr>
          <w:sz w:val="20"/>
          <w:szCs w:val="20"/>
          <w:color w:val="auto"/>
        </w:rPr>
      </w:pPr>
      <w:r>
        <w:rPr>
          <w:rFonts w:ascii="Arial" w:cs="Arial" w:eastAsia="Arial" w:hAnsi="Arial"/>
          <w:sz w:val="16"/>
          <w:szCs w:val="16"/>
          <w:color w:val="auto"/>
        </w:rPr>
        <w:t>The calculation of diluted EPS includes all the components of basic earnings per share, plus the dilutive effect of common stock equivalents such as convertible securities and stock options. Weighted average shares outstanding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341630</wp:posOffset>
            </wp:positionV>
            <wp:extent cx="681101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73" w:name="page74"/>
    <w:bookmarkEnd w:id="73"/>
    <w:p>
      <w:pPr>
        <w:ind w:left="4980"/>
        <w:spacing w:after="0"/>
        <w:rPr>
          <w:sz w:val="20"/>
          <w:szCs w:val="20"/>
          <w:color w:val="auto"/>
        </w:rPr>
      </w:pPr>
      <w:r>
        <w:rPr>
          <w:rFonts w:ascii="Arial" w:cs="Arial" w:eastAsia="Arial" w:hAnsi="Arial"/>
          <w:sz w:val="13"/>
          <w:szCs w:val="13"/>
          <w:color w:val="05314D"/>
        </w:rPr>
        <w:t>Notes to Condensed Consolidated Financial Statements |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22860</wp:posOffset>
            </wp:positionV>
            <wp:extent cx="70237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increased to include the number of additional common shares that would have been outstanding if the dilutive potential common shares had been issued. For the three and six months ended June 30, 2023, convertible preferred stock is not included in the calculation because it would have an anti-dilutive effect. For the three and six months ended June 30, 2022, our diluted EPS weighted-average shares outstanding includes 26 million shares issuable upon the conversion of convertible preferred stock.</w:t>
      </w:r>
    </w:p>
    <w:p>
      <w:pPr>
        <w:spacing w:after="0" w:line="70"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New Accounting Guidance</w:t>
      </w:r>
    </w:p>
    <w:p>
      <w:pPr>
        <w:spacing w:after="0" w:line="118" w:lineRule="exact"/>
        <w:rPr>
          <w:sz w:val="20"/>
          <w:szCs w:val="20"/>
          <w:color w:val="auto"/>
        </w:rPr>
      </w:pPr>
    </w:p>
    <w:p>
      <w:pPr>
        <w:spacing w:after="0"/>
        <w:rPr>
          <w:sz w:val="20"/>
          <w:szCs w:val="20"/>
          <w:color w:val="auto"/>
        </w:rPr>
      </w:pPr>
      <w:r>
        <w:rPr>
          <w:rFonts w:ascii="Arial" w:cs="Arial" w:eastAsia="Arial" w:hAnsi="Arial"/>
          <w:sz w:val="21"/>
          <w:szCs w:val="21"/>
          <w:i w:val="1"/>
          <w:iCs w:val="1"/>
          <w:color w:val="05314D"/>
        </w:rPr>
        <w:t>Fair Value Hedging - Portfolio Layer Method</w:t>
      </w:r>
    </w:p>
    <w:p>
      <w:pPr>
        <w:spacing w:after="0" w:line="71"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On March 28, 2022, the FASB issued ASU 2022-01, Fair Value Hedging - Portfolio Layer Method, which clarifies the guidance on fair value hedge accounting of interest rate risk portfolios of financial assets. The ASU expands the scope of the previous last-of-layer method to allow entities to apply this method, renamed the portfolio layer method, to non-prepayable financial assets and to designate multiple hedge relationships within a single closed portfolio of financial assets. Additionally, the ASU clarifies that basis adjustments related to existing portfolio layer hedge relationships should not be allocated to the individual financial assets of the closed portfolio and should not be considered when measuring credit losses on those assets. Further, the ASU clarifies that any reversal of fair value hedge basis adjustments associated with an actual breach should be recognized in interest income immediately.</w:t>
      </w:r>
    </w:p>
    <w:p>
      <w:pPr>
        <w:spacing w:after="0" w:line="50" w:lineRule="exact"/>
        <w:rPr>
          <w:sz w:val="20"/>
          <w:szCs w:val="20"/>
          <w:color w:val="auto"/>
        </w:rPr>
      </w:pPr>
    </w:p>
    <w:p>
      <w:pPr>
        <w:ind w:right="40"/>
        <w:spacing w:after="0" w:line="300" w:lineRule="auto"/>
        <w:rPr>
          <w:sz w:val="20"/>
          <w:szCs w:val="20"/>
          <w:color w:val="auto"/>
        </w:rPr>
      </w:pPr>
      <w:r>
        <w:rPr>
          <w:rFonts w:ascii="Arial" w:cs="Arial" w:eastAsia="Arial" w:hAnsi="Arial"/>
          <w:sz w:val="16"/>
          <w:szCs w:val="16"/>
          <w:color w:val="auto"/>
        </w:rPr>
        <w:t>The ASU is effective for public business entities for fiscal years beginning after December 15, 2022, and interim periods within those years. Our adoption of this guidance effective January 1, 2023 did not have a material impact on our financial statements.</w:t>
      </w:r>
    </w:p>
    <w:p>
      <w:pPr>
        <w:spacing w:after="0" w:line="52" w:lineRule="exact"/>
        <w:rPr>
          <w:sz w:val="20"/>
          <w:szCs w:val="20"/>
          <w:color w:val="auto"/>
        </w:rPr>
      </w:pPr>
    </w:p>
    <w:p>
      <w:pPr>
        <w:spacing w:after="0"/>
        <w:rPr>
          <w:sz w:val="20"/>
          <w:szCs w:val="20"/>
          <w:color w:val="auto"/>
        </w:rPr>
      </w:pPr>
      <w:r>
        <w:rPr>
          <w:rFonts w:ascii="Arial" w:cs="Arial" w:eastAsia="Arial" w:hAnsi="Arial"/>
          <w:sz w:val="21"/>
          <w:szCs w:val="21"/>
          <w:i w:val="1"/>
          <w:iCs w:val="1"/>
          <w:color w:val="05314D"/>
        </w:rPr>
        <w:t>Investments - Equity Method and Joint Ventures</w:t>
      </w:r>
    </w:p>
    <w:p>
      <w:pPr>
        <w:spacing w:after="0" w:line="67" w:lineRule="exact"/>
        <w:rPr>
          <w:sz w:val="20"/>
          <w:szCs w:val="20"/>
          <w:color w:val="auto"/>
        </w:rPr>
      </w:pPr>
    </w:p>
    <w:p>
      <w:pPr>
        <w:ind w:right="160"/>
        <w:spacing w:after="0" w:line="269" w:lineRule="auto"/>
        <w:rPr>
          <w:sz w:val="20"/>
          <w:szCs w:val="20"/>
          <w:color w:val="auto"/>
        </w:rPr>
      </w:pPr>
      <w:r>
        <w:rPr>
          <w:rFonts w:ascii="Arial" w:cs="Arial" w:eastAsia="Arial" w:hAnsi="Arial"/>
          <w:sz w:val="16"/>
          <w:szCs w:val="16"/>
          <w:color w:val="auto"/>
        </w:rPr>
        <w:t xml:space="preserve">On March 29, 2023, the FASB issued ASU 2023-02, Investments - Equity Method and Joint Ventures (Topic 323), </w:t>
      </w:r>
      <w:r>
        <w:rPr>
          <w:rFonts w:ascii="Arial" w:cs="Arial" w:eastAsia="Arial" w:hAnsi="Arial"/>
          <w:sz w:val="16"/>
          <w:szCs w:val="16"/>
          <w:i w:val="1"/>
          <w:iCs w:val="1"/>
          <w:color w:val="auto"/>
        </w:rPr>
        <w:t>Accounting for Investment in Tax Credit</w:t>
      </w:r>
      <w:r>
        <w:rPr>
          <w:rFonts w:ascii="Arial" w:cs="Arial" w:eastAsia="Arial" w:hAnsi="Arial"/>
          <w:sz w:val="16"/>
          <w:szCs w:val="16"/>
          <w:color w:val="auto"/>
        </w:rPr>
        <w:t xml:space="preserve"> </w:t>
      </w:r>
      <w:r>
        <w:rPr>
          <w:rFonts w:ascii="Arial" w:cs="Arial" w:eastAsia="Arial" w:hAnsi="Arial"/>
          <w:sz w:val="16"/>
          <w:szCs w:val="16"/>
          <w:i w:val="1"/>
          <w:iCs w:val="1"/>
          <w:color w:val="auto"/>
        </w:rPr>
        <w:t>Structures Using the Proportional Amortization Method</w:t>
      </w:r>
      <w:r>
        <w:rPr>
          <w:rFonts w:ascii="Arial" w:cs="Arial" w:eastAsia="Arial" w:hAnsi="Arial"/>
          <w:sz w:val="16"/>
          <w:szCs w:val="16"/>
          <w:color w:val="auto"/>
        </w:rPr>
        <w:t>. The ASU expands the scope of the proportional amortization method that is currently restricted to</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in low-income housing tax credit (“LIHTC”) structures by allowing an entity to elect this method on a program-by-program basis to other qualifying tax equity investments.</w:t>
      </w:r>
    </w:p>
    <w:p>
      <w:pPr>
        <w:spacing w:after="0" w:line="43" w:lineRule="exact"/>
        <w:rPr>
          <w:sz w:val="20"/>
          <w:szCs w:val="20"/>
          <w:color w:val="auto"/>
        </w:rPr>
      </w:pPr>
    </w:p>
    <w:p>
      <w:pPr>
        <w:ind w:right="360"/>
        <w:spacing w:after="0" w:line="283" w:lineRule="auto"/>
        <w:rPr>
          <w:sz w:val="20"/>
          <w:szCs w:val="20"/>
          <w:color w:val="auto"/>
        </w:rPr>
      </w:pPr>
      <w:r>
        <w:rPr>
          <w:rFonts w:ascii="Arial" w:cs="Arial" w:eastAsia="Arial" w:hAnsi="Arial"/>
          <w:sz w:val="16"/>
          <w:szCs w:val="16"/>
          <w:color w:val="auto"/>
        </w:rPr>
        <w:t>The ASU is effective for public business enterprises on January 1, 2024 and may be adopted using either a full or modified retrospective method. Early adoption is permitted. We do not expect the adoption of this guidance to have a material effect on our financial statements.</w:t>
      </w:r>
    </w:p>
    <w:p>
      <w:pPr>
        <w:spacing w:after="0" w:line="97" w:lineRule="exact"/>
        <w:rPr>
          <w:sz w:val="20"/>
          <w:szCs w:val="20"/>
          <w:color w:val="auto"/>
        </w:rPr>
      </w:pPr>
    </w:p>
    <w:p>
      <w:pPr>
        <w:spacing w:after="0"/>
        <w:rPr>
          <w:sz w:val="20"/>
          <w:szCs w:val="20"/>
          <w:color w:val="auto"/>
        </w:rPr>
      </w:pPr>
      <w:r>
        <w:rPr>
          <w:rFonts w:ascii="Arial" w:cs="Arial" w:eastAsia="Arial" w:hAnsi="Arial"/>
          <w:sz w:val="31"/>
          <w:szCs w:val="31"/>
          <w:b w:val="1"/>
          <w:bCs w:val="1"/>
          <w:color w:val="05314D"/>
        </w:rPr>
        <w:t>2. Consolidations and Transfers of Financial Assets</w:t>
      </w:r>
    </w:p>
    <w:p>
      <w:pPr>
        <w:spacing w:after="0" w:line="10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have interests in various entities that are considered to be variable interest entities (“VIEs”). The primary types of entities are securitization and resecuritization trusts, limited partnerships and special purpose vehicles (“SPVs”). These interests include investments in securities issued by VIEs, such as Fannie Mae MBS created pursuant to our securitization transactions and our guaranty to the entity. We consolidate the substantial majority of our single-class securitization trusts because our role as guarantor and master servicer provides us with the power to direct matters (primarily the servicing of mortgage loans) that impact the credit risk to which we are exposed. In contrast, we do not consolidate single-class securitization trusts when other organizations have the power to direct these activities unless we have the unilateral ability to dissolve the trust. We also do not consolidate our resecuritization trusts unless we have the unilateral ability to dissolve the trust. The underlying assets of our resecuritization trusts include both Fannie Mae securities collateralized solely by mortgage loans held in consolidated trusts, as well as uniform mortgage-backed securities (“UMBS</w:t>
      </w:r>
      <w:r>
        <w:rPr>
          <w:rFonts w:ascii="Arial" w:cs="Arial" w:eastAsia="Arial" w:hAnsi="Arial"/>
          <w:sz w:val="21"/>
          <w:szCs w:val="21"/>
          <w:color w:val="auto"/>
          <w:vertAlign w:val="superscript"/>
        </w:rPr>
        <w:t>®</w:t>
      </w:r>
      <w:r>
        <w:rPr>
          <w:rFonts w:ascii="Arial" w:cs="Arial" w:eastAsia="Arial" w:hAnsi="Arial"/>
          <w:sz w:val="16"/>
          <w:szCs w:val="16"/>
          <w:color w:val="auto"/>
        </w:rPr>
        <w:t>”) collateralized with securities issued by Fannie Mae or Freddie Mac. The mortgage loans that serve as collateral for Freddie Mac-issued securities are not held in trusts that are consolidated by Fannie 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499110</wp:posOffset>
            </wp:positionV>
            <wp:extent cx="681101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164070" cy="419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50" w:right="359" w:bottom="1440" w:gutter="0" w:footer="0" w:header="0"/>
        </w:sectPr>
      </w:pPr>
    </w:p>
    <w:bookmarkStart w:id="74" w:name="page75"/>
    <w:bookmarkEnd w:id="74"/>
    <w:p>
      <w:pPr>
        <w:ind w:left="4640"/>
        <w:spacing w:after="0"/>
        <w:rPr>
          <w:sz w:val="20"/>
          <w:szCs w:val="20"/>
          <w:color w:val="auto"/>
        </w:rPr>
      </w:pPr>
      <w:r>
        <w:rPr>
          <w:rFonts w:ascii="Arial" w:cs="Arial" w:eastAsia="Arial" w:hAnsi="Arial"/>
          <w:sz w:val="13"/>
          <w:szCs w:val="13"/>
          <w:color w:val="05314D"/>
        </w:rPr>
        <w:t>Notes to Condensed Consolidated Financial Statements | Consolidations and Transfers of 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22860</wp:posOffset>
            </wp:positionV>
            <wp:extent cx="70237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Unconsolidated VIEs</w:t>
      </w:r>
    </w:p>
    <w:p>
      <w:pPr>
        <w:spacing w:after="0" w:line="82" w:lineRule="exact"/>
        <w:rPr>
          <w:sz w:val="20"/>
          <w:szCs w:val="20"/>
          <w:color w:val="auto"/>
        </w:rPr>
      </w:pPr>
    </w:p>
    <w:p>
      <w:pPr>
        <w:jc w:val="both"/>
        <w:ind w:right="360"/>
        <w:spacing w:after="0" w:line="276" w:lineRule="auto"/>
        <w:rPr>
          <w:sz w:val="20"/>
          <w:szCs w:val="20"/>
          <w:color w:val="auto"/>
        </w:rPr>
      </w:pPr>
      <w:r>
        <w:rPr>
          <w:rFonts w:ascii="Arial" w:cs="Arial" w:eastAsia="Arial" w:hAnsi="Arial"/>
          <w:sz w:val="16"/>
          <w:szCs w:val="16"/>
          <w:color w:val="auto"/>
        </w:rPr>
        <w:t>We do not consolidate VIEs when we are not deemed to be the primary beneficiary. Our unconsolidated VIEs include securitization and resecuritization trusts, limited partnerships, and certain SPVs designed to transfer credit risk. The following table displays the carrying amount and classification of our assets and liabilities that relate to our involvement with unconsolidated securitization and resecuritization trusts.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gridSpan w:val="3"/>
          </w:tcPr>
          <w:p>
            <w:pPr>
              <w:jc w:val="right"/>
              <w:ind w:right="80"/>
              <w:spacing w:after="0"/>
              <w:rPr>
                <w:sz w:val="20"/>
                <w:szCs w:val="20"/>
                <w:color w:val="auto"/>
              </w:rPr>
            </w:pPr>
            <w:r>
              <w:rPr>
                <w:rFonts w:ascii="Arial" w:cs="Arial" w:eastAsia="Arial" w:hAnsi="Arial"/>
                <w:sz w:val="15"/>
                <w:szCs w:val="15"/>
                <w:b w:val="1"/>
                <w:bCs w:val="1"/>
                <w:color w:val="auto"/>
              </w:rPr>
              <w:t>As of</w:t>
            </w:r>
          </w:p>
        </w:tc>
        <w:tc>
          <w:tcPr>
            <w:tcW w:w="1800" w:type="dxa"/>
            <w:vAlign w:val="bottom"/>
            <w:tcBorders>
              <w:bottom w:val="single" w:sz="8" w:color="2C6937"/>
            </w:tcBorders>
          </w:tcPr>
          <w:p>
            <w:pPr>
              <w:spacing w:after="0"/>
              <w:rPr>
                <w:sz w:val="18"/>
                <w:szCs w:val="18"/>
                <w:color w:val="auto"/>
              </w:rPr>
            </w:pPr>
          </w:p>
        </w:tc>
      </w:tr>
      <w:tr>
        <w:trPr>
          <w:trHeight w:val="199"/>
        </w:trPr>
        <w:tc>
          <w:tcPr>
            <w:tcW w:w="7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June 30, 2023</w:t>
            </w:r>
          </w:p>
        </w:tc>
        <w:tc>
          <w:tcPr>
            <w:tcW w:w="480" w:type="dxa"/>
            <w:vAlign w:val="bottom"/>
            <w:tcBorders>
              <w:bottom w:val="single" w:sz="8" w:color="2C6937"/>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1800" w:type="dxa"/>
            <w:vAlign w:val="bottom"/>
            <w:tcBorders>
              <w:bottom w:val="single" w:sz="8" w:color="2C6937"/>
            </w:tcBorders>
          </w:tcPr>
          <w:p>
            <w:pPr>
              <w:jc w:val="right"/>
              <w:ind w:right="243"/>
              <w:spacing w:after="0"/>
              <w:rPr>
                <w:sz w:val="20"/>
                <w:szCs w:val="20"/>
                <w:color w:val="auto"/>
              </w:rPr>
            </w:pPr>
            <w:r>
              <w:rPr>
                <w:rFonts w:ascii="Arial" w:cs="Arial" w:eastAsia="Arial" w:hAnsi="Arial"/>
                <w:sz w:val="15"/>
                <w:szCs w:val="15"/>
                <w:b w:val="1"/>
                <w:bCs w:val="1"/>
                <w:color w:val="auto"/>
              </w:rPr>
              <w:t>December 31, 2022</w:t>
            </w:r>
          </w:p>
        </w:tc>
      </w:tr>
      <w:tr>
        <w:trPr>
          <w:trHeight w:val="244"/>
        </w:trPr>
        <w:tc>
          <w:tcPr>
            <w:tcW w:w="7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40" w:type="dxa"/>
            <w:vAlign w:val="bottom"/>
            <w:gridSpan w:val="5"/>
          </w:tcPr>
          <w:p>
            <w:pPr>
              <w:jc w:val="right"/>
              <w:ind w:right="1283"/>
              <w:spacing w:after="0"/>
              <w:rPr>
                <w:sz w:val="20"/>
                <w:szCs w:val="20"/>
                <w:color w:val="auto"/>
              </w:rPr>
            </w:pPr>
            <w:r>
              <w:rPr>
                <w:rFonts w:ascii="Arial" w:cs="Arial" w:eastAsia="Arial" w:hAnsi="Arial"/>
                <w:sz w:val="15"/>
                <w:szCs w:val="15"/>
                <w:b w:val="1"/>
                <w:bCs w:val="1"/>
                <w:color w:val="auto"/>
              </w:rPr>
              <w:t>(Dollars in millions)</w:t>
            </w:r>
          </w:p>
        </w:tc>
      </w:tr>
      <w:tr>
        <w:trPr>
          <w:trHeight w:val="205"/>
        </w:trPr>
        <w:tc>
          <w:tcPr>
            <w:tcW w:w="7100" w:type="dxa"/>
            <w:vAlign w:val="bottom"/>
            <w:gridSpan w:val="2"/>
          </w:tcPr>
          <w:p>
            <w:pPr>
              <w:ind w:left="20"/>
              <w:spacing w:after="0"/>
              <w:rPr>
                <w:sz w:val="20"/>
                <w:szCs w:val="20"/>
                <w:color w:val="auto"/>
              </w:rPr>
            </w:pPr>
            <w:r>
              <w:rPr>
                <w:rFonts w:ascii="Arial" w:cs="Arial" w:eastAsia="Arial" w:hAnsi="Arial"/>
                <w:sz w:val="15"/>
                <w:szCs w:val="15"/>
                <w:color w:val="auto"/>
              </w:rPr>
              <w:t>Assets and liabilities recorded in our condensed consolidated balance sheets related to</w:t>
            </w:r>
          </w:p>
        </w:tc>
        <w:tc>
          <w:tcPr>
            <w:tcW w:w="1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7100" w:type="dxa"/>
            <w:vAlign w:val="bottom"/>
            <w:gridSpan w:val="2"/>
          </w:tcPr>
          <w:p>
            <w:pPr>
              <w:ind w:left="180"/>
              <w:spacing w:after="0"/>
              <w:rPr>
                <w:sz w:val="20"/>
                <w:szCs w:val="20"/>
                <w:color w:val="auto"/>
              </w:rPr>
            </w:pPr>
            <w:r>
              <w:rPr>
                <w:rFonts w:ascii="Arial" w:cs="Arial" w:eastAsia="Arial" w:hAnsi="Arial"/>
                <w:sz w:val="15"/>
                <w:szCs w:val="15"/>
                <w:color w:val="auto"/>
              </w:rPr>
              <w:t>unconsolidated mortgage-backed trusts:</w:t>
            </w:r>
          </w:p>
        </w:tc>
        <w:tc>
          <w:tcPr>
            <w:tcW w:w="1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70"/>
        </w:trPr>
        <w:tc>
          <w:tcPr>
            <w:tcW w:w="7100" w:type="dxa"/>
            <w:vAlign w:val="bottom"/>
            <w:gridSpan w:val="2"/>
          </w:tcPr>
          <w:p>
            <w:pPr>
              <w:ind w:left="20"/>
              <w:spacing w:after="0"/>
              <w:rPr>
                <w:sz w:val="20"/>
                <w:szCs w:val="20"/>
                <w:color w:val="auto"/>
              </w:rPr>
            </w:pPr>
            <w:r>
              <w:rPr>
                <w:rFonts w:ascii="Arial" w:cs="Arial" w:eastAsia="Arial" w:hAnsi="Arial"/>
                <w:sz w:val="15"/>
                <w:szCs w:val="15"/>
                <w:color w:val="auto"/>
              </w:rPr>
              <w:t>Investments in securities, at fair value</w:t>
            </w:r>
          </w:p>
        </w:tc>
        <w:tc>
          <w:tcPr>
            <w:tcW w:w="1520" w:type="dxa"/>
            <w:vAlign w:val="bottom"/>
          </w:tcPr>
          <w:p>
            <w:pPr>
              <w:jc w:val="right"/>
              <w:ind w:right="1343"/>
              <w:spacing w:after="0"/>
              <w:rPr>
                <w:sz w:val="20"/>
                <w:szCs w:val="20"/>
                <w:color w:val="auto"/>
              </w:rPr>
            </w:pPr>
            <w:r>
              <w:rPr>
                <w:rFonts w:ascii="Arial" w:cs="Arial" w:eastAsia="Arial" w:hAnsi="Arial"/>
                <w:sz w:val="15"/>
                <w:szCs w:val="15"/>
                <w:b w:val="1"/>
                <w:bCs w:val="1"/>
                <w:color w:val="auto"/>
                <w:w w:val="95"/>
              </w:rPr>
              <w:t>$</w:t>
            </w:r>
          </w:p>
        </w:tc>
        <w:tc>
          <w:tcPr>
            <w:tcW w:w="480" w:type="dxa"/>
            <w:vAlign w:val="bottom"/>
          </w:tcPr>
          <w:p>
            <w:pPr>
              <w:jc w:val="right"/>
              <w:spacing w:after="0"/>
              <w:rPr>
                <w:sz w:val="20"/>
                <w:szCs w:val="20"/>
                <w:color w:val="auto"/>
              </w:rPr>
            </w:pPr>
            <w:r>
              <w:rPr>
                <w:rFonts w:ascii="Arial" w:cs="Arial" w:eastAsia="Arial" w:hAnsi="Arial"/>
                <w:sz w:val="15"/>
                <w:szCs w:val="15"/>
                <w:b w:val="1"/>
                <w:bCs w:val="1"/>
                <w:color w:val="auto"/>
              </w:rPr>
              <w:t>2,494</w:t>
            </w:r>
          </w:p>
        </w:tc>
        <w:tc>
          <w:tcPr>
            <w:tcW w:w="3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800" w:type="dxa"/>
            <w:vAlign w:val="bottom"/>
          </w:tcPr>
          <w:p>
            <w:pPr>
              <w:jc w:val="right"/>
              <w:ind w:right="3"/>
              <w:spacing w:after="0"/>
              <w:rPr>
                <w:sz w:val="20"/>
                <w:szCs w:val="20"/>
                <w:color w:val="auto"/>
              </w:rPr>
            </w:pPr>
            <w:r>
              <w:rPr>
                <w:rFonts w:ascii="Arial" w:cs="Arial" w:eastAsia="Arial" w:hAnsi="Arial"/>
                <w:sz w:val="15"/>
                <w:szCs w:val="15"/>
                <w:color w:val="auto"/>
              </w:rPr>
              <w:t>3,353</w:t>
            </w:r>
          </w:p>
        </w:tc>
      </w:tr>
      <w:tr>
        <w:trPr>
          <w:trHeight w:val="222"/>
        </w:trPr>
        <w:tc>
          <w:tcPr>
            <w:tcW w:w="7100" w:type="dxa"/>
            <w:vAlign w:val="bottom"/>
            <w:gridSpan w:val="2"/>
          </w:tcPr>
          <w:p>
            <w:pPr>
              <w:ind w:left="20"/>
              <w:spacing w:after="0"/>
              <w:rPr>
                <w:sz w:val="20"/>
                <w:szCs w:val="20"/>
                <w:color w:val="auto"/>
              </w:rPr>
            </w:pPr>
            <w:r>
              <w:rPr>
                <w:rFonts w:ascii="Arial" w:cs="Arial" w:eastAsia="Arial" w:hAnsi="Arial"/>
                <w:sz w:val="15"/>
                <w:szCs w:val="15"/>
                <w:color w:val="auto"/>
              </w:rPr>
              <w:t>Other assets</w:t>
            </w:r>
          </w:p>
        </w:tc>
        <w:tc>
          <w:tcPr>
            <w:tcW w:w="15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b w:val="1"/>
                <w:bCs w:val="1"/>
                <w:color w:val="auto"/>
              </w:rPr>
              <w:t>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ind w:right="3"/>
              <w:spacing w:after="0"/>
              <w:rPr>
                <w:sz w:val="20"/>
                <w:szCs w:val="20"/>
                <w:color w:val="auto"/>
              </w:rPr>
            </w:pPr>
            <w:r>
              <w:rPr>
                <w:rFonts w:ascii="Arial" w:cs="Arial" w:eastAsia="Arial" w:hAnsi="Arial"/>
                <w:sz w:val="15"/>
                <w:szCs w:val="15"/>
                <w:color w:val="auto"/>
              </w:rPr>
              <w:t>40</w:t>
            </w:r>
          </w:p>
        </w:tc>
      </w:tr>
      <w:tr>
        <w:trPr>
          <w:trHeight w:val="210"/>
        </w:trPr>
        <w:tc>
          <w:tcPr>
            <w:tcW w:w="70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Other liabilities</w:t>
            </w:r>
          </w:p>
        </w:tc>
        <w:tc>
          <w:tcPr>
            <w:tcW w:w="100" w:type="dxa"/>
            <w:vAlign w:val="bottom"/>
          </w:tcPr>
          <w:p>
            <w:pPr>
              <w:spacing w:after="0"/>
              <w:rPr>
                <w:sz w:val="18"/>
                <w:szCs w:val="18"/>
                <w:color w:val="auto"/>
              </w:rPr>
            </w:pPr>
          </w:p>
        </w:tc>
        <w:tc>
          <w:tcPr>
            <w:tcW w:w="1520" w:type="dxa"/>
            <w:vAlign w:val="bottom"/>
            <w:tcBorders>
              <w:bottom w:val="single" w:sz="8" w:color="2C6937"/>
            </w:tcBorders>
          </w:tcPr>
          <w:p>
            <w:pPr>
              <w:spacing w:after="0"/>
              <w:rPr>
                <w:sz w:val="18"/>
                <w:szCs w:val="18"/>
                <w:color w:val="auto"/>
              </w:rPr>
            </w:pPr>
          </w:p>
        </w:tc>
        <w:tc>
          <w:tcPr>
            <w:tcW w:w="4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(44)</w:t>
            </w:r>
          </w:p>
        </w:tc>
        <w:tc>
          <w:tcPr>
            <w:tcW w:w="12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1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(45)</w:t>
            </w:r>
          </w:p>
        </w:tc>
      </w:tr>
      <w:tr>
        <w:trPr>
          <w:trHeight w:val="199"/>
        </w:trPr>
        <w:tc>
          <w:tcPr>
            <w:tcW w:w="7100" w:type="dxa"/>
            <w:vAlign w:val="bottom"/>
            <w:gridSpan w:val="2"/>
          </w:tcPr>
          <w:p>
            <w:pPr>
              <w:ind w:left="180"/>
              <w:spacing w:after="0"/>
              <w:rPr>
                <w:sz w:val="20"/>
                <w:szCs w:val="20"/>
                <w:color w:val="auto"/>
              </w:rPr>
            </w:pPr>
            <w:r>
              <w:rPr>
                <w:rFonts w:ascii="Arial" w:cs="Arial" w:eastAsia="Arial" w:hAnsi="Arial"/>
                <w:sz w:val="15"/>
                <w:szCs w:val="15"/>
                <w:color w:val="auto"/>
              </w:rPr>
              <w:t>Net carrying amount</w:t>
            </w:r>
          </w:p>
        </w:tc>
        <w:tc>
          <w:tcPr>
            <w:tcW w:w="1520" w:type="dxa"/>
            <w:vAlign w:val="bottom"/>
          </w:tcPr>
          <w:p>
            <w:pPr>
              <w:jc w:val="right"/>
              <w:ind w:right="1343"/>
              <w:spacing w:after="0"/>
              <w:rPr>
                <w:sz w:val="20"/>
                <w:szCs w:val="20"/>
                <w:color w:val="auto"/>
              </w:rPr>
            </w:pPr>
            <w:r>
              <w:rPr>
                <w:rFonts w:ascii="Arial" w:cs="Arial" w:eastAsia="Arial" w:hAnsi="Arial"/>
                <w:sz w:val="15"/>
                <w:szCs w:val="15"/>
                <w:b w:val="1"/>
                <w:bCs w:val="1"/>
                <w:color w:val="auto"/>
                <w:w w:val="95"/>
              </w:rPr>
              <w:t>$</w:t>
            </w:r>
          </w:p>
        </w:tc>
        <w:tc>
          <w:tcPr>
            <w:tcW w:w="480" w:type="dxa"/>
            <w:vAlign w:val="bottom"/>
          </w:tcPr>
          <w:p>
            <w:pPr>
              <w:jc w:val="right"/>
              <w:spacing w:after="0"/>
              <w:rPr>
                <w:sz w:val="20"/>
                <w:szCs w:val="20"/>
                <w:color w:val="auto"/>
              </w:rPr>
            </w:pPr>
            <w:r>
              <w:rPr>
                <w:rFonts w:ascii="Arial" w:cs="Arial" w:eastAsia="Arial" w:hAnsi="Arial"/>
                <w:sz w:val="15"/>
                <w:szCs w:val="15"/>
                <w:b w:val="1"/>
                <w:bCs w:val="1"/>
                <w:color w:val="auto"/>
              </w:rPr>
              <w:t>2,488</w:t>
            </w:r>
          </w:p>
        </w:tc>
        <w:tc>
          <w:tcPr>
            <w:tcW w:w="3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800" w:type="dxa"/>
            <w:vAlign w:val="bottom"/>
          </w:tcPr>
          <w:p>
            <w:pPr>
              <w:jc w:val="right"/>
              <w:ind w:right="3"/>
              <w:spacing w:after="0"/>
              <w:rPr>
                <w:sz w:val="20"/>
                <w:szCs w:val="20"/>
                <w:color w:val="auto"/>
              </w:rPr>
            </w:pPr>
            <w:r>
              <w:rPr>
                <w:rFonts w:ascii="Arial" w:cs="Arial" w:eastAsia="Arial" w:hAnsi="Arial"/>
                <w:sz w:val="15"/>
                <w:szCs w:val="15"/>
                <w:color w:val="auto"/>
              </w:rPr>
              <w:t>3,348</w:t>
            </w:r>
          </w:p>
        </w:tc>
      </w:tr>
      <w:tr>
        <w:trPr>
          <w:trHeight w:val="20"/>
        </w:trPr>
        <w:tc>
          <w:tcPr>
            <w:tcW w:w="7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2C6937"/>
              <w:bottom w:val="single" w:sz="8" w:color="2C6937"/>
            </w:tcBorders>
          </w:tcPr>
          <w:p>
            <w:pPr>
              <w:spacing w:after="0" w:line="20" w:lineRule="exact"/>
              <w:rPr>
                <w:sz w:val="1"/>
                <w:szCs w:val="1"/>
                <w:color w:val="auto"/>
              </w:rPr>
            </w:pPr>
          </w:p>
        </w:tc>
        <w:tc>
          <w:tcPr>
            <w:tcW w:w="4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800" w:type="dxa"/>
            <w:vAlign w:val="bottom"/>
            <w:tcBorders>
              <w:top w:val="single" w:sz="8" w:color="2C6937"/>
              <w:bottom w:val="single" w:sz="8" w:color="2C6937"/>
            </w:tcBorders>
          </w:tcPr>
          <w:p>
            <w:pPr>
              <w:spacing w:after="0" w:line="20" w:lineRule="exact"/>
              <w:rPr>
                <w:sz w:val="1"/>
                <w:szCs w:val="1"/>
                <w:color w:val="auto"/>
              </w:rPr>
            </w:pPr>
          </w:p>
        </w:tc>
      </w:tr>
    </w:tbl>
    <w:p>
      <w:pPr>
        <w:spacing w:after="0" w:line="175"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Our maximum exposure to loss generally represents the greater of our carrying value in the entity or the unpaid principal balance of the assets covered by our guaranty. Our involvement in unconsolidated resecuritization trusts may give rise to additional exposure to loss depending on the type of resecuritization trust. Fannie Mae non-commingled resecuritization trusts are backed entirely by Fannie Mae MBS. These non-commingled single-class and multi-class resecuritization trusts are not consolidated and do not give rise to any additional exposure to loss as we already consolidate the underlying collateral.</w:t>
      </w:r>
    </w:p>
    <w:p>
      <w:pPr>
        <w:spacing w:after="0" w:line="4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Fannie Mae commingled resecuritization trusts are backed in whole or in part by Freddie Mac securities. The guaranty that we provide to these commingled resecuritization trusts may increase our exposure to loss to the extent that we are providing a guaranty for the timely payment and interest on the underlying Freddie Mac securities that we have not previously guaranteed. Our maximum exposure to loss for these unconsolidated trusts is measured by the amount of Freddie Mac securities that are held in these resecuritization trusts.</w:t>
      </w:r>
    </w:p>
    <w:p>
      <w:pPr>
        <w:spacing w:after="0" w:line="42"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Our maximum exposure to loss related to unconsolidated securitization and resecuritization trusts, which includes but is not limited to our exposure to these Freddie Mac securities, was approximately $230 billion and $240 billion as of June 30, 2023 and December 31, 2022, respectively. The total assets of our unconsolidated securitization and resecuritization trusts were approximately $230 billion and $240 billion as of June 30, 2023 and December 31, 2022, respectively.</w:t>
      </w:r>
    </w:p>
    <w:p>
      <w:pPr>
        <w:spacing w:after="0" w:line="42"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The maximum exposure to loss for our unconsolidated limited partnerships and similar legal entities, which consist of LIHTC investments, community investments and other entities, was $459 million and the related net carrying value was $454 million as of June 30, 2023. As of December 31, 2022, the maximum exposure to loss was $427 million and the related net carrying value was $424 million. The total assets of these limited partnership investments were $4.5 billion and $4.3 billion as of June 30, 2023 and December 31, 2022, respectively.</w:t>
      </w:r>
    </w:p>
    <w:p>
      <w:pPr>
        <w:spacing w:after="0" w:line="60"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The maximum exposure to loss related to our involvement with unconsolidated SPVs that transfer credit risk represents the unpaid principal balance and accrued interest payable of obligations issued by the Connecticut Avenue Securities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(“CAS”) and Multifamily Connecticut Avenue Securities</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(“MCAS</w:t>
      </w:r>
      <w:r>
        <w:rPr>
          <w:rFonts w:ascii="Arial" w:cs="Arial" w:eastAsia="Arial" w:hAnsi="Arial"/>
          <w:sz w:val="21"/>
          <w:szCs w:val="21"/>
          <w:color w:val="auto"/>
          <w:vertAlign w:val="superscript"/>
        </w:rPr>
        <w:t>TM</w:t>
      </w:r>
      <w:r>
        <w:rPr>
          <w:rFonts w:ascii="Arial" w:cs="Arial" w:eastAsia="Arial" w:hAnsi="Arial"/>
          <w:sz w:val="16"/>
          <w:szCs w:val="16"/>
          <w:color w:val="auto"/>
        </w:rPr>
        <w:t>”) SPVs. The maximum exposure to loss related to these unconsolidated SPVs was $19.8 billion and $16.9 billion as of June 30, 2023 and December 31, 2022, respectively. The total assets related to these unconsolidated SPVs were $19.8 billion and $17.0 billion as of June 30, 2023 and December 31, 2022, respectively.</w:t>
      </w:r>
    </w:p>
    <w:p>
      <w:pPr>
        <w:spacing w:after="0" w:line="76"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unpaid principal balance of our multifamily loan portfolio was $445.7 billion as of June 30, 2023. As our lending relationship does not provide us with a controlling financial interest in the borrower entity, we do not consolidate these borrowers regardless of their status as either a VIE or a voting interest entity. We have excluded these entities from our VIE disclosures. However, the disclosures we have provided in “Note 3, Mortgage Loans,” “Note 4, Allowance for Loan Losses” and “Note 6, Financial Guarantees” with respect to this population are consistent with the FASB’s stated objectives for the disclosures related to unconsolidated VIEs.</w:t>
      </w:r>
    </w:p>
    <w:p>
      <w:pPr>
        <w:spacing w:after="0" w:line="93"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Transfers of Financial Assets</w:t>
      </w:r>
    </w:p>
    <w:p>
      <w:pPr>
        <w:spacing w:after="0" w:line="82" w:lineRule="exact"/>
        <w:rPr>
          <w:sz w:val="20"/>
          <w:szCs w:val="20"/>
          <w:color w:val="auto"/>
        </w:rPr>
      </w:pPr>
    </w:p>
    <w:p>
      <w:pPr>
        <w:ind w:right="340"/>
        <w:spacing w:after="0" w:line="268" w:lineRule="auto"/>
        <w:rPr>
          <w:sz w:val="20"/>
          <w:szCs w:val="20"/>
          <w:color w:val="auto"/>
        </w:rPr>
      </w:pPr>
      <w:r>
        <w:rPr>
          <w:rFonts w:ascii="Arial" w:cs="Arial" w:eastAsia="Arial" w:hAnsi="Arial"/>
          <w:sz w:val="16"/>
          <w:szCs w:val="16"/>
          <w:color w:val="auto"/>
        </w:rPr>
        <w:t>We issue Fannie Mae MBS through portfolio securitization transactions by transferring pools of mortgage loans or mortgage-related securities to one or more trusts or special purpose entities. We are considered to be the transferor when we transfer assets from our own retained mortgage portfolio in a portfolio securitization transaction. For the three months ended June 30, 2023 and 2022, the unpaid principal balance of portfolio securitizations was $36.9 billion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357505</wp:posOffset>
            </wp:positionV>
            <wp:extent cx="681101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75" w:name="page76"/>
    <w:bookmarkEnd w:id="75"/>
    <w:p>
      <w:pPr>
        <w:ind w:left="4640"/>
        <w:spacing w:after="0"/>
        <w:rPr>
          <w:sz w:val="20"/>
          <w:szCs w:val="20"/>
          <w:color w:val="auto"/>
        </w:rPr>
      </w:pPr>
      <w:r>
        <w:rPr>
          <w:rFonts w:ascii="Arial" w:cs="Arial" w:eastAsia="Arial" w:hAnsi="Arial"/>
          <w:sz w:val="13"/>
          <w:szCs w:val="13"/>
          <w:color w:val="05314D"/>
        </w:rPr>
        <w:t>Notes to Condensed Consolidated Financial Statements | Consolidations and Transfers of 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22860</wp:posOffset>
            </wp:positionV>
            <wp:extent cx="70237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120"/>
        <w:spacing w:after="0" w:line="267" w:lineRule="auto"/>
        <w:rPr>
          <w:sz w:val="20"/>
          <w:szCs w:val="20"/>
          <w:color w:val="auto"/>
        </w:rPr>
      </w:pPr>
      <w:r>
        <w:rPr>
          <w:rFonts w:ascii="Arial" w:cs="Arial" w:eastAsia="Arial" w:hAnsi="Arial"/>
          <w:sz w:val="16"/>
          <w:szCs w:val="16"/>
          <w:color w:val="auto"/>
        </w:rPr>
        <w:t>$77.0 billion, respectively. For the six months ended June 30, 2023 and 2022, the unpaid principal balance of portfolio securitizations was $65.2 billion and $179.8 billion, respectively. The substantial majority of these portfolio securitization transactions generally do not qualify for sale treatment. Portfolio securitization trusts that do qualify for sale treatment primarily consist of loans that are guaranteed or insured, in whole or in part, by the U.S. government.</w:t>
      </w:r>
    </w:p>
    <w:p>
      <w:pPr>
        <w:spacing w:after="0" w:line="5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We retain interests from the transfer and sale of mortgage-related securities to unconsolidated single-class and multi-class portfolio securitization trusts. As of June 30, 2023, the unpaid principal balance of retained interests was $774 million and its related fair value was $1.2 billion. As of December 31, 2022, the unpaid principal balance of retained interests was $910 million and its related fair value was $1.4 billion. For the three months ended June 30, 2023 and 2022, the principal, interest and other fees received on retained interests was $70 million and $108 million, respectively. For the six months ended June 30, 2023 and 2022, the principal, interest and other fees received on retained interests was $148 million and $222 million,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31"/>
          <w:szCs w:val="31"/>
          <w:b w:val="1"/>
          <w:bCs w:val="1"/>
          <w:color w:val="05314D"/>
        </w:rPr>
        <w:t>3. Mortgage Loans</w:t>
      </w:r>
    </w:p>
    <w:p>
      <w:pPr>
        <w:spacing w:after="0" w:line="92"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We own single-family mortgage loans, which are secured by four or fewer residential dwelling units, and multifamily mortgage loans, which are secured by five or more residential dwelling units. We classify these loans as either held for investment (“HFI”) or held for sale (“HFS”). For purposes of our notes to the condensed consolidated financial statements, we report the amortized cost of HFI loans for which we have not elected the fair value option at the unpaid principal balance, net of unamortized premiums and discounts, hedge-related basis adjustments, other cost basis adjustments, and accrued interest receivable in these “Note 3, Mortgage Loans” disclosures. For purposes of our condensed consolidated balance sheets, we present accrued interest receivable, net separately from the amortized cost of our loans held for investment. We report the carrying value of HFS loans at the lower of cost or fair value and record valuation changes in “Investment gains (losses), net” in our condensed consolidated statements of operations and comprehensive income.</w:t>
      </w:r>
    </w:p>
    <w:p>
      <w:pPr>
        <w:spacing w:after="0" w:line="250" w:lineRule="exact"/>
        <w:rPr>
          <w:sz w:val="20"/>
          <w:szCs w:val="20"/>
          <w:color w:val="auto"/>
        </w:rPr>
      </w:pPr>
    </w:p>
    <w:p>
      <w:pPr>
        <w:ind w:right="180"/>
        <w:spacing w:after="0" w:line="267" w:lineRule="auto"/>
        <w:rPr>
          <w:sz w:val="20"/>
          <w:szCs w:val="20"/>
          <w:color w:val="auto"/>
        </w:rPr>
      </w:pPr>
      <w:r>
        <w:rPr>
          <w:rFonts w:ascii="Arial" w:cs="Arial" w:eastAsia="Arial" w:hAnsi="Arial"/>
          <w:sz w:val="16"/>
          <w:szCs w:val="16"/>
          <w:color w:val="auto"/>
        </w:rPr>
        <w:t>For purposes of the single-family mortgage loan disclosures below, we display loans by class of financing receivable type. Financing receivable classes used for disclosure consist of: “20- and 30-year or more, amortizing fixed-rate,” “15-year or less, amortizing fixed-rate,” “Adjustable-rate,” and “Other.” The “Other” class primarily consists of reverse mortgage loans, interest-only loans, negative-amortizing loans and second liens.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the carrying value of our mortgage loans and allowance for loan losses.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2C6937"/>
            </w:tcBorders>
          </w:tcPr>
          <w:p>
            <w:pPr>
              <w:spacing w:after="0"/>
              <w:rPr>
                <w:sz w:val="19"/>
                <w:szCs w:val="19"/>
                <w:color w:val="auto"/>
              </w:rPr>
            </w:pPr>
          </w:p>
        </w:tc>
        <w:tc>
          <w:tcPr>
            <w:tcW w:w="2040" w:type="dxa"/>
            <w:vAlign w:val="bottom"/>
            <w:tcBorders>
              <w:bottom w:val="single" w:sz="8" w:color="2C6937"/>
            </w:tcBorders>
            <w:gridSpan w:val="3"/>
          </w:tcPr>
          <w:p>
            <w:pPr>
              <w:jc w:val="right"/>
              <w:ind w:right="80"/>
              <w:spacing w:after="0"/>
              <w:rPr>
                <w:sz w:val="20"/>
                <w:szCs w:val="20"/>
                <w:color w:val="auto"/>
              </w:rPr>
            </w:pPr>
            <w:r>
              <w:rPr>
                <w:rFonts w:ascii="Arial" w:cs="Arial" w:eastAsia="Arial" w:hAnsi="Arial"/>
                <w:sz w:val="15"/>
                <w:szCs w:val="15"/>
                <w:b w:val="1"/>
                <w:bCs w:val="1"/>
                <w:color w:val="auto"/>
              </w:rPr>
              <w:t>As of</w:t>
            </w:r>
          </w:p>
        </w:tc>
        <w:tc>
          <w:tcPr>
            <w:tcW w:w="1780" w:type="dxa"/>
            <w:vAlign w:val="bottom"/>
            <w:tcBorders>
              <w:bottom w:val="single" w:sz="8" w:color="2C6937"/>
            </w:tcBorders>
          </w:tcPr>
          <w:p>
            <w:pPr>
              <w:spacing w:after="0"/>
              <w:rPr>
                <w:sz w:val="19"/>
                <w:szCs w:val="19"/>
                <w:color w:val="auto"/>
              </w:rPr>
            </w:pPr>
          </w:p>
        </w:tc>
      </w:tr>
      <w:tr>
        <w:trPr>
          <w:trHeight w:val="202"/>
        </w:trPr>
        <w:tc>
          <w:tcPr>
            <w:tcW w:w="7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c>
          <w:tcPr>
            <w:tcW w:w="1720" w:type="dxa"/>
            <w:vAlign w:val="bottom"/>
            <w:tcBorders>
              <w:bottom w:val="single" w:sz="8" w:color="2C6937"/>
            </w:tcBorders>
          </w:tcPr>
          <w:p>
            <w:pPr>
              <w:jc w:val="right"/>
              <w:ind w:right="443"/>
              <w:spacing w:after="0"/>
              <w:rPr>
                <w:sz w:val="20"/>
                <w:szCs w:val="20"/>
                <w:color w:val="auto"/>
              </w:rPr>
            </w:pPr>
            <w:r>
              <w:rPr>
                <w:rFonts w:ascii="Arial" w:cs="Arial" w:eastAsia="Arial" w:hAnsi="Arial"/>
                <w:sz w:val="15"/>
                <w:szCs w:val="15"/>
                <w:b w:val="1"/>
                <w:bCs w:val="1"/>
                <w:color w:val="auto"/>
              </w:rPr>
              <w:t>June 30, 2023</w:t>
            </w:r>
          </w:p>
        </w:tc>
        <w:tc>
          <w:tcPr>
            <w:tcW w:w="100" w:type="dxa"/>
            <w:vAlign w:val="bottom"/>
            <w:tcBorders>
              <w:bottom w:val="single" w:sz="8" w:color="2C6937"/>
            </w:tcBorders>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1780" w:type="dxa"/>
            <w:vAlign w:val="bottom"/>
            <w:tcBorders>
              <w:bottom w:val="single" w:sz="8" w:color="2C6937"/>
            </w:tcBorders>
          </w:tcPr>
          <w:p>
            <w:pPr>
              <w:jc w:val="right"/>
              <w:ind w:right="223"/>
              <w:spacing w:after="0"/>
              <w:rPr>
                <w:sz w:val="20"/>
                <w:szCs w:val="20"/>
                <w:color w:val="auto"/>
              </w:rPr>
            </w:pPr>
            <w:r>
              <w:rPr>
                <w:rFonts w:ascii="Arial" w:cs="Arial" w:eastAsia="Arial" w:hAnsi="Arial"/>
                <w:sz w:val="15"/>
                <w:szCs w:val="15"/>
                <w:b w:val="1"/>
                <w:bCs w:val="1"/>
                <w:color w:val="auto"/>
              </w:rPr>
              <w:t>December 31, 2022</w:t>
            </w:r>
          </w:p>
        </w:tc>
      </w:tr>
      <w:tr>
        <w:trPr>
          <w:trHeight w:val="296"/>
        </w:trPr>
        <w:tc>
          <w:tcPr>
            <w:tcW w:w="7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20" w:type="dxa"/>
            <w:vAlign w:val="bottom"/>
            <w:gridSpan w:val="4"/>
          </w:tcPr>
          <w:p>
            <w:pPr>
              <w:jc w:val="right"/>
              <w:ind w:right="1263"/>
              <w:spacing w:after="0"/>
              <w:rPr>
                <w:sz w:val="20"/>
                <w:szCs w:val="20"/>
                <w:color w:val="auto"/>
              </w:rPr>
            </w:pPr>
            <w:r>
              <w:rPr>
                <w:rFonts w:ascii="Arial" w:cs="Arial" w:eastAsia="Arial" w:hAnsi="Arial"/>
                <w:sz w:val="15"/>
                <w:szCs w:val="15"/>
                <w:b w:val="1"/>
                <w:bCs w:val="1"/>
                <w:color w:val="auto"/>
              </w:rPr>
              <w:t>(Dollars in millions)</w:t>
            </w:r>
          </w:p>
        </w:tc>
      </w:tr>
      <w:tr>
        <w:trPr>
          <w:trHeight w:val="335"/>
        </w:trPr>
        <w:tc>
          <w:tcPr>
            <w:tcW w:w="712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300" w:type="dxa"/>
            <w:vAlign w:val="bottom"/>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1720" w:type="dxa"/>
            <w:vAlign w:val="bottom"/>
          </w:tcPr>
          <w:p>
            <w:pPr>
              <w:jc w:val="right"/>
              <w:ind w:right="3"/>
              <w:spacing w:after="0"/>
              <w:rPr>
                <w:sz w:val="20"/>
                <w:szCs w:val="20"/>
                <w:color w:val="auto"/>
              </w:rPr>
            </w:pPr>
            <w:r>
              <w:rPr>
                <w:rFonts w:ascii="Arial" w:cs="Arial" w:eastAsia="Arial" w:hAnsi="Arial"/>
                <w:sz w:val="15"/>
                <w:szCs w:val="15"/>
                <w:b w:val="1"/>
                <w:bCs w:val="1"/>
                <w:color w:val="auto"/>
              </w:rPr>
              <w:t>3,638,886</w:t>
            </w: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780" w:type="dxa"/>
            <w:vAlign w:val="bottom"/>
          </w:tcPr>
          <w:p>
            <w:pPr>
              <w:jc w:val="right"/>
              <w:spacing w:after="0"/>
              <w:rPr>
                <w:sz w:val="20"/>
                <w:szCs w:val="20"/>
                <w:color w:val="auto"/>
              </w:rPr>
            </w:pPr>
            <w:r>
              <w:rPr>
                <w:rFonts w:ascii="Arial" w:cs="Arial" w:eastAsia="Arial" w:hAnsi="Arial"/>
                <w:sz w:val="15"/>
                <w:szCs w:val="15"/>
                <w:color w:val="auto"/>
              </w:rPr>
              <w:t>3,644,158</w:t>
            </w:r>
          </w:p>
        </w:tc>
      </w:tr>
      <w:tr>
        <w:trPr>
          <w:trHeight w:val="303"/>
        </w:trPr>
        <w:tc>
          <w:tcPr>
            <w:tcW w:w="70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20" w:type="dxa"/>
            <w:vAlign w:val="bottom"/>
          </w:tcPr>
          <w:p>
            <w:pPr>
              <w:spacing w:after="0"/>
              <w:rPr>
                <w:sz w:val="24"/>
                <w:szCs w:val="24"/>
                <w:color w:val="auto"/>
              </w:rPr>
            </w:pPr>
          </w:p>
        </w:tc>
        <w:tc>
          <w:tcPr>
            <w:tcW w:w="300" w:type="dxa"/>
            <w:vAlign w:val="bottom"/>
            <w:tcBorders>
              <w:bottom w:val="single" w:sz="8" w:color="2C6937"/>
            </w:tcBorders>
          </w:tcPr>
          <w:p>
            <w:pPr>
              <w:spacing w:after="0"/>
              <w:rPr>
                <w:sz w:val="24"/>
                <w:szCs w:val="24"/>
                <w:color w:val="auto"/>
              </w:rPr>
            </w:pPr>
          </w:p>
        </w:tc>
        <w:tc>
          <w:tcPr>
            <w:tcW w:w="17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445,653</w:t>
            </w:r>
          </w:p>
        </w:tc>
        <w:tc>
          <w:tcPr>
            <w:tcW w:w="100" w:type="dxa"/>
            <w:vAlign w:val="bottom"/>
          </w:tcPr>
          <w:p>
            <w:pPr>
              <w:spacing w:after="0"/>
              <w:rPr>
                <w:sz w:val="24"/>
                <w:szCs w:val="24"/>
                <w:color w:val="auto"/>
              </w:rPr>
            </w:pPr>
          </w:p>
        </w:tc>
        <w:tc>
          <w:tcPr>
            <w:tcW w:w="220" w:type="dxa"/>
            <w:vAlign w:val="bottom"/>
            <w:tcBorders>
              <w:bottom w:val="single" w:sz="8" w:color="2C6937"/>
            </w:tcBorders>
          </w:tcPr>
          <w:p>
            <w:pPr>
              <w:spacing w:after="0"/>
              <w:rPr>
                <w:sz w:val="24"/>
                <w:szCs w:val="24"/>
                <w:color w:val="auto"/>
              </w:rPr>
            </w:pP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431,440</w:t>
            </w:r>
          </w:p>
        </w:tc>
      </w:tr>
      <w:tr>
        <w:trPr>
          <w:trHeight w:val="322"/>
        </w:trPr>
        <w:tc>
          <w:tcPr>
            <w:tcW w:w="7120" w:type="dxa"/>
            <w:vAlign w:val="bottom"/>
            <w:gridSpan w:val="2"/>
          </w:tcPr>
          <w:p>
            <w:pPr>
              <w:ind w:left="180"/>
              <w:spacing w:after="0"/>
              <w:rPr>
                <w:sz w:val="20"/>
                <w:szCs w:val="20"/>
                <w:color w:val="auto"/>
              </w:rPr>
            </w:pPr>
            <w:r>
              <w:rPr>
                <w:rFonts w:ascii="Arial" w:cs="Arial" w:eastAsia="Arial" w:hAnsi="Arial"/>
                <w:sz w:val="15"/>
                <w:szCs w:val="15"/>
                <w:color w:val="auto"/>
              </w:rPr>
              <w:t>Total unpaid principal balance of mortgage loans</w:t>
            </w:r>
          </w:p>
        </w:tc>
        <w:tc>
          <w:tcPr>
            <w:tcW w:w="300" w:type="dxa"/>
            <w:vAlign w:val="bottom"/>
          </w:tcPr>
          <w:p>
            <w:pPr>
              <w:spacing w:after="0"/>
              <w:rPr>
                <w:sz w:val="24"/>
                <w:szCs w:val="24"/>
                <w:color w:val="auto"/>
              </w:rPr>
            </w:pPr>
          </w:p>
        </w:tc>
        <w:tc>
          <w:tcPr>
            <w:tcW w:w="1720" w:type="dxa"/>
            <w:vAlign w:val="bottom"/>
          </w:tcPr>
          <w:p>
            <w:pPr>
              <w:jc w:val="right"/>
              <w:ind w:right="3"/>
              <w:spacing w:after="0"/>
              <w:rPr>
                <w:sz w:val="20"/>
                <w:szCs w:val="20"/>
                <w:color w:val="auto"/>
              </w:rPr>
            </w:pPr>
            <w:r>
              <w:rPr>
                <w:rFonts w:ascii="Arial" w:cs="Arial" w:eastAsia="Arial" w:hAnsi="Arial"/>
                <w:sz w:val="15"/>
                <w:szCs w:val="15"/>
                <w:b w:val="1"/>
                <w:bCs w:val="1"/>
                <w:color w:val="auto"/>
              </w:rPr>
              <w:t>4,084,539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4,075,598</w:t>
            </w:r>
          </w:p>
        </w:tc>
      </w:tr>
      <w:tr>
        <w:trPr>
          <w:trHeight w:val="309"/>
        </w:trPr>
        <w:tc>
          <w:tcPr>
            <w:tcW w:w="7120" w:type="dxa"/>
            <w:vAlign w:val="bottom"/>
            <w:gridSpan w:val="2"/>
          </w:tcPr>
          <w:p>
            <w:pPr>
              <w:ind w:left="20"/>
              <w:spacing w:after="0"/>
              <w:rPr>
                <w:sz w:val="20"/>
                <w:szCs w:val="20"/>
                <w:color w:val="auto"/>
              </w:rPr>
            </w:pPr>
            <w:r>
              <w:rPr>
                <w:rFonts w:ascii="Arial" w:cs="Arial" w:eastAsia="Arial" w:hAnsi="Arial"/>
                <w:sz w:val="15"/>
                <w:szCs w:val="15"/>
                <w:color w:val="auto"/>
              </w:rPr>
              <w:t>Cost basis and fair value adjustments, net</w:t>
            </w:r>
          </w:p>
        </w:tc>
        <w:tc>
          <w:tcPr>
            <w:tcW w:w="300" w:type="dxa"/>
            <w:vAlign w:val="bottom"/>
          </w:tcPr>
          <w:p>
            <w:pPr>
              <w:spacing w:after="0"/>
              <w:rPr>
                <w:sz w:val="24"/>
                <w:szCs w:val="24"/>
                <w:color w:val="auto"/>
              </w:rPr>
            </w:pPr>
          </w:p>
        </w:tc>
        <w:tc>
          <w:tcPr>
            <w:tcW w:w="1720" w:type="dxa"/>
            <w:vAlign w:val="bottom"/>
          </w:tcPr>
          <w:p>
            <w:pPr>
              <w:jc w:val="right"/>
              <w:ind w:right="3"/>
              <w:spacing w:after="0"/>
              <w:rPr>
                <w:sz w:val="20"/>
                <w:szCs w:val="20"/>
                <w:color w:val="auto"/>
              </w:rPr>
            </w:pPr>
            <w:r>
              <w:rPr>
                <w:rFonts w:ascii="Arial" w:cs="Arial" w:eastAsia="Arial" w:hAnsi="Arial"/>
                <w:sz w:val="15"/>
                <w:szCs w:val="15"/>
                <w:b w:val="1"/>
                <w:bCs w:val="1"/>
                <w:color w:val="auto"/>
              </w:rPr>
              <w:t>46,568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50,185</w:t>
            </w:r>
          </w:p>
        </w:tc>
      </w:tr>
      <w:tr>
        <w:trPr>
          <w:trHeight w:val="303"/>
        </w:trPr>
        <w:tc>
          <w:tcPr>
            <w:tcW w:w="70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Allowance for loan losses for HFI loans</w:t>
            </w:r>
          </w:p>
        </w:tc>
        <w:tc>
          <w:tcPr>
            <w:tcW w:w="120" w:type="dxa"/>
            <w:vAlign w:val="bottom"/>
          </w:tcPr>
          <w:p>
            <w:pPr>
              <w:spacing w:after="0"/>
              <w:rPr>
                <w:sz w:val="24"/>
                <w:szCs w:val="24"/>
                <w:color w:val="auto"/>
              </w:rPr>
            </w:pPr>
          </w:p>
        </w:tc>
        <w:tc>
          <w:tcPr>
            <w:tcW w:w="300" w:type="dxa"/>
            <w:vAlign w:val="bottom"/>
            <w:tcBorders>
              <w:bottom w:val="single" w:sz="8" w:color="2C6937"/>
            </w:tcBorders>
          </w:tcPr>
          <w:p>
            <w:pPr>
              <w:spacing w:after="0"/>
              <w:rPr>
                <w:sz w:val="24"/>
                <w:szCs w:val="24"/>
                <w:color w:val="auto"/>
              </w:rPr>
            </w:pPr>
          </w:p>
        </w:tc>
        <w:tc>
          <w:tcPr>
            <w:tcW w:w="1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(9,982)</w:t>
            </w:r>
          </w:p>
        </w:tc>
        <w:tc>
          <w:tcPr>
            <w:tcW w:w="100" w:type="dxa"/>
            <w:vAlign w:val="bottom"/>
          </w:tcPr>
          <w:p>
            <w:pPr>
              <w:spacing w:after="0"/>
              <w:rPr>
                <w:sz w:val="24"/>
                <w:szCs w:val="24"/>
                <w:color w:val="auto"/>
              </w:rPr>
            </w:pPr>
          </w:p>
        </w:tc>
        <w:tc>
          <w:tcPr>
            <w:tcW w:w="220" w:type="dxa"/>
            <w:vAlign w:val="bottom"/>
            <w:tcBorders>
              <w:bottom w:val="single" w:sz="8" w:color="2C6937"/>
            </w:tcBorders>
          </w:tcPr>
          <w:p>
            <w:pPr>
              <w:spacing w:after="0"/>
              <w:rPr>
                <w:sz w:val="24"/>
                <w:szCs w:val="24"/>
                <w:color w:val="auto"/>
              </w:rPr>
            </w:pPr>
          </w:p>
        </w:tc>
        <w:tc>
          <w:tcPr>
            <w:tcW w:w="1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(11,347)</w:t>
            </w:r>
          </w:p>
        </w:tc>
      </w:tr>
      <w:tr>
        <w:trPr>
          <w:trHeight w:val="315"/>
        </w:trPr>
        <w:tc>
          <w:tcPr>
            <w:tcW w:w="7120" w:type="dxa"/>
            <w:vAlign w:val="bottom"/>
            <w:gridSpan w:val="2"/>
          </w:tcPr>
          <w:p>
            <w:pPr>
              <w:ind w:left="180"/>
              <w:spacing w:after="0"/>
              <w:rPr>
                <w:sz w:val="20"/>
                <w:szCs w:val="20"/>
                <w:color w:val="auto"/>
              </w:rPr>
            </w:pPr>
            <w:r>
              <w:rPr>
                <w:rFonts w:ascii="Arial" w:cs="Arial" w:eastAsia="Arial" w:hAnsi="Arial"/>
                <w:sz w:val="15"/>
                <w:szCs w:val="15"/>
                <w:color w:val="auto"/>
              </w:rPr>
              <w:t>Total mortgage loans</w:t>
            </w:r>
            <w:r>
              <w:rPr>
                <w:rFonts w:ascii="Arial" w:cs="Arial" w:eastAsia="Arial" w:hAnsi="Arial"/>
                <w:sz w:val="20"/>
                <w:szCs w:val="20"/>
                <w:color w:val="auto"/>
                <w:vertAlign w:val="superscript"/>
              </w:rPr>
              <w:t>(1)</w:t>
            </w:r>
          </w:p>
        </w:tc>
        <w:tc>
          <w:tcPr>
            <w:tcW w:w="300" w:type="dxa"/>
            <w:vAlign w:val="bottom"/>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1720" w:type="dxa"/>
            <w:vAlign w:val="bottom"/>
          </w:tcPr>
          <w:p>
            <w:pPr>
              <w:jc w:val="right"/>
              <w:ind w:right="3"/>
              <w:spacing w:after="0"/>
              <w:rPr>
                <w:sz w:val="20"/>
                <w:szCs w:val="20"/>
                <w:color w:val="auto"/>
              </w:rPr>
            </w:pPr>
            <w:r>
              <w:rPr>
                <w:rFonts w:ascii="Arial" w:cs="Arial" w:eastAsia="Arial" w:hAnsi="Arial"/>
                <w:sz w:val="15"/>
                <w:szCs w:val="15"/>
                <w:b w:val="1"/>
                <w:bCs w:val="1"/>
                <w:color w:val="auto"/>
              </w:rPr>
              <w:t>4,121,125</w:t>
            </w: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780" w:type="dxa"/>
            <w:vAlign w:val="bottom"/>
          </w:tcPr>
          <w:p>
            <w:pPr>
              <w:jc w:val="right"/>
              <w:spacing w:after="0"/>
              <w:rPr>
                <w:sz w:val="20"/>
                <w:szCs w:val="20"/>
                <w:color w:val="auto"/>
              </w:rPr>
            </w:pPr>
            <w:r>
              <w:rPr>
                <w:rFonts w:ascii="Arial" w:cs="Arial" w:eastAsia="Arial" w:hAnsi="Arial"/>
                <w:sz w:val="15"/>
                <w:szCs w:val="15"/>
                <w:color w:val="auto"/>
              </w:rPr>
              <w:t>4,114,436</w:t>
            </w:r>
          </w:p>
        </w:tc>
      </w:tr>
      <w:tr>
        <w:trPr>
          <w:trHeight w:val="20"/>
        </w:trPr>
        <w:tc>
          <w:tcPr>
            <w:tcW w:w="700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17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780" w:type="dxa"/>
            <w:vAlign w:val="bottom"/>
            <w:tcBorders>
              <w:top w:val="single" w:sz="8" w:color="2C6937"/>
              <w:bottom w:val="single" w:sz="8" w:color="2C6937"/>
            </w:tcBorders>
          </w:tcPr>
          <w:p>
            <w:pPr>
              <w:spacing w:after="0" w:line="20" w:lineRule="exact"/>
              <w:rPr>
                <w:sz w:val="1"/>
                <w:szCs w:val="1"/>
                <w:color w:val="auto"/>
              </w:rPr>
            </w:pPr>
          </w:p>
        </w:tc>
      </w:tr>
    </w:tbl>
    <w:p>
      <w:pPr>
        <w:spacing w:after="0" w:line="111" w:lineRule="exact"/>
        <w:rPr>
          <w:sz w:val="20"/>
          <w:szCs w:val="20"/>
          <w:color w:val="auto"/>
        </w:rPr>
      </w:pPr>
    </w:p>
    <w:p>
      <w:pPr>
        <w:ind w:left="240" w:hanging="237"/>
        <w:spacing w:after="0"/>
        <w:tabs>
          <w:tab w:leader="none" w:pos="240" w:val="left"/>
        </w:tabs>
        <w:numPr>
          <w:ilvl w:val="0"/>
          <w:numId w:val="75"/>
        </w:numPr>
        <w:rPr>
          <w:rFonts w:ascii="Arial" w:cs="Arial" w:eastAsia="Arial" w:hAnsi="Arial"/>
          <w:sz w:val="9"/>
          <w:szCs w:val="9"/>
          <w:color w:val="auto"/>
        </w:rPr>
      </w:pPr>
      <w:r>
        <w:rPr>
          <w:rFonts w:ascii="Arial" w:cs="Arial" w:eastAsia="Arial" w:hAnsi="Arial"/>
          <w:sz w:val="14"/>
          <w:szCs w:val="14"/>
          <w:color w:val="auto"/>
        </w:rPr>
        <w:t>Excludes $9.7 billion and $9.5 billion of accrued interest receivable, net of allowance as of June 30, 2023 and December 31, 2022, respectively.</w:t>
      </w: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225" w:lineRule="exact"/>
        <w:rPr>
          <w:rFonts w:ascii="Arial" w:cs="Arial" w:eastAsia="Arial" w:hAnsi="Arial"/>
          <w:sz w:val="9"/>
          <w:szCs w:val="9"/>
          <w:color w:val="auto"/>
        </w:rPr>
      </w:pPr>
    </w:p>
    <w:p>
      <w:pPr>
        <w:ind w:left="640"/>
        <w:spacing w:after="0"/>
        <w:rPr>
          <w:rFonts w:ascii="Arial" w:cs="Arial" w:eastAsia="Arial" w:hAnsi="Arial"/>
          <w:sz w:val="9"/>
          <w:szCs w:val="9"/>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164070" cy="419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-114300</wp:posOffset>
            </wp:positionV>
            <wp:extent cx="681101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76" w:name="page77"/>
    <w:bookmarkEnd w:id="76"/>
    <w:p>
      <w:pPr>
        <w:ind w:left="6620"/>
        <w:spacing w:after="0"/>
        <w:rPr>
          <w:sz w:val="20"/>
          <w:szCs w:val="20"/>
          <w:color w:val="auto"/>
        </w:rPr>
      </w:pPr>
      <w:r>
        <w:rPr>
          <w:rFonts w:ascii="Arial" w:cs="Arial" w:eastAsia="Arial" w:hAnsi="Arial"/>
          <w:sz w:val="13"/>
          <w:szCs w:val="13"/>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22860</wp:posOffset>
            </wp:positionV>
            <wp:extent cx="70237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The following table displays information about our purchase of HFI loans, redesignation of loans from HFI to HFS and sales of mortgage loans during the period.</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5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4"/>
          </w:tcPr>
          <w:p>
            <w:pPr>
              <w:jc w:val="right"/>
              <w:ind w:right="143"/>
              <w:spacing w:after="0"/>
              <w:rPr>
                <w:sz w:val="20"/>
                <w:szCs w:val="20"/>
                <w:color w:val="auto"/>
              </w:rPr>
            </w:pPr>
            <w:r>
              <w:rPr>
                <w:rFonts w:ascii="Arial" w:cs="Arial" w:eastAsia="Arial" w:hAnsi="Arial"/>
                <w:sz w:val="15"/>
                <w:szCs w:val="15"/>
                <w:b w:val="1"/>
                <w:bCs w:val="1"/>
                <w:color w:val="auto"/>
              </w:rPr>
              <w:t>For the Three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5"/>
          </w:tcPr>
          <w:p>
            <w:pPr>
              <w:jc w:val="right"/>
              <w:ind w:right="43"/>
              <w:spacing w:after="0"/>
              <w:rPr>
                <w:sz w:val="20"/>
                <w:szCs w:val="20"/>
                <w:color w:val="auto"/>
              </w:rPr>
            </w:pPr>
            <w:r>
              <w:rPr>
                <w:rFonts w:ascii="Arial" w:cs="Arial" w:eastAsia="Arial" w:hAnsi="Arial"/>
                <w:sz w:val="15"/>
                <w:szCs w:val="15"/>
                <w:b w:val="1"/>
                <w:bCs w:val="1"/>
                <w:color w:val="auto"/>
              </w:rPr>
              <w:t>For the Six Months Ended June</w:t>
            </w:r>
          </w:p>
        </w:tc>
      </w:tr>
      <w:tr>
        <w:trPr>
          <w:trHeight w:val="206"/>
        </w:trPr>
        <w:tc>
          <w:tcPr>
            <w:tcW w:w="592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500" w:type="dxa"/>
            <w:vAlign w:val="bottom"/>
            <w:tcBorders>
              <w:bottom w:val="single" w:sz="8" w:color="2C6937"/>
            </w:tcBorders>
            <w:gridSpan w:val="3"/>
          </w:tcPr>
          <w:p>
            <w:pPr>
              <w:jc w:val="right"/>
              <w:ind w:right="100"/>
              <w:spacing w:after="0"/>
              <w:rPr>
                <w:sz w:val="20"/>
                <w:szCs w:val="20"/>
                <w:color w:val="auto"/>
              </w:rPr>
            </w:pPr>
            <w:r>
              <w:rPr>
                <w:rFonts w:ascii="Arial" w:cs="Arial" w:eastAsia="Arial" w:hAnsi="Arial"/>
                <w:sz w:val="15"/>
                <w:szCs w:val="15"/>
                <w:b w:val="1"/>
                <w:bCs w:val="1"/>
                <w:color w:val="auto"/>
              </w:rPr>
              <w:t>June 30,</w:t>
            </w:r>
          </w:p>
        </w:tc>
        <w:tc>
          <w:tcPr>
            <w:tcW w:w="86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040" w:type="dxa"/>
            <w:vAlign w:val="bottom"/>
            <w:tcBorders>
              <w:bottom w:val="single" w:sz="8" w:color="2C6937"/>
            </w:tcBorders>
          </w:tcPr>
          <w:p>
            <w:pPr>
              <w:spacing w:after="0"/>
              <w:rPr>
                <w:sz w:val="17"/>
                <w:szCs w:val="17"/>
                <w:color w:val="auto"/>
              </w:rPr>
            </w:pPr>
          </w:p>
        </w:tc>
        <w:tc>
          <w:tcPr>
            <w:tcW w:w="440" w:type="dxa"/>
            <w:vAlign w:val="bottom"/>
            <w:tcBorders>
              <w:bottom w:val="single" w:sz="8" w:color="2C6937"/>
            </w:tcBorders>
            <w:gridSpan w:val="3"/>
          </w:tcPr>
          <w:p>
            <w:pPr>
              <w:jc w:val="right"/>
              <w:ind w:right="220"/>
              <w:spacing w:after="0"/>
              <w:rPr>
                <w:sz w:val="20"/>
                <w:szCs w:val="20"/>
                <w:color w:val="auto"/>
              </w:rPr>
            </w:pPr>
            <w:r>
              <w:rPr>
                <w:rFonts w:ascii="Arial" w:cs="Arial" w:eastAsia="Arial" w:hAnsi="Arial"/>
                <w:sz w:val="15"/>
                <w:szCs w:val="15"/>
                <w:b w:val="1"/>
                <w:bCs w:val="1"/>
                <w:color w:val="auto"/>
                <w:w w:val="95"/>
              </w:rPr>
              <w:t>30,</w:t>
            </w:r>
          </w:p>
        </w:tc>
        <w:tc>
          <w:tcPr>
            <w:tcW w:w="940" w:type="dxa"/>
            <w:vAlign w:val="bottom"/>
            <w:tcBorders>
              <w:bottom w:val="single" w:sz="8" w:color="2C6937"/>
            </w:tcBorders>
          </w:tcPr>
          <w:p>
            <w:pPr>
              <w:spacing w:after="0"/>
              <w:rPr>
                <w:sz w:val="17"/>
                <w:szCs w:val="17"/>
                <w:color w:val="auto"/>
              </w:rPr>
            </w:pPr>
          </w:p>
        </w:tc>
      </w:tr>
      <w:tr>
        <w:trPr>
          <w:trHeight w:val="199"/>
        </w:trPr>
        <w:tc>
          <w:tcPr>
            <w:tcW w:w="592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040" w:type="dxa"/>
            <w:vAlign w:val="bottom"/>
            <w:tcBorders>
              <w:bottom w:val="single" w:sz="8" w:color="2C6937"/>
            </w:tcBorders>
          </w:tcPr>
          <w:p>
            <w:pPr>
              <w:jc w:val="right"/>
              <w:ind w:right="343"/>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36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jc w:val="right"/>
              <w:ind w:right="363"/>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040" w:type="dxa"/>
            <w:vAlign w:val="bottom"/>
            <w:tcBorders>
              <w:bottom w:val="single" w:sz="8" w:color="2C6937"/>
            </w:tcBorders>
          </w:tcPr>
          <w:p>
            <w:pPr>
              <w:jc w:val="right"/>
              <w:ind w:right="303"/>
              <w:spacing w:after="0"/>
              <w:rPr>
                <w:sz w:val="20"/>
                <w:szCs w:val="20"/>
                <w:color w:val="auto"/>
              </w:rPr>
            </w:pPr>
            <w:r>
              <w:rPr>
                <w:rFonts w:ascii="Arial" w:cs="Arial" w:eastAsia="Arial" w:hAnsi="Arial"/>
                <w:sz w:val="15"/>
                <w:szCs w:val="15"/>
                <w:b w:val="1"/>
                <w:bCs w:val="1"/>
                <w:color w:val="auto"/>
              </w:rPr>
              <w:t>2023</w:t>
            </w:r>
          </w:p>
        </w:tc>
        <w:tc>
          <w:tcPr>
            <w:tcW w:w="6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tcPr>
          <w:p>
            <w:pPr>
              <w:jc w:val="right"/>
              <w:ind w:right="363"/>
              <w:spacing w:after="0"/>
              <w:rPr>
                <w:sz w:val="20"/>
                <w:szCs w:val="20"/>
                <w:color w:val="auto"/>
              </w:rPr>
            </w:pPr>
            <w:r>
              <w:rPr>
                <w:rFonts w:ascii="Arial" w:cs="Arial" w:eastAsia="Arial" w:hAnsi="Arial"/>
                <w:sz w:val="15"/>
                <w:szCs w:val="15"/>
                <w:b w:val="1"/>
                <w:bCs w:val="1"/>
                <w:color w:val="auto"/>
              </w:rPr>
              <w:t>2022</w:t>
            </w:r>
          </w:p>
        </w:tc>
      </w:tr>
      <w:tr>
        <w:trPr>
          <w:trHeight w:val="296"/>
        </w:trPr>
        <w:tc>
          <w:tcPr>
            <w:tcW w:w="5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20" w:type="dxa"/>
            <w:vAlign w:val="bottom"/>
            <w:gridSpan w:val="4"/>
          </w:tcPr>
          <w:p>
            <w:pPr>
              <w:jc w:val="right"/>
              <w:ind w:right="463"/>
              <w:spacing w:after="0"/>
              <w:rPr>
                <w:sz w:val="20"/>
                <w:szCs w:val="20"/>
                <w:color w:val="auto"/>
              </w:rPr>
            </w:pPr>
            <w:r>
              <w:rPr>
                <w:rFonts w:ascii="Arial" w:cs="Arial" w:eastAsia="Arial" w:hAnsi="Arial"/>
                <w:sz w:val="15"/>
                <w:szCs w:val="15"/>
                <w:b w:val="1"/>
                <w:bCs w:val="1"/>
                <w:color w:val="auto"/>
              </w:rPr>
              <w:t>(Dollars in millions)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0"/>
        </w:trPr>
        <w:tc>
          <w:tcPr>
            <w:tcW w:w="5920" w:type="dxa"/>
            <w:vAlign w:val="bottom"/>
          </w:tcPr>
          <w:p>
            <w:pPr>
              <w:spacing w:after="0"/>
              <w:rPr>
                <w:sz w:val="20"/>
                <w:szCs w:val="20"/>
                <w:color w:val="auto"/>
              </w:rPr>
            </w:pPr>
            <w:r>
              <w:rPr>
                <w:rFonts w:ascii="Arial" w:cs="Arial" w:eastAsia="Arial" w:hAnsi="Arial"/>
                <w:sz w:val="15"/>
                <w:szCs w:val="15"/>
                <w:color w:val="auto"/>
              </w:rPr>
              <w:t>Purchase of HFI loans: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70"/>
        </w:trPr>
        <w:tc>
          <w:tcPr>
            <w:tcW w:w="5920" w:type="dxa"/>
            <w:vAlign w:val="bottom"/>
          </w:tcPr>
          <w:p>
            <w:pPr>
              <w:ind w:left="160"/>
              <w:spacing w:after="0"/>
              <w:rPr>
                <w:sz w:val="20"/>
                <w:szCs w:val="20"/>
                <w:color w:val="auto"/>
              </w:rPr>
            </w:pPr>
            <w:r>
              <w:rPr>
                <w:rFonts w:ascii="Arial" w:cs="Arial" w:eastAsia="Arial" w:hAnsi="Arial"/>
                <w:sz w:val="15"/>
                <w:szCs w:val="15"/>
                <w:color w:val="auto"/>
              </w:rPr>
              <w:t>Single-family unpaid principal balance</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89,175</w:t>
            </w:r>
          </w:p>
        </w:tc>
        <w:tc>
          <w:tcPr>
            <w:tcW w:w="4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172,303</w:t>
            </w:r>
          </w:p>
        </w:tc>
        <w:tc>
          <w:tcPr>
            <w:tcW w:w="22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156,642</w:t>
            </w:r>
          </w:p>
        </w:tc>
        <w:tc>
          <w:tcPr>
            <w:tcW w:w="44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411,771</w:t>
            </w:r>
          </w:p>
        </w:tc>
      </w:tr>
      <w:tr>
        <w:trPr>
          <w:trHeight w:val="232"/>
        </w:trPr>
        <w:tc>
          <w:tcPr>
            <w:tcW w:w="5920" w:type="dxa"/>
            <w:vAlign w:val="bottom"/>
          </w:tcPr>
          <w:p>
            <w:pPr>
              <w:ind w:left="160"/>
              <w:spacing w:after="0"/>
              <w:rPr>
                <w:sz w:val="20"/>
                <w:szCs w:val="20"/>
                <w:color w:val="auto"/>
              </w:rPr>
            </w:pPr>
            <w:r>
              <w:rPr>
                <w:rFonts w:ascii="Arial" w:cs="Arial" w:eastAsia="Arial" w:hAnsi="Arial"/>
                <w:sz w:val="15"/>
                <w:szCs w:val="15"/>
                <w:color w:val="auto"/>
              </w:rPr>
              <w:t>Multifamily unpaid principal balance</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15,111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18,674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25,346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34,683</w:t>
            </w:r>
          </w:p>
        </w:tc>
      </w:tr>
      <w:tr>
        <w:trPr>
          <w:trHeight w:val="388"/>
        </w:trPr>
        <w:tc>
          <w:tcPr>
            <w:tcW w:w="5920" w:type="dxa"/>
            <w:vAlign w:val="bottom"/>
          </w:tcPr>
          <w:p>
            <w:pPr>
              <w:spacing w:after="0"/>
              <w:rPr>
                <w:sz w:val="20"/>
                <w:szCs w:val="20"/>
                <w:color w:val="auto"/>
              </w:rPr>
            </w:pPr>
            <w:r>
              <w:rPr>
                <w:rFonts w:ascii="Arial" w:cs="Arial" w:eastAsia="Arial" w:hAnsi="Arial"/>
                <w:sz w:val="15"/>
                <w:szCs w:val="15"/>
                <w:color w:val="auto"/>
              </w:rPr>
              <w:t>Single-family loans redesignated from HFI to HFS:</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47"/>
        </w:trPr>
        <w:tc>
          <w:tcPr>
            <w:tcW w:w="5920" w:type="dxa"/>
            <w:vAlign w:val="bottom"/>
          </w:tcPr>
          <w:p>
            <w:pPr>
              <w:ind w:left="160"/>
              <w:spacing w:after="0"/>
              <w:rPr>
                <w:sz w:val="20"/>
                <w:szCs w:val="20"/>
                <w:color w:val="auto"/>
              </w:rPr>
            </w:pPr>
            <w:r>
              <w:rPr>
                <w:rFonts w:ascii="Arial" w:cs="Arial" w:eastAsia="Arial" w:hAnsi="Arial"/>
                <w:sz w:val="15"/>
                <w:szCs w:val="15"/>
                <w:color w:val="auto"/>
              </w:rPr>
              <w:t>Amortized cost</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3,192</w:t>
            </w:r>
          </w:p>
        </w:tc>
        <w:tc>
          <w:tcPr>
            <w:tcW w:w="22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44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4,373</w:t>
            </w:r>
          </w:p>
        </w:tc>
      </w:tr>
      <w:tr>
        <w:trPr>
          <w:trHeight w:val="353"/>
        </w:trPr>
        <w:tc>
          <w:tcPr>
            <w:tcW w:w="5920" w:type="dxa"/>
            <w:vAlign w:val="bottom"/>
          </w:tcPr>
          <w:p>
            <w:pPr>
              <w:ind w:left="160"/>
              <w:spacing w:after="0"/>
              <w:rPr>
                <w:sz w:val="20"/>
                <w:szCs w:val="20"/>
                <w:color w:val="auto"/>
              </w:rPr>
            </w:pPr>
            <w:r>
              <w:rPr>
                <w:rFonts w:ascii="Arial" w:cs="Arial" w:eastAsia="Arial" w:hAnsi="Arial"/>
                <w:sz w:val="15"/>
                <w:szCs w:val="15"/>
                <w:color w:val="auto"/>
              </w:rPr>
              <w:t>Lower of cost or fair value adjustment at time of redesignation</w:t>
            </w:r>
            <w:r>
              <w:rPr>
                <w:rFonts w:ascii="Arial" w:cs="Arial" w:eastAsia="Arial" w:hAnsi="Arial"/>
                <w:sz w:val="20"/>
                <w:szCs w:val="20"/>
                <w:color w:val="auto"/>
                <w:vertAlign w:val="superscript"/>
              </w:rPr>
              <w:t>(1)</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(209)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(222)</w:t>
            </w:r>
          </w:p>
        </w:tc>
      </w:tr>
      <w:tr>
        <w:trPr>
          <w:trHeight w:val="278"/>
        </w:trPr>
        <w:tc>
          <w:tcPr>
            <w:tcW w:w="5920" w:type="dxa"/>
            <w:vAlign w:val="bottom"/>
          </w:tcPr>
          <w:p>
            <w:pPr>
              <w:ind w:left="160"/>
              <w:spacing w:after="0"/>
              <w:rPr>
                <w:sz w:val="20"/>
                <w:szCs w:val="20"/>
                <w:color w:val="auto"/>
              </w:rPr>
            </w:pPr>
            <w:r>
              <w:rPr>
                <w:rFonts w:ascii="Arial" w:cs="Arial" w:eastAsia="Arial" w:hAnsi="Arial"/>
                <w:sz w:val="15"/>
                <w:szCs w:val="15"/>
                <w:color w:val="auto"/>
              </w:rPr>
              <w:t>Allowance reversed at time of redesignation</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155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218</w:t>
            </w:r>
          </w:p>
        </w:tc>
      </w:tr>
      <w:tr>
        <w:trPr>
          <w:trHeight w:val="388"/>
        </w:trPr>
        <w:tc>
          <w:tcPr>
            <w:tcW w:w="5920" w:type="dxa"/>
            <w:vAlign w:val="bottom"/>
          </w:tcPr>
          <w:p>
            <w:pPr>
              <w:spacing w:after="0"/>
              <w:rPr>
                <w:sz w:val="20"/>
                <w:szCs w:val="20"/>
                <w:color w:val="auto"/>
              </w:rPr>
            </w:pPr>
            <w:r>
              <w:rPr>
                <w:rFonts w:ascii="Arial" w:cs="Arial" w:eastAsia="Arial" w:hAnsi="Arial"/>
                <w:sz w:val="15"/>
                <w:szCs w:val="15"/>
                <w:color w:val="auto"/>
              </w:rPr>
              <w:t>Single-family loans sold:</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4"/>
        </w:trPr>
        <w:tc>
          <w:tcPr>
            <w:tcW w:w="5920" w:type="dxa"/>
            <w:vAlign w:val="bottom"/>
          </w:tcPr>
          <w:p>
            <w:pPr>
              <w:ind w:left="160"/>
              <w:spacing w:after="0"/>
              <w:rPr>
                <w:sz w:val="20"/>
                <w:szCs w:val="20"/>
                <w:color w:val="auto"/>
              </w:rPr>
            </w:pPr>
            <w:r>
              <w:rPr>
                <w:rFonts w:ascii="Arial" w:cs="Arial" w:eastAsia="Arial" w:hAnsi="Arial"/>
                <w:sz w:val="15"/>
                <w:szCs w:val="15"/>
                <w:color w:val="auto"/>
              </w:rPr>
              <w:t>Unpaid principal balance</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4,310</w:t>
            </w:r>
          </w:p>
        </w:tc>
        <w:tc>
          <w:tcPr>
            <w:tcW w:w="22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1,842</w:t>
            </w:r>
          </w:p>
        </w:tc>
        <w:tc>
          <w:tcPr>
            <w:tcW w:w="44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4,310</w:t>
            </w:r>
          </w:p>
        </w:tc>
      </w:tr>
      <w:tr>
        <w:trPr>
          <w:trHeight w:val="322"/>
        </w:trPr>
        <w:tc>
          <w:tcPr>
            <w:tcW w:w="5920" w:type="dxa"/>
            <w:vAlign w:val="bottom"/>
          </w:tcPr>
          <w:p>
            <w:pPr>
              <w:ind w:left="160"/>
              <w:spacing w:after="0"/>
              <w:rPr>
                <w:sz w:val="20"/>
                <w:szCs w:val="20"/>
                <w:color w:val="auto"/>
              </w:rPr>
            </w:pPr>
            <w:r>
              <w:rPr>
                <w:rFonts w:ascii="Arial" w:cs="Arial" w:eastAsia="Arial" w:hAnsi="Arial"/>
                <w:sz w:val="15"/>
                <w:szCs w:val="15"/>
                <w:color w:val="auto"/>
              </w:rPr>
              <w:t>Realized gains, net</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71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17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71</w:t>
            </w:r>
          </w:p>
        </w:tc>
      </w:tr>
    </w:tbl>
    <w:p>
      <w:pPr>
        <w:spacing w:after="0" w:line="84" w:lineRule="exact"/>
        <w:rPr>
          <w:sz w:val="20"/>
          <w:szCs w:val="20"/>
          <w:color w:val="auto"/>
        </w:rPr>
      </w:pPr>
    </w:p>
    <w:p>
      <w:pPr>
        <w:ind w:left="240" w:hanging="237"/>
        <w:spacing w:after="0"/>
        <w:tabs>
          <w:tab w:leader="none" w:pos="240" w:val="left"/>
        </w:tabs>
        <w:numPr>
          <w:ilvl w:val="0"/>
          <w:numId w:val="76"/>
        </w:numPr>
        <w:rPr>
          <w:rFonts w:ascii="Arial" w:cs="Arial" w:eastAsia="Arial" w:hAnsi="Arial"/>
          <w:sz w:val="18"/>
          <w:szCs w:val="18"/>
          <w:color w:val="auto"/>
          <w:vertAlign w:val="superscript"/>
        </w:rPr>
      </w:pPr>
      <w:r>
        <w:rPr>
          <w:rFonts w:ascii="Arial" w:cs="Arial" w:eastAsia="Arial" w:hAnsi="Arial"/>
          <w:sz w:val="14"/>
          <w:szCs w:val="14"/>
          <w:color w:val="auto"/>
        </w:rPr>
        <w:t>Consists of the write-off against the allowance at the time of redesignation.</w:t>
      </w:r>
    </w:p>
    <w:p>
      <w:pPr>
        <w:spacing w:after="0" w:line="7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amortized cost of single-family mortgage loans for which formal foreclosure proceedings were in process was $4.5 billion as of June 30, 2023 and $4.6 billion as of December 31, 2022. Typically, a portion of the loans in the process of formal foreclosure proceedings will not ultimately foreclose as a result of our various loss mitigation and foreclosure prevention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361315</wp:posOffset>
            </wp:positionV>
            <wp:extent cx="681101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164070" cy="419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250" w:right="399" w:bottom="1440" w:gutter="0" w:footer="0" w:header="0"/>
        </w:sectPr>
      </w:pPr>
    </w:p>
    <w:bookmarkStart w:id="77" w:name="page78"/>
    <w:bookmarkEnd w:id="77"/>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15875</wp:posOffset>
            </wp:positionV>
            <wp:extent cx="702373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Aging Analysis</w:t>
      </w:r>
    </w:p>
    <w:p>
      <w:pPr>
        <w:spacing w:after="0" w:line="82"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following tables display an aging analysis of the total amortized cost of our HFI mortgage loans by portfolio segment and class of financing receivable, excluding loans for which we have elected the fair value option.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2120" w:type="dxa"/>
            <w:vAlign w:val="bottom"/>
            <w:tcBorders>
              <w:bottom w:val="single" w:sz="8" w:color="2C6937"/>
            </w:tcBorders>
            <w:gridSpan w:val="6"/>
          </w:tcPr>
          <w:p>
            <w:pPr>
              <w:jc w:val="right"/>
              <w:ind w:right="431"/>
              <w:spacing w:after="0"/>
              <w:rPr>
                <w:sz w:val="20"/>
                <w:szCs w:val="20"/>
                <w:color w:val="auto"/>
              </w:rPr>
            </w:pPr>
            <w:r>
              <w:rPr>
                <w:rFonts w:ascii="Arial" w:cs="Arial" w:eastAsia="Arial" w:hAnsi="Arial"/>
                <w:sz w:val="14"/>
                <w:szCs w:val="14"/>
                <w:b w:val="1"/>
                <w:bCs w:val="1"/>
                <w:color w:val="auto"/>
              </w:rPr>
              <w:t>As of June 30, 2023</w:t>
            </w:r>
          </w:p>
        </w:tc>
        <w:tc>
          <w:tcPr>
            <w:tcW w:w="2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r>
      <w:tr>
        <w:trPr>
          <w:trHeight w:val="253"/>
        </w:trPr>
        <w:tc>
          <w:tcPr>
            <w:tcW w:w="1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Loans 90 Days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168"/>
        </w:trPr>
        <w:tc>
          <w:tcPr>
            <w:tcW w:w="1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111"/>
              <w:spacing w:after="0"/>
              <w:rPr>
                <w:sz w:val="20"/>
                <w:szCs w:val="20"/>
                <w:color w:val="auto"/>
              </w:rPr>
            </w:pPr>
            <w:r>
              <w:rPr>
                <w:rFonts w:ascii="Arial" w:cs="Arial" w:eastAsia="Arial" w:hAnsi="Arial"/>
                <w:sz w:val="14"/>
                <w:szCs w:val="14"/>
                <w:b w:val="1"/>
                <w:bCs w:val="1"/>
                <w:color w:val="auto"/>
                <w:w w:val="97"/>
              </w:rPr>
              <w:t>or More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55"/>
        </w:trPr>
        <w:tc>
          <w:tcPr>
            <w:tcW w:w="1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8"/>
              </w:rPr>
              <w:t>Delinquent and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right="91"/>
              <w:spacing w:after="0" w:line="155" w:lineRule="exact"/>
              <w:rPr>
                <w:sz w:val="20"/>
                <w:szCs w:val="20"/>
                <w:color w:val="auto"/>
              </w:rPr>
            </w:pPr>
            <w:r>
              <w:rPr>
                <w:rFonts w:ascii="Arial" w:cs="Arial" w:eastAsia="Arial" w:hAnsi="Arial"/>
                <w:sz w:val="14"/>
                <w:szCs w:val="14"/>
                <w:b w:val="1"/>
                <w:bCs w:val="1"/>
                <w:color w:val="auto"/>
                <w:w w:val="96"/>
              </w:rPr>
              <w:t>Nonaccrual</w:t>
            </w:r>
          </w:p>
        </w:tc>
      </w:tr>
      <w:tr>
        <w:trPr>
          <w:trHeight w:val="168"/>
        </w:trPr>
        <w:tc>
          <w:tcPr>
            <w:tcW w:w="1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b w:val="1"/>
                <w:bCs w:val="1"/>
                <w:color w:val="auto"/>
                <w:w w:val="93"/>
              </w:rPr>
              <w:t>30 - 59 Days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60 - 89 Days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211"/>
              <w:spacing w:after="0"/>
              <w:rPr>
                <w:sz w:val="20"/>
                <w:szCs w:val="20"/>
                <w:color w:val="auto"/>
              </w:rPr>
            </w:pPr>
            <w:r>
              <w:rPr>
                <w:rFonts w:ascii="Arial" w:cs="Arial" w:eastAsia="Arial" w:hAnsi="Arial"/>
                <w:sz w:val="14"/>
                <w:szCs w:val="14"/>
                <w:b w:val="1"/>
                <w:bCs w:val="1"/>
                <w:color w:val="auto"/>
              </w:rPr>
              <w:t>Seriously</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291"/>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91"/>
              <w:spacing w:after="0"/>
              <w:rPr>
                <w:sz w:val="20"/>
                <w:szCs w:val="20"/>
                <w:color w:val="auto"/>
              </w:rPr>
            </w:pPr>
            <w:r>
              <w:rPr>
                <w:rFonts w:ascii="Arial" w:cs="Arial" w:eastAsia="Arial" w:hAnsi="Arial"/>
                <w:sz w:val="14"/>
                <w:szCs w:val="14"/>
                <w:b w:val="1"/>
                <w:bCs w:val="1"/>
                <w:color w:val="auto"/>
                <w:w w:val="98"/>
              </w:rPr>
              <w:t>Accruing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Loans with No</w:t>
            </w:r>
          </w:p>
        </w:tc>
      </w:tr>
      <w:tr>
        <w:trPr>
          <w:trHeight w:val="198"/>
        </w:trPr>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920" w:type="dxa"/>
            <w:vAlign w:val="bottom"/>
            <w:tcBorders>
              <w:bottom w:val="single" w:sz="8" w:color="2C6937"/>
            </w:tcBorders>
          </w:tcPr>
          <w:p>
            <w:pPr>
              <w:jc w:val="right"/>
              <w:ind w:right="111"/>
              <w:spacing w:after="0"/>
              <w:rPr>
                <w:sz w:val="20"/>
                <w:szCs w:val="20"/>
                <w:color w:val="auto"/>
              </w:rPr>
            </w:pPr>
            <w:r>
              <w:rPr>
                <w:rFonts w:ascii="Arial" w:cs="Arial" w:eastAsia="Arial" w:hAnsi="Arial"/>
                <w:sz w:val="14"/>
                <w:szCs w:val="14"/>
                <w:b w:val="1"/>
                <w:bCs w:val="1"/>
                <w:color w:val="auto"/>
                <w:w w:val="99"/>
              </w:rPr>
              <w:t>Delinquent</w:t>
            </w:r>
          </w:p>
        </w:tc>
        <w:tc>
          <w:tcPr>
            <w:tcW w:w="40" w:type="dxa"/>
            <w:vAlign w:val="bottom"/>
            <w:tcBorders>
              <w:bottom w:val="single" w:sz="8" w:color="2C6937"/>
            </w:tcBorders>
          </w:tcPr>
          <w:p>
            <w:pPr>
              <w:spacing w:after="0"/>
              <w:rPr>
                <w:sz w:val="17"/>
                <w:szCs w:val="17"/>
                <w:color w:val="auto"/>
              </w:rPr>
            </w:pPr>
          </w:p>
        </w:tc>
        <w:tc>
          <w:tcPr>
            <w:tcW w:w="60" w:type="dxa"/>
            <w:vAlign w:val="bottom"/>
            <w:tcBorders>
              <w:bottom w:val="single" w:sz="8" w:color="2C6937"/>
            </w:tcBorders>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gridSpan w:val="3"/>
          </w:tcPr>
          <w:p>
            <w:pPr>
              <w:ind w:left="40"/>
              <w:spacing w:after="0"/>
              <w:rPr>
                <w:sz w:val="20"/>
                <w:szCs w:val="20"/>
                <w:color w:val="auto"/>
              </w:rPr>
            </w:pPr>
            <w:r>
              <w:rPr>
                <w:rFonts w:ascii="Arial" w:cs="Arial" w:eastAsia="Arial" w:hAnsi="Arial"/>
                <w:sz w:val="14"/>
                <w:szCs w:val="14"/>
                <w:b w:val="1"/>
                <w:bCs w:val="1"/>
                <w:color w:val="auto"/>
              </w:rPr>
              <w:t>Delinquent</w:t>
            </w:r>
          </w:p>
        </w:tc>
        <w:tc>
          <w:tcPr>
            <w:tcW w:w="4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tcPr>
          <w:p>
            <w:pPr>
              <w:jc w:val="right"/>
              <w:ind w:right="111"/>
              <w:spacing w:after="0"/>
              <w:rPr>
                <w:sz w:val="20"/>
                <w:szCs w:val="20"/>
                <w:color w:val="auto"/>
              </w:rPr>
            </w:pPr>
            <w:r>
              <w:rPr>
                <w:rFonts w:ascii="Arial" w:cs="Arial" w:eastAsia="Arial" w:hAnsi="Arial"/>
                <w:sz w:val="14"/>
                <w:szCs w:val="14"/>
                <w:b w:val="1"/>
                <w:bCs w:val="1"/>
                <w:color w:val="auto"/>
                <w:w w:val="99"/>
              </w:rPr>
              <w:t>Delinquent</w:t>
            </w:r>
            <w:r>
              <w:rPr>
                <w:rFonts w:ascii="Arial" w:cs="Arial" w:eastAsia="Arial" w:hAnsi="Arial"/>
                <w:sz w:val="8"/>
                <w:szCs w:val="8"/>
                <w:b w:val="1"/>
                <w:bCs w:val="1"/>
                <w:color w:val="auto"/>
                <w:w w:val="99"/>
              </w:rPr>
              <w:t>(1)</w:t>
            </w:r>
          </w:p>
        </w:tc>
        <w:tc>
          <w:tcPr>
            <w:tcW w:w="4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tcPr>
          <w:p>
            <w:pPr>
              <w:jc w:val="right"/>
              <w:ind w:right="91"/>
              <w:spacing w:after="0"/>
              <w:rPr>
                <w:sz w:val="20"/>
                <w:szCs w:val="20"/>
                <w:color w:val="auto"/>
              </w:rPr>
            </w:pPr>
            <w:r>
              <w:rPr>
                <w:rFonts w:ascii="Arial" w:cs="Arial" w:eastAsia="Arial" w:hAnsi="Arial"/>
                <w:sz w:val="14"/>
                <w:szCs w:val="14"/>
                <w:b w:val="1"/>
                <w:bCs w:val="1"/>
                <w:color w:val="auto"/>
                <w:w w:val="99"/>
              </w:rPr>
              <w:t>Delinquent</w:t>
            </w:r>
          </w:p>
        </w:tc>
        <w:tc>
          <w:tcPr>
            <w:tcW w:w="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tcPr>
          <w:p>
            <w:pPr>
              <w:jc w:val="right"/>
              <w:ind w:right="231"/>
              <w:spacing w:after="0"/>
              <w:rPr>
                <w:sz w:val="20"/>
                <w:szCs w:val="20"/>
                <w:color w:val="auto"/>
              </w:rPr>
            </w:pPr>
            <w:r>
              <w:rPr>
                <w:rFonts w:ascii="Arial" w:cs="Arial" w:eastAsia="Arial" w:hAnsi="Arial"/>
                <w:sz w:val="14"/>
                <w:szCs w:val="14"/>
                <w:b w:val="1"/>
                <w:bCs w:val="1"/>
                <w:color w:val="auto"/>
              </w:rPr>
              <w:t>Current</w:t>
            </w:r>
          </w:p>
        </w:tc>
        <w:tc>
          <w:tcPr>
            <w:tcW w:w="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840" w:type="dxa"/>
            <w:vAlign w:val="bottom"/>
            <w:tcBorders>
              <w:bottom w:val="single" w:sz="8" w:color="2C6937"/>
            </w:tcBorders>
          </w:tcPr>
          <w:p>
            <w:pPr>
              <w:jc w:val="right"/>
              <w:ind w:right="331"/>
              <w:spacing w:after="0"/>
              <w:rPr>
                <w:sz w:val="20"/>
                <w:szCs w:val="20"/>
                <w:color w:val="auto"/>
              </w:rPr>
            </w:pPr>
            <w:r>
              <w:rPr>
                <w:rFonts w:ascii="Arial" w:cs="Arial" w:eastAsia="Arial" w:hAnsi="Arial"/>
                <w:sz w:val="14"/>
                <w:szCs w:val="14"/>
                <w:b w:val="1"/>
                <w:bCs w:val="1"/>
                <w:color w:val="auto"/>
              </w:rPr>
              <w:t>Total</w:t>
            </w:r>
          </w:p>
        </w:tc>
        <w:tc>
          <w:tcPr>
            <w:tcW w:w="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center"/>
              <w:ind w:right="111"/>
              <w:spacing w:after="0"/>
              <w:rPr>
                <w:sz w:val="20"/>
                <w:szCs w:val="20"/>
                <w:color w:val="auto"/>
              </w:rPr>
            </w:pPr>
            <w:r>
              <w:rPr>
                <w:rFonts w:ascii="Arial" w:cs="Arial" w:eastAsia="Arial" w:hAnsi="Arial"/>
                <w:sz w:val="14"/>
                <w:szCs w:val="14"/>
                <w:b w:val="1"/>
                <w:bCs w:val="1"/>
                <w:color w:val="auto"/>
                <w:w w:val="98"/>
              </w:rPr>
              <w:t>Interest</w:t>
            </w:r>
          </w:p>
        </w:tc>
        <w:tc>
          <w:tcPr>
            <w:tcW w:w="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center"/>
              <w:ind w:right="71"/>
              <w:spacing w:after="0"/>
              <w:rPr>
                <w:sz w:val="20"/>
                <w:szCs w:val="20"/>
                <w:color w:val="auto"/>
              </w:rPr>
            </w:pPr>
            <w:r>
              <w:rPr>
                <w:rFonts w:ascii="Arial" w:cs="Arial" w:eastAsia="Arial" w:hAnsi="Arial"/>
                <w:sz w:val="14"/>
                <w:szCs w:val="14"/>
                <w:b w:val="1"/>
                <w:bCs w:val="1"/>
                <w:color w:val="auto"/>
                <w:w w:val="98"/>
              </w:rPr>
              <w:t>Allowance</w:t>
            </w:r>
          </w:p>
        </w:tc>
      </w:tr>
      <w:tr>
        <w:trPr>
          <w:trHeight w:val="205"/>
        </w:trPr>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gridSpan w:val="6"/>
          </w:tcPr>
          <w:p>
            <w:pPr>
              <w:jc w:val="right"/>
              <w:ind w:right="431"/>
              <w:spacing w:after="0"/>
              <w:rPr>
                <w:sz w:val="20"/>
                <w:szCs w:val="20"/>
                <w:color w:val="auto"/>
              </w:rPr>
            </w:pPr>
            <w:r>
              <w:rPr>
                <w:rFonts w:ascii="Arial" w:cs="Arial" w:eastAsia="Arial" w:hAnsi="Arial"/>
                <w:sz w:val="14"/>
                <w:szCs w:val="14"/>
                <w:b w:val="1"/>
                <w:bCs w:val="1"/>
                <w:color w:val="auto"/>
              </w:rPr>
              <w:t>(Dollars in millions)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87"/>
        </w:trPr>
        <w:tc>
          <w:tcPr>
            <w:tcW w:w="1760" w:type="dxa"/>
            <w:vAlign w:val="bottom"/>
            <w:gridSpan w:val="3"/>
          </w:tcPr>
          <w:p>
            <w:pPr>
              <w:ind w:left="20"/>
              <w:spacing w:after="0"/>
              <w:rPr>
                <w:sz w:val="20"/>
                <w:szCs w:val="20"/>
                <w:color w:val="auto"/>
              </w:rPr>
            </w:pPr>
            <w:r>
              <w:rPr>
                <w:rFonts w:ascii="Arial" w:cs="Arial" w:eastAsia="Arial" w:hAnsi="Arial"/>
                <w:sz w:val="14"/>
                <w:szCs w:val="14"/>
                <w:color w:val="auto"/>
              </w:rPr>
              <w:t>Single-family:</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7"/>
        </w:trPr>
        <w:tc>
          <w:tcPr>
            <w:tcW w:w="1760" w:type="dxa"/>
            <w:vAlign w:val="bottom"/>
            <w:gridSpan w:val="3"/>
          </w:tcPr>
          <w:p>
            <w:pPr>
              <w:ind w:left="180"/>
              <w:spacing w:after="0"/>
              <w:rPr>
                <w:sz w:val="20"/>
                <w:szCs w:val="20"/>
                <w:color w:val="auto"/>
              </w:rPr>
            </w:pPr>
            <w:r>
              <w:rPr>
                <w:rFonts w:ascii="Arial" w:cs="Arial" w:eastAsia="Arial" w:hAnsi="Arial"/>
                <w:sz w:val="14"/>
                <w:szCs w:val="14"/>
                <w:color w:val="auto"/>
              </w:rPr>
              <w:t>20- and 30-year or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8"/>
        </w:trPr>
        <w:tc>
          <w:tcPr>
            <w:tcW w:w="1760" w:type="dxa"/>
            <w:vAlign w:val="bottom"/>
            <w:gridSpan w:val="3"/>
          </w:tcPr>
          <w:p>
            <w:pPr>
              <w:ind w:left="320"/>
              <w:spacing w:after="0"/>
              <w:rPr>
                <w:sz w:val="20"/>
                <w:szCs w:val="20"/>
                <w:color w:val="auto"/>
              </w:rPr>
            </w:pPr>
            <w:r>
              <w:rPr>
                <w:rFonts w:ascii="Arial" w:cs="Arial" w:eastAsia="Arial" w:hAnsi="Arial"/>
                <w:sz w:val="14"/>
                <w:szCs w:val="14"/>
                <w:color w:val="auto"/>
              </w:rPr>
              <w:t>more, amortizing</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7"/>
        </w:trPr>
        <w:tc>
          <w:tcPr>
            <w:tcW w:w="1760" w:type="dxa"/>
            <w:vAlign w:val="bottom"/>
            <w:gridSpan w:val="3"/>
          </w:tcPr>
          <w:p>
            <w:pPr>
              <w:ind w:left="320"/>
              <w:spacing w:after="0"/>
              <w:rPr>
                <w:sz w:val="20"/>
                <w:szCs w:val="20"/>
                <w:color w:val="auto"/>
              </w:rPr>
            </w:pPr>
            <w:r>
              <w:rPr>
                <w:rFonts w:ascii="Arial" w:cs="Arial" w:eastAsia="Arial" w:hAnsi="Arial"/>
                <w:sz w:val="14"/>
                <w:szCs w:val="14"/>
                <w:color w:val="auto"/>
              </w:rPr>
              <w:t>fixed-rate</w:t>
            </w:r>
          </w:p>
        </w:tc>
        <w:tc>
          <w:tcPr>
            <w:tcW w:w="1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25,262</w:t>
            </w:r>
          </w:p>
        </w:tc>
        <w:tc>
          <w:tcPr>
            <w:tcW w:w="240" w:type="dxa"/>
            <w:vAlign w:val="bottom"/>
            <w:gridSpan w:val="4"/>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6,392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17,676</w:t>
            </w:r>
          </w:p>
        </w:tc>
        <w:tc>
          <w:tcPr>
            <w:tcW w:w="260" w:type="dxa"/>
            <w:vAlign w:val="bottom"/>
            <w:gridSpan w:val="4"/>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49,330</w:t>
            </w:r>
          </w:p>
        </w:tc>
        <w:tc>
          <w:tcPr>
            <w:tcW w:w="320" w:type="dxa"/>
            <w:vAlign w:val="bottom"/>
            <w:gridSpan w:val="4"/>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3,126,385</w:t>
            </w:r>
          </w:p>
        </w:tc>
        <w:tc>
          <w:tcPr>
            <w:tcW w:w="36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3,175,715</w:t>
            </w:r>
          </w:p>
        </w:tc>
        <w:tc>
          <w:tcPr>
            <w:tcW w:w="280" w:type="dxa"/>
            <w:vAlign w:val="bottom"/>
            <w:gridSpan w:val="4"/>
          </w:tcPr>
          <w:p>
            <w:pPr>
              <w:jc w:val="right"/>
              <w:ind w:right="1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3,962</w:t>
            </w:r>
          </w:p>
        </w:tc>
        <w:tc>
          <w:tcPr>
            <w:tcW w:w="26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3,236</w:t>
            </w:r>
          </w:p>
        </w:tc>
      </w:tr>
      <w:tr>
        <w:trPr>
          <w:trHeight w:val="277"/>
        </w:trPr>
        <w:tc>
          <w:tcPr>
            <w:tcW w:w="1760" w:type="dxa"/>
            <w:vAlign w:val="bottom"/>
            <w:gridSpan w:val="3"/>
          </w:tcPr>
          <w:p>
            <w:pPr>
              <w:ind w:left="180"/>
              <w:spacing w:after="0"/>
              <w:rPr>
                <w:sz w:val="20"/>
                <w:szCs w:val="20"/>
                <w:color w:val="auto"/>
              </w:rPr>
            </w:pPr>
            <w:r>
              <w:rPr>
                <w:rFonts w:ascii="Arial" w:cs="Arial" w:eastAsia="Arial" w:hAnsi="Arial"/>
                <w:sz w:val="14"/>
                <w:szCs w:val="14"/>
                <w:color w:val="auto"/>
              </w:rPr>
              <w:t>15-year or less,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7"/>
        </w:trPr>
        <w:tc>
          <w:tcPr>
            <w:tcW w:w="1760" w:type="dxa"/>
            <w:vAlign w:val="bottom"/>
            <w:gridSpan w:val="3"/>
          </w:tcPr>
          <w:p>
            <w:pPr>
              <w:ind w:left="320"/>
              <w:spacing w:after="0"/>
              <w:rPr>
                <w:sz w:val="20"/>
                <w:szCs w:val="20"/>
                <w:color w:val="auto"/>
              </w:rPr>
            </w:pPr>
            <w:r>
              <w:rPr>
                <w:rFonts w:ascii="Arial" w:cs="Arial" w:eastAsia="Arial" w:hAnsi="Arial"/>
                <w:sz w:val="14"/>
                <w:szCs w:val="14"/>
                <w:color w:val="auto"/>
              </w:rPr>
              <w:t>amortizing fixed-rate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1,475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667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2,414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457,079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459,493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137</w:t>
            </w:r>
          </w:p>
        </w:tc>
      </w:tr>
      <w:tr>
        <w:trPr>
          <w:trHeight w:val="297"/>
        </w:trPr>
        <w:tc>
          <w:tcPr>
            <w:tcW w:w="1760" w:type="dxa"/>
            <w:vAlign w:val="bottom"/>
            <w:gridSpan w:val="3"/>
          </w:tcPr>
          <w:p>
            <w:pPr>
              <w:ind w:left="180"/>
              <w:spacing w:after="0"/>
              <w:rPr>
                <w:sz w:val="20"/>
                <w:szCs w:val="20"/>
                <w:color w:val="auto"/>
              </w:rPr>
            </w:pPr>
            <w:r>
              <w:rPr>
                <w:rFonts w:ascii="Arial" w:cs="Arial" w:eastAsia="Arial" w:hAnsi="Arial"/>
                <w:sz w:val="14"/>
                <w:szCs w:val="14"/>
                <w:color w:val="auto"/>
              </w:rPr>
              <w:t>Adjustable-rate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27,028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27,310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25</w:t>
            </w:r>
          </w:p>
        </w:tc>
      </w:tr>
      <w:tr>
        <w:trPr>
          <w:trHeight w:val="295"/>
        </w:trPr>
        <w:tc>
          <w:tcPr>
            <w:tcW w:w="166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Other</w:t>
            </w:r>
            <w:r>
              <w:rPr>
                <w:rFonts w:ascii="Arial" w:cs="Arial" w:eastAsia="Arial" w:hAnsi="Arial"/>
                <w:sz w:val="8"/>
                <w:szCs w:val="8"/>
                <w:color w:val="auto"/>
              </w:rPr>
              <w:t>(2)</w:t>
            </w:r>
          </w:p>
        </w:tc>
        <w:tc>
          <w:tcPr>
            <w:tcW w:w="100" w:type="dxa"/>
            <w:vAlign w:val="bottom"/>
            <w:gridSpan w:val="2"/>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551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146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716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1,413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9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26,819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28,232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243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9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264</w:t>
            </w:r>
          </w:p>
        </w:tc>
      </w:tr>
      <w:tr>
        <w:trPr>
          <w:trHeight w:val="278"/>
        </w:trPr>
        <w:tc>
          <w:tcPr>
            <w:tcW w:w="1760" w:type="dxa"/>
            <w:vAlign w:val="bottom"/>
            <w:gridSpan w:val="3"/>
          </w:tcPr>
          <w:p>
            <w:pPr>
              <w:ind w:left="20"/>
              <w:spacing w:after="0"/>
              <w:rPr>
                <w:sz w:val="20"/>
                <w:szCs w:val="20"/>
                <w:color w:val="auto"/>
              </w:rPr>
            </w:pPr>
            <w:r>
              <w:rPr>
                <w:rFonts w:ascii="Arial" w:cs="Arial" w:eastAsia="Arial" w:hAnsi="Arial"/>
                <w:sz w:val="14"/>
                <w:szCs w:val="14"/>
                <w:color w:val="auto"/>
              </w:rPr>
              <w:t>Total single-family</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27,432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6,843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19,164</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53,439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3,637,311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3,690,750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4,450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3,662</w:t>
            </w:r>
          </w:p>
        </w:tc>
      </w:tr>
      <w:tr>
        <w:trPr>
          <w:trHeight w:val="308"/>
        </w:trPr>
        <w:tc>
          <w:tcPr>
            <w:tcW w:w="166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Multifamily</w:t>
            </w:r>
            <w:r>
              <w:rPr>
                <w:rFonts w:ascii="Arial" w:cs="Arial" w:eastAsia="Arial" w:hAnsi="Arial"/>
                <w:sz w:val="17"/>
                <w:szCs w:val="17"/>
                <w:color w:val="auto"/>
                <w:vertAlign w:val="superscript"/>
              </w:rPr>
              <w:t>(3)</w:t>
            </w:r>
          </w:p>
        </w:tc>
        <w:tc>
          <w:tcPr>
            <w:tcW w:w="100" w:type="dxa"/>
            <w:vAlign w:val="bottom"/>
            <w:gridSpan w:val="2"/>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581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N/A</w:t>
            </w:r>
          </w:p>
        </w:tc>
        <w:tc>
          <w:tcPr>
            <w:tcW w:w="100" w:type="dxa"/>
            <w:vAlign w:val="bottom"/>
            <w:gridSpan w:val="2"/>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1,377</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1,958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9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444,192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446,150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341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9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728</w:t>
            </w:r>
          </w:p>
        </w:tc>
      </w:tr>
      <w:tr>
        <w:trPr>
          <w:trHeight w:val="284"/>
        </w:trPr>
        <w:tc>
          <w:tcPr>
            <w:tcW w:w="166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Total</w:t>
            </w:r>
          </w:p>
        </w:tc>
        <w:tc>
          <w:tcPr>
            <w:tcW w:w="100" w:type="dxa"/>
            <w:vAlign w:val="bottom"/>
            <w:gridSpan w:val="2"/>
          </w:tcPr>
          <w:p>
            <w:pPr>
              <w:spacing w:after="0"/>
              <w:rPr>
                <w:sz w:val="24"/>
                <w:szCs w:val="24"/>
                <w:color w:val="auto"/>
              </w:rPr>
            </w:pPr>
          </w:p>
        </w:tc>
        <w:tc>
          <w:tcPr>
            <w:tcW w:w="140" w:type="dxa"/>
            <w:vAlign w:val="bottom"/>
            <w:tcBorders>
              <w:bottom w:val="single" w:sz="8" w:color="2C6937"/>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28,013</w:t>
            </w:r>
          </w:p>
        </w:tc>
        <w:tc>
          <w:tcPr>
            <w:tcW w:w="100" w:type="dxa"/>
            <w:vAlign w:val="bottom"/>
            <w:gridSpan w:val="2"/>
          </w:tcPr>
          <w:p>
            <w:pPr>
              <w:spacing w:after="0"/>
              <w:rPr>
                <w:sz w:val="24"/>
                <w:szCs w:val="24"/>
                <w:color w:val="auto"/>
              </w:rPr>
            </w:pPr>
          </w:p>
        </w:tc>
        <w:tc>
          <w:tcPr>
            <w:tcW w:w="140" w:type="dxa"/>
            <w:vAlign w:val="bottom"/>
            <w:tcBorders>
              <w:bottom w:val="single" w:sz="8" w:color="2C6937"/>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6,843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20,541</w:t>
            </w:r>
          </w:p>
        </w:tc>
        <w:tc>
          <w:tcPr>
            <w:tcW w:w="120" w:type="dxa"/>
            <w:vAlign w:val="bottom"/>
            <w:gridSpan w:val="2"/>
          </w:tcPr>
          <w:p>
            <w:pPr>
              <w:spacing w:after="0"/>
              <w:rPr>
                <w:sz w:val="24"/>
                <w:szCs w:val="24"/>
                <w:color w:val="auto"/>
              </w:rPr>
            </w:pPr>
          </w:p>
        </w:tc>
        <w:tc>
          <w:tcPr>
            <w:tcW w:w="14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55,397</w:t>
            </w:r>
          </w:p>
        </w:tc>
        <w:tc>
          <w:tcPr>
            <w:tcW w:w="120" w:type="dxa"/>
            <w:vAlign w:val="bottom"/>
            <w:gridSpan w:val="2"/>
          </w:tcPr>
          <w:p>
            <w:pPr>
              <w:spacing w:after="0"/>
              <w:rPr>
                <w:sz w:val="24"/>
                <w:szCs w:val="24"/>
                <w:color w:val="auto"/>
              </w:rPr>
            </w:pPr>
          </w:p>
        </w:tc>
        <w:tc>
          <w:tcPr>
            <w:tcW w:w="200" w:type="dxa"/>
            <w:vAlign w:val="bottom"/>
            <w:tcBorders>
              <w:bottom w:val="single" w:sz="8" w:color="2C6937"/>
            </w:tcBorders>
            <w:gridSpan w:val="2"/>
          </w:tcPr>
          <w:p>
            <w:pPr>
              <w:jc w:val="right"/>
              <w:ind w:right="12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4,081,503</w:t>
            </w:r>
          </w:p>
        </w:tc>
        <w:tc>
          <w:tcPr>
            <w:tcW w:w="100" w:type="dxa"/>
            <w:vAlign w:val="bottom"/>
            <w:gridSpan w:val="2"/>
          </w:tcPr>
          <w:p>
            <w:pPr>
              <w:spacing w:after="0"/>
              <w:rPr>
                <w:sz w:val="24"/>
                <w:szCs w:val="24"/>
                <w:color w:val="auto"/>
              </w:rPr>
            </w:pPr>
          </w:p>
        </w:tc>
        <w:tc>
          <w:tcPr>
            <w:tcW w:w="260" w:type="dxa"/>
            <w:vAlign w:val="bottom"/>
            <w:tcBorders>
              <w:bottom w:val="single" w:sz="8" w:color="2C6937"/>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4,136,900</w:t>
            </w:r>
          </w:p>
        </w:tc>
        <w:tc>
          <w:tcPr>
            <w:tcW w:w="120" w:type="dxa"/>
            <w:vAlign w:val="bottom"/>
            <w:gridSpan w:val="2"/>
          </w:tcPr>
          <w:p>
            <w:pPr>
              <w:spacing w:after="0"/>
              <w:rPr>
                <w:sz w:val="24"/>
                <w:szCs w:val="24"/>
                <w:color w:val="auto"/>
              </w:rPr>
            </w:pPr>
          </w:p>
        </w:tc>
        <w:tc>
          <w:tcPr>
            <w:tcW w:w="160" w:type="dxa"/>
            <w:vAlign w:val="bottom"/>
            <w:tcBorders>
              <w:bottom w:val="single" w:sz="8" w:color="2C6937"/>
            </w:tcBorders>
            <w:gridSpan w:val="2"/>
          </w:tcPr>
          <w:p>
            <w:pPr>
              <w:jc w:val="right"/>
              <w:ind w:right="1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4,791</w:t>
            </w:r>
          </w:p>
        </w:tc>
        <w:tc>
          <w:tcPr>
            <w:tcW w:w="120" w:type="dxa"/>
            <w:vAlign w:val="bottom"/>
            <w:gridSpan w:val="2"/>
          </w:tcPr>
          <w:p>
            <w:pPr>
              <w:spacing w:after="0"/>
              <w:rPr>
                <w:sz w:val="24"/>
                <w:szCs w:val="24"/>
                <w:color w:val="auto"/>
              </w:rPr>
            </w:pPr>
          </w:p>
        </w:tc>
        <w:tc>
          <w:tcPr>
            <w:tcW w:w="14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4,390</w:t>
            </w:r>
          </w:p>
        </w:tc>
      </w:tr>
      <w:tr>
        <w:trPr>
          <w:trHeight w:val="24"/>
        </w:trPr>
        <w:tc>
          <w:tcPr>
            <w:tcW w:w="1660" w:type="dxa"/>
            <w:vAlign w:val="bottom"/>
            <w:tcBorders>
              <w:bottom w:val="single" w:sz="8" w:color="2C6937"/>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2C6937"/>
            </w:tcBorders>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920" w:type="dxa"/>
            <w:vAlign w:val="bottom"/>
            <w:tcBorders>
              <w:bottom w:val="single" w:sz="8" w:color="2C6937"/>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2C6937"/>
            </w:tcBorders>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920" w:type="dxa"/>
            <w:vAlign w:val="bottom"/>
            <w:tcBorders>
              <w:bottom w:val="single" w:sz="8" w:color="2C6937"/>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2C6937"/>
            </w:tcBorders>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1020" w:type="dxa"/>
            <w:vAlign w:val="bottom"/>
            <w:tcBorders>
              <w:bottom w:val="single" w:sz="8" w:color="2C6937"/>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900" w:type="dxa"/>
            <w:vAlign w:val="bottom"/>
            <w:tcBorders>
              <w:bottom w:val="single" w:sz="8" w:color="2C6937"/>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1080" w:type="dxa"/>
            <w:vAlign w:val="bottom"/>
            <w:tcBorders>
              <w:bottom w:val="single" w:sz="8" w:color="2C6937"/>
            </w:tcBorders>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240" w:type="dxa"/>
            <w:vAlign w:val="bottom"/>
            <w:tcBorders>
              <w:bottom w:val="single" w:sz="8" w:color="2C6937"/>
            </w:tcBorders>
          </w:tcPr>
          <w:p>
            <w:pPr>
              <w:spacing w:after="0"/>
              <w:rPr>
                <w:sz w:val="2"/>
                <w:szCs w:val="2"/>
                <w:color w:val="auto"/>
              </w:rPr>
            </w:pPr>
          </w:p>
        </w:tc>
        <w:tc>
          <w:tcPr>
            <w:tcW w:w="840" w:type="dxa"/>
            <w:vAlign w:val="bottom"/>
            <w:tcBorders>
              <w:bottom w:val="single" w:sz="8" w:color="2C6937"/>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880" w:type="dxa"/>
            <w:vAlign w:val="bottom"/>
            <w:tcBorders>
              <w:bottom w:val="single" w:sz="8" w:color="2C6937"/>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980" w:type="dxa"/>
            <w:vAlign w:val="bottom"/>
            <w:tcBorders>
              <w:bottom w:val="single" w:sz="8" w:color="2C6937"/>
            </w:tcBorders>
          </w:tcPr>
          <w:p>
            <w:pPr>
              <w:spacing w:after="0"/>
              <w:rPr>
                <w:sz w:val="2"/>
                <w:szCs w:val="2"/>
                <w:color w:val="auto"/>
              </w:rPr>
            </w:pPr>
          </w:p>
        </w:tc>
      </w:tr>
      <w:tr>
        <w:trPr>
          <w:trHeight w:val="443"/>
        </w:trPr>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92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92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02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2120" w:type="dxa"/>
            <w:vAlign w:val="bottom"/>
            <w:tcBorders>
              <w:bottom w:val="single" w:sz="8" w:color="2C6937"/>
            </w:tcBorders>
            <w:gridSpan w:val="6"/>
          </w:tcPr>
          <w:p>
            <w:pPr>
              <w:jc w:val="right"/>
              <w:ind w:right="231"/>
              <w:spacing w:after="0"/>
              <w:rPr>
                <w:sz w:val="20"/>
                <w:szCs w:val="20"/>
                <w:color w:val="auto"/>
              </w:rPr>
            </w:pPr>
            <w:r>
              <w:rPr>
                <w:rFonts w:ascii="Arial" w:cs="Arial" w:eastAsia="Arial" w:hAnsi="Arial"/>
                <w:sz w:val="14"/>
                <w:szCs w:val="14"/>
                <w:b w:val="1"/>
                <w:bCs w:val="1"/>
                <w:color w:val="auto"/>
              </w:rPr>
              <w:t>As of December 31, 2022</w:t>
            </w:r>
          </w:p>
        </w:tc>
        <w:tc>
          <w:tcPr>
            <w:tcW w:w="2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88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980" w:type="dxa"/>
            <w:vAlign w:val="bottom"/>
            <w:tcBorders>
              <w:bottom w:val="single" w:sz="8" w:color="2C6937"/>
            </w:tcBorders>
          </w:tcPr>
          <w:p>
            <w:pPr>
              <w:spacing w:after="0"/>
              <w:rPr>
                <w:sz w:val="24"/>
                <w:szCs w:val="24"/>
                <w:color w:val="auto"/>
              </w:rPr>
            </w:pPr>
          </w:p>
        </w:tc>
      </w:tr>
      <w:tr>
        <w:trPr>
          <w:trHeight w:val="253"/>
        </w:trPr>
        <w:tc>
          <w:tcPr>
            <w:tcW w:w="1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Loans 90 Days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168"/>
        </w:trPr>
        <w:tc>
          <w:tcPr>
            <w:tcW w:w="1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71"/>
              <w:spacing w:after="0"/>
              <w:rPr>
                <w:sz w:val="20"/>
                <w:szCs w:val="20"/>
                <w:color w:val="auto"/>
              </w:rPr>
            </w:pPr>
            <w:r>
              <w:rPr>
                <w:rFonts w:ascii="Arial" w:cs="Arial" w:eastAsia="Arial" w:hAnsi="Arial"/>
                <w:sz w:val="14"/>
                <w:szCs w:val="14"/>
                <w:b w:val="1"/>
                <w:bCs w:val="1"/>
                <w:color w:val="auto"/>
                <w:w w:val="97"/>
              </w:rPr>
              <w:t>or More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55"/>
        </w:trPr>
        <w:tc>
          <w:tcPr>
            <w:tcW w:w="1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6"/>
              </w:rPr>
              <w:t>Delinquent and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right="51"/>
              <w:spacing w:after="0" w:line="155" w:lineRule="exact"/>
              <w:rPr>
                <w:sz w:val="20"/>
                <w:szCs w:val="20"/>
                <w:color w:val="auto"/>
              </w:rPr>
            </w:pPr>
            <w:r>
              <w:rPr>
                <w:rFonts w:ascii="Arial" w:cs="Arial" w:eastAsia="Arial" w:hAnsi="Arial"/>
                <w:sz w:val="14"/>
                <w:szCs w:val="14"/>
                <w:b w:val="1"/>
                <w:bCs w:val="1"/>
                <w:color w:val="auto"/>
                <w:w w:val="96"/>
              </w:rPr>
              <w:t>Nonaccrual</w:t>
            </w:r>
          </w:p>
        </w:tc>
      </w:tr>
      <w:tr>
        <w:trPr>
          <w:trHeight w:val="166"/>
        </w:trPr>
        <w:tc>
          <w:tcPr>
            <w:tcW w:w="1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31"/>
              <w:spacing w:after="0"/>
              <w:rPr>
                <w:sz w:val="20"/>
                <w:szCs w:val="20"/>
                <w:color w:val="auto"/>
              </w:rPr>
            </w:pPr>
            <w:r>
              <w:rPr>
                <w:rFonts w:ascii="Arial" w:cs="Arial" w:eastAsia="Arial" w:hAnsi="Arial"/>
                <w:sz w:val="14"/>
                <w:szCs w:val="14"/>
                <w:b w:val="1"/>
                <w:bCs w:val="1"/>
                <w:color w:val="auto"/>
                <w:w w:val="98"/>
              </w:rPr>
              <w:t>30 - 59 Days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60 - 89 Days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171"/>
              <w:spacing w:after="0"/>
              <w:rPr>
                <w:sz w:val="20"/>
                <w:szCs w:val="20"/>
                <w:color w:val="auto"/>
              </w:rPr>
            </w:pPr>
            <w:r>
              <w:rPr>
                <w:rFonts w:ascii="Arial" w:cs="Arial" w:eastAsia="Arial" w:hAnsi="Arial"/>
                <w:sz w:val="14"/>
                <w:szCs w:val="14"/>
                <w:b w:val="1"/>
                <w:bCs w:val="1"/>
                <w:color w:val="auto"/>
              </w:rPr>
              <w:t>Seriously</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51"/>
              <w:spacing w:after="0"/>
              <w:rPr>
                <w:sz w:val="20"/>
                <w:szCs w:val="20"/>
                <w:color w:val="auto"/>
              </w:rPr>
            </w:pPr>
            <w:r>
              <w:rPr>
                <w:rFonts w:ascii="Arial" w:cs="Arial" w:eastAsia="Arial" w:hAnsi="Arial"/>
                <w:sz w:val="14"/>
                <w:szCs w:val="14"/>
                <w:b w:val="1"/>
                <w:bCs w:val="1"/>
                <w:color w:val="auto"/>
                <w:w w:val="98"/>
              </w:rPr>
              <w:t>Accruing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Loans with No</w:t>
            </w:r>
          </w:p>
        </w:tc>
      </w:tr>
      <w:tr>
        <w:trPr>
          <w:trHeight w:val="207"/>
        </w:trPr>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920" w:type="dxa"/>
            <w:vAlign w:val="bottom"/>
            <w:tcBorders>
              <w:bottom w:val="single" w:sz="8" w:color="2C6937"/>
            </w:tcBorders>
          </w:tcPr>
          <w:p>
            <w:pPr>
              <w:jc w:val="right"/>
              <w:ind w:right="71"/>
              <w:spacing w:after="0"/>
              <w:rPr>
                <w:sz w:val="20"/>
                <w:szCs w:val="20"/>
                <w:color w:val="auto"/>
              </w:rPr>
            </w:pPr>
            <w:r>
              <w:rPr>
                <w:rFonts w:ascii="Arial" w:cs="Arial" w:eastAsia="Arial" w:hAnsi="Arial"/>
                <w:sz w:val="14"/>
                <w:szCs w:val="14"/>
                <w:b w:val="1"/>
                <w:bCs w:val="1"/>
                <w:color w:val="auto"/>
              </w:rPr>
              <w:t>Delinquent</w:t>
            </w:r>
          </w:p>
        </w:tc>
        <w:tc>
          <w:tcPr>
            <w:tcW w:w="40" w:type="dxa"/>
            <w:vAlign w:val="bottom"/>
            <w:tcBorders>
              <w:bottom w:val="single" w:sz="8" w:color="2C6937"/>
            </w:tcBorders>
          </w:tcPr>
          <w:p>
            <w:pPr>
              <w:spacing w:after="0"/>
              <w:rPr>
                <w:sz w:val="17"/>
                <w:szCs w:val="17"/>
                <w:color w:val="auto"/>
              </w:rPr>
            </w:pPr>
          </w:p>
        </w:tc>
        <w:tc>
          <w:tcPr>
            <w:tcW w:w="60" w:type="dxa"/>
            <w:vAlign w:val="bottom"/>
            <w:tcBorders>
              <w:bottom w:val="single" w:sz="8" w:color="2C6937"/>
            </w:tcBorders>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gridSpan w:val="3"/>
          </w:tcPr>
          <w:p>
            <w:pPr>
              <w:ind w:left="80"/>
              <w:spacing w:after="0"/>
              <w:rPr>
                <w:sz w:val="20"/>
                <w:szCs w:val="20"/>
                <w:color w:val="auto"/>
              </w:rPr>
            </w:pPr>
            <w:r>
              <w:rPr>
                <w:rFonts w:ascii="Arial" w:cs="Arial" w:eastAsia="Arial" w:hAnsi="Arial"/>
                <w:sz w:val="14"/>
                <w:szCs w:val="14"/>
                <w:b w:val="1"/>
                <w:bCs w:val="1"/>
                <w:color w:val="auto"/>
              </w:rPr>
              <w:t>Delinquent</w:t>
            </w:r>
          </w:p>
        </w:tc>
        <w:tc>
          <w:tcPr>
            <w:tcW w:w="4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tcPr>
          <w:p>
            <w:pPr>
              <w:jc w:val="right"/>
              <w:ind w:right="71"/>
              <w:spacing w:after="0"/>
              <w:rPr>
                <w:sz w:val="20"/>
                <w:szCs w:val="20"/>
                <w:color w:val="auto"/>
              </w:rPr>
            </w:pPr>
            <w:r>
              <w:rPr>
                <w:rFonts w:ascii="Arial" w:cs="Arial" w:eastAsia="Arial" w:hAnsi="Arial"/>
                <w:sz w:val="14"/>
                <w:szCs w:val="14"/>
                <w:b w:val="1"/>
                <w:bCs w:val="1"/>
                <w:color w:val="auto"/>
                <w:w w:val="99"/>
              </w:rPr>
              <w:t>Delinquent</w:t>
            </w:r>
            <w:r>
              <w:rPr>
                <w:rFonts w:ascii="Arial" w:cs="Arial" w:eastAsia="Arial" w:hAnsi="Arial"/>
                <w:sz w:val="17"/>
                <w:szCs w:val="17"/>
                <w:b w:val="1"/>
                <w:bCs w:val="1"/>
                <w:color w:val="auto"/>
                <w:w w:val="99"/>
                <w:vertAlign w:val="superscript"/>
              </w:rPr>
              <w:t>(1)</w:t>
            </w:r>
          </w:p>
        </w:tc>
        <w:tc>
          <w:tcPr>
            <w:tcW w:w="4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tcPr>
          <w:p>
            <w:pPr>
              <w:jc w:val="right"/>
              <w:ind w:right="71"/>
              <w:spacing w:after="0"/>
              <w:rPr>
                <w:sz w:val="20"/>
                <w:szCs w:val="20"/>
                <w:color w:val="auto"/>
              </w:rPr>
            </w:pPr>
            <w:r>
              <w:rPr>
                <w:rFonts w:ascii="Arial" w:cs="Arial" w:eastAsia="Arial" w:hAnsi="Arial"/>
                <w:sz w:val="14"/>
                <w:szCs w:val="14"/>
                <w:b w:val="1"/>
                <w:bCs w:val="1"/>
                <w:color w:val="auto"/>
              </w:rPr>
              <w:t>Delinquent</w:t>
            </w:r>
          </w:p>
        </w:tc>
        <w:tc>
          <w:tcPr>
            <w:tcW w:w="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tcPr>
          <w:p>
            <w:pPr>
              <w:jc w:val="right"/>
              <w:ind w:right="211"/>
              <w:spacing w:after="0"/>
              <w:rPr>
                <w:sz w:val="20"/>
                <w:szCs w:val="20"/>
                <w:color w:val="auto"/>
              </w:rPr>
            </w:pPr>
            <w:r>
              <w:rPr>
                <w:rFonts w:ascii="Arial" w:cs="Arial" w:eastAsia="Arial" w:hAnsi="Arial"/>
                <w:sz w:val="14"/>
                <w:szCs w:val="14"/>
                <w:b w:val="1"/>
                <w:bCs w:val="1"/>
                <w:color w:val="auto"/>
              </w:rPr>
              <w:t>Current</w:t>
            </w:r>
          </w:p>
        </w:tc>
        <w:tc>
          <w:tcPr>
            <w:tcW w:w="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840" w:type="dxa"/>
            <w:vAlign w:val="bottom"/>
            <w:tcBorders>
              <w:bottom w:val="single" w:sz="8" w:color="2C6937"/>
            </w:tcBorders>
          </w:tcPr>
          <w:p>
            <w:pPr>
              <w:jc w:val="right"/>
              <w:ind w:right="291"/>
              <w:spacing w:after="0"/>
              <w:rPr>
                <w:sz w:val="20"/>
                <w:szCs w:val="20"/>
                <w:color w:val="auto"/>
              </w:rPr>
            </w:pPr>
            <w:r>
              <w:rPr>
                <w:rFonts w:ascii="Arial" w:cs="Arial" w:eastAsia="Arial" w:hAnsi="Arial"/>
                <w:sz w:val="14"/>
                <w:szCs w:val="14"/>
                <w:b w:val="1"/>
                <w:bCs w:val="1"/>
                <w:color w:val="auto"/>
              </w:rPr>
              <w:t>Total</w:t>
            </w:r>
          </w:p>
        </w:tc>
        <w:tc>
          <w:tcPr>
            <w:tcW w:w="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center"/>
              <w:ind w:right="71"/>
              <w:spacing w:after="0"/>
              <w:rPr>
                <w:sz w:val="20"/>
                <w:szCs w:val="20"/>
                <w:color w:val="auto"/>
              </w:rPr>
            </w:pPr>
            <w:r>
              <w:rPr>
                <w:rFonts w:ascii="Arial" w:cs="Arial" w:eastAsia="Arial" w:hAnsi="Arial"/>
                <w:sz w:val="14"/>
                <w:szCs w:val="14"/>
                <w:b w:val="1"/>
                <w:bCs w:val="1"/>
                <w:color w:val="auto"/>
                <w:w w:val="98"/>
              </w:rPr>
              <w:t>Interest</w:t>
            </w:r>
          </w:p>
        </w:tc>
        <w:tc>
          <w:tcPr>
            <w:tcW w:w="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center"/>
              <w:ind w:right="71"/>
              <w:spacing w:after="0"/>
              <w:rPr>
                <w:sz w:val="20"/>
                <w:szCs w:val="20"/>
                <w:color w:val="auto"/>
              </w:rPr>
            </w:pPr>
            <w:r>
              <w:rPr>
                <w:rFonts w:ascii="Arial" w:cs="Arial" w:eastAsia="Arial" w:hAnsi="Arial"/>
                <w:sz w:val="14"/>
                <w:szCs w:val="14"/>
                <w:b w:val="1"/>
                <w:bCs w:val="1"/>
                <w:color w:val="auto"/>
                <w:w w:val="98"/>
              </w:rPr>
              <w:t>Allowance</w:t>
            </w:r>
          </w:p>
        </w:tc>
      </w:tr>
      <w:tr>
        <w:trPr>
          <w:trHeight w:val="275"/>
        </w:trPr>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20" w:type="dxa"/>
            <w:vAlign w:val="bottom"/>
            <w:gridSpan w:val="6"/>
          </w:tcPr>
          <w:p>
            <w:pPr>
              <w:jc w:val="right"/>
              <w:ind w:right="411"/>
              <w:spacing w:after="0"/>
              <w:rPr>
                <w:sz w:val="20"/>
                <w:szCs w:val="20"/>
                <w:color w:val="auto"/>
              </w:rPr>
            </w:pPr>
            <w:r>
              <w:rPr>
                <w:rFonts w:ascii="Arial" w:cs="Arial" w:eastAsia="Arial" w:hAnsi="Arial"/>
                <w:sz w:val="14"/>
                <w:szCs w:val="14"/>
                <w:b w:val="1"/>
                <w:bCs w:val="1"/>
                <w:color w:val="auto"/>
              </w:rPr>
              <w:t>(Dollars in millions)</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87"/>
        </w:trPr>
        <w:tc>
          <w:tcPr>
            <w:tcW w:w="1760" w:type="dxa"/>
            <w:vAlign w:val="bottom"/>
            <w:gridSpan w:val="3"/>
          </w:tcPr>
          <w:p>
            <w:pPr>
              <w:ind w:left="20"/>
              <w:spacing w:after="0"/>
              <w:rPr>
                <w:sz w:val="20"/>
                <w:szCs w:val="20"/>
                <w:color w:val="auto"/>
              </w:rPr>
            </w:pPr>
            <w:r>
              <w:rPr>
                <w:rFonts w:ascii="Arial" w:cs="Arial" w:eastAsia="Arial" w:hAnsi="Arial"/>
                <w:sz w:val="14"/>
                <w:szCs w:val="14"/>
                <w:color w:val="auto"/>
              </w:rPr>
              <w:t>Single-family:</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7"/>
        </w:trPr>
        <w:tc>
          <w:tcPr>
            <w:tcW w:w="1760" w:type="dxa"/>
            <w:vAlign w:val="bottom"/>
            <w:gridSpan w:val="3"/>
          </w:tcPr>
          <w:p>
            <w:pPr>
              <w:ind w:left="180"/>
              <w:spacing w:after="0"/>
              <w:rPr>
                <w:sz w:val="20"/>
                <w:szCs w:val="20"/>
                <w:color w:val="auto"/>
              </w:rPr>
            </w:pPr>
            <w:r>
              <w:rPr>
                <w:rFonts w:ascii="Arial" w:cs="Arial" w:eastAsia="Arial" w:hAnsi="Arial"/>
                <w:sz w:val="14"/>
                <w:szCs w:val="14"/>
                <w:color w:val="auto"/>
              </w:rPr>
              <w:t>20- and 30-year or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8"/>
        </w:trPr>
        <w:tc>
          <w:tcPr>
            <w:tcW w:w="1760" w:type="dxa"/>
            <w:vAlign w:val="bottom"/>
            <w:gridSpan w:val="3"/>
          </w:tcPr>
          <w:p>
            <w:pPr>
              <w:ind w:left="320"/>
              <w:spacing w:after="0"/>
              <w:rPr>
                <w:sz w:val="20"/>
                <w:szCs w:val="20"/>
                <w:color w:val="auto"/>
              </w:rPr>
            </w:pPr>
            <w:r>
              <w:rPr>
                <w:rFonts w:ascii="Arial" w:cs="Arial" w:eastAsia="Arial" w:hAnsi="Arial"/>
                <w:sz w:val="14"/>
                <w:szCs w:val="14"/>
                <w:color w:val="auto"/>
              </w:rPr>
              <w:t>more, amortizing</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7"/>
        </w:trPr>
        <w:tc>
          <w:tcPr>
            <w:tcW w:w="1760" w:type="dxa"/>
            <w:vAlign w:val="bottom"/>
            <w:gridSpan w:val="3"/>
          </w:tcPr>
          <w:p>
            <w:pPr>
              <w:ind w:left="320"/>
              <w:spacing w:after="0"/>
              <w:rPr>
                <w:sz w:val="20"/>
                <w:szCs w:val="20"/>
                <w:color w:val="auto"/>
              </w:rPr>
            </w:pPr>
            <w:r>
              <w:rPr>
                <w:rFonts w:ascii="Arial" w:cs="Arial" w:eastAsia="Arial" w:hAnsi="Arial"/>
                <w:sz w:val="14"/>
                <w:szCs w:val="14"/>
                <w:color w:val="auto"/>
              </w:rPr>
              <w:t>fixed-rate</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27,891</w:t>
            </w:r>
          </w:p>
        </w:tc>
        <w:tc>
          <w:tcPr>
            <w:tcW w:w="24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6,774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19,990</w:t>
            </w:r>
          </w:p>
        </w:tc>
        <w:tc>
          <w:tcPr>
            <w:tcW w:w="260" w:type="dxa"/>
            <w:vAlign w:val="bottom"/>
            <w:gridSpan w:val="4"/>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54,655</w:t>
            </w:r>
          </w:p>
        </w:tc>
        <w:tc>
          <w:tcPr>
            <w:tcW w:w="320" w:type="dxa"/>
            <w:vAlign w:val="bottom"/>
            <w:gridSpan w:val="4"/>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3,092,199</w:t>
            </w:r>
          </w:p>
        </w:tc>
        <w:tc>
          <w:tcPr>
            <w:tcW w:w="36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3,146,854</w:t>
            </w:r>
          </w:p>
        </w:tc>
        <w:tc>
          <w:tcPr>
            <w:tcW w:w="280" w:type="dxa"/>
            <w:vAlign w:val="bottom"/>
            <w:gridSpan w:val="4"/>
          </w:tcPr>
          <w:p>
            <w:pPr>
              <w:ind w:left="1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13,257</w:t>
            </w:r>
          </w:p>
        </w:tc>
        <w:tc>
          <w:tcPr>
            <w:tcW w:w="26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3,254</w:t>
            </w:r>
          </w:p>
        </w:tc>
      </w:tr>
      <w:tr>
        <w:trPr>
          <w:trHeight w:val="277"/>
        </w:trPr>
        <w:tc>
          <w:tcPr>
            <w:tcW w:w="1760" w:type="dxa"/>
            <w:vAlign w:val="bottom"/>
            <w:gridSpan w:val="3"/>
          </w:tcPr>
          <w:p>
            <w:pPr>
              <w:ind w:left="180"/>
              <w:spacing w:after="0"/>
              <w:rPr>
                <w:sz w:val="20"/>
                <w:szCs w:val="20"/>
                <w:color w:val="auto"/>
              </w:rPr>
            </w:pPr>
            <w:r>
              <w:rPr>
                <w:rFonts w:ascii="Arial" w:cs="Arial" w:eastAsia="Arial" w:hAnsi="Arial"/>
                <w:sz w:val="14"/>
                <w:szCs w:val="14"/>
                <w:color w:val="auto"/>
              </w:rPr>
              <w:t>15-year or less,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7"/>
        </w:trPr>
        <w:tc>
          <w:tcPr>
            <w:tcW w:w="1760" w:type="dxa"/>
            <w:vAlign w:val="bottom"/>
            <w:gridSpan w:val="3"/>
          </w:tcPr>
          <w:p>
            <w:pPr>
              <w:ind w:left="320"/>
              <w:spacing w:after="0"/>
              <w:rPr>
                <w:sz w:val="20"/>
                <w:szCs w:val="20"/>
                <w:color w:val="auto"/>
              </w:rPr>
            </w:pPr>
            <w:r>
              <w:rPr>
                <w:rFonts w:ascii="Arial" w:cs="Arial" w:eastAsia="Arial" w:hAnsi="Arial"/>
                <w:sz w:val="14"/>
                <w:szCs w:val="14"/>
                <w:color w:val="auto"/>
              </w:rPr>
              <w:t>amortizing fixed-rate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1,902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800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3,016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488,452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491,468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297"/>
        </w:trPr>
        <w:tc>
          <w:tcPr>
            <w:tcW w:w="1760" w:type="dxa"/>
            <w:vAlign w:val="bottom"/>
            <w:gridSpan w:val="3"/>
          </w:tcPr>
          <w:p>
            <w:pPr>
              <w:ind w:left="180"/>
              <w:spacing w:after="0"/>
              <w:rPr>
                <w:sz w:val="20"/>
                <w:szCs w:val="20"/>
                <w:color w:val="auto"/>
              </w:rPr>
            </w:pPr>
            <w:r>
              <w:rPr>
                <w:rFonts w:ascii="Arial" w:cs="Arial" w:eastAsia="Arial" w:hAnsi="Arial"/>
                <w:sz w:val="14"/>
                <w:szCs w:val="14"/>
                <w:color w:val="auto"/>
              </w:rPr>
              <w:t>Adjustable-rate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127</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26,767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27,108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89"/>
        </w:trPr>
        <w:tc>
          <w:tcPr>
            <w:tcW w:w="1700" w:type="dxa"/>
            <w:vAlign w:val="bottom"/>
            <w:tcBorders>
              <w:bottom w:val="single" w:sz="8" w:color="2C6937"/>
            </w:tcBorders>
            <w:gridSpan w:val="2"/>
          </w:tcPr>
          <w:p>
            <w:pPr>
              <w:ind w:left="180"/>
              <w:spacing w:after="0"/>
              <w:rPr>
                <w:sz w:val="20"/>
                <w:szCs w:val="20"/>
                <w:color w:val="auto"/>
              </w:rPr>
            </w:pPr>
            <w:r>
              <w:rPr>
                <w:rFonts w:ascii="Arial" w:cs="Arial" w:eastAsia="Arial" w:hAnsi="Arial"/>
                <w:sz w:val="14"/>
                <w:szCs w:val="14"/>
                <w:color w:val="auto"/>
              </w:rPr>
              <w:t>Other</w:t>
            </w:r>
            <w:r>
              <w:rPr>
                <w:rFonts w:ascii="Arial" w:cs="Arial" w:eastAsia="Arial" w:hAnsi="Arial"/>
                <w:sz w:val="8"/>
                <w:szCs w:val="8"/>
                <w:color w:val="auto"/>
              </w:rPr>
              <w:t>(2)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660</w:t>
            </w:r>
          </w:p>
        </w:tc>
        <w:tc>
          <w:tcPr>
            <w:tcW w:w="40" w:type="dxa"/>
            <w:vAlign w:val="bottom"/>
            <w:tcBorders>
              <w:bottom w:val="single" w:sz="8" w:color="2C6937"/>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179</w:t>
            </w:r>
          </w:p>
        </w:tc>
        <w:tc>
          <w:tcPr>
            <w:tcW w:w="40" w:type="dxa"/>
            <w:vAlign w:val="bottom"/>
            <w:tcBorders>
              <w:bottom w:val="single" w:sz="8" w:color="2C6937"/>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898</w:t>
            </w:r>
          </w:p>
        </w:tc>
        <w:tc>
          <w:tcPr>
            <w:tcW w:w="40" w:type="dxa"/>
            <w:vAlign w:val="bottom"/>
            <w:tcBorders>
              <w:bottom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1,737</w:t>
            </w:r>
          </w:p>
        </w:tc>
        <w:tc>
          <w:tcPr>
            <w:tcW w:w="2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30,362</w:t>
            </w:r>
          </w:p>
        </w:tc>
        <w:tc>
          <w:tcPr>
            <w:tcW w:w="20" w:type="dxa"/>
            <w:vAlign w:val="bottom"/>
            <w:tcBorders>
              <w:bottom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32,099</w:t>
            </w:r>
          </w:p>
        </w:tc>
        <w:tc>
          <w:tcPr>
            <w:tcW w:w="2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424</w:t>
            </w:r>
          </w:p>
        </w:tc>
        <w:tc>
          <w:tcPr>
            <w:tcW w:w="2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324</w:t>
            </w:r>
          </w:p>
        </w:tc>
      </w:tr>
      <w:tr>
        <w:trPr>
          <w:trHeight w:val="284"/>
        </w:trPr>
        <w:tc>
          <w:tcPr>
            <w:tcW w:w="1760" w:type="dxa"/>
            <w:vAlign w:val="bottom"/>
            <w:gridSpan w:val="3"/>
          </w:tcPr>
          <w:p>
            <w:pPr>
              <w:ind w:left="20"/>
              <w:spacing w:after="0"/>
              <w:rPr>
                <w:sz w:val="20"/>
                <w:szCs w:val="20"/>
                <w:color w:val="auto"/>
              </w:rPr>
            </w:pPr>
            <w:r>
              <w:rPr>
                <w:rFonts w:ascii="Arial" w:cs="Arial" w:eastAsia="Arial" w:hAnsi="Arial"/>
                <w:sz w:val="14"/>
                <w:szCs w:val="14"/>
                <w:color w:val="auto"/>
              </w:rPr>
              <w:t>Total single-family</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30,629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7,305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21,815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59,749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3,637,780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3,697,529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14,437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3,684</w:t>
            </w:r>
          </w:p>
        </w:tc>
      </w:tr>
      <w:tr>
        <w:trPr>
          <w:trHeight w:val="308"/>
        </w:trPr>
        <w:tc>
          <w:tcPr>
            <w:tcW w:w="1700" w:type="dxa"/>
            <w:vAlign w:val="bottom"/>
            <w:tcBorders>
              <w:bottom w:val="single" w:sz="8" w:color="2C6937"/>
            </w:tcBorders>
            <w:gridSpan w:val="2"/>
          </w:tcPr>
          <w:p>
            <w:pPr>
              <w:ind w:left="20"/>
              <w:spacing w:after="0"/>
              <w:rPr>
                <w:sz w:val="20"/>
                <w:szCs w:val="20"/>
                <w:color w:val="auto"/>
              </w:rPr>
            </w:pPr>
            <w:r>
              <w:rPr>
                <w:rFonts w:ascii="Arial" w:cs="Arial" w:eastAsia="Arial" w:hAnsi="Arial"/>
                <w:sz w:val="14"/>
                <w:szCs w:val="14"/>
                <w:color w:val="auto"/>
              </w:rPr>
              <w:t>Multifamily</w:t>
            </w:r>
            <w:r>
              <w:rPr>
                <w:rFonts w:ascii="Arial" w:cs="Arial" w:eastAsia="Arial" w:hAnsi="Arial"/>
                <w:sz w:val="17"/>
                <w:szCs w:val="17"/>
                <w:color w:val="auto"/>
                <w:vertAlign w:val="superscript"/>
              </w:rPr>
              <w:t>(3)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173</w:t>
            </w:r>
          </w:p>
        </w:tc>
        <w:tc>
          <w:tcPr>
            <w:tcW w:w="40" w:type="dxa"/>
            <w:vAlign w:val="bottom"/>
            <w:tcBorders>
              <w:bottom w:val="single" w:sz="8" w:color="2C6937"/>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960" w:type="dxa"/>
            <w:vAlign w:val="bottom"/>
            <w:tcBorders>
              <w:bottom w:val="single" w:sz="8" w:color="2C6937"/>
            </w:tcBorders>
            <w:gridSpan w:val="2"/>
          </w:tcPr>
          <w:p>
            <w:pPr>
              <w:ind w:left="720"/>
              <w:spacing w:after="0"/>
              <w:rPr>
                <w:sz w:val="20"/>
                <w:szCs w:val="20"/>
                <w:color w:val="auto"/>
              </w:rPr>
            </w:pPr>
            <w:r>
              <w:rPr>
                <w:rFonts w:ascii="Arial" w:cs="Arial" w:eastAsia="Arial" w:hAnsi="Arial"/>
                <w:sz w:val="14"/>
                <w:szCs w:val="14"/>
                <w:color w:val="auto"/>
                <w:w w:val="94"/>
              </w:rPr>
              <w:t>N/A</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955</w:t>
            </w:r>
          </w:p>
        </w:tc>
        <w:tc>
          <w:tcPr>
            <w:tcW w:w="40" w:type="dxa"/>
            <w:vAlign w:val="bottom"/>
            <w:tcBorders>
              <w:bottom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1,128</w:t>
            </w:r>
          </w:p>
        </w:tc>
        <w:tc>
          <w:tcPr>
            <w:tcW w:w="2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431,094</w:t>
            </w:r>
          </w:p>
        </w:tc>
        <w:tc>
          <w:tcPr>
            <w:tcW w:w="20" w:type="dxa"/>
            <w:vAlign w:val="bottom"/>
            <w:tcBorders>
              <w:bottom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432,222</w:t>
            </w:r>
          </w:p>
        </w:tc>
        <w:tc>
          <w:tcPr>
            <w:tcW w:w="2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w:t>
            </w:r>
          </w:p>
        </w:tc>
        <w:tc>
          <w:tcPr>
            <w:tcW w:w="2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w:t>
            </w:r>
          </w:p>
        </w:tc>
      </w:tr>
      <w:tr>
        <w:trPr>
          <w:trHeight w:val="277"/>
        </w:trPr>
        <w:tc>
          <w:tcPr>
            <w:tcW w:w="1760" w:type="dxa"/>
            <w:vAlign w:val="bottom"/>
            <w:gridSpan w:val="3"/>
          </w:tcPr>
          <w:p>
            <w:pPr>
              <w:ind w:left="180"/>
              <w:spacing w:after="0"/>
              <w:rPr>
                <w:sz w:val="20"/>
                <w:szCs w:val="20"/>
                <w:color w:val="auto"/>
              </w:rPr>
            </w:pPr>
            <w:r>
              <w:rPr>
                <w:rFonts w:ascii="Arial" w:cs="Arial" w:eastAsia="Arial" w:hAnsi="Arial"/>
                <w:sz w:val="14"/>
                <w:szCs w:val="14"/>
                <w:color w:val="auto"/>
              </w:rPr>
              <w:t>Total</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30,802</w:t>
            </w:r>
          </w:p>
        </w:tc>
        <w:tc>
          <w:tcPr>
            <w:tcW w:w="24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7,305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22,770</w:t>
            </w:r>
          </w:p>
        </w:tc>
        <w:tc>
          <w:tcPr>
            <w:tcW w:w="260" w:type="dxa"/>
            <w:vAlign w:val="bottom"/>
            <w:gridSpan w:val="4"/>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60,877</w:t>
            </w:r>
          </w:p>
        </w:tc>
        <w:tc>
          <w:tcPr>
            <w:tcW w:w="320" w:type="dxa"/>
            <w:vAlign w:val="bottom"/>
            <w:gridSpan w:val="4"/>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4,068,874</w:t>
            </w:r>
          </w:p>
        </w:tc>
        <w:tc>
          <w:tcPr>
            <w:tcW w:w="36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4,129,751</w:t>
            </w:r>
          </w:p>
        </w:tc>
        <w:tc>
          <w:tcPr>
            <w:tcW w:w="280" w:type="dxa"/>
            <w:vAlign w:val="bottom"/>
            <w:gridSpan w:val="4"/>
          </w:tcPr>
          <w:p>
            <w:pPr>
              <w:ind w:left="1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14,448</w:t>
            </w:r>
          </w:p>
        </w:tc>
        <w:tc>
          <w:tcPr>
            <w:tcW w:w="26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3,697</w:t>
            </w:r>
          </w:p>
        </w:tc>
      </w:tr>
      <w:tr>
        <w:trPr>
          <w:trHeight w:val="20"/>
        </w:trPr>
        <w:tc>
          <w:tcPr>
            <w:tcW w:w="16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r>
    </w:tbl>
    <w:p>
      <w:pPr>
        <w:spacing w:after="0" w:line="123" w:lineRule="exact"/>
        <w:rPr>
          <w:sz w:val="20"/>
          <w:szCs w:val="20"/>
          <w:color w:val="auto"/>
        </w:rPr>
      </w:pPr>
    </w:p>
    <w:p>
      <w:pPr>
        <w:ind w:left="240" w:right="160" w:hanging="237"/>
        <w:spacing w:after="0" w:line="223" w:lineRule="auto"/>
        <w:tabs>
          <w:tab w:leader="none" w:pos="240" w:val="left"/>
        </w:tabs>
        <w:numPr>
          <w:ilvl w:val="0"/>
          <w:numId w:val="77"/>
        </w:numPr>
        <w:rPr>
          <w:rFonts w:ascii="Arial" w:cs="Arial" w:eastAsia="Arial" w:hAnsi="Arial"/>
          <w:sz w:val="18"/>
          <w:szCs w:val="18"/>
          <w:color w:val="auto"/>
          <w:vertAlign w:val="superscript"/>
        </w:rPr>
      </w:pPr>
      <w:r>
        <w:rPr>
          <w:rFonts w:ascii="Arial" w:cs="Arial" w:eastAsia="Arial" w:hAnsi="Arial"/>
          <w:sz w:val="14"/>
          <w:szCs w:val="14"/>
          <w:color w:val="auto"/>
        </w:rPr>
        <w:t>Single-family seriously delinquent loans are loans that are 90 days or more past due or in the foreclosure process. Multifamily seriously delinquent loans are loans that are 60 days or more past due.</w:t>
      </w:r>
    </w:p>
    <w:p>
      <w:pPr>
        <w:ind w:left="240" w:hanging="237"/>
        <w:spacing w:after="0"/>
        <w:tabs>
          <w:tab w:leader="none" w:pos="240" w:val="left"/>
        </w:tabs>
        <w:numPr>
          <w:ilvl w:val="0"/>
          <w:numId w:val="77"/>
        </w:numPr>
        <w:rPr>
          <w:rFonts w:ascii="Arial" w:cs="Arial" w:eastAsia="Arial" w:hAnsi="Arial"/>
          <w:sz w:val="18"/>
          <w:szCs w:val="18"/>
          <w:color w:val="auto"/>
          <w:vertAlign w:val="superscript"/>
        </w:rPr>
      </w:pPr>
      <w:r>
        <w:rPr>
          <w:rFonts w:ascii="Arial" w:cs="Arial" w:eastAsia="Arial" w:hAnsi="Arial"/>
          <w:sz w:val="14"/>
          <w:szCs w:val="14"/>
          <w:color w:val="auto"/>
        </w:rPr>
        <w:t>Reverse mortgage loans included in “Other” are not aged due to their nature and are included in the current column.</w:t>
      </w:r>
    </w:p>
    <w:p>
      <w:pPr>
        <w:spacing w:after="0" w:line="41" w:lineRule="exact"/>
        <w:rPr>
          <w:rFonts w:ascii="Arial" w:cs="Arial" w:eastAsia="Arial" w:hAnsi="Arial"/>
          <w:sz w:val="18"/>
          <w:szCs w:val="18"/>
          <w:color w:val="auto"/>
          <w:vertAlign w:val="superscript"/>
        </w:rPr>
      </w:pPr>
    </w:p>
    <w:p>
      <w:pPr>
        <w:ind w:left="240" w:hanging="237"/>
        <w:spacing w:after="0" w:line="190" w:lineRule="auto"/>
        <w:tabs>
          <w:tab w:leader="none" w:pos="240" w:val="left"/>
        </w:tabs>
        <w:numPr>
          <w:ilvl w:val="0"/>
          <w:numId w:val="77"/>
        </w:numPr>
        <w:rPr>
          <w:rFonts w:ascii="Arial" w:cs="Arial" w:eastAsia="Arial" w:hAnsi="Arial"/>
          <w:sz w:val="18"/>
          <w:szCs w:val="18"/>
          <w:color w:val="auto"/>
          <w:vertAlign w:val="superscript"/>
        </w:rPr>
      </w:pPr>
      <w:r>
        <w:rPr>
          <w:rFonts w:ascii="Arial" w:cs="Arial" w:eastAsia="Arial" w:hAnsi="Arial"/>
          <w:sz w:val="14"/>
          <w:szCs w:val="14"/>
          <w:color w:val="auto"/>
        </w:rPr>
        <w:t>Multifamily loans 60-89 days delinquent are included in the seriously delinquent column.</w:t>
      </w:r>
    </w:p>
    <w:p>
      <w:pPr>
        <w:spacing w:after="0" w:line="74"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Credit Quality Indicators and Write-offs by Year of Origination</w:t>
      </w:r>
    </w:p>
    <w:p>
      <w:pPr>
        <w:spacing w:after="0" w:line="95" w:lineRule="exact"/>
        <w:rPr>
          <w:sz w:val="20"/>
          <w:szCs w:val="20"/>
          <w:color w:val="auto"/>
        </w:rPr>
      </w:pPr>
    </w:p>
    <w:p>
      <w:pPr>
        <w:ind w:right="340"/>
        <w:spacing w:after="0" w:line="283" w:lineRule="auto"/>
        <w:rPr>
          <w:sz w:val="20"/>
          <w:szCs w:val="20"/>
          <w:color w:val="auto"/>
        </w:rPr>
      </w:pPr>
      <w:r>
        <w:rPr>
          <w:rFonts w:ascii="Arial" w:cs="Arial" w:eastAsia="Arial" w:hAnsi="Arial"/>
          <w:sz w:val="16"/>
          <w:szCs w:val="16"/>
          <w:color w:val="auto"/>
        </w:rPr>
        <w:t>The estimated mark-to-market loan-to-value (“LTV”) ratio is a primary factor we consider when estimating our allowance for loan losses for single-family loans. As a borrower’s LTV ratio increases, their equity in the home decreases,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358140</wp:posOffset>
            </wp:positionV>
            <wp:extent cx="681101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157480</wp:posOffset>
            </wp:positionV>
            <wp:extent cx="7164070" cy="419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type w:val="continuous"/>
        </w:sectPr>
      </w:pPr>
    </w:p>
    <w:bookmarkStart w:id="78" w:name="page79"/>
    <w:bookmarkEnd w:id="78"/>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15875</wp:posOffset>
            </wp:positionV>
            <wp:extent cx="70237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may negatively affect the borrower’s ability to refinance or to sell the property for an amount at or above the outstanding balance of the loan.</w:t>
      </w:r>
    </w:p>
    <w:p>
      <w:pPr>
        <w:spacing w:after="0" w:line="87"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The following tables display information about the credit quality of our single-family HFI loans, based on total amortized cost. Effective January 1, 2023, we adopted amendments to ASU 2022-02 that require us to disclose current-period gross write-offs by year of origination for financing receivables. As a result, for the period beginning January 1, 2023, the tables below includes current year write-offs of our single-family HFI mortgage loans by class of financing receivable and year of origination, excluding loans for which we have elected the fair value option.</w:t>
      </w:r>
    </w:p>
    <w:p>
      <w:pPr>
        <w:spacing w:after="0" w:line="177" w:lineRule="exact"/>
        <w:rPr>
          <w:sz w:val="20"/>
          <w:szCs w:val="20"/>
          <w:color w:val="auto"/>
        </w:rPr>
      </w:pPr>
    </w:p>
    <w:p>
      <w:pPr>
        <w:jc w:val="center"/>
        <w:ind w:left="3940"/>
        <w:spacing w:after="0"/>
        <w:rPr>
          <w:sz w:val="20"/>
          <w:szCs w:val="20"/>
          <w:color w:val="auto"/>
        </w:rPr>
      </w:pPr>
      <w:r>
        <w:rPr>
          <w:rFonts w:ascii="Arial" w:cs="Arial" w:eastAsia="Arial" w:hAnsi="Arial"/>
          <w:sz w:val="13"/>
          <w:szCs w:val="13"/>
          <w:b w:val="1"/>
          <w:bCs w:val="1"/>
          <w:color w:val="auto"/>
        </w:rPr>
        <w:t>Credit Quality Indicators as of June 30, 2023 and Write-offs For the Six Months Ended June 30, 2023, by Year of</w:t>
      </w:r>
    </w:p>
    <w:p>
      <w:pPr>
        <w:spacing w:after="0" w:line="26" w:lineRule="exact"/>
        <w:rPr>
          <w:sz w:val="20"/>
          <w:szCs w:val="20"/>
          <w:color w:val="auto"/>
        </w:rPr>
      </w:pPr>
    </w:p>
    <w:p>
      <w:pPr>
        <w:jc w:val="center"/>
        <w:ind w:left="3940"/>
        <w:spacing w:after="0"/>
        <w:rPr>
          <w:sz w:val="20"/>
          <w:szCs w:val="20"/>
          <w:color w:val="auto"/>
        </w:rPr>
      </w:pPr>
      <w:r>
        <w:rPr>
          <w:rFonts w:ascii="Arial" w:cs="Arial" w:eastAsia="Arial" w:hAnsi="Arial"/>
          <w:sz w:val="14"/>
          <w:szCs w:val="14"/>
          <w:b w:val="1"/>
          <w:bCs w:val="1"/>
          <w:color w:val="auto"/>
        </w:rPr>
        <w:t>Origination</w:t>
      </w:r>
      <w:r>
        <w:rPr>
          <w:rFonts w:ascii="Arial" w:cs="Arial" w:eastAsia="Arial" w:hAnsi="Arial"/>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2506980</wp:posOffset>
            </wp:positionH>
            <wp:positionV relativeFrom="paragraph">
              <wp:posOffset>635</wp:posOffset>
            </wp:positionV>
            <wp:extent cx="463359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633595" cy="8255"/>
                    </a:xfrm>
                    <a:prstGeom prst="rect">
                      <a:avLst/>
                    </a:prstGeom>
                    <a:noFill/>
                  </pic:spPr>
                </pic:pic>
              </a:graphicData>
            </a:graphic>
          </wp:anchor>
        </w:drawing>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24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ind w:right="2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Prior</w:t>
            </w:r>
          </w:p>
        </w:tc>
        <w:tc>
          <w:tcPr>
            <w:tcW w:w="12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275"/>
        </w:trPr>
        <w:tc>
          <w:tcPr>
            <w:tcW w:w="3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2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96"/>
              </w:rPr>
              <w:t>(Dollars in millions)</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10"/>
        </w:trPr>
        <w:tc>
          <w:tcPr>
            <w:tcW w:w="3940" w:type="dxa"/>
            <w:vAlign w:val="bottom"/>
            <w:gridSpan w:val="2"/>
          </w:tcPr>
          <w:p>
            <w:pPr>
              <w:ind w:left="20"/>
              <w:spacing w:after="0"/>
              <w:rPr>
                <w:sz w:val="20"/>
                <w:szCs w:val="20"/>
                <w:color w:val="auto"/>
              </w:rPr>
            </w:pPr>
            <w:r>
              <w:rPr>
                <w:rFonts w:ascii="Arial" w:cs="Arial" w:eastAsia="Arial" w:hAnsi="Arial"/>
                <w:sz w:val="12"/>
                <w:szCs w:val="12"/>
                <w:color w:val="auto"/>
              </w:rPr>
              <w:t>Estimated mark-to-market LTV ratio:</w:t>
            </w:r>
            <w:r>
              <w:rPr>
                <w:rFonts w:ascii="Arial" w:cs="Arial" w:eastAsia="Arial" w:hAnsi="Arial"/>
                <w:sz w:val="15"/>
                <w:szCs w:val="15"/>
                <w:color w:val="auto"/>
                <w:vertAlign w:val="superscript"/>
              </w:rPr>
              <w:t>(2)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7"/>
        </w:trPr>
        <w:tc>
          <w:tcPr>
            <w:tcW w:w="3940" w:type="dxa"/>
            <w:vAlign w:val="bottom"/>
            <w:gridSpan w:val="2"/>
          </w:tcPr>
          <w:p>
            <w:pPr>
              <w:ind w:left="180"/>
              <w:spacing w:after="0"/>
              <w:rPr>
                <w:sz w:val="20"/>
                <w:szCs w:val="20"/>
                <w:color w:val="auto"/>
              </w:rPr>
            </w:pPr>
            <w:r>
              <w:rPr>
                <w:rFonts w:ascii="Arial" w:cs="Arial" w:eastAsia="Arial" w:hAnsi="Arial"/>
                <w:sz w:val="12"/>
                <w:szCs w:val="12"/>
                <w:color w:val="auto"/>
              </w:rPr>
              <w:t>20- and 30-year or more, amortizing fixed-rate: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84"/>
        </w:trPr>
        <w:tc>
          <w:tcPr>
            <w:tcW w:w="394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70,043</w:t>
            </w: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308,622</w:t>
            </w: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903,688</w:t>
            </w:r>
          </w:p>
        </w:tc>
        <w:tc>
          <w:tcPr>
            <w:tcW w:w="36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793,746</w:t>
            </w:r>
          </w:p>
        </w:tc>
        <w:tc>
          <w:tcPr>
            <w:tcW w:w="3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142,716</w:t>
            </w:r>
          </w:p>
        </w:tc>
        <w:tc>
          <w:tcPr>
            <w:tcW w:w="3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684,941</w:t>
            </w: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2,903,756</w:t>
            </w:r>
          </w:p>
        </w:tc>
      </w:tr>
      <w:tr>
        <w:trPr>
          <w:trHeight w:val="284"/>
        </w:trPr>
        <w:tc>
          <w:tcPr>
            <w:tcW w:w="394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22,294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100,199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53,443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4,152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1,013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1,379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182,480</w:t>
            </w:r>
          </w:p>
        </w:tc>
      </w:tr>
      <w:tr>
        <w:trPr>
          <w:trHeight w:val="271"/>
        </w:trPr>
        <w:tc>
          <w:tcPr>
            <w:tcW w:w="394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30,563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51,485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4,932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760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110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255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88,105</w:t>
            </w:r>
          </w:p>
        </w:tc>
      </w:tr>
      <w:tr>
        <w:trPr>
          <w:trHeight w:val="279"/>
        </w:trPr>
        <w:tc>
          <w:tcPr>
            <w:tcW w:w="384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20</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834</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218</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ind w:right="20"/>
              <w:spacing w:after="0"/>
              <w:rPr>
                <w:sz w:val="20"/>
                <w:szCs w:val="20"/>
                <w:color w:val="auto"/>
              </w:rPr>
            </w:pPr>
            <w:r>
              <w:rPr>
                <w:rFonts w:ascii="Arial" w:cs="Arial" w:eastAsia="Arial" w:hAnsi="Arial"/>
                <w:sz w:val="12"/>
                <w:szCs w:val="12"/>
                <w:color w:val="auto"/>
              </w:rPr>
              <w:t>70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ind w:right="20"/>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207</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1,370</w:t>
            </w:r>
          </w:p>
        </w:tc>
      </w:tr>
      <w:tr>
        <w:trPr>
          <w:trHeight w:val="264"/>
        </w:trPr>
        <w:tc>
          <w:tcPr>
            <w:tcW w:w="384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20- and 30-year or more, amortizing fixed-rate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122,920</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461,140</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962,281</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ind w:right="20"/>
              <w:spacing w:after="0"/>
              <w:rPr>
                <w:sz w:val="20"/>
                <w:szCs w:val="20"/>
                <w:color w:val="auto"/>
              </w:rPr>
            </w:pPr>
            <w:r>
              <w:rPr>
                <w:rFonts w:ascii="Arial" w:cs="Arial" w:eastAsia="Arial" w:hAnsi="Arial"/>
                <w:sz w:val="12"/>
                <w:szCs w:val="12"/>
                <w:color w:val="auto"/>
              </w:rPr>
              <w:t>798,728</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ind w:right="20"/>
              <w:spacing w:after="0"/>
              <w:rPr>
                <w:sz w:val="20"/>
                <w:szCs w:val="20"/>
                <w:color w:val="auto"/>
              </w:rPr>
            </w:pPr>
            <w:r>
              <w:rPr>
                <w:rFonts w:ascii="Arial" w:cs="Arial" w:eastAsia="Arial" w:hAnsi="Arial"/>
                <w:sz w:val="12"/>
                <w:szCs w:val="12"/>
                <w:color w:val="auto"/>
              </w:rPr>
              <w:t>143,860</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686,782</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3,175,711</w:t>
            </w:r>
          </w:p>
        </w:tc>
      </w:tr>
      <w:tr>
        <w:trPr>
          <w:trHeight w:val="165"/>
        </w:trPr>
        <w:tc>
          <w:tcPr>
            <w:tcW w:w="3940" w:type="dxa"/>
            <w:vAlign w:val="bottom"/>
            <w:gridSpan w:val="2"/>
          </w:tcPr>
          <w:p>
            <w:pPr>
              <w:ind w:left="320"/>
              <w:spacing w:after="0"/>
              <w:rPr>
                <w:sz w:val="20"/>
                <w:szCs w:val="20"/>
                <w:color w:val="auto"/>
              </w:rPr>
            </w:pPr>
            <w:r>
              <w:rPr>
                <w:rFonts w:ascii="Arial" w:cs="Arial" w:eastAsia="Arial" w:hAnsi="Arial"/>
                <w:sz w:val="12"/>
                <w:szCs w:val="12"/>
                <w:color w:val="auto"/>
              </w:rPr>
              <w:t>Current-year 20- and 30-year or more,</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55"/>
        </w:trPr>
        <w:tc>
          <w:tcPr>
            <w:tcW w:w="3940" w:type="dxa"/>
            <w:vAlign w:val="bottom"/>
            <w:gridSpan w:val="2"/>
          </w:tcPr>
          <w:p>
            <w:pPr>
              <w:ind w:left="500"/>
              <w:spacing w:after="0"/>
              <w:rPr>
                <w:sz w:val="20"/>
                <w:szCs w:val="20"/>
                <w:color w:val="auto"/>
              </w:rPr>
            </w:pPr>
            <w:r>
              <w:rPr>
                <w:rFonts w:ascii="Arial" w:cs="Arial" w:eastAsia="Arial" w:hAnsi="Arial"/>
                <w:sz w:val="12"/>
                <w:szCs w:val="12"/>
                <w:color w:val="auto"/>
              </w:rPr>
              <w:t>amortizing fixed-rate write-offs</w:t>
            </w: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9</w:t>
            </w: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20</w:t>
            </w:r>
          </w:p>
        </w:tc>
        <w:tc>
          <w:tcPr>
            <w:tcW w:w="36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12</w:t>
            </w:r>
          </w:p>
        </w:tc>
        <w:tc>
          <w:tcPr>
            <w:tcW w:w="3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6</w:t>
            </w:r>
          </w:p>
        </w:tc>
        <w:tc>
          <w:tcPr>
            <w:tcW w:w="3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33</w:t>
            </w: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80</w:t>
            </w:r>
          </w:p>
        </w:tc>
      </w:tr>
      <w:tr>
        <w:trPr>
          <w:trHeight w:val="271"/>
        </w:trPr>
        <w:tc>
          <w:tcPr>
            <w:tcW w:w="3940" w:type="dxa"/>
            <w:vAlign w:val="bottom"/>
            <w:gridSpan w:val="2"/>
          </w:tcPr>
          <w:p>
            <w:pPr>
              <w:ind w:left="180"/>
              <w:spacing w:after="0"/>
              <w:rPr>
                <w:sz w:val="20"/>
                <w:szCs w:val="20"/>
                <w:color w:val="auto"/>
              </w:rPr>
            </w:pPr>
            <w:r>
              <w:rPr>
                <w:rFonts w:ascii="Arial" w:cs="Arial" w:eastAsia="Arial" w:hAnsi="Arial"/>
                <w:sz w:val="12"/>
                <w:szCs w:val="12"/>
                <w:color w:val="auto"/>
              </w:rPr>
              <w:t>15-year or less, amortizing fixed-rate:</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84"/>
        </w:trPr>
        <w:tc>
          <w:tcPr>
            <w:tcW w:w="394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4,075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37,021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175,317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125,822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18,623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96,878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457,736</w:t>
            </w:r>
          </w:p>
        </w:tc>
      </w:tr>
      <w:tr>
        <w:trPr>
          <w:trHeight w:val="271"/>
        </w:trPr>
        <w:tc>
          <w:tcPr>
            <w:tcW w:w="394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281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1,010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126</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1,432</w:t>
            </w:r>
          </w:p>
        </w:tc>
      </w:tr>
      <w:tr>
        <w:trPr>
          <w:trHeight w:val="271"/>
        </w:trPr>
        <w:tc>
          <w:tcPr>
            <w:tcW w:w="394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175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324</w:t>
            </w:r>
          </w:p>
        </w:tc>
      </w:tr>
      <w:tr>
        <w:trPr>
          <w:trHeight w:val="271"/>
        </w:trPr>
        <w:tc>
          <w:tcPr>
            <w:tcW w:w="3940" w:type="dxa"/>
            <w:vAlign w:val="bottom"/>
            <w:gridSpan w:val="2"/>
          </w:tcPr>
          <w:p>
            <w:pPr>
              <w:ind w:left="320"/>
              <w:spacing w:after="0"/>
              <w:rPr>
                <w:sz w:val="20"/>
                <w:szCs w:val="20"/>
                <w:color w:val="auto"/>
              </w:rPr>
            </w:pPr>
            <w:r>
              <w:rPr>
                <w:rFonts w:ascii="Arial" w:cs="Arial" w:eastAsia="Arial" w:hAnsi="Arial"/>
                <w:sz w:val="12"/>
                <w:szCs w:val="12"/>
                <w:color w:val="auto"/>
              </w:rPr>
              <w:t>Greater than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28"/>
        </w:trPr>
        <w:tc>
          <w:tcPr>
            <w:tcW w:w="38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00" w:type="dxa"/>
            <w:vAlign w:val="bottom"/>
            <w:tcBorders>
              <w:bottom w:val="single" w:sz="8" w:color="2C6937"/>
            </w:tcBorders>
          </w:tcPr>
          <w:p>
            <w:pPr>
              <w:spacing w:after="0"/>
              <w:rPr>
                <w:sz w:val="2"/>
                <w:szCs w:val="2"/>
                <w:color w:val="auto"/>
              </w:rPr>
            </w:pPr>
          </w:p>
        </w:tc>
        <w:tc>
          <w:tcPr>
            <w:tcW w:w="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r>
      <w:tr>
        <w:trPr>
          <w:trHeight w:val="257"/>
        </w:trPr>
        <w:tc>
          <w:tcPr>
            <w:tcW w:w="384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15-year or less, amortizing fixed-rate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4,531</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38,174</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175,447</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ind w:right="20"/>
              <w:spacing w:after="0"/>
              <w:rPr>
                <w:sz w:val="20"/>
                <w:szCs w:val="20"/>
                <w:color w:val="auto"/>
              </w:rPr>
            </w:pPr>
            <w:r>
              <w:rPr>
                <w:rFonts w:ascii="Arial" w:cs="Arial" w:eastAsia="Arial" w:hAnsi="Arial"/>
                <w:sz w:val="12"/>
                <w:szCs w:val="12"/>
                <w:color w:val="auto"/>
              </w:rPr>
              <w:t>125,835</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ind w:right="20"/>
              <w:spacing w:after="0"/>
              <w:rPr>
                <w:sz w:val="20"/>
                <w:szCs w:val="20"/>
                <w:color w:val="auto"/>
              </w:rPr>
            </w:pPr>
            <w:r>
              <w:rPr>
                <w:rFonts w:ascii="Arial" w:cs="Arial" w:eastAsia="Arial" w:hAnsi="Arial"/>
                <w:sz w:val="12"/>
                <w:szCs w:val="12"/>
                <w:color w:val="auto"/>
              </w:rPr>
              <w:t>18,624</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96,882</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459,493</w:t>
            </w:r>
          </w:p>
        </w:tc>
      </w:tr>
      <w:tr>
        <w:trPr>
          <w:trHeight w:val="154"/>
        </w:trPr>
        <w:tc>
          <w:tcPr>
            <w:tcW w:w="3940" w:type="dxa"/>
            <w:vAlign w:val="bottom"/>
            <w:gridSpan w:val="2"/>
          </w:tcPr>
          <w:p>
            <w:pPr>
              <w:ind w:left="320"/>
              <w:spacing w:after="0"/>
              <w:rPr>
                <w:sz w:val="20"/>
                <w:szCs w:val="20"/>
                <w:color w:val="auto"/>
              </w:rPr>
            </w:pPr>
            <w:r>
              <w:rPr>
                <w:rFonts w:ascii="Arial" w:cs="Arial" w:eastAsia="Arial" w:hAnsi="Arial"/>
                <w:sz w:val="12"/>
                <w:szCs w:val="12"/>
                <w:color w:val="auto"/>
              </w:rPr>
              <w:t>Current-year 15-year or less, amortizing</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6"/>
        </w:trPr>
        <w:tc>
          <w:tcPr>
            <w:tcW w:w="3940" w:type="dxa"/>
            <w:vAlign w:val="bottom"/>
            <w:gridSpan w:val="2"/>
          </w:tcPr>
          <w:p>
            <w:pPr>
              <w:ind w:left="500"/>
              <w:spacing w:after="0"/>
              <w:rPr>
                <w:sz w:val="20"/>
                <w:szCs w:val="20"/>
                <w:color w:val="auto"/>
              </w:rPr>
            </w:pPr>
            <w:r>
              <w:rPr>
                <w:rFonts w:ascii="Arial" w:cs="Arial" w:eastAsia="Arial" w:hAnsi="Arial"/>
                <w:sz w:val="12"/>
                <w:szCs w:val="12"/>
                <w:color w:val="auto"/>
              </w:rPr>
              <w:t>fixed-rate write-offs</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258"/>
        </w:trPr>
        <w:tc>
          <w:tcPr>
            <w:tcW w:w="3940" w:type="dxa"/>
            <w:vAlign w:val="bottom"/>
            <w:gridSpan w:val="2"/>
          </w:tcPr>
          <w:p>
            <w:pPr>
              <w:ind w:left="180"/>
              <w:spacing w:after="0"/>
              <w:rPr>
                <w:sz w:val="20"/>
                <w:szCs w:val="20"/>
                <w:color w:val="auto"/>
              </w:rPr>
            </w:pPr>
            <w:r>
              <w:rPr>
                <w:rFonts w:ascii="Arial" w:cs="Arial" w:eastAsia="Arial" w:hAnsi="Arial"/>
                <w:sz w:val="12"/>
                <w:szCs w:val="12"/>
                <w:color w:val="auto"/>
              </w:rPr>
              <w:t>Adjustable-rate:</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4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976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4,518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6,192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1,761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764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10,866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25,077</w:t>
            </w:r>
          </w:p>
        </w:tc>
      </w:tr>
      <w:tr>
        <w:trPr>
          <w:trHeight w:val="284"/>
        </w:trPr>
        <w:tc>
          <w:tcPr>
            <w:tcW w:w="394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298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1,137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1,580</w:t>
            </w:r>
          </w:p>
        </w:tc>
      </w:tr>
      <w:tr>
        <w:trPr>
          <w:trHeight w:val="271"/>
        </w:trPr>
        <w:tc>
          <w:tcPr>
            <w:tcW w:w="394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434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650</w:t>
            </w:r>
          </w:p>
        </w:tc>
      </w:tr>
      <w:tr>
        <w:trPr>
          <w:trHeight w:val="279"/>
        </w:trPr>
        <w:tc>
          <w:tcPr>
            <w:tcW w:w="384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w:t>
            </w:r>
          </w:p>
        </w:tc>
      </w:tr>
      <w:tr>
        <w:trPr>
          <w:trHeight w:val="264"/>
        </w:trPr>
        <w:tc>
          <w:tcPr>
            <w:tcW w:w="384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adjustable-rate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1,479</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6,091</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6,336</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ind w:right="20"/>
              <w:spacing w:after="0"/>
              <w:rPr>
                <w:sz w:val="20"/>
                <w:szCs w:val="20"/>
                <w:color w:val="auto"/>
              </w:rPr>
            </w:pPr>
            <w:r>
              <w:rPr>
                <w:rFonts w:ascii="Arial" w:cs="Arial" w:eastAsia="Arial" w:hAnsi="Arial"/>
                <w:sz w:val="12"/>
                <w:szCs w:val="12"/>
                <w:color w:val="auto"/>
              </w:rPr>
              <w:t>1,769</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ind w:right="20"/>
              <w:spacing w:after="0"/>
              <w:rPr>
                <w:sz w:val="20"/>
                <w:szCs w:val="20"/>
                <w:color w:val="auto"/>
              </w:rPr>
            </w:pPr>
            <w:r>
              <w:rPr>
                <w:rFonts w:ascii="Arial" w:cs="Arial" w:eastAsia="Arial" w:hAnsi="Arial"/>
                <w:sz w:val="12"/>
                <w:szCs w:val="12"/>
                <w:color w:val="auto"/>
              </w:rPr>
              <w:t>765</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10,870</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27,310</w:t>
            </w:r>
          </w:p>
        </w:tc>
      </w:tr>
      <w:tr>
        <w:trPr>
          <w:trHeight w:val="178"/>
        </w:trPr>
        <w:tc>
          <w:tcPr>
            <w:tcW w:w="3940" w:type="dxa"/>
            <w:vAlign w:val="bottom"/>
            <w:gridSpan w:val="2"/>
          </w:tcPr>
          <w:p>
            <w:pPr>
              <w:ind w:left="320"/>
              <w:spacing w:after="0"/>
              <w:rPr>
                <w:sz w:val="20"/>
                <w:szCs w:val="20"/>
                <w:color w:val="auto"/>
              </w:rPr>
            </w:pPr>
            <w:r>
              <w:rPr>
                <w:rFonts w:ascii="Arial" w:cs="Arial" w:eastAsia="Arial" w:hAnsi="Arial"/>
                <w:sz w:val="12"/>
                <w:szCs w:val="12"/>
                <w:color w:val="auto"/>
              </w:rPr>
              <w:t>Current-year adjustable-rate write-offs</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71"/>
        </w:trPr>
        <w:tc>
          <w:tcPr>
            <w:tcW w:w="3940" w:type="dxa"/>
            <w:vAlign w:val="bottom"/>
            <w:gridSpan w:val="2"/>
          </w:tcPr>
          <w:p>
            <w:pPr>
              <w:ind w:left="180"/>
              <w:spacing w:after="0"/>
              <w:rPr>
                <w:sz w:val="20"/>
                <w:szCs w:val="20"/>
                <w:color w:val="auto"/>
              </w:rPr>
            </w:pPr>
            <w:r>
              <w:rPr>
                <w:rFonts w:ascii="Arial" w:cs="Arial" w:eastAsia="Arial" w:hAnsi="Arial"/>
                <w:sz w:val="12"/>
                <w:szCs w:val="12"/>
                <w:color w:val="auto"/>
              </w:rPr>
              <w:t>Other:</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84"/>
        </w:trPr>
        <w:tc>
          <w:tcPr>
            <w:tcW w:w="394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28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20,910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20,938</w:t>
            </w:r>
          </w:p>
        </w:tc>
      </w:tr>
      <w:tr>
        <w:trPr>
          <w:trHeight w:val="271"/>
        </w:trPr>
        <w:tc>
          <w:tcPr>
            <w:tcW w:w="394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107</w:t>
            </w:r>
          </w:p>
        </w:tc>
      </w:tr>
      <w:tr>
        <w:trPr>
          <w:trHeight w:val="271"/>
        </w:trPr>
        <w:tc>
          <w:tcPr>
            <w:tcW w:w="394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50</w:t>
            </w:r>
          </w:p>
        </w:tc>
      </w:tr>
      <w:tr>
        <w:trPr>
          <w:trHeight w:val="271"/>
        </w:trPr>
        <w:tc>
          <w:tcPr>
            <w:tcW w:w="3940" w:type="dxa"/>
            <w:vAlign w:val="bottom"/>
            <w:gridSpan w:val="2"/>
          </w:tcPr>
          <w:p>
            <w:pPr>
              <w:ind w:left="320"/>
              <w:spacing w:after="0"/>
              <w:rPr>
                <w:sz w:val="20"/>
                <w:szCs w:val="20"/>
                <w:color w:val="auto"/>
              </w:rPr>
            </w:pPr>
            <w:r>
              <w:rPr>
                <w:rFonts w:ascii="Arial" w:cs="Arial" w:eastAsia="Arial" w:hAnsi="Arial"/>
                <w:sz w:val="12"/>
                <w:szCs w:val="12"/>
                <w:color w:val="auto"/>
              </w:rPr>
              <w:t>Greater than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49</w:t>
            </w:r>
          </w:p>
        </w:tc>
      </w:tr>
      <w:tr>
        <w:trPr>
          <w:trHeight w:val="28"/>
        </w:trPr>
        <w:tc>
          <w:tcPr>
            <w:tcW w:w="38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00" w:type="dxa"/>
            <w:vAlign w:val="bottom"/>
            <w:tcBorders>
              <w:bottom w:val="single" w:sz="8" w:color="2C6937"/>
            </w:tcBorders>
          </w:tcPr>
          <w:p>
            <w:pPr>
              <w:spacing w:after="0"/>
              <w:rPr>
                <w:sz w:val="2"/>
                <w:szCs w:val="2"/>
                <w:color w:val="auto"/>
              </w:rPr>
            </w:pPr>
          </w:p>
        </w:tc>
        <w:tc>
          <w:tcPr>
            <w:tcW w:w="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r>
      <w:tr>
        <w:trPr>
          <w:trHeight w:val="235"/>
        </w:trPr>
        <w:tc>
          <w:tcPr>
            <w:tcW w:w="3940" w:type="dxa"/>
            <w:vAlign w:val="bottom"/>
            <w:gridSpan w:val="2"/>
          </w:tcPr>
          <w:p>
            <w:pPr>
              <w:ind w:left="180"/>
              <w:spacing w:after="0"/>
              <w:rPr>
                <w:sz w:val="20"/>
                <w:szCs w:val="20"/>
                <w:color w:val="auto"/>
              </w:rPr>
            </w:pPr>
            <w:r>
              <w:rPr>
                <w:rFonts w:ascii="Arial" w:cs="Arial" w:eastAsia="Arial" w:hAnsi="Arial"/>
                <w:sz w:val="12"/>
                <w:szCs w:val="12"/>
                <w:color w:val="auto"/>
              </w:rPr>
              <w:t>Total other</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21,116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21,144</w:t>
            </w:r>
          </w:p>
        </w:tc>
      </w:tr>
      <w:tr>
        <w:trPr>
          <w:trHeight w:val="28"/>
        </w:trPr>
        <w:tc>
          <w:tcPr>
            <w:tcW w:w="38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00" w:type="dxa"/>
            <w:vAlign w:val="bottom"/>
            <w:tcBorders>
              <w:bottom w:val="single" w:sz="8" w:color="2C6937"/>
            </w:tcBorders>
          </w:tcPr>
          <w:p>
            <w:pPr>
              <w:spacing w:after="0"/>
              <w:rPr>
                <w:sz w:val="2"/>
                <w:szCs w:val="2"/>
                <w:color w:val="auto"/>
              </w:rPr>
            </w:pPr>
          </w:p>
        </w:tc>
        <w:tc>
          <w:tcPr>
            <w:tcW w:w="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r>
      <w:tr>
        <w:trPr>
          <w:trHeight w:val="171"/>
        </w:trPr>
        <w:tc>
          <w:tcPr>
            <w:tcW w:w="3940" w:type="dxa"/>
            <w:vAlign w:val="bottom"/>
            <w:gridSpan w:val="2"/>
          </w:tcPr>
          <w:p>
            <w:pPr>
              <w:ind w:left="320"/>
              <w:spacing w:after="0"/>
              <w:rPr>
                <w:sz w:val="20"/>
                <w:szCs w:val="20"/>
                <w:color w:val="auto"/>
              </w:rPr>
            </w:pPr>
            <w:r>
              <w:rPr>
                <w:rFonts w:ascii="Arial" w:cs="Arial" w:eastAsia="Arial" w:hAnsi="Arial"/>
                <w:sz w:val="12"/>
                <w:szCs w:val="12"/>
                <w:color w:val="auto"/>
              </w:rPr>
              <w:t>Current-year other write-offs</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414"/>
        </w:trPr>
        <w:tc>
          <w:tcPr>
            <w:tcW w:w="3940" w:type="dxa"/>
            <w:vAlign w:val="bottom"/>
            <w:gridSpan w:val="2"/>
          </w:tcPr>
          <w:p>
            <w:pPr>
              <w:ind w:left="20"/>
              <w:spacing w:after="0"/>
              <w:rPr>
                <w:sz w:val="20"/>
                <w:szCs w:val="20"/>
                <w:color w:val="auto"/>
              </w:rPr>
            </w:pPr>
            <w:r>
              <w:rPr>
                <w:rFonts w:ascii="Arial" w:cs="Arial" w:eastAsia="Arial" w:hAnsi="Arial"/>
                <w:sz w:val="12"/>
                <w:szCs w:val="12"/>
                <w:color w:val="auto"/>
              </w:rPr>
              <w:t>Total for all classes by LTV ratio:</w:t>
            </w:r>
            <w:r>
              <w:rPr>
                <w:rFonts w:ascii="Arial" w:cs="Arial" w:eastAsia="Arial" w:hAnsi="Arial"/>
                <w:sz w:val="15"/>
                <w:szCs w:val="15"/>
                <w:color w:val="auto"/>
                <w:vertAlign w:val="superscript"/>
              </w:rPr>
              <w:t>(2)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0"/>
        </w:trPr>
        <w:tc>
          <w:tcPr>
            <w:tcW w:w="3940" w:type="dxa"/>
            <w:vAlign w:val="bottom"/>
            <w:gridSpan w:val="2"/>
          </w:tcPr>
          <w:p>
            <w:pPr>
              <w:ind w:left="18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75,094</w:t>
            </w: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350,161</w:t>
            </w: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1,085,197</w:t>
            </w:r>
          </w:p>
        </w:tc>
        <w:tc>
          <w:tcPr>
            <w:tcW w:w="36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921,329</w:t>
            </w:r>
          </w:p>
        </w:tc>
        <w:tc>
          <w:tcPr>
            <w:tcW w:w="3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162,131</w:t>
            </w:r>
          </w:p>
        </w:tc>
        <w:tc>
          <w:tcPr>
            <w:tcW w:w="3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813,595</w:t>
            </w: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3,407,507</w:t>
            </w:r>
          </w:p>
        </w:tc>
      </w:tr>
      <w:tr>
        <w:trPr>
          <w:trHeight w:val="271"/>
        </w:trPr>
        <w:tc>
          <w:tcPr>
            <w:tcW w:w="3940" w:type="dxa"/>
            <w:vAlign w:val="bottom"/>
            <w:gridSpan w:val="2"/>
          </w:tcPr>
          <w:p>
            <w:pPr>
              <w:ind w:left="18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22,873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102,346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53,702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4,171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1,015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1,492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185,599</w:t>
            </w:r>
          </w:p>
        </w:tc>
      </w:tr>
      <w:tr>
        <w:trPr>
          <w:trHeight w:val="271"/>
        </w:trPr>
        <w:tc>
          <w:tcPr>
            <w:tcW w:w="3940" w:type="dxa"/>
            <w:vAlign w:val="bottom"/>
            <w:gridSpan w:val="2"/>
          </w:tcPr>
          <w:p>
            <w:pPr>
              <w:ind w:left="18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30,943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52,062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4,946</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762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110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306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89,129</w:t>
            </w:r>
          </w:p>
        </w:tc>
      </w:tr>
      <w:tr>
        <w:trPr>
          <w:trHeight w:val="292"/>
        </w:trPr>
        <w:tc>
          <w:tcPr>
            <w:tcW w:w="384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20</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836</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219</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ind w:right="20"/>
              <w:spacing w:after="0"/>
              <w:rPr>
                <w:sz w:val="20"/>
                <w:szCs w:val="20"/>
                <w:color w:val="auto"/>
              </w:rPr>
            </w:pPr>
            <w:r>
              <w:rPr>
                <w:rFonts w:ascii="Arial" w:cs="Arial" w:eastAsia="Arial" w:hAnsi="Arial"/>
                <w:sz w:val="12"/>
                <w:szCs w:val="12"/>
                <w:color w:val="auto"/>
              </w:rPr>
              <w:t>70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ind w:right="20"/>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257</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1,423</w:t>
            </w:r>
          </w:p>
        </w:tc>
      </w:tr>
      <w:tr>
        <w:trPr>
          <w:trHeight w:val="264"/>
        </w:trPr>
        <w:tc>
          <w:tcPr>
            <w:tcW w:w="384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Total</w:t>
            </w:r>
          </w:p>
        </w:tc>
        <w:tc>
          <w:tcPr>
            <w:tcW w:w="100" w:type="dxa"/>
            <w:vAlign w:val="bottom"/>
          </w:tcPr>
          <w:p>
            <w:pPr>
              <w:spacing w:after="0"/>
              <w:rPr>
                <w:sz w:val="22"/>
                <w:szCs w:val="22"/>
                <w:color w:val="auto"/>
              </w:rPr>
            </w:pPr>
          </w:p>
        </w:tc>
        <w:tc>
          <w:tcPr>
            <w:tcW w:w="200" w:type="dxa"/>
            <w:vAlign w:val="bottom"/>
            <w:tcBorders>
              <w:bottom w:val="single" w:sz="8" w:color="2C6937"/>
            </w:tcBorders>
          </w:tcPr>
          <w:p>
            <w:pPr>
              <w:jc w:val="right"/>
              <w:ind w:right="4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128,930</w:t>
            </w:r>
          </w:p>
        </w:tc>
        <w:tc>
          <w:tcPr>
            <w:tcW w:w="120" w:type="dxa"/>
            <w:vAlign w:val="bottom"/>
          </w:tcPr>
          <w:p>
            <w:pPr>
              <w:spacing w:after="0"/>
              <w:rPr>
                <w:sz w:val="22"/>
                <w:szCs w:val="22"/>
                <w:color w:val="auto"/>
              </w:rPr>
            </w:pPr>
          </w:p>
        </w:tc>
        <w:tc>
          <w:tcPr>
            <w:tcW w:w="200" w:type="dxa"/>
            <w:vAlign w:val="bottom"/>
            <w:tcBorders>
              <w:bottom w:val="single" w:sz="8" w:color="2C6937"/>
            </w:tcBorders>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505,405</w:t>
            </w:r>
          </w:p>
        </w:tc>
        <w:tc>
          <w:tcPr>
            <w:tcW w:w="120" w:type="dxa"/>
            <w:vAlign w:val="bottom"/>
          </w:tcPr>
          <w:p>
            <w:pPr>
              <w:spacing w:after="0"/>
              <w:rPr>
                <w:sz w:val="22"/>
                <w:szCs w:val="22"/>
                <w:color w:val="auto"/>
              </w:rPr>
            </w:pPr>
          </w:p>
        </w:tc>
        <w:tc>
          <w:tcPr>
            <w:tcW w:w="200" w:type="dxa"/>
            <w:vAlign w:val="bottom"/>
            <w:tcBorders>
              <w:bottom w:val="single" w:sz="8" w:color="2C6937"/>
            </w:tcBorders>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1,144,064</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2C6937"/>
            </w:tcBorders>
          </w:tcPr>
          <w:p>
            <w:pPr>
              <w:jc w:val="right"/>
              <w:ind w:right="20"/>
              <w:spacing w:after="0"/>
              <w:rPr>
                <w:sz w:val="20"/>
                <w:szCs w:val="20"/>
                <w:color w:val="auto"/>
              </w:rPr>
            </w:pPr>
            <w:r>
              <w:rPr>
                <w:rFonts w:ascii="Arial" w:cs="Arial" w:eastAsia="Arial" w:hAnsi="Arial"/>
                <w:sz w:val="12"/>
                <w:szCs w:val="12"/>
                <w:color w:val="auto"/>
              </w:rPr>
              <w:t>926,332</w:t>
            </w:r>
          </w:p>
        </w:tc>
        <w:tc>
          <w:tcPr>
            <w:tcW w:w="100" w:type="dxa"/>
            <w:vAlign w:val="bottom"/>
          </w:tcPr>
          <w:p>
            <w:pPr>
              <w:spacing w:after="0"/>
              <w:rPr>
                <w:sz w:val="22"/>
                <w:szCs w:val="22"/>
                <w:color w:val="auto"/>
              </w:rPr>
            </w:pPr>
          </w:p>
        </w:tc>
        <w:tc>
          <w:tcPr>
            <w:tcW w:w="200" w:type="dxa"/>
            <w:vAlign w:val="bottom"/>
            <w:tcBorders>
              <w:bottom w:val="single" w:sz="8" w:color="2C6937"/>
            </w:tcBorders>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2C6937"/>
            </w:tcBorders>
          </w:tcPr>
          <w:p>
            <w:pPr>
              <w:jc w:val="right"/>
              <w:ind w:right="20"/>
              <w:spacing w:after="0"/>
              <w:rPr>
                <w:sz w:val="20"/>
                <w:szCs w:val="20"/>
                <w:color w:val="auto"/>
              </w:rPr>
            </w:pPr>
            <w:r>
              <w:rPr>
                <w:rFonts w:ascii="Arial" w:cs="Arial" w:eastAsia="Arial" w:hAnsi="Arial"/>
                <w:sz w:val="12"/>
                <w:szCs w:val="12"/>
                <w:color w:val="auto"/>
              </w:rPr>
              <w:t>163,277</w:t>
            </w:r>
          </w:p>
        </w:tc>
        <w:tc>
          <w:tcPr>
            <w:tcW w:w="100" w:type="dxa"/>
            <w:vAlign w:val="bottom"/>
          </w:tcPr>
          <w:p>
            <w:pPr>
              <w:spacing w:after="0"/>
              <w:rPr>
                <w:sz w:val="22"/>
                <w:szCs w:val="22"/>
                <w:color w:val="auto"/>
              </w:rPr>
            </w:pPr>
          </w:p>
        </w:tc>
        <w:tc>
          <w:tcPr>
            <w:tcW w:w="200" w:type="dxa"/>
            <w:vAlign w:val="bottom"/>
            <w:tcBorders>
              <w:bottom w:val="single" w:sz="8" w:color="2C6937"/>
            </w:tcBorders>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815,650</w:t>
            </w:r>
          </w:p>
        </w:tc>
        <w:tc>
          <w:tcPr>
            <w:tcW w:w="120" w:type="dxa"/>
            <w:vAlign w:val="bottom"/>
          </w:tcPr>
          <w:p>
            <w:pPr>
              <w:spacing w:after="0"/>
              <w:rPr>
                <w:sz w:val="22"/>
                <w:szCs w:val="22"/>
                <w:color w:val="auto"/>
              </w:rPr>
            </w:pPr>
          </w:p>
        </w:tc>
        <w:tc>
          <w:tcPr>
            <w:tcW w:w="200" w:type="dxa"/>
            <w:vAlign w:val="bottom"/>
            <w:tcBorders>
              <w:bottom w:val="single" w:sz="8" w:color="2C6937"/>
            </w:tcBorders>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3,683,658</w:t>
            </w:r>
          </w:p>
        </w:tc>
      </w:tr>
      <w:tr>
        <w:trPr>
          <w:trHeight w:val="26"/>
        </w:trPr>
        <w:tc>
          <w:tcPr>
            <w:tcW w:w="38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00" w:type="dxa"/>
            <w:vAlign w:val="bottom"/>
            <w:tcBorders>
              <w:bottom w:val="single" w:sz="8" w:color="2C6937"/>
            </w:tcBorders>
          </w:tcPr>
          <w:p>
            <w:pPr>
              <w:spacing w:after="0"/>
              <w:rPr>
                <w:sz w:val="2"/>
                <w:szCs w:val="2"/>
                <w:color w:val="auto"/>
              </w:rPr>
            </w:pPr>
          </w:p>
        </w:tc>
        <w:tc>
          <w:tcPr>
            <w:tcW w:w="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r>
      <w:tr>
        <w:trPr>
          <w:trHeight w:val="171"/>
        </w:trPr>
        <w:tc>
          <w:tcPr>
            <w:tcW w:w="3940" w:type="dxa"/>
            <w:vAlign w:val="bottom"/>
            <w:gridSpan w:val="2"/>
          </w:tcPr>
          <w:p>
            <w:pPr>
              <w:ind w:left="440"/>
              <w:spacing w:after="0"/>
              <w:rPr>
                <w:sz w:val="20"/>
                <w:szCs w:val="20"/>
                <w:color w:val="auto"/>
              </w:rPr>
            </w:pPr>
            <w:r>
              <w:rPr>
                <w:rFonts w:ascii="Arial" w:cs="Arial" w:eastAsia="Arial" w:hAnsi="Arial"/>
                <w:sz w:val="12"/>
                <w:szCs w:val="12"/>
                <w:color w:val="auto"/>
              </w:rPr>
              <w:t>Total current-year write-offs</w:t>
            </w: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9</w:t>
            </w: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20</w:t>
            </w:r>
          </w:p>
        </w:tc>
        <w:tc>
          <w:tcPr>
            <w:tcW w:w="36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12</w:t>
            </w:r>
          </w:p>
        </w:tc>
        <w:tc>
          <w:tcPr>
            <w:tcW w:w="3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6</w:t>
            </w:r>
          </w:p>
        </w:tc>
        <w:tc>
          <w:tcPr>
            <w:tcW w:w="3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45</w:t>
            </w: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443865</wp:posOffset>
            </wp:positionV>
            <wp:extent cx="681101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157480</wp:posOffset>
            </wp:positionV>
            <wp:extent cx="7164070" cy="419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type w:val="continuous"/>
        </w:sectPr>
      </w:pPr>
    </w:p>
    <w:bookmarkStart w:id="79" w:name="page80"/>
    <w:bookmarkEnd w:id="79"/>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15875</wp:posOffset>
            </wp:positionV>
            <wp:extent cx="70237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5060" w:type="dxa"/>
            <w:vAlign w:val="bottom"/>
            <w:tcBorders>
              <w:bottom w:val="single" w:sz="8" w:color="2C6937"/>
            </w:tcBorders>
            <w:gridSpan w:val="14"/>
          </w:tcPr>
          <w:p>
            <w:pPr>
              <w:jc w:val="center"/>
              <w:ind w:right="40"/>
              <w:spacing w:after="0"/>
              <w:rPr>
                <w:sz w:val="20"/>
                <w:szCs w:val="20"/>
                <w:color w:val="auto"/>
              </w:rPr>
            </w:pPr>
            <w:r>
              <w:rPr>
                <w:rFonts w:ascii="Arial" w:cs="Arial" w:eastAsia="Arial" w:hAnsi="Arial"/>
                <w:sz w:val="14"/>
                <w:szCs w:val="14"/>
                <w:b w:val="1"/>
                <w:bCs w:val="1"/>
                <w:color w:val="auto"/>
                <w:w w:val="97"/>
              </w:rPr>
              <w:t>Credit Quality Indicators as of December 31, 2022, by Year of Origination</w:t>
            </w:r>
            <w:r>
              <w:rPr>
                <w:rFonts w:ascii="Arial" w:cs="Arial" w:eastAsia="Arial" w:hAnsi="Arial"/>
                <w:sz w:val="17"/>
                <w:szCs w:val="17"/>
                <w:b w:val="1"/>
                <w:bCs w:val="1"/>
                <w:color w:val="auto"/>
                <w:w w:val="97"/>
                <w:vertAlign w:val="superscript"/>
              </w:rPr>
              <w:t>(1)</w:t>
            </w:r>
          </w:p>
        </w:tc>
        <w:tc>
          <w:tcPr>
            <w:tcW w:w="12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spacing w:after="0"/>
              <w:rPr>
                <w:sz w:val="17"/>
                <w:szCs w:val="17"/>
                <w:color w:val="auto"/>
              </w:rPr>
            </w:pPr>
          </w:p>
        </w:tc>
      </w:tr>
      <w:tr>
        <w:trPr>
          <w:trHeight w:val="282"/>
        </w:trPr>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820" w:type="dxa"/>
            <w:vAlign w:val="bottom"/>
            <w:tcBorders>
              <w:bottom w:val="single" w:sz="8" w:color="2C6937"/>
            </w:tcBorders>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2C6937"/>
            </w:tcBorders>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center"/>
              <w:ind w:right="160"/>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2C6937"/>
            </w:tcBorders>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2C6937"/>
            </w:tcBorders>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Prior</w:t>
            </w:r>
          </w:p>
        </w:tc>
        <w:tc>
          <w:tcPr>
            <w:tcW w:w="120" w:type="dxa"/>
            <w:vAlign w:val="bottom"/>
            <w:tcBorders>
              <w:bottom w:val="single" w:sz="8" w:color="2C6937"/>
            </w:tcBorders>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282"/>
        </w:trPr>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8"/>
              </w:rPr>
              <w:t>(Dollars in millions)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97"/>
        </w:trPr>
        <w:tc>
          <w:tcPr>
            <w:tcW w:w="3940" w:type="dxa"/>
            <w:vAlign w:val="bottom"/>
            <w:gridSpan w:val="2"/>
          </w:tcPr>
          <w:p>
            <w:pPr>
              <w:ind w:left="20"/>
              <w:spacing w:after="0"/>
              <w:rPr>
                <w:sz w:val="20"/>
                <w:szCs w:val="20"/>
                <w:color w:val="auto"/>
              </w:rPr>
            </w:pPr>
            <w:r>
              <w:rPr>
                <w:rFonts w:ascii="Arial" w:cs="Arial" w:eastAsia="Arial" w:hAnsi="Arial"/>
                <w:sz w:val="12"/>
                <w:szCs w:val="12"/>
                <w:color w:val="auto"/>
              </w:rPr>
              <w:t>Estimated mark-to-market LTV ratio:</w:t>
            </w:r>
            <w:r>
              <w:rPr>
                <w:rFonts w:ascii="Arial" w:cs="Arial" w:eastAsia="Arial" w:hAnsi="Arial"/>
                <w:sz w:val="15"/>
                <w:szCs w:val="15"/>
                <w:color w:val="auto"/>
                <w:vertAlign w:val="superscript"/>
              </w:rPr>
              <w:t>(2)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0"/>
        </w:trPr>
        <w:tc>
          <w:tcPr>
            <w:tcW w:w="3940" w:type="dxa"/>
            <w:vAlign w:val="bottom"/>
            <w:gridSpan w:val="2"/>
          </w:tcPr>
          <w:p>
            <w:pPr>
              <w:ind w:left="180"/>
              <w:spacing w:after="0"/>
              <w:rPr>
                <w:sz w:val="20"/>
                <w:szCs w:val="20"/>
                <w:color w:val="auto"/>
              </w:rPr>
            </w:pPr>
            <w:r>
              <w:rPr>
                <w:rFonts w:ascii="Arial" w:cs="Arial" w:eastAsia="Arial" w:hAnsi="Arial"/>
                <w:sz w:val="12"/>
                <w:szCs w:val="12"/>
                <w:color w:val="auto"/>
              </w:rPr>
              <w:t>20- and 30-year or more, amortizing fixed-rate:</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84"/>
        </w:trPr>
        <w:tc>
          <w:tcPr>
            <w:tcW w:w="394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281,257</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896,977</w:t>
            </w: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820,452</w:t>
            </w:r>
          </w:p>
        </w:tc>
        <w:tc>
          <w:tcPr>
            <w:tcW w:w="36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149,067</w:t>
            </w:r>
          </w:p>
        </w:tc>
        <w:tc>
          <w:tcPr>
            <w:tcW w:w="3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70,306</w:t>
            </w: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651,297</w:t>
            </w: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2,869,356</w:t>
            </w:r>
          </w:p>
        </w:tc>
      </w:tr>
      <w:tr>
        <w:trPr>
          <w:trHeight w:val="271"/>
        </w:trPr>
        <w:tc>
          <w:tcPr>
            <w:tcW w:w="394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84,864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86,335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5,904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1,152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618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1,062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179,935</w:t>
            </w:r>
          </w:p>
        </w:tc>
      </w:tr>
      <w:tr>
        <w:trPr>
          <w:trHeight w:val="271"/>
        </w:trPr>
        <w:tc>
          <w:tcPr>
            <w:tcW w:w="394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84,664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9,284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1,333</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217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224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95,799</w:t>
            </w:r>
          </w:p>
        </w:tc>
      </w:tr>
      <w:tr>
        <w:trPr>
          <w:trHeight w:val="271"/>
        </w:trPr>
        <w:tc>
          <w:tcPr>
            <w:tcW w:w="3940" w:type="dxa"/>
            <w:vAlign w:val="bottom"/>
            <w:gridSpan w:val="2"/>
          </w:tcPr>
          <w:p>
            <w:pPr>
              <w:ind w:left="320"/>
              <w:spacing w:after="0"/>
              <w:rPr>
                <w:sz w:val="20"/>
                <w:szCs w:val="20"/>
                <w:color w:val="auto"/>
              </w:rPr>
            </w:pPr>
            <w:r>
              <w:rPr>
                <w:rFonts w:ascii="Arial" w:cs="Arial" w:eastAsia="Arial" w:hAnsi="Arial"/>
                <w:sz w:val="12"/>
                <w:szCs w:val="12"/>
                <w:color w:val="auto"/>
              </w:rPr>
              <w:t>Greater than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1,230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208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56</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240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1,764</w:t>
            </w:r>
          </w:p>
        </w:tc>
      </w:tr>
      <w:tr>
        <w:trPr>
          <w:trHeight w:val="28"/>
        </w:trPr>
        <w:tc>
          <w:tcPr>
            <w:tcW w:w="38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82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00" w:type="dxa"/>
            <w:vAlign w:val="bottom"/>
            <w:tcBorders>
              <w:bottom w:val="single" w:sz="8" w:color="2C6937"/>
            </w:tcBorders>
          </w:tcPr>
          <w:p>
            <w:pPr>
              <w:spacing w:after="0"/>
              <w:rPr>
                <w:sz w:val="2"/>
                <w:szCs w:val="2"/>
                <w:color w:val="auto"/>
              </w:rPr>
            </w:pPr>
          </w:p>
        </w:tc>
        <w:tc>
          <w:tcPr>
            <w:tcW w:w="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r>
      <w:tr>
        <w:trPr>
          <w:trHeight w:val="235"/>
        </w:trPr>
        <w:tc>
          <w:tcPr>
            <w:tcW w:w="3940" w:type="dxa"/>
            <w:vAlign w:val="bottom"/>
            <w:gridSpan w:val="2"/>
          </w:tcPr>
          <w:p>
            <w:pPr>
              <w:ind w:left="180"/>
              <w:spacing w:after="0"/>
              <w:rPr>
                <w:sz w:val="20"/>
                <w:szCs w:val="20"/>
                <w:color w:val="auto"/>
              </w:rPr>
            </w:pPr>
            <w:r>
              <w:rPr>
                <w:rFonts w:ascii="Arial" w:cs="Arial" w:eastAsia="Arial" w:hAnsi="Arial"/>
                <w:sz w:val="12"/>
                <w:szCs w:val="12"/>
                <w:color w:val="auto"/>
              </w:rPr>
              <w:t>Total 20- and 30-year or more, amortizing fixed-rate</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452,015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992,804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827,745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150,454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71,013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652,823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3,146,854</w:t>
            </w:r>
          </w:p>
        </w:tc>
      </w:tr>
      <w:tr>
        <w:trPr>
          <w:trHeight w:val="271"/>
        </w:trPr>
        <w:tc>
          <w:tcPr>
            <w:tcW w:w="3940" w:type="dxa"/>
            <w:vAlign w:val="bottom"/>
            <w:gridSpan w:val="2"/>
          </w:tcPr>
          <w:p>
            <w:pPr>
              <w:ind w:left="180"/>
              <w:spacing w:after="0"/>
              <w:rPr>
                <w:sz w:val="20"/>
                <w:szCs w:val="20"/>
                <w:color w:val="auto"/>
              </w:rPr>
            </w:pPr>
            <w:r>
              <w:rPr>
                <w:rFonts w:ascii="Arial" w:cs="Arial" w:eastAsia="Arial" w:hAnsi="Arial"/>
                <w:sz w:val="12"/>
                <w:szCs w:val="12"/>
                <w:color w:val="auto"/>
              </w:rPr>
              <w:t>15-year or less, amortizing fixed-rate:</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84"/>
        </w:trPr>
        <w:tc>
          <w:tcPr>
            <w:tcW w:w="394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37,830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185,511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134,336</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20,239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7,324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103,841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489,081</w:t>
            </w:r>
          </w:p>
        </w:tc>
      </w:tr>
      <w:tr>
        <w:trPr>
          <w:trHeight w:val="271"/>
        </w:trPr>
        <w:tc>
          <w:tcPr>
            <w:tcW w:w="394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1,363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410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33</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1,811</w:t>
            </w:r>
          </w:p>
        </w:tc>
      </w:tr>
      <w:tr>
        <w:trPr>
          <w:trHeight w:val="271"/>
        </w:trPr>
        <w:tc>
          <w:tcPr>
            <w:tcW w:w="394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552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570</w:t>
            </w:r>
          </w:p>
        </w:tc>
      </w:tr>
      <w:tr>
        <w:trPr>
          <w:trHeight w:val="271"/>
        </w:trPr>
        <w:tc>
          <w:tcPr>
            <w:tcW w:w="3940" w:type="dxa"/>
            <w:vAlign w:val="bottom"/>
            <w:gridSpan w:val="2"/>
          </w:tcPr>
          <w:p>
            <w:pPr>
              <w:ind w:left="320"/>
              <w:spacing w:after="0"/>
              <w:rPr>
                <w:sz w:val="20"/>
                <w:szCs w:val="20"/>
                <w:color w:val="auto"/>
              </w:rPr>
            </w:pPr>
            <w:r>
              <w:rPr>
                <w:rFonts w:ascii="Arial" w:cs="Arial" w:eastAsia="Arial" w:hAnsi="Arial"/>
                <w:sz w:val="12"/>
                <w:szCs w:val="12"/>
                <w:color w:val="auto"/>
              </w:rPr>
              <w:t>Greater than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w:t>
            </w:r>
          </w:p>
        </w:tc>
      </w:tr>
      <w:tr>
        <w:trPr>
          <w:trHeight w:val="28"/>
        </w:trPr>
        <w:tc>
          <w:tcPr>
            <w:tcW w:w="38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82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00" w:type="dxa"/>
            <w:vAlign w:val="bottom"/>
            <w:tcBorders>
              <w:bottom w:val="single" w:sz="8" w:color="2C6937"/>
            </w:tcBorders>
          </w:tcPr>
          <w:p>
            <w:pPr>
              <w:spacing w:after="0"/>
              <w:rPr>
                <w:sz w:val="2"/>
                <w:szCs w:val="2"/>
                <w:color w:val="auto"/>
              </w:rPr>
            </w:pPr>
          </w:p>
        </w:tc>
        <w:tc>
          <w:tcPr>
            <w:tcW w:w="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r>
      <w:tr>
        <w:trPr>
          <w:trHeight w:val="248"/>
        </w:trPr>
        <w:tc>
          <w:tcPr>
            <w:tcW w:w="3940" w:type="dxa"/>
            <w:vAlign w:val="bottom"/>
            <w:gridSpan w:val="2"/>
          </w:tcPr>
          <w:p>
            <w:pPr>
              <w:ind w:left="180"/>
              <w:spacing w:after="0"/>
              <w:rPr>
                <w:sz w:val="20"/>
                <w:szCs w:val="20"/>
                <w:color w:val="auto"/>
              </w:rPr>
            </w:pPr>
            <w:r>
              <w:rPr>
                <w:rFonts w:ascii="Arial" w:cs="Arial" w:eastAsia="Arial" w:hAnsi="Arial"/>
                <w:sz w:val="12"/>
                <w:szCs w:val="12"/>
                <w:color w:val="auto"/>
              </w:rPr>
              <w:t>Total 15-year or less, amortizing fixed-rate</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39,748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185,938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134,370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20,242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7,324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103,846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491,468</w:t>
            </w:r>
          </w:p>
        </w:tc>
      </w:tr>
      <w:tr>
        <w:trPr>
          <w:trHeight w:val="258"/>
        </w:trPr>
        <w:tc>
          <w:tcPr>
            <w:tcW w:w="3940" w:type="dxa"/>
            <w:vAlign w:val="bottom"/>
            <w:gridSpan w:val="2"/>
          </w:tcPr>
          <w:p>
            <w:pPr>
              <w:ind w:left="180"/>
              <w:spacing w:after="0"/>
              <w:rPr>
                <w:sz w:val="20"/>
                <w:szCs w:val="20"/>
                <w:color w:val="auto"/>
              </w:rPr>
            </w:pPr>
            <w:r>
              <w:rPr>
                <w:rFonts w:ascii="Arial" w:cs="Arial" w:eastAsia="Arial" w:hAnsi="Arial"/>
                <w:sz w:val="12"/>
                <w:szCs w:val="12"/>
                <w:color w:val="auto"/>
              </w:rPr>
              <w:t>Adjustable-rate:</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4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3,971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6,383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1,865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821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906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11,226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25,172</w:t>
            </w:r>
          </w:p>
        </w:tc>
      </w:tr>
      <w:tr>
        <w:trPr>
          <w:trHeight w:val="271"/>
        </w:trPr>
        <w:tc>
          <w:tcPr>
            <w:tcW w:w="394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1,013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236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1,268</w:t>
            </w:r>
          </w:p>
        </w:tc>
      </w:tr>
      <w:tr>
        <w:trPr>
          <w:trHeight w:val="271"/>
        </w:trPr>
        <w:tc>
          <w:tcPr>
            <w:tcW w:w="394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645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667</w:t>
            </w:r>
          </w:p>
        </w:tc>
      </w:tr>
      <w:tr>
        <w:trPr>
          <w:trHeight w:val="271"/>
        </w:trPr>
        <w:tc>
          <w:tcPr>
            <w:tcW w:w="3940" w:type="dxa"/>
            <w:vAlign w:val="bottom"/>
            <w:gridSpan w:val="2"/>
          </w:tcPr>
          <w:p>
            <w:pPr>
              <w:ind w:left="320"/>
              <w:spacing w:after="0"/>
              <w:rPr>
                <w:sz w:val="20"/>
                <w:szCs w:val="20"/>
                <w:color w:val="auto"/>
              </w:rPr>
            </w:pPr>
            <w:r>
              <w:rPr>
                <w:rFonts w:ascii="Arial" w:cs="Arial" w:eastAsia="Arial" w:hAnsi="Arial"/>
                <w:sz w:val="12"/>
                <w:szCs w:val="12"/>
                <w:color w:val="auto"/>
              </w:rPr>
              <w:t>Greater than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28"/>
        </w:trPr>
        <w:tc>
          <w:tcPr>
            <w:tcW w:w="38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82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00" w:type="dxa"/>
            <w:vAlign w:val="bottom"/>
            <w:tcBorders>
              <w:bottom w:val="single" w:sz="8" w:color="2C6937"/>
            </w:tcBorders>
          </w:tcPr>
          <w:p>
            <w:pPr>
              <w:spacing w:after="0"/>
              <w:rPr>
                <w:sz w:val="2"/>
                <w:szCs w:val="2"/>
                <w:color w:val="auto"/>
              </w:rPr>
            </w:pPr>
          </w:p>
        </w:tc>
        <w:tc>
          <w:tcPr>
            <w:tcW w:w="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r>
      <w:tr>
        <w:trPr>
          <w:trHeight w:val="248"/>
        </w:trPr>
        <w:tc>
          <w:tcPr>
            <w:tcW w:w="3940" w:type="dxa"/>
            <w:vAlign w:val="bottom"/>
            <w:gridSpan w:val="2"/>
          </w:tcPr>
          <w:p>
            <w:pPr>
              <w:ind w:left="180"/>
              <w:spacing w:after="0"/>
              <w:rPr>
                <w:sz w:val="20"/>
                <w:szCs w:val="20"/>
                <w:color w:val="auto"/>
              </w:rPr>
            </w:pPr>
            <w:r>
              <w:rPr>
                <w:rFonts w:ascii="Arial" w:cs="Arial" w:eastAsia="Arial" w:hAnsi="Arial"/>
                <w:sz w:val="12"/>
                <w:szCs w:val="12"/>
                <w:color w:val="auto"/>
              </w:rPr>
              <w:t>Total adjustable-rate</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5,630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6,640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1,877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824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11,229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27,108</w:t>
            </w:r>
          </w:p>
        </w:tc>
      </w:tr>
      <w:tr>
        <w:trPr>
          <w:trHeight w:val="258"/>
        </w:trPr>
        <w:tc>
          <w:tcPr>
            <w:tcW w:w="3940" w:type="dxa"/>
            <w:vAlign w:val="bottom"/>
            <w:gridSpan w:val="2"/>
          </w:tcPr>
          <w:p>
            <w:pPr>
              <w:ind w:left="180"/>
              <w:spacing w:after="0"/>
              <w:rPr>
                <w:sz w:val="20"/>
                <w:szCs w:val="20"/>
                <w:color w:val="auto"/>
              </w:rPr>
            </w:pPr>
            <w:r>
              <w:rPr>
                <w:rFonts w:ascii="Arial" w:cs="Arial" w:eastAsia="Arial" w:hAnsi="Arial"/>
                <w:sz w:val="12"/>
                <w:szCs w:val="12"/>
                <w:color w:val="auto"/>
              </w:rPr>
              <w:t>Other:</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4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29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222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22,103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22,354</w:t>
            </w:r>
          </w:p>
        </w:tc>
      </w:tr>
      <w:tr>
        <w:trPr>
          <w:trHeight w:val="271"/>
        </w:trPr>
        <w:tc>
          <w:tcPr>
            <w:tcW w:w="394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129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130</w:t>
            </w:r>
          </w:p>
        </w:tc>
      </w:tr>
      <w:tr>
        <w:trPr>
          <w:trHeight w:val="271"/>
        </w:trPr>
        <w:tc>
          <w:tcPr>
            <w:tcW w:w="394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57</w:t>
            </w:r>
          </w:p>
        </w:tc>
      </w:tr>
      <w:tr>
        <w:trPr>
          <w:trHeight w:val="292"/>
        </w:trPr>
        <w:tc>
          <w:tcPr>
            <w:tcW w:w="384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57</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57</w:t>
            </w:r>
          </w:p>
        </w:tc>
      </w:tr>
      <w:tr>
        <w:trPr>
          <w:trHeight w:val="264"/>
        </w:trPr>
        <w:tc>
          <w:tcPr>
            <w:tcW w:w="384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other</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ind w:right="20"/>
              <w:spacing w:after="0"/>
              <w:rPr>
                <w:sz w:val="20"/>
                <w:szCs w:val="20"/>
                <w:color w:val="auto"/>
              </w:rPr>
            </w:pPr>
            <w:r>
              <w:rPr>
                <w:rFonts w:ascii="Arial" w:cs="Arial" w:eastAsia="Arial" w:hAnsi="Arial"/>
                <w:sz w:val="12"/>
                <w:szCs w:val="12"/>
                <w:color w:val="auto"/>
              </w:rPr>
              <w:t>29</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224</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22,345</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22,598</w:t>
            </w:r>
          </w:p>
        </w:tc>
      </w:tr>
      <w:tr>
        <w:trPr>
          <w:trHeight w:val="264"/>
        </w:trPr>
        <w:tc>
          <w:tcPr>
            <w:tcW w:w="384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Total</w:t>
            </w:r>
          </w:p>
        </w:tc>
        <w:tc>
          <w:tcPr>
            <w:tcW w:w="100" w:type="dxa"/>
            <w:vAlign w:val="bottom"/>
          </w:tcPr>
          <w:p>
            <w:pPr>
              <w:spacing w:after="0"/>
              <w:rPr>
                <w:sz w:val="22"/>
                <w:szCs w:val="22"/>
                <w:color w:val="auto"/>
              </w:rPr>
            </w:pPr>
          </w:p>
        </w:tc>
        <w:tc>
          <w:tcPr>
            <w:tcW w:w="200" w:type="dxa"/>
            <w:vAlign w:val="bottom"/>
            <w:tcBorders>
              <w:bottom w:val="single" w:sz="8" w:color="2C6937"/>
            </w:tcBorders>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497,393</w:t>
            </w:r>
          </w:p>
        </w:tc>
        <w:tc>
          <w:tcPr>
            <w:tcW w:w="120" w:type="dxa"/>
            <w:vAlign w:val="bottom"/>
          </w:tcPr>
          <w:p>
            <w:pPr>
              <w:spacing w:after="0"/>
              <w:rPr>
                <w:sz w:val="22"/>
                <w:szCs w:val="22"/>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1,185,382</w:t>
            </w:r>
          </w:p>
        </w:tc>
        <w:tc>
          <w:tcPr>
            <w:tcW w:w="120" w:type="dxa"/>
            <w:vAlign w:val="bottom"/>
          </w:tcPr>
          <w:p>
            <w:pPr>
              <w:spacing w:after="0"/>
              <w:rPr>
                <w:sz w:val="22"/>
                <w:szCs w:val="22"/>
                <w:color w:val="auto"/>
              </w:rPr>
            </w:pPr>
          </w:p>
        </w:tc>
        <w:tc>
          <w:tcPr>
            <w:tcW w:w="200" w:type="dxa"/>
            <w:vAlign w:val="bottom"/>
            <w:tcBorders>
              <w:bottom w:val="single" w:sz="8" w:color="2C6937"/>
            </w:tcBorders>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963,992</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2C6937"/>
            </w:tcBorders>
          </w:tcPr>
          <w:p>
            <w:pPr>
              <w:jc w:val="right"/>
              <w:ind w:right="20"/>
              <w:spacing w:after="0"/>
              <w:rPr>
                <w:sz w:val="20"/>
                <w:szCs w:val="20"/>
                <w:color w:val="auto"/>
              </w:rPr>
            </w:pPr>
            <w:r>
              <w:rPr>
                <w:rFonts w:ascii="Arial" w:cs="Arial" w:eastAsia="Arial" w:hAnsi="Arial"/>
                <w:sz w:val="12"/>
                <w:szCs w:val="12"/>
                <w:color w:val="auto"/>
              </w:rPr>
              <w:t>171,549</w:t>
            </w:r>
          </w:p>
        </w:tc>
        <w:tc>
          <w:tcPr>
            <w:tcW w:w="100" w:type="dxa"/>
            <w:vAlign w:val="bottom"/>
          </w:tcPr>
          <w:p>
            <w:pPr>
              <w:spacing w:after="0"/>
              <w:rPr>
                <w:sz w:val="22"/>
                <w:szCs w:val="22"/>
                <w:color w:val="auto"/>
              </w:rPr>
            </w:pPr>
          </w:p>
        </w:tc>
        <w:tc>
          <w:tcPr>
            <w:tcW w:w="200" w:type="dxa"/>
            <w:vAlign w:val="bottom"/>
            <w:tcBorders>
              <w:bottom w:val="single" w:sz="8" w:color="2C6937"/>
            </w:tcBorders>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79,469</w:t>
            </w:r>
          </w:p>
        </w:tc>
        <w:tc>
          <w:tcPr>
            <w:tcW w:w="120" w:type="dxa"/>
            <w:vAlign w:val="bottom"/>
          </w:tcPr>
          <w:p>
            <w:pPr>
              <w:spacing w:after="0"/>
              <w:rPr>
                <w:sz w:val="22"/>
                <w:szCs w:val="22"/>
                <w:color w:val="auto"/>
              </w:rPr>
            </w:pPr>
          </w:p>
        </w:tc>
        <w:tc>
          <w:tcPr>
            <w:tcW w:w="200" w:type="dxa"/>
            <w:vAlign w:val="bottom"/>
            <w:tcBorders>
              <w:bottom w:val="single" w:sz="8" w:color="2C6937"/>
            </w:tcBorders>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790,243</w:t>
            </w:r>
          </w:p>
        </w:tc>
        <w:tc>
          <w:tcPr>
            <w:tcW w:w="120" w:type="dxa"/>
            <w:vAlign w:val="bottom"/>
          </w:tcPr>
          <w:p>
            <w:pPr>
              <w:spacing w:after="0"/>
              <w:rPr>
                <w:sz w:val="22"/>
                <w:szCs w:val="22"/>
                <w:color w:val="auto"/>
              </w:rPr>
            </w:pPr>
          </w:p>
        </w:tc>
        <w:tc>
          <w:tcPr>
            <w:tcW w:w="200" w:type="dxa"/>
            <w:vAlign w:val="bottom"/>
            <w:tcBorders>
              <w:bottom w:val="single" w:sz="8" w:color="2C6937"/>
            </w:tcBorders>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3,688,028</w:t>
            </w:r>
          </w:p>
        </w:tc>
      </w:tr>
      <w:tr>
        <w:trPr>
          <w:trHeight w:val="26"/>
        </w:trPr>
        <w:tc>
          <w:tcPr>
            <w:tcW w:w="38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82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00" w:type="dxa"/>
            <w:vAlign w:val="bottom"/>
            <w:tcBorders>
              <w:bottom w:val="single" w:sz="8" w:color="2C6937"/>
            </w:tcBorders>
          </w:tcPr>
          <w:p>
            <w:pPr>
              <w:spacing w:after="0"/>
              <w:rPr>
                <w:sz w:val="2"/>
                <w:szCs w:val="2"/>
                <w:color w:val="auto"/>
              </w:rPr>
            </w:pPr>
          </w:p>
        </w:tc>
        <w:tc>
          <w:tcPr>
            <w:tcW w:w="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r>
      <w:tr>
        <w:trPr>
          <w:trHeight w:val="366"/>
        </w:trPr>
        <w:tc>
          <w:tcPr>
            <w:tcW w:w="3940" w:type="dxa"/>
            <w:vAlign w:val="bottom"/>
            <w:gridSpan w:val="2"/>
          </w:tcPr>
          <w:p>
            <w:pPr>
              <w:ind w:left="20"/>
              <w:spacing w:after="0"/>
              <w:rPr>
                <w:sz w:val="20"/>
                <w:szCs w:val="20"/>
                <w:color w:val="auto"/>
              </w:rPr>
            </w:pPr>
            <w:r>
              <w:rPr>
                <w:rFonts w:ascii="Arial" w:cs="Arial" w:eastAsia="Arial" w:hAnsi="Arial"/>
                <w:sz w:val="12"/>
                <w:szCs w:val="12"/>
                <w:color w:val="auto"/>
              </w:rPr>
              <w:t>Total for all classes by LTV ratio:</w:t>
            </w:r>
            <w:r>
              <w:rPr>
                <w:rFonts w:ascii="Arial" w:cs="Arial" w:eastAsia="Arial" w:hAnsi="Arial"/>
                <w:sz w:val="15"/>
                <w:szCs w:val="15"/>
                <w:color w:val="auto"/>
                <w:vertAlign w:val="superscript"/>
              </w:rPr>
              <w:t>(2)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0"/>
        </w:trPr>
        <w:tc>
          <w:tcPr>
            <w:tcW w:w="3940" w:type="dxa"/>
            <w:vAlign w:val="bottom"/>
            <w:gridSpan w:val="2"/>
          </w:tcPr>
          <w:p>
            <w:pPr>
              <w:ind w:left="18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323,058</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1,088,871</w:t>
            </w: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956,653</w:t>
            </w:r>
          </w:p>
        </w:tc>
        <w:tc>
          <w:tcPr>
            <w:tcW w:w="36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170,156</w:t>
            </w:r>
          </w:p>
        </w:tc>
        <w:tc>
          <w:tcPr>
            <w:tcW w:w="3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78,758</w:t>
            </w: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788,467</w:t>
            </w: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3,405,963</w:t>
            </w:r>
          </w:p>
        </w:tc>
      </w:tr>
      <w:tr>
        <w:trPr>
          <w:trHeight w:val="284"/>
        </w:trPr>
        <w:tc>
          <w:tcPr>
            <w:tcW w:w="3940" w:type="dxa"/>
            <w:vAlign w:val="bottom"/>
            <w:gridSpan w:val="2"/>
          </w:tcPr>
          <w:p>
            <w:pPr>
              <w:ind w:left="18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87,240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86,981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5,949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1,158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620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1,196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183,144</w:t>
            </w:r>
          </w:p>
        </w:tc>
      </w:tr>
      <w:tr>
        <w:trPr>
          <w:trHeight w:val="271"/>
        </w:trPr>
        <w:tc>
          <w:tcPr>
            <w:tcW w:w="3940" w:type="dxa"/>
            <w:vAlign w:val="bottom"/>
            <w:gridSpan w:val="2"/>
          </w:tcPr>
          <w:p>
            <w:pPr>
              <w:ind w:left="18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85,861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9,321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1,334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217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281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97,093</w:t>
            </w:r>
          </w:p>
        </w:tc>
      </w:tr>
      <w:tr>
        <w:trPr>
          <w:trHeight w:val="279"/>
        </w:trPr>
        <w:tc>
          <w:tcPr>
            <w:tcW w:w="384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1,234</w:t>
            </w:r>
          </w:p>
        </w:tc>
        <w:tc>
          <w:tcPr>
            <w:tcW w:w="120" w:type="dxa"/>
            <w:vAlign w:val="bottom"/>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209</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56</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ind w:right="20"/>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299</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1,828</w:t>
            </w:r>
          </w:p>
        </w:tc>
      </w:tr>
      <w:tr>
        <w:trPr>
          <w:trHeight w:val="264"/>
        </w:trPr>
        <w:tc>
          <w:tcPr>
            <w:tcW w:w="3940" w:type="dxa"/>
            <w:vAlign w:val="bottom"/>
            <w:gridSpan w:val="2"/>
          </w:tcPr>
          <w:p>
            <w:pPr>
              <w:ind w:left="320"/>
              <w:spacing w:after="0"/>
              <w:rPr>
                <w:sz w:val="20"/>
                <w:szCs w:val="20"/>
                <w:color w:val="auto"/>
              </w:rPr>
            </w:pPr>
            <w:r>
              <w:rPr>
                <w:rFonts w:ascii="Arial" w:cs="Arial" w:eastAsia="Arial" w:hAnsi="Arial"/>
                <w:sz w:val="12"/>
                <w:szCs w:val="12"/>
                <w:color w:val="auto"/>
              </w:rPr>
              <w:t>Total</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497,393</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1,185,382</w:t>
            </w: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963,992</w:t>
            </w:r>
          </w:p>
        </w:tc>
        <w:tc>
          <w:tcPr>
            <w:tcW w:w="36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171,549</w:t>
            </w:r>
          </w:p>
        </w:tc>
        <w:tc>
          <w:tcPr>
            <w:tcW w:w="3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79,469</w:t>
            </w: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790,243</w:t>
            </w: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3,688,028</w:t>
            </w:r>
          </w:p>
        </w:tc>
      </w:tr>
      <w:tr>
        <w:trPr>
          <w:trHeight w:val="26"/>
        </w:trPr>
        <w:tc>
          <w:tcPr>
            <w:tcW w:w="384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40" w:type="dxa"/>
            <w:vAlign w:val="bottom"/>
            <w:tcBorders>
              <w:top w:val="single" w:sz="8" w:color="2C6937"/>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2C6937"/>
              <w:bottom w:val="single" w:sz="8" w:color="2C6937"/>
            </w:tcBorders>
          </w:tcPr>
          <w:p>
            <w:pPr>
              <w:spacing w:after="0"/>
              <w:rPr>
                <w:sz w:val="2"/>
                <w:szCs w:val="2"/>
                <w:color w:val="auto"/>
              </w:rPr>
            </w:pPr>
          </w:p>
        </w:tc>
        <w:tc>
          <w:tcPr>
            <w:tcW w:w="820" w:type="dxa"/>
            <w:vAlign w:val="bottom"/>
            <w:tcBorders>
              <w:top w:val="single" w:sz="8" w:color="2C6937"/>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00" w:type="dxa"/>
            <w:vAlign w:val="bottom"/>
            <w:tcBorders>
              <w:top w:val="single" w:sz="8" w:color="2C6937"/>
              <w:bottom w:val="single" w:sz="8" w:color="2C6937"/>
            </w:tcBorders>
          </w:tcPr>
          <w:p>
            <w:pPr>
              <w:spacing w:after="0"/>
              <w:rPr>
                <w:sz w:val="2"/>
                <w:szCs w:val="2"/>
                <w:color w:val="auto"/>
              </w:rPr>
            </w:pPr>
          </w:p>
        </w:tc>
        <w:tc>
          <w:tcPr>
            <w:tcW w:w="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40" w:type="dxa"/>
            <w:vAlign w:val="bottom"/>
            <w:tcBorders>
              <w:top w:val="single" w:sz="8" w:color="2C6937"/>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40" w:type="dxa"/>
            <w:vAlign w:val="bottom"/>
            <w:tcBorders>
              <w:top w:val="single" w:sz="8" w:color="2C6937"/>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40" w:type="dxa"/>
            <w:vAlign w:val="bottom"/>
            <w:tcBorders>
              <w:top w:val="single" w:sz="8" w:color="2C6937"/>
              <w:bottom w:val="single" w:sz="8" w:color="2C6937"/>
            </w:tcBorders>
          </w:tcPr>
          <w:p>
            <w:pPr>
              <w:spacing w:after="0"/>
              <w:rPr>
                <w:sz w:val="2"/>
                <w:szCs w:val="2"/>
                <w:color w:val="auto"/>
              </w:rPr>
            </w:pPr>
          </w:p>
        </w:tc>
      </w:tr>
    </w:tbl>
    <w:p>
      <w:pPr>
        <w:spacing w:after="0" w:line="123" w:lineRule="exact"/>
        <w:rPr>
          <w:sz w:val="20"/>
          <w:szCs w:val="20"/>
          <w:color w:val="auto"/>
        </w:rPr>
      </w:pPr>
    </w:p>
    <w:p>
      <w:pPr>
        <w:ind w:left="240" w:right="20" w:hanging="237"/>
        <w:spacing w:after="0" w:line="231" w:lineRule="auto"/>
        <w:tabs>
          <w:tab w:leader="none" w:pos="240" w:val="left"/>
        </w:tabs>
        <w:numPr>
          <w:ilvl w:val="0"/>
          <w:numId w:val="78"/>
        </w:numPr>
        <w:rPr>
          <w:rFonts w:ascii="Arial" w:cs="Arial" w:eastAsia="Arial" w:hAnsi="Arial"/>
          <w:sz w:val="18"/>
          <w:szCs w:val="18"/>
          <w:color w:val="auto"/>
          <w:vertAlign w:val="superscript"/>
        </w:rPr>
      </w:pPr>
      <w:r>
        <w:rPr>
          <w:rFonts w:ascii="Arial" w:cs="Arial" w:eastAsia="Arial" w:hAnsi="Arial"/>
          <w:sz w:val="14"/>
          <w:szCs w:val="14"/>
          <w:color w:val="auto"/>
        </w:rPr>
        <w:t>Excludes amortized cost of $7.1 billion and $9.5 billion as of June 30, 2023 and December 31, 2022, respectively, of mortgage loans guaranteed or insured, in whole or in part, by the U.S. government or one of its agencies, which represents primarily reverse mortgages for which we do not calculate an estimated mark-to-market LTV ratio. For the three months ended June 30, 2023, it also excludes write-offs of $3 million, of mortgage loans guaranteed or insured, in whole or in part, by the U.S. government or one of its agencies. Year of loan origination may not be the same as the period in which we subsequently acquired the loan.</w:t>
      </w:r>
    </w:p>
    <w:p>
      <w:pPr>
        <w:spacing w:after="0" w:line="32" w:lineRule="exact"/>
        <w:rPr>
          <w:rFonts w:ascii="Arial" w:cs="Arial" w:eastAsia="Arial" w:hAnsi="Arial"/>
          <w:sz w:val="18"/>
          <w:szCs w:val="18"/>
          <w:color w:val="auto"/>
          <w:vertAlign w:val="superscript"/>
        </w:rPr>
      </w:pPr>
    </w:p>
    <w:p>
      <w:pPr>
        <w:ind w:left="240" w:right="160" w:hanging="237"/>
        <w:spacing w:after="0" w:line="269" w:lineRule="auto"/>
        <w:tabs>
          <w:tab w:leader="none" w:pos="240" w:val="left"/>
        </w:tabs>
        <w:numPr>
          <w:ilvl w:val="0"/>
          <w:numId w:val="78"/>
        </w:numPr>
        <w:rPr>
          <w:rFonts w:ascii="Arial" w:cs="Arial" w:eastAsia="Arial" w:hAnsi="Arial"/>
          <w:sz w:val="9"/>
          <w:szCs w:val="9"/>
          <w:color w:val="auto"/>
        </w:rPr>
      </w:pPr>
      <w:r>
        <w:rPr>
          <w:rFonts w:ascii="Arial" w:cs="Arial" w:eastAsia="Arial" w:hAnsi="Arial"/>
          <w:sz w:val="14"/>
          <w:szCs w:val="14"/>
          <w:color w:val="auto"/>
        </w:rPr>
        <w:t>The aggregate estimated mark-to-market LTV ratio is based on the unpaid principal balance of the loan divided by the estimated current value of the property as of the end of each reported period, which we calculate using an internal valuation model that estimates periodic changes in home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363855</wp:posOffset>
            </wp:positionV>
            <wp:extent cx="681101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164070" cy="4191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80" w:name="page81"/>
    <w:bookmarkEnd w:id="80"/>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15875</wp:posOffset>
            </wp:positionV>
            <wp:extent cx="70237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The following tables display the total amortized cost of our multifamily HFI loans by year of origination and credit-risk rating, excluding loans for which we have elected the fair value option. Property rental income and property valuations are key inputs to our internally assigned credit risk ratings. For the periods beginning January 1, 2023, the tables below includes current year write-offs of our multifamily HFI mortgage loans by year of origination, excluding loans for which we have elected the fair value option.</w:t>
      </w:r>
    </w:p>
    <w:p>
      <w:pPr>
        <w:spacing w:after="0" w:line="203" w:lineRule="exact"/>
        <w:rPr>
          <w:sz w:val="20"/>
          <w:szCs w:val="20"/>
          <w:color w:val="auto"/>
        </w:rPr>
      </w:pPr>
    </w:p>
    <w:p>
      <w:pPr>
        <w:jc w:val="center"/>
        <w:ind w:left="3680"/>
        <w:spacing w:after="0"/>
        <w:rPr>
          <w:sz w:val="20"/>
          <w:szCs w:val="20"/>
          <w:color w:val="auto"/>
        </w:rPr>
      </w:pPr>
      <w:r>
        <w:rPr>
          <w:rFonts w:ascii="Arial" w:cs="Arial" w:eastAsia="Arial" w:hAnsi="Arial"/>
          <w:sz w:val="14"/>
          <w:szCs w:val="14"/>
          <w:b w:val="1"/>
          <w:bCs w:val="1"/>
          <w:color w:val="auto"/>
        </w:rPr>
        <w:t>Credit Quality Indicators as of June 30, 2023 and Write-offs for the Six Months Ended June 30, 2023, by Year</w:t>
      </w:r>
    </w:p>
    <w:p>
      <w:pPr>
        <w:spacing w:after="0" w:line="15" w:lineRule="exact"/>
        <w:rPr>
          <w:sz w:val="20"/>
          <w:szCs w:val="20"/>
          <w:color w:val="auto"/>
        </w:rPr>
      </w:pPr>
    </w:p>
    <w:p>
      <w:pPr>
        <w:jc w:val="center"/>
        <w:ind w:left="3680"/>
        <w:spacing w:after="0"/>
        <w:rPr>
          <w:sz w:val="20"/>
          <w:szCs w:val="20"/>
          <w:color w:val="auto"/>
        </w:rPr>
      </w:pPr>
      <w:r>
        <w:rPr>
          <w:rFonts w:ascii="Arial" w:cs="Arial" w:eastAsia="Arial" w:hAnsi="Arial"/>
          <w:sz w:val="14"/>
          <w:szCs w:val="14"/>
          <w:b w:val="1"/>
          <w:bCs w:val="1"/>
          <w:color w:val="auto"/>
        </w:rPr>
        <w:t>of Origination</w:t>
      </w:r>
      <w:r>
        <w:rPr>
          <w:rFonts w:ascii="Arial" w:cs="Arial" w:eastAsia="Arial" w:hAnsi="Arial"/>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2490470</wp:posOffset>
            </wp:positionH>
            <wp:positionV relativeFrom="paragraph">
              <wp:posOffset>-6350</wp:posOffset>
            </wp:positionV>
            <wp:extent cx="450278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502785" cy="8255"/>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22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22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22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224"/>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204"/>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204"/>
              <w:spacing w:after="0"/>
              <w:rPr>
                <w:sz w:val="20"/>
                <w:szCs w:val="20"/>
                <w:color w:val="auto"/>
              </w:rPr>
            </w:pPr>
            <w:r>
              <w:rPr>
                <w:rFonts w:ascii="Arial" w:cs="Arial" w:eastAsia="Arial" w:hAnsi="Arial"/>
                <w:sz w:val="14"/>
                <w:szCs w:val="14"/>
                <w:b w:val="1"/>
                <w:bCs w:val="1"/>
                <w:color w:val="auto"/>
                <w:w w:val="97"/>
              </w:rPr>
              <w:t>Prior</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9"/>
              </w:rPr>
              <w:t>Total</w:t>
            </w:r>
          </w:p>
        </w:tc>
      </w:tr>
      <w:tr>
        <w:trPr>
          <w:trHeight w:val="276"/>
        </w:trPr>
        <w:tc>
          <w:tcPr>
            <w:tcW w:w="3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140" w:type="dxa"/>
            <w:vAlign w:val="bottom"/>
            <w:tcBorders>
              <w:top w:val="single" w:sz="8" w:color="2C6937"/>
            </w:tcBorders>
          </w:tcPr>
          <w:p>
            <w:pPr>
              <w:spacing w:after="0"/>
              <w:rPr>
                <w:sz w:val="23"/>
                <w:szCs w:val="23"/>
                <w:color w:val="auto"/>
              </w:rPr>
            </w:pPr>
          </w:p>
        </w:tc>
        <w:tc>
          <w:tcPr>
            <w:tcW w:w="660" w:type="dxa"/>
            <w:vAlign w:val="bottom"/>
            <w:tcBorders>
              <w:top w:val="single" w:sz="8" w:color="2C6937"/>
            </w:tcBorders>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140" w:type="dxa"/>
            <w:vAlign w:val="bottom"/>
            <w:tcBorders>
              <w:top w:val="single" w:sz="8" w:color="2C6937"/>
            </w:tcBorders>
          </w:tcPr>
          <w:p>
            <w:pPr>
              <w:spacing w:after="0"/>
              <w:rPr>
                <w:sz w:val="23"/>
                <w:szCs w:val="23"/>
                <w:color w:val="auto"/>
              </w:rPr>
            </w:pPr>
          </w:p>
        </w:tc>
        <w:tc>
          <w:tcPr>
            <w:tcW w:w="660" w:type="dxa"/>
            <w:vAlign w:val="bottom"/>
            <w:tcBorders>
              <w:top w:val="single" w:sz="8" w:color="2C6937"/>
            </w:tcBorders>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20" w:type="dxa"/>
            <w:vAlign w:val="bottom"/>
            <w:tcBorders>
              <w:top w:val="single" w:sz="8" w:color="2C6937"/>
            </w:tcBorders>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140" w:type="dxa"/>
            <w:vAlign w:val="bottom"/>
            <w:tcBorders>
              <w:top w:val="single" w:sz="8" w:color="2C6937"/>
            </w:tcBorders>
          </w:tcPr>
          <w:p>
            <w:pPr>
              <w:spacing w:after="0"/>
              <w:rPr>
                <w:sz w:val="23"/>
                <w:szCs w:val="23"/>
                <w:color w:val="auto"/>
              </w:rPr>
            </w:pPr>
          </w:p>
        </w:tc>
        <w:tc>
          <w:tcPr>
            <w:tcW w:w="2040" w:type="dxa"/>
            <w:vAlign w:val="bottom"/>
            <w:tcBorders>
              <w:top w:val="single" w:sz="8" w:color="2C6937"/>
            </w:tcBorders>
            <w:gridSpan w:val="10"/>
          </w:tcPr>
          <w:p>
            <w:pPr>
              <w:jc w:val="right"/>
              <w:ind w:right="140"/>
              <w:spacing w:after="0"/>
              <w:rPr>
                <w:sz w:val="20"/>
                <w:szCs w:val="20"/>
                <w:color w:val="auto"/>
              </w:rPr>
            </w:pPr>
            <w:r>
              <w:rPr>
                <w:rFonts w:ascii="Arial" w:cs="Arial" w:eastAsia="Arial" w:hAnsi="Arial"/>
                <w:sz w:val="14"/>
                <w:szCs w:val="14"/>
                <w:b w:val="1"/>
                <w:bCs w:val="1"/>
                <w:color w:val="auto"/>
              </w:rPr>
              <w:t>(Dollars in millions)</w:t>
            </w:r>
          </w:p>
        </w:tc>
        <w:tc>
          <w:tcPr>
            <w:tcW w:w="60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20" w:type="dxa"/>
            <w:vAlign w:val="bottom"/>
            <w:tcBorders>
              <w:top w:val="single" w:sz="8" w:color="2C6937"/>
            </w:tcBorders>
          </w:tcPr>
          <w:p>
            <w:pPr>
              <w:spacing w:after="0"/>
              <w:rPr>
                <w:sz w:val="23"/>
                <w:szCs w:val="23"/>
                <w:color w:val="auto"/>
              </w:rPr>
            </w:pPr>
          </w:p>
        </w:tc>
        <w:tc>
          <w:tcPr>
            <w:tcW w:w="60" w:type="dxa"/>
            <w:vAlign w:val="bottom"/>
            <w:tcBorders>
              <w:top w:val="single" w:sz="8" w:color="2C6937"/>
            </w:tcBorders>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620" w:type="dxa"/>
            <w:vAlign w:val="bottom"/>
            <w:tcBorders>
              <w:top w:val="single" w:sz="8" w:color="2C6937"/>
            </w:tcBorders>
          </w:tcPr>
          <w:p>
            <w:pPr>
              <w:spacing w:after="0"/>
              <w:rPr>
                <w:sz w:val="23"/>
                <w:szCs w:val="23"/>
                <w:color w:val="auto"/>
              </w:rPr>
            </w:pPr>
          </w:p>
        </w:tc>
        <w:tc>
          <w:tcPr>
            <w:tcW w:w="4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660" w:type="dxa"/>
            <w:vAlign w:val="bottom"/>
            <w:tcBorders>
              <w:top w:val="single" w:sz="8" w:color="2C6937"/>
            </w:tcBorders>
          </w:tcPr>
          <w:p>
            <w:pPr>
              <w:spacing w:after="0"/>
              <w:rPr>
                <w:sz w:val="23"/>
                <w:szCs w:val="23"/>
                <w:color w:val="auto"/>
              </w:rPr>
            </w:pPr>
          </w:p>
        </w:tc>
        <w:tc>
          <w:tcPr>
            <w:tcW w:w="220" w:type="dxa"/>
            <w:vAlign w:val="bottom"/>
          </w:tcPr>
          <w:p>
            <w:pPr>
              <w:spacing w:after="0"/>
              <w:rPr>
                <w:sz w:val="23"/>
                <w:szCs w:val="23"/>
                <w:color w:val="auto"/>
              </w:rPr>
            </w:pPr>
          </w:p>
        </w:tc>
      </w:tr>
      <w:tr>
        <w:trPr>
          <w:trHeight w:val="305"/>
        </w:trPr>
        <w:tc>
          <w:tcPr>
            <w:tcW w:w="3920" w:type="dxa"/>
            <w:vAlign w:val="bottom"/>
            <w:gridSpan w:val="3"/>
          </w:tcPr>
          <w:p>
            <w:pPr>
              <w:ind w:left="20"/>
              <w:spacing w:after="0"/>
              <w:rPr>
                <w:sz w:val="20"/>
                <w:szCs w:val="20"/>
                <w:color w:val="auto"/>
              </w:rPr>
            </w:pPr>
            <w:r>
              <w:rPr>
                <w:rFonts w:ascii="Arial" w:cs="Arial" w:eastAsia="Arial" w:hAnsi="Arial"/>
                <w:sz w:val="15"/>
                <w:szCs w:val="15"/>
                <w:color w:val="auto"/>
              </w:rPr>
              <w:t>Internally assigned credit risk rating:</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58"/>
        </w:trPr>
        <w:tc>
          <w:tcPr>
            <w:tcW w:w="3920" w:type="dxa"/>
            <w:vAlign w:val="bottom"/>
            <w:gridSpan w:val="3"/>
          </w:tcPr>
          <w:p>
            <w:pPr>
              <w:ind w:left="180"/>
              <w:spacing w:after="0"/>
              <w:rPr>
                <w:sz w:val="20"/>
                <w:szCs w:val="20"/>
                <w:color w:val="auto"/>
              </w:rPr>
            </w:pPr>
            <w:r>
              <w:rPr>
                <w:rFonts w:ascii="Arial" w:cs="Arial" w:eastAsia="Arial" w:hAnsi="Arial"/>
                <w:sz w:val="15"/>
                <w:szCs w:val="15"/>
                <w:color w:val="auto"/>
              </w:rPr>
              <w:t>Pass</w:t>
            </w:r>
            <w:r>
              <w:rPr>
                <w:rFonts w:ascii="Arial" w:cs="Arial" w:eastAsia="Arial" w:hAnsi="Arial"/>
                <w:sz w:val="20"/>
                <w:szCs w:val="20"/>
                <w:color w:val="auto"/>
                <w:vertAlign w:val="superscript"/>
              </w:rPr>
              <w:t>(2)</w:t>
            </w:r>
          </w:p>
        </w:tc>
        <w:tc>
          <w:tcPr>
            <w:tcW w:w="240" w:type="dxa"/>
            <w:vAlign w:val="bottom"/>
            <w:gridSpan w:val="2"/>
          </w:tcPr>
          <w:p>
            <w:pPr>
              <w:jc w:val="right"/>
              <w:ind w:right="140"/>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23,068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55,124</w:t>
            </w:r>
          </w:p>
        </w:tc>
        <w:tc>
          <w:tcPr>
            <w:tcW w:w="10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w:t>
            </w:r>
          </w:p>
        </w:tc>
        <w:tc>
          <w:tcPr>
            <w:tcW w:w="140" w:type="dxa"/>
            <w:vAlign w:val="bottom"/>
          </w:tcPr>
          <w:p>
            <w:pPr>
              <w:spacing w:after="0"/>
              <w:rPr>
                <w:sz w:val="24"/>
                <w:szCs w:val="24"/>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61,194</w:t>
            </w:r>
          </w:p>
        </w:tc>
        <w:tc>
          <w:tcPr>
            <w:tcW w:w="1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74,157</w:t>
            </w:r>
          </w:p>
        </w:tc>
        <w:tc>
          <w:tcPr>
            <w:tcW w:w="100" w:type="dxa"/>
            <w:vAlign w:val="bottom"/>
          </w:tcPr>
          <w:p>
            <w:pPr>
              <w:spacing w:after="0"/>
              <w:rPr>
                <w:sz w:val="24"/>
                <w:szCs w:val="24"/>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58,280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143,885</w:t>
            </w:r>
          </w:p>
        </w:tc>
        <w:tc>
          <w:tcPr>
            <w:tcW w:w="26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415,708</w:t>
            </w:r>
          </w:p>
        </w:tc>
        <w:tc>
          <w:tcPr>
            <w:tcW w:w="220" w:type="dxa"/>
            <w:vAlign w:val="bottom"/>
          </w:tcPr>
          <w:p>
            <w:pPr>
              <w:spacing w:after="0"/>
              <w:rPr>
                <w:sz w:val="24"/>
                <w:szCs w:val="24"/>
                <w:color w:val="auto"/>
              </w:rPr>
            </w:pPr>
          </w:p>
        </w:tc>
      </w:tr>
      <w:tr>
        <w:trPr>
          <w:trHeight w:val="232"/>
        </w:trPr>
        <w:tc>
          <w:tcPr>
            <w:tcW w:w="3920" w:type="dxa"/>
            <w:vAlign w:val="bottom"/>
            <w:gridSpan w:val="3"/>
          </w:tcPr>
          <w:p>
            <w:pPr>
              <w:ind w:left="180"/>
              <w:spacing w:after="0"/>
              <w:rPr>
                <w:sz w:val="20"/>
                <w:szCs w:val="20"/>
                <w:color w:val="auto"/>
              </w:rPr>
            </w:pPr>
            <w:r>
              <w:rPr>
                <w:rFonts w:ascii="Arial" w:cs="Arial" w:eastAsia="Arial" w:hAnsi="Arial"/>
                <w:sz w:val="15"/>
                <w:szCs w:val="15"/>
                <w:color w:val="auto"/>
              </w:rPr>
              <w:t>Special mention</w:t>
            </w:r>
            <w:r>
              <w:rPr>
                <w:rFonts w:ascii="Arial" w:cs="Arial" w:eastAsia="Arial" w:hAnsi="Arial"/>
                <w:sz w:val="20"/>
                <w:szCs w:val="20"/>
                <w:color w:val="auto"/>
                <w:vertAlign w:val="superscript"/>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91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331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510</w:t>
            </w:r>
          </w:p>
        </w:tc>
        <w:tc>
          <w:tcPr>
            <w:tcW w:w="220" w:type="dxa"/>
            <w:vAlign w:val="bottom"/>
          </w:tcPr>
          <w:p>
            <w:pPr>
              <w:spacing w:after="0"/>
              <w:rPr>
                <w:sz w:val="20"/>
                <w:szCs w:val="20"/>
                <w:color w:val="auto"/>
              </w:rPr>
            </w:pPr>
          </w:p>
        </w:tc>
      </w:tr>
      <w:tr>
        <w:trPr>
          <w:trHeight w:val="265"/>
        </w:trPr>
        <w:tc>
          <w:tcPr>
            <w:tcW w:w="3920" w:type="dxa"/>
            <w:vAlign w:val="bottom"/>
            <w:gridSpan w:val="3"/>
          </w:tcPr>
          <w:p>
            <w:pPr>
              <w:ind w:left="180"/>
              <w:spacing w:after="0"/>
              <w:rPr>
                <w:sz w:val="20"/>
                <w:szCs w:val="20"/>
                <w:color w:val="auto"/>
              </w:rPr>
            </w:pPr>
            <w:r>
              <w:rPr>
                <w:rFonts w:ascii="Arial" w:cs="Arial" w:eastAsia="Arial" w:hAnsi="Arial"/>
                <w:sz w:val="15"/>
                <w:szCs w:val="15"/>
                <w:color w:val="auto"/>
              </w:rPr>
              <w:t>Substandard</w:t>
            </w:r>
            <w:r>
              <w:rPr>
                <w:rFonts w:ascii="Arial" w:cs="Arial" w:eastAsia="Arial" w:hAnsi="Arial"/>
                <w:sz w:val="20"/>
                <w:szCs w:val="20"/>
                <w:color w:val="auto"/>
                <w:vertAlign w:val="superscript"/>
              </w:rPr>
              <w:t>(4)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6,030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3,586</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2,091</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3,435</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14,784</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29,926</w:t>
            </w:r>
          </w:p>
        </w:tc>
        <w:tc>
          <w:tcPr>
            <w:tcW w:w="220" w:type="dxa"/>
            <w:vAlign w:val="bottom"/>
          </w:tcPr>
          <w:p>
            <w:pPr>
              <w:spacing w:after="0"/>
              <w:rPr>
                <w:sz w:val="23"/>
                <w:szCs w:val="23"/>
                <w:color w:val="auto"/>
              </w:rPr>
            </w:pPr>
          </w:p>
        </w:tc>
      </w:tr>
      <w:tr>
        <w:trPr>
          <w:trHeight w:val="272"/>
        </w:trPr>
        <w:tc>
          <w:tcPr>
            <w:tcW w:w="38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Doubtful</w:t>
            </w:r>
            <w:r>
              <w:rPr>
                <w:rFonts w:ascii="Arial" w:cs="Arial" w:eastAsia="Arial" w:hAnsi="Arial"/>
                <w:sz w:val="20"/>
                <w:szCs w:val="20"/>
                <w:color w:val="auto"/>
                <w:vertAlign w:val="superscript"/>
              </w:rPr>
              <w:t>(5)</w:t>
            </w:r>
          </w:p>
        </w:tc>
        <w:tc>
          <w:tcPr>
            <w:tcW w:w="100" w:type="dxa"/>
            <w:vAlign w:val="bottom"/>
            <w:gridSpan w:val="2"/>
          </w:tcPr>
          <w:p>
            <w:pPr>
              <w:spacing w:after="0"/>
              <w:rPr>
                <w:sz w:val="23"/>
                <w:szCs w:val="23"/>
                <w:color w:val="auto"/>
              </w:rPr>
            </w:pPr>
          </w:p>
        </w:tc>
        <w:tc>
          <w:tcPr>
            <w:tcW w:w="100" w:type="dxa"/>
            <w:vAlign w:val="bottom"/>
            <w:tcBorders>
              <w:bottom w:val="single" w:sz="8" w:color="2C6937"/>
            </w:tcBorders>
          </w:tcPr>
          <w:p>
            <w:pPr>
              <w:spacing w:after="0"/>
              <w:rPr>
                <w:sz w:val="23"/>
                <w:szCs w:val="23"/>
                <w:color w:val="auto"/>
              </w:rPr>
            </w:pPr>
          </w:p>
        </w:tc>
        <w:tc>
          <w:tcPr>
            <w:tcW w:w="140" w:type="dxa"/>
            <w:vAlign w:val="bottom"/>
            <w:tcBorders>
              <w:bottom w:val="single" w:sz="8" w:color="2C6937"/>
            </w:tcBorders>
          </w:tcPr>
          <w:p>
            <w:pPr>
              <w:spacing w:after="0"/>
              <w:rPr>
                <w:sz w:val="23"/>
                <w:szCs w:val="23"/>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20" w:type="dxa"/>
            <w:vAlign w:val="bottom"/>
            <w:tcBorders>
              <w:bottom w:val="single" w:sz="8" w:color="2C6937"/>
            </w:tcBorders>
          </w:tcPr>
          <w:p>
            <w:pPr>
              <w:spacing w:after="0"/>
              <w:rPr>
                <w:sz w:val="23"/>
                <w:szCs w:val="23"/>
                <w:color w:val="auto"/>
              </w:rPr>
            </w:pPr>
          </w:p>
        </w:tc>
        <w:tc>
          <w:tcPr>
            <w:tcW w:w="140" w:type="dxa"/>
            <w:vAlign w:val="bottom"/>
            <w:tcBorders>
              <w:bottom w:val="single" w:sz="8" w:color="2C6937"/>
            </w:tcBorders>
          </w:tcPr>
          <w:p>
            <w:pPr>
              <w:spacing w:after="0"/>
              <w:rPr>
                <w:sz w:val="23"/>
                <w:szCs w:val="23"/>
                <w:color w:val="auto"/>
              </w:rPr>
            </w:pPr>
          </w:p>
        </w:tc>
        <w:tc>
          <w:tcPr>
            <w:tcW w:w="66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20" w:type="dxa"/>
            <w:vAlign w:val="bottom"/>
            <w:tcBorders>
              <w:bottom w:val="single" w:sz="8" w:color="2C6937"/>
            </w:tcBorders>
          </w:tcPr>
          <w:p>
            <w:pPr>
              <w:spacing w:after="0"/>
              <w:rPr>
                <w:sz w:val="23"/>
                <w:szCs w:val="23"/>
                <w:color w:val="auto"/>
              </w:rPr>
            </w:pPr>
          </w:p>
        </w:tc>
        <w:tc>
          <w:tcPr>
            <w:tcW w:w="100" w:type="dxa"/>
            <w:vAlign w:val="bottom"/>
            <w:tcBorders>
              <w:bottom w:val="single" w:sz="8" w:color="2C6937"/>
            </w:tcBorders>
          </w:tcPr>
          <w:p>
            <w:pPr>
              <w:spacing w:after="0"/>
              <w:rPr>
                <w:sz w:val="23"/>
                <w:szCs w:val="23"/>
                <w:color w:val="auto"/>
              </w:rPr>
            </w:pPr>
          </w:p>
        </w:tc>
        <w:tc>
          <w:tcPr>
            <w:tcW w:w="140" w:type="dxa"/>
            <w:vAlign w:val="bottom"/>
            <w:tcBorders>
              <w:bottom w:val="single" w:sz="8" w:color="2C6937"/>
            </w:tcBorders>
          </w:tcPr>
          <w:p>
            <w:pPr>
              <w:spacing w:after="0"/>
              <w:rPr>
                <w:sz w:val="23"/>
                <w:szCs w:val="23"/>
                <w:color w:val="auto"/>
              </w:rPr>
            </w:pPr>
          </w:p>
        </w:tc>
        <w:tc>
          <w:tcPr>
            <w:tcW w:w="64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60" w:type="dxa"/>
            <w:vAlign w:val="bottom"/>
            <w:tcBorders>
              <w:bottom w:val="single" w:sz="8" w:color="2C6937"/>
            </w:tcBorders>
          </w:tcPr>
          <w:p>
            <w:pPr>
              <w:spacing w:after="0"/>
              <w:rPr>
                <w:sz w:val="23"/>
                <w:szCs w:val="23"/>
                <w:color w:val="auto"/>
              </w:rPr>
            </w:pPr>
          </w:p>
        </w:tc>
        <w:tc>
          <w:tcPr>
            <w:tcW w:w="100" w:type="dxa"/>
            <w:vAlign w:val="bottom"/>
            <w:tcBorders>
              <w:bottom w:val="single" w:sz="8" w:color="2C6937"/>
            </w:tcBorders>
          </w:tcPr>
          <w:p>
            <w:pPr>
              <w:spacing w:after="0"/>
              <w:rPr>
                <w:sz w:val="23"/>
                <w:szCs w:val="23"/>
                <w:color w:val="auto"/>
              </w:rPr>
            </w:pPr>
          </w:p>
        </w:tc>
        <w:tc>
          <w:tcPr>
            <w:tcW w:w="120" w:type="dxa"/>
            <w:vAlign w:val="bottom"/>
            <w:tcBorders>
              <w:bottom w:val="single" w:sz="8" w:color="2C6937"/>
            </w:tcBorders>
          </w:tcPr>
          <w:p>
            <w:pPr>
              <w:spacing w:after="0"/>
              <w:rPr>
                <w:sz w:val="23"/>
                <w:szCs w:val="23"/>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60" w:type="dxa"/>
            <w:vAlign w:val="bottom"/>
            <w:tcBorders>
              <w:bottom w:val="single" w:sz="8" w:color="2C6937"/>
            </w:tcBorders>
          </w:tcPr>
          <w:p>
            <w:pPr>
              <w:spacing w:after="0"/>
              <w:rPr>
                <w:sz w:val="23"/>
                <w:szCs w:val="23"/>
                <w:color w:val="auto"/>
              </w:rPr>
            </w:pPr>
          </w:p>
        </w:tc>
        <w:tc>
          <w:tcPr>
            <w:tcW w:w="120" w:type="dxa"/>
            <w:vAlign w:val="bottom"/>
            <w:tcBorders>
              <w:bottom w:val="single" w:sz="8" w:color="2C6937"/>
            </w:tcBorders>
          </w:tcPr>
          <w:p>
            <w:pPr>
              <w:spacing w:after="0"/>
              <w:rPr>
                <w:sz w:val="23"/>
                <w:szCs w:val="23"/>
                <w:color w:val="auto"/>
              </w:rPr>
            </w:pPr>
          </w:p>
        </w:tc>
        <w:tc>
          <w:tcPr>
            <w:tcW w:w="120" w:type="dxa"/>
            <w:vAlign w:val="bottom"/>
            <w:tcBorders>
              <w:bottom w:val="single" w:sz="8" w:color="2C6937"/>
            </w:tcBorders>
          </w:tcPr>
          <w:p>
            <w:pPr>
              <w:spacing w:after="0"/>
              <w:rPr>
                <w:sz w:val="23"/>
                <w:szCs w:val="23"/>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w:t>
            </w:r>
          </w:p>
        </w:tc>
        <w:tc>
          <w:tcPr>
            <w:tcW w:w="120" w:type="dxa"/>
            <w:vAlign w:val="bottom"/>
          </w:tcPr>
          <w:p>
            <w:pPr>
              <w:spacing w:after="0"/>
              <w:rPr>
                <w:sz w:val="23"/>
                <w:szCs w:val="23"/>
                <w:color w:val="auto"/>
              </w:rPr>
            </w:pPr>
          </w:p>
        </w:tc>
        <w:tc>
          <w:tcPr>
            <w:tcW w:w="20" w:type="dxa"/>
            <w:vAlign w:val="bottom"/>
            <w:tcBorders>
              <w:bottom w:val="single" w:sz="8" w:color="2C6937"/>
            </w:tcBorders>
          </w:tcPr>
          <w:p>
            <w:pPr>
              <w:spacing w:after="0"/>
              <w:rPr>
                <w:sz w:val="23"/>
                <w:szCs w:val="23"/>
                <w:color w:val="auto"/>
              </w:rPr>
            </w:pPr>
          </w:p>
        </w:tc>
        <w:tc>
          <w:tcPr>
            <w:tcW w:w="60" w:type="dxa"/>
            <w:vAlign w:val="bottom"/>
            <w:tcBorders>
              <w:bottom w:val="single" w:sz="8" w:color="2C6937"/>
            </w:tcBorders>
          </w:tcPr>
          <w:p>
            <w:pPr>
              <w:spacing w:after="0"/>
              <w:rPr>
                <w:sz w:val="23"/>
                <w:szCs w:val="23"/>
                <w:color w:val="auto"/>
              </w:rPr>
            </w:pPr>
          </w:p>
        </w:tc>
        <w:tc>
          <w:tcPr>
            <w:tcW w:w="100" w:type="dxa"/>
            <w:vAlign w:val="bottom"/>
            <w:tcBorders>
              <w:bottom w:val="single" w:sz="8" w:color="2C6937"/>
            </w:tcBorders>
          </w:tcPr>
          <w:p>
            <w:pPr>
              <w:spacing w:after="0"/>
              <w:rPr>
                <w:sz w:val="23"/>
                <w:szCs w:val="23"/>
                <w:color w:val="auto"/>
              </w:rPr>
            </w:pPr>
          </w:p>
        </w:tc>
        <w:tc>
          <w:tcPr>
            <w:tcW w:w="120" w:type="dxa"/>
            <w:vAlign w:val="bottom"/>
            <w:tcBorders>
              <w:bottom w:val="single" w:sz="8" w:color="2C6937"/>
            </w:tcBorders>
          </w:tcPr>
          <w:p>
            <w:pPr>
              <w:spacing w:after="0"/>
              <w:rPr>
                <w:sz w:val="23"/>
                <w:szCs w:val="23"/>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w:t>
            </w:r>
          </w:p>
        </w:tc>
        <w:tc>
          <w:tcPr>
            <w:tcW w:w="40" w:type="dxa"/>
            <w:vAlign w:val="bottom"/>
            <w:tcBorders>
              <w:bottom w:val="single" w:sz="8" w:color="2C6937"/>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Borders>
              <w:bottom w:val="single" w:sz="8" w:color="2C6937"/>
            </w:tcBorders>
          </w:tcPr>
          <w:p>
            <w:pPr>
              <w:spacing w:after="0"/>
              <w:rPr>
                <w:sz w:val="23"/>
                <w:szCs w:val="23"/>
                <w:color w:val="auto"/>
              </w:rPr>
            </w:pPr>
          </w:p>
        </w:tc>
        <w:tc>
          <w:tcPr>
            <w:tcW w:w="100" w:type="dxa"/>
            <w:vAlign w:val="bottom"/>
            <w:tcBorders>
              <w:bottom w:val="single" w:sz="8" w:color="2C6937"/>
            </w:tcBorders>
          </w:tcPr>
          <w:p>
            <w:pPr>
              <w:spacing w:after="0"/>
              <w:rPr>
                <w:sz w:val="23"/>
                <w:szCs w:val="23"/>
                <w:color w:val="auto"/>
              </w:rPr>
            </w:pPr>
          </w:p>
        </w:tc>
        <w:tc>
          <w:tcPr>
            <w:tcW w:w="120" w:type="dxa"/>
            <w:vAlign w:val="bottom"/>
            <w:tcBorders>
              <w:bottom w:val="single" w:sz="8" w:color="2C6937"/>
            </w:tcBorders>
          </w:tcPr>
          <w:p>
            <w:pPr>
              <w:spacing w:after="0"/>
              <w:rPr>
                <w:sz w:val="23"/>
                <w:szCs w:val="23"/>
                <w:color w:val="auto"/>
              </w:rPr>
            </w:pPr>
          </w:p>
        </w:tc>
        <w:tc>
          <w:tcPr>
            <w:tcW w:w="66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6</w:t>
            </w:r>
          </w:p>
        </w:tc>
        <w:tc>
          <w:tcPr>
            <w:tcW w:w="220" w:type="dxa"/>
            <w:vAlign w:val="bottom"/>
          </w:tcPr>
          <w:p>
            <w:pPr>
              <w:spacing w:after="0"/>
              <w:rPr>
                <w:sz w:val="23"/>
                <w:szCs w:val="23"/>
                <w:color w:val="auto"/>
              </w:rPr>
            </w:pPr>
          </w:p>
        </w:tc>
      </w:tr>
      <w:tr>
        <w:trPr>
          <w:trHeight w:val="300"/>
        </w:trPr>
        <w:tc>
          <w:tcPr>
            <w:tcW w:w="382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Total</w:t>
            </w:r>
          </w:p>
        </w:tc>
        <w:tc>
          <w:tcPr>
            <w:tcW w:w="100" w:type="dxa"/>
            <w:vAlign w:val="bottom"/>
            <w:gridSpan w:val="2"/>
          </w:tcPr>
          <w:p>
            <w:pPr>
              <w:spacing w:after="0"/>
              <w:rPr>
                <w:sz w:val="24"/>
                <w:szCs w:val="24"/>
                <w:color w:val="auto"/>
              </w:rPr>
            </w:pPr>
          </w:p>
        </w:tc>
        <w:tc>
          <w:tcPr>
            <w:tcW w:w="240" w:type="dxa"/>
            <w:vAlign w:val="bottom"/>
            <w:tcBorders>
              <w:bottom w:val="single" w:sz="8" w:color="2C6937"/>
            </w:tcBorders>
            <w:gridSpan w:val="2"/>
          </w:tcPr>
          <w:p>
            <w:pPr>
              <w:jc w:val="right"/>
              <w:ind w:right="140"/>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23,068</w:t>
            </w:r>
          </w:p>
        </w:tc>
        <w:tc>
          <w:tcPr>
            <w:tcW w:w="100" w:type="dxa"/>
            <w:vAlign w:val="bottom"/>
          </w:tcPr>
          <w:p>
            <w:pPr>
              <w:spacing w:after="0"/>
              <w:rPr>
                <w:sz w:val="24"/>
                <w:szCs w:val="24"/>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2C6937"/>
            </w:tcBorders>
          </w:tcPr>
          <w:p>
            <w:pPr>
              <w:spacing w:after="0"/>
              <w:rPr>
                <w:sz w:val="24"/>
                <w:szCs w:val="24"/>
                <w:color w:val="auto"/>
              </w:rPr>
            </w:pPr>
          </w:p>
        </w:tc>
        <w:tc>
          <w:tcPr>
            <w:tcW w:w="66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61,162</w:t>
            </w:r>
          </w:p>
        </w:tc>
        <w:tc>
          <w:tcPr>
            <w:tcW w:w="100" w:type="dxa"/>
            <w:vAlign w:val="bottom"/>
          </w:tcPr>
          <w:p>
            <w:pPr>
              <w:spacing w:after="0"/>
              <w:rPr>
                <w:sz w:val="24"/>
                <w:szCs w:val="24"/>
                <w:color w:val="auto"/>
              </w:rPr>
            </w:pPr>
          </w:p>
        </w:tc>
        <w:tc>
          <w:tcPr>
            <w:tcW w:w="120" w:type="dxa"/>
            <w:vAlign w:val="bottom"/>
            <w:tcBorders>
              <w:bottom w:val="single" w:sz="8" w:color="2C6937"/>
            </w:tcBorders>
            <w:gridSpan w:val="2"/>
          </w:tcPr>
          <w:p>
            <w:pPr>
              <w:jc w:val="right"/>
              <w:ind w:right="20"/>
              <w:spacing w:after="0"/>
              <w:rPr>
                <w:sz w:val="20"/>
                <w:szCs w:val="20"/>
                <w:color w:val="auto"/>
              </w:rPr>
            </w:pPr>
            <w:r>
              <w:rPr>
                <w:rFonts w:ascii="Arial" w:cs="Arial" w:eastAsia="Arial" w:hAnsi="Arial"/>
                <w:sz w:val="15"/>
                <w:szCs w:val="15"/>
                <w:color w:val="auto"/>
                <w:w w:val="95"/>
              </w:rPr>
              <w:t>$</w:t>
            </w:r>
          </w:p>
        </w:tc>
        <w:tc>
          <w:tcPr>
            <w:tcW w:w="140" w:type="dxa"/>
            <w:vAlign w:val="bottom"/>
            <w:tcBorders>
              <w:bottom w:val="single" w:sz="8" w:color="2C6937"/>
            </w:tcBorders>
          </w:tcPr>
          <w:p>
            <w:pPr>
              <w:spacing w:after="0"/>
              <w:rPr>
                <w:sz w:val="24"/>
                <w:szCs w:val="24"/>
                <w:color w:val="auto"/>
              </w:rPr>
            </w:pPr>
          </w:p>
        </w:tc>
        <w:tc>
          <w:tcPr>
            <w:tcW w:w="64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64,871</w:t>
            </w:r>
          </w:p>
        </w:tc>
        <w:tc>
          <w:tcPr>
            <w:tcW w:w="100" w:type="dxa"/>
            <w:vAlign w:val="bottom"/>
          </w:tcPr>
          <w:p>
            <w:pPr>
              <w:spacing w:after="0"/>
              <w:rPr>
                <w:sz w:val="24"/>
                <w:szCs w:val="24"/>
                <w:color w:val="auto"/>
              </w:rPr>
            </w:pPr>
          </w:p>
        </w:tc>
        <w:tc>
          <w:tcPr>
            <w:tcW w:w="160" w:type="dxa"/>
            <w:vAlign w:val="bottom"/>
            <w:tcBorders>
              <w:bottom w:val="single" w:sz="8" w:color="2C6937"/>
            </w:tcBorders>
            <w:gridSpan w:val="2"/>
          </w:tcPr>
          <w:p>
            <w:pPr>
              <w:jc w:val="right"/>
              <w:spacing w:after="0"/>
              <w:rPr>
                <w:sz w:val="20"/>
                <w:szCs w:val="20"/>
                <w:color w:val="auto"/>
              </w:rPr>
            </w:pPr>
            <w:r>
              <w:rPr>
                <w:rFonts w:ascii="Arial" w:cs="Arial" w:eastAsia="Arial" w:hAnsi="Arial"/>
                <w:sz w:val="15"/>
                <w:szCs w:val="15"/>
                <w:color w:val="auto"/>
                <w:w w:val="95"/>
              </w:rPr>
              <w:t>$</w:t>
            </w:r>
          </w:p>
        </w:tc>
        <w:tc>
          <w:tcPr>
            <w:tcW w:w="120" w:type="dxa"/>
            <w:vAlign w:val="bottom"/>
            <w:tcBorders>
              <w:bottom w:val="single" w:sz="8" w:color="2C6937"/>
            </w:tcBorders>
          </w:tcPr>
          <w:p>
            <w:pPr>
              <w:spacing w:after="0"/>
              <w:rPr>
                <w:sz w:val="24"/>
                <w:szCs w:val="24"/>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76,312</w:t>
            </w:r>
          </w:p>
        </w:tc>
        <w:tc>
          <w:tcPr>
            <w:tcW w:w="100" w:type="dxa"/>
            <w:vAlign w:val="bottom"/>
          </w:tcPr>
          <w:p>
            <w:pPr>
              <w:spacing w:after="0"/>
              <w:rPr>
                <w:sz w:val="24"/>
                <w:szCs w:val="24"/>
                <w:color w:val="auto"/>
              </w:rPr>
            </w:pPr>
          </w:p>
        </w:tc>
        <w:tc>
          <w:tcPr>
            <w:tcW w:w="18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2C6937"/>
            </w:tcBorders>
          </w:tcPr>
          <w:p>
            <w:pPr>
              <w:spacing w:after="0"/>
              <w:rPr>
                <w:sz w:val="24"/>
                <w:szCs w:val="24"/>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61,736</w:t>
            </w:r>
          </w:p>
        </w:tc>
        <w:tc>
          <w:tcPr>
            <w:tcW w:w="120" w:type="dxa"/>
            <w:vAlign w:val="bottom"/>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6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2C6937"/>
            </w:tcBorders>
          </w:tcPr>
          <w:p>
            <w:pPr>
              <w:spacing w:after="0"/>
              <w:rPr>
                <w:sz w:val="24"/>
                <w:szCs w:val="24"/>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159,001</w:t>
            </w:r>
          </w:p>
        </w:tc>
        <w:tc>
          <w:tcPr>
            <w:tcW w:w="40" w:type="dxa"/>
            <w:vAlign w:val="bottom"/>
            <w:tcBorders>
              <w:bottom w:val="single" w:sz="8" w:color="2C6937"/>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0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66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446,150</w:t>
            </w:r>
          </w:p>
        </w:tc>
        <w:tc>
          <w:tcPr>
            <w:tcW w:w="220" w:type="dxa"/>
            <w:vAlign w:val="bottom"/>
          </w:tcPr>
          <w:p>
            <w:pPr>
              <w:spacing w:after="0"/>
              <w:rPr>
                <w:sz w:val="24"/>
                <w:szCs w:val="24"/>
                <w:color w:val="auto"/>
              </w:rPr>
            </w:pPr>
          </w:p>
        </w:tc>
      </w:tr>
      <w:tr>
        <w:trPr>
          <w:trHeight w:val="21"/>
        </w:trPr>
        <w:tc>
          <w:tcPr>
            <w:tcW w:w="38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60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2"/>
        </w:trPr>
        <w:tc>
          <w:tcPr>
            <w:tcW w:w="3920" w:type="dxa"/>
            <w:vAlign w:val="bottom"/>
            <w:gridSpan w:val="3"/>
          </w:tcPr>
          <w:p>
            <w:pPr>
              <w:ind w:left="440"/>
              <w:spacing w:after="0"/>
              <w:rPr>
                <w:sz w:val="20"/>
                <w:szCs w:val="20"/>
                <w:color w:val="auto"/>
              </w:rPr>
            </w:pPr>
            <w:r>
              <w:rPr>
                <w:rFonts w:ascii="Arial" w:cs="Arial" w:eastAsia="Arial" w:hAnsi="Arial"/>
                <w:sz w:val="15"/>
                <w:szCs w:val="15"/>
                <w:color w:val="auto"/>
              </w:rPr>
              <w:t>Current-year write-offs</w:t>
            </w:r>
          </w:p>
        </w:tc>
        <w:tc>
          <w:tcPr>
            <w:tcW w:w="240" w:type="dxa"/>
            <w:vAlign w:val="bottom"/>
            <w:gridSpan w:val="2"/>
          </w:tcPr>
          <w:p>
            <w:pPr>
              <w:jc w:val="right"/>
              <w:ind w:right="140"/>
              <w:spacing w:after="0"/>
              <w:rPr>
                <w:sz w:val="20"/>
                <w:szCs w:val="20"/>
                <w:color w:val="auto"/>
              </w:rPr>
            </w:pPr>
            <w:r>
              <w:rPr>
                <w:rFonts w:ascii="Arial" w:cs="Arial" w:eastAsia="Arial" w:hAnsi="Arial"/>
                <w:sz w:val="15"/>
                <w:szCs w:val="15"/>
                <w:color w:val="auto"/>
                <w:w w:val="95"/>
              </w:rPr>
              <w:t>$</w:t>
            </w: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0"/>
                <w:szCs w:val="20"/>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w:t>
            </w:r>
          </w:p>
        </w:tc>
        <w:tc>
          <w:tcPr>
            <w:tcW w:w="14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20"/>
                <w:szCs w:val="20"/>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241</w:t>
            </w:r>
          </w:p>
        </w:tc>
        <w:tc>
          <w:tcPr>
            <w:tcW w:w="26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254</w:t>
            </w:r>
          </w:p>
        </w:tc>
        <w:tc>
          <w:tcPr>
            <w:tcW w:w="220" w:type="dxa"/>
            <w:vAlign w:val="bottom"/>
          </w:tcPr>
          <w:p>
            <w:pPr>
              <w:spacing w:after="0"/>
              <w:rPr>
                <w:sz w:val="20"/>
                <w:szCs w:val="20"/>
                <w:color w:val="auto"/>
              </w:rPr>
            </w:pPr>
          </w:p>
        </w:tc>
      </w:tr>
      <w:tr>
        <w:trPr>
          <w:trHeight w:val="418"/>
        </w:trPr>
        <w:tc>
          <w:tcPr>
            <w:tcW w:w="3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66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4960" w:type="dxa"/>
            <w:vAlign w:val="bottom"/>
            <w:tcBorders>
              <w:bottom w:val="single" w:sz="8" w:color="2C6937"/>
            </w:tcBorders>
            <w:gridSpan w:val="25"/>
          </w:tcPr>
          <w:p>
            <w:pPr>
              <w:jc w:val="right"/>
              <w:ind w:right="3"/>
              <w:spacing w:after="0"/>
              <w:rPr>
                <w:sz w:val="20"/>
                <w:szCs w:val="20"/>
                <w:color w:val="auto"/>
              </w:rPr>
            </w:pPr>
            <w:r>
              <w:rPr>
                <w:rFonts w:ascii="Arial" w:cs="Arial" w:eastAsia="Arial" w:hAnsi="Arial"/>
                <w:sz w:val="14"/>
                <w:szCs w:val="14"/>
                <w:b w:val="1"/>
                <w:bCs w:val="1"/>
                <w:color w:val="auto"/>
                <w:w w:val="97"/>
              </w:rPr>
              <w:t>Credit Quality Indicators as of December 31, 2022, by Year of Origination</w:t>
            </w:r>
            <w:r>
              <w:rPr>
                <w:rFonts w:ascii="Arial" w:cs="Arial" w:eastAsia="Arial" w:hAnsi="Arial"/>
                <w:sz w:val="17"/>
                <w:szCs w:val="17"/>
                <w:b w:val="1"/>
                <w:bCs w:val="1"/>
                <w:color w:val="auto"/>
                <w:w w:val="97"/>
                <w:vertAlign w:val="superscript"/>
              </w:rPr>
              <w:t>(1)</w:t>
            </w:r>
          </w:p>
        </w:tc>
        <w:tc>
          <w:tcPr>
            <w:tcW w:w="10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660" w:type="dxa"/>
            <w:vAlign w:val="bottom"/>
            <w:tcBorders>
              <w:bottom w:val="single" w:sz="8" w:color="2C6937"/>
            </w:tcBorders>
          </w:tcPr>
          <w:p>
            <w:pPr>
              <w:spacing w:after="0"/>
              <w:rPr>
                <w:sz w:val="24"/>
                <w:szCs w:val="24"/>
                <w:color w:val="auto"/>
              </w:rPr>
            </w:pPr>
          </w:p>
        </w:tc>
        <w:tc>
          <w:tcPr>
            <w:tcW w:w="220" w:type="dxa"/>
            <w:vAlign w:val="bottom"/>
            <w:tcBorders>
              <w:bottom w:val="single" w:sz="8" w:color="2C6937"/>
            </w:tcBorders>
          </w:tcPr>
          <w:p>
            <w:pPr>
              <w:spacing w:after="0"/>
              <w:rPr>
                <w:sz w:val="24"/>
                <w:szCs w:val="24"/>
                <w:color w:val="auto"/>
              </w:rPr>
            </w:pPr>
          </w:p>
        </w:tc>
      </w:tr>
      <w:tr>
        <w:trPr>
          <w:trHeight w:val="205"/>
        </w:trPr>
        <w:tc>
          <w:tcPr>
            <w:tcW w:w="3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660" w:type="dxa"/>
            <w:vAlign w:val="bottom"/>
            <w:tcBorders>
              <w:bottom w:val="single" w:sz="8" w:color="2C6937"/>
            </w:tcBorders>
          </w:tcPr>
          <w:p>
            <w:pPr>
              <w:jc w:val="right"/>
              <w:ind w:right="12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660" w:type="dxa"/>
            <w:vAlign w:val="bottom"/>
            <w:tcBorders>
              <w:bottom w:val="single" w:sz="8" w:color="2C6937"/>
            </w:tcBorders>
          </w:tcPr>
          <w:p>
            <w:pPr>
              <w:jc w:val="right"/>
              <w:ind w:right="10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640" w:type="dxa"/>
            <w:vAlign w:val="bottom"/>
            <w:tcBorders>
              <w:bottom w:val="single" w:sz="8" w:color="2C6937"/>
            </w:tcBorders>
          </w:tcPr>
          <w:p>
            <w:pPr>
              <w:jc w:val="right"/>
              <w:ind w:right="8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2C6937"/>
            </w:tcBorders>
          </w:tcPr>
          <w:p>
            <w:pPr>
              <w:spacing w:after="0"/>
              <w:rPr>
                <w:sz w:val="17"/>
                <w:szCs w:val="17"/>
                <w:color w:val="auto"/>
              </w:rPr>
            </w:pPr>
          </w:p>
        </w:tc>
        <w:tc>
          <w:tcPr>
            <w:tcW w:w="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620" w:type="dxa"/>
            <w:vAlign w:val="bottom"/>
            <w:tcBorders>
              <w:bottom w:val="single" w:sz="8" w:color="2C6937"/>
            </w:tcBorders>
          </w:tcPr>
          <w:p>
            <w:pPr>
              <w:jc w:val="right"/>
              <w:ind w:right="6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2C6937"/>
            </w:tcBorders>
          </w:tcPr>
          <w:p>
            <w:pPr>
              <w:spacing w:after="0"/>
              <w:rPr>
                <w:sz w:val="17"/>
                <w:szCs w:val="17"/>
                <w:color w:val="auto"/>
              </w:rPr>
            </w:pPr>
          </w:p>
        </w:tc>
        <w:tc>
          <w:tcPr>
            <w:tcW w:w="6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600" w:type="dxa"/>
            <w:vAlign w:val="bottom"/>
            <w:tcBorders>
              <w:bottom w:val="single" w:sz="8" w:color="2C6937"/>
            </w:tcBorders>
          </w:tcPr>
          <w:p>
            <w:pPr>
              <w:jc w:val="right"/>
              <w:ind w:right="2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620" w:type="dxa"/>
            <w:vAlign w:val="bottom"/>
            <w:tcBorders>
              <w:bottom w:val="single" w:sz="8" w:color="2C6937"/>
            </w:tcBorders>
          </w:tcPr>
          <w:p>
            <w:pPr>
              <w:jc w:val="right"/>
              <w:ind w:right="4"/>
              <w:spacing w:after="0"/>
              <w:rPr>
                <w:sz w:val="20"/>
                <w:szCs w:val="20"/>
                <w:color w:val="auto"/>
              </w:rPr>
            </w:pPr>
            <w:r>
              <w:rPr>
                <w:rFonts w:ascii="Arial" w:cs="Arial" w:eastAsia="Arial" w:hAnsi="Arial"/>
                <w:sz w:val="14"/>
                <w:szCs w:val="14"/>
                <w:b w:val="1"/>
                <w:bCs w:val="1"/>
                <w:color w:val="auto"/>
              </w:rPr>
              <w:t>Prior</w:t>
            </w:r>
          </w:p>
        </w:tc>
        <w:tc>
          <w:tcPr>
            <w:tcW w:w="4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r>
      <w:tr>
        <w:trPr>
          <w:trHeight w:val="282"/>
        </w:trPr>
        <w:tc>
          <w:tcPr>
            <w:tcW w:w="3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80" w:type="dxa"/>
            <w:vAlign w:val="bottom"/>
            <w:gridSpan w:val="10"/>
          </w:tcPr>
          <w:p>
            <w:pPr>
              <w:jc w:val="right"/>
              <w:ind w:right="720"/>
              <w:spacing w:after="0"/>
              <w:rPr>
                <w:sz w:val="20"/>
                <w:szCs w:val="20"/>
                <w:color w:val="auto"/>
              </w:rPr>
            </w:pPr>
            <w:r>
              <w:rPr>
                <w:rFonts w:ascii="Arial" w:cs="Arial" w:eastAsia="Arial" w:hAnsi="Arial"/>
                <w:sz w:val="14"/>
                <w:szCs w:val="14"/>
                <w:b w:val="1"/>
                <w:bCs w:val="1"/>
                <w:color w:val="auto"/>
                <w:w w:val="95"/>
              </w:rPr>
              <w:t>(Dollars in millions)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05"/>
        </w:trPr>
        <w:tc>
          <w:tcPr>
            <w:tcW w:w="3920" w:type="dxa"/>
            <w:vAlign w:val="bottom"/>
            <w:gridSpan w:val="3"/>
          </w:tcPr>
          <w:p>
            <w:pPr>
              <w:ind w:left="20"/>
              <w:spacing w:after="0"/>
              <w:rPr>
                <w:sz w:val="20"/>
                <w:szCs w:val="20"/>
                <w:color w:val="auto"/>
              </w:rPr>
            </w:pPr>
            <w:r>
              <w:rPr>
                <w:rFonts w:ascii="Arial" w:cs="Arial" w:eastAsia="Arial" w:hAnsi="Arial"/>
                <w:sz w:val="15"/>
                <w:szCs w:val="15"/>
                <w:color w:val="auto"/>
              </w:rPr>
              <w:t>Internally assigned credit risk rating:</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58"/>
        </w:trPr>
        <w:tc>
          <w:tcPr>
            <w:tcW w:w="3920" w:type="dxa"/>
            <w:vAlign w:val="bottom"/>
            <w:gridSpan w:val="3"/>
          </w:tcPr>
          <w:p>
            <w:pPr>
              <w:ind w:left="180"/>
              <w:spacing w:after="0"/>
              <w:rPr>
                <w:sz w:val="20"/>
                <w:szCs w:val="20"/>
                <w:color w:val="auto"/>
              </w:rPr>
            </w:pPr>
            <w:r>
              <w:rPr>
                <w:rFonts w:ascii="Arial" w:cs="Arial" w:eastAsia="Arial" w:hAnsi="Arial"/>
                <w:sz w:val="15"/>
                <w:szCs w:val="15"/>
                <w:color w:val="auto"/>
              </w:rPr>
              <w:t>Pass</w:t>
            </w:r>
            <w:r>
              <w:rPr>
                <w:rFonts w:ascii="Arial" w:cs="Arial" w:eastAsia="Arial" w:hAnsi="Arial"/>
                <w:sz w:val="20"/>
                <w:szCs w:val="20"/>
                <w:color w:val="auto"/>
                <w:vertAlign w:val="superscript"/>
              </w:rPr>
              <w:t>(2)</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57,976</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64,165</w:t>
            </w:r>
          </w:p>
        </w:tc>
        <w:tc>
          <w:tcPr>
            <w:tcW w:w="26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75,468</w:t>
            </w:r>
          </w:p>
        </w:tc>
        <w:tc>
          <w:tcPr>
            <w:tcW w:w="28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59,507</w:t>
            </w:r>
          </w:p>
        </w:tc>
        <w:tc>
          <w:tcPr>
            <w:tcW w:w="30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gridSpan w:val="3"/>
          </w:tcPr>
          <w:p>
            <w:pPr>
              <w:jc w:val="right"/>
              <w:ind w:right="20"/>
              <w:spacing w:after="0"/>
              <w:rPr>
                <w:sz w:val="20"/>
                <w:szCs w:val="20"/>
                <w:color w:val="auto"/>
              </w:rPr>
            </w:pPr>
            <w:r>
              <w:rPr>
                <w:rFonts w:ascii="Arial" w:cs="Arial" w:eastAsia="Arial" w:hAnsi="Arial"/>
                <w:sz w:val="15"/>
                <w:szCs w:val="15"/>
                <w:color w:val="auto"/>
              </w:rPr>
              <w:t>48,720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4"/>
          </w:tcPr>
          <w:p>
            <w:pPr>
              <w:jc w:val="right"/>
              <w:ind w:right="3"/>
              <w:spacing w:after="0"/>
              <w:rPr>
                <w:sz w:val="20"/>
                <w:szCs w:val="20"/>
                <w:color w:val="auto"/>
              </w:rPr>
            </w:pPr>
            <w:r>
              <w:rPr>
                <w:rFonts w:ascii="Arial" w:cs="Arial" w:eastAsia="Arial" w:hAnsi="Arial"/>
                <w:sz w:val="15"/>
                <w:szCs w:val="15"/>
                <w:color w:val="auto"/>
              </w:rPr>
              <w:t>103,772</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409,608</w:t>
            </w:r>
          </w:p>
        </w:tc>
      </w:tr>
      <w:tr>
        <w:trPr>
          <w:trHeight w:val="232"/>
        </w:trPr>
        <w:tc>
          <w:tcPr>
            <w:tcW w:w="3920" w:type="dxa"/>
            <w:vAlign w:val="bottom"/>
            <w:gridSpan w:val="3"/>
          </w:tcPr>
          <w:p>
            <w:pPr>
              <w:ind w:left="180"/>
              <w:spacing w:after="0"/>
              <w:rPr>
                <w:sz w:val="20"/>
                <w:szCs w:val="20"/>
                <w:color w:val="auto"/>
              </w:rPr>
            </w:pPr>
            <w:r>
              <w:rPr>
                <w:rFonts w:ascii="Arial" w:cs="Arial" w:eastAsia="Arial" w:hAnsi="Arial"/>
                <w:sz w:val="15"/>
                <w:szCs w:val="15"/>
                <w:color w:val="auto"/>
              </w:rPr>
              <w:t>Special mention</w:t>
            </w:r>
            <w:r>
              <w:rPr>
                <w:rFonts w:ascii="Arial" w:cs="Arial" w:eastAsia="Arial" w:hAnsi="Arial"/>
                <w:sz w:val="20"/>
                <w:szCs w:val="20"/>
                <w:color w:val="auto"/>
                <w:vertAlign w:val="superscript"/>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41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128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55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5"/>
                <w:szCs w:val="15"/>
                <w:color w:val="auto"/>
              </w:rPr>
              <w:t>54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4"/>
          </w:tcPr>
          <w:p>
            <w:pPr>
              <w:jc w:val="right"/>
              <w:ind w:right="3"/>
              <w:spacing w:after="0"/>
              <w:rPr>
                <w:sz w:val="20"/>
                <w:szCs w:val="20"/>
                <w:color w:val="auto"/>
              </w:rPr>
            </w:pPr>
            <w:r>
              <w:rPr>
                <w:rFonts w:ascii="Arial" w:cs="Arial" w:eastAsia="Arial" w:hAnsi="Arial"/>
                <w:sz w:val="15"/>
                <w:szCs w:val="15"/>
                <w:color w:val="auto"/>
              </w:rPr>
              <w:t>306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595</w:t>
            </w:r>
          </w:p>
        </w:tc>
      </w:tr>
      <w:tr>
        <w:trPr>
          <w:trHeight w:val="265"/>
        </w:trPr>
        <w:tc>
          <w:tcPr>
            <w:tcW w:w="3920" w:type="dxa"/>
            <w:vAlign w:val="bottom"/>
            <w:gridSpan w:val="3"/>
          </w:tcPr>
          <w:p>
            <w:pPr>
              <w:ind w:left="180"/>
              <w:spacing w:after="0"/>
              <w:rPr>
                <w:sz w:val="20"/>
                <w:szCs w:val="20"/>
                <w:color w:val="auto"/>
              </w:rPr>
            </w:pPr>
            <w:r>
              <w:rPr>
                <w:rFonts w:ascii="Arial" w:cs="Arial" w:eastAsia="Arial" w:hAnsi="Arial"/>
                <w:sz w:val="15"/>
                <w:szCs w:val="15"/>
                <w:color w:val="auto"/>
              </w:rPr>
              <w:t>Substandard</w:t>
            </w:r>
            <w:r>
              <w:rPr>
                <w:rFonts w:ascii="Arial" w:cs="Arial" w:eastAsia="Arial" w:hAnsi="Arial"/>
                <w:sz w:val="20"/>
                <w:szCs w:val="20"/>
                <w:color w:val="auto"/>
                <w:vertAlign w:val="superscript"/>
              </w:rPr>
              <w:t>(4)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1,415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1,580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1,388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2,816</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5"/>
                <w:szCs w:val="15"/>
                <w:color w:val="auto"/>
              </w:rPr>
              <w:t>2,488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4"/>
          </w:tcPr>
          <w:p>
            <w:pPr>
              <w:jc w:val="right"/>
              <w:ind w:right="3"/>
              <w:spacing w:after="0"/>
              <w:rPr>
                <w:sz w:val="20"/>
                <w:szCs w:val="20"/>
                <w:color w:val="auto"/>
              </w:rPr>
            </w:pPr>
            <w:r>
              <w:rPr>
                <w:rFonts w:ascii="Arial" w:cs="Arial" w:eastAsia="Arial" w:hAnsi="Arial"/>
                <w:sz w:val="15"/>
                <w:szCs w:val="15"/>
                <w:color w:val="auto"/>
              </w:rPr>
              <w:t>12,324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22,011</w:t>
            </w:r>
          </w:p>
        </w:tc>
      </w:tr>
      <w:tr>
        <w:trPr>
          <w:trHeight w:val="272"/>
        </w:trPr>
        <w:tc>
          <w:tcPr>
            <w:tcW w:w="3900" w:type="dxa"/>
            <w:vAlign w:val="bottom"/>
            <w:tcBorders>
              <w:bottom w:val="single" w:sz="8" w:color="2C6937"/>
            </w:tcBorders>
            <w:gridSpan w:val="2"/>
          </w:tcPr>
          <w:p>
            <w:pPr>
              <w:ind w:left="180"/>
              <w:spacing w:after="0"/>
              <w:rPr>
                <w:sz w:val="20"/>
                <w:szCs w:val="20"/>
                <w:color w:val="auto"/>
              </w:rPr>
            </w:pPr>
            <w:r>
              <w:rPr>
                <w:rFonts w:ascii="Arial" w:cs="Arial" w:eastAsia="Arial" w:hAnsi="Arial"/>
                <w:sz w:val="15"/>
                <w:szCs w:val="15"/>
                <w:color w:val="auto"/>
              </w:rPr>
              <w:t>Doubtful</w:t>
            </w:r>
            <w:r>
              <w:rPr>
                <w:rFonts w:ascii="Arial" w:cs="Arial" w:eastAsia="Arial" w:hAnsi="Arial"/>
                <w:sz w:val="20"/>
                <w:szCs w:val="20"/>
                <w:color w:val="auto"/>
                <w:vertAlign w:val="superscript"/>
              </w:rPr>
              <w:t>(5)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2C6937"/>
            </w:tcBorders>
          </w:tcPr>
          <w:p>
            <w:pPr>
              <w:spacing w:after="0"/>
              <w:rPr>
                <w:sz w:val="23"/>
                <w:szCs w:val="23"/>
                <w:color w:val="auto"/>
              </w:rPr>
            </w:pPr>
          </w:p>
        </w:tc>
        <w:tc>
          <w:tcPr>
            <w:tcW w:w="76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40" w:type="dxa"/>
            <w:vAlign w:val="bottom"/>
            <w:tcBorders>
              <w:bottom w:val="single" w:sz="8" w:color="2C6937"/>
            </w:tcBorders>
          </w:tcPr>
          <w:p>
            <w:pPr>
              <w:spacing w:after="0"/>
              <w:rPr>
                <w:sz w:val="23"/>
                <w:szCs w:val="23"/>
                <w:color w:val="auto"/>
              </w:rPr>
            </w:pPr>
          </w:p>
        </w:tc>
        <w:tc>
          <w:tcPr>
            <w:tcW w:w="76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2C6937"/>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2C6937"/>
            </w:tcBorders>
          </w:tcPr>
          <w:p>
            <w:pPr>
              <w:spacing w:after="0"/>
              <w:rPr>
                <w:sz w:val="23"/>
                <w:szCs w:val="23"/>
                <w:color w:val="auto"/>
              </w:rPr>
            </w:pPr>
          </w:p>
        </w:tc>
        <w:tc>
          <w:tcPr>
            <w:tcW w:w="740" w:type="dxa"/>
            <w:vAlign w:val="bottom"/>
            <w:tcBorders>
              <w:bottom w:val="single" w:sz="8" w:color="2C6937"/>
            </w:tcBorders>
            <w:gridSpan w:val="2"/>
          </w:tcPr>
          <w:p>
            <w:pPr>
              <w:jc w:val="right"/>
              <w:ind w:right="2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2C6937"/>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2C6937"/>
            </w:tcBorders>
          </w:tcPr>
          <w:p>
            <w:pPr>
              <w:spacing w:after="0"/>
              <w:rPr>
                <w:sz w:val="23"/>
                <w:szCs w:val="23"/>
                <w:color w:val="auto"/>
              </w:rPr>
            </w:pPr>
          </w:p>
        </w:tc>
        <w:tc>
          <w:tcPr>
            <w:tcW w:w="720" w:type="dxa"/>
            <w:vAlign w:val="bottom"/>
            <w:tcBorders>
              <w:bottom w:val="single" w:sz="8" w:color="2C6937"/>
            </w:tcBorders>
            <w:gridSpan w:val="2"/>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2C6937"/>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bottom w:val="single" w:sz="8" w:color="2C6937"/>
            </w:tcBorders>
          </w:tcPr>
          <w:p>
            <w:pPr>
              <w:spacing w:after="0"/>
              <w:rPr>
                <w:sz w:val="23"/>
                <w:szCs w:val="23"/>
                <w:color w:val="auto"/>
              </w:rPr>
            </w:pPr>
          </w:p>
        </w:tc>
        <w:tc>
          <w:tcPr>
            <w:tcW w:w="740" w:type="dxa"/>
            <w:vAlign w:val="bottom"/>
            <w:tcBorders>
              <w:bottom w:val="single" w:sz="8" w:color="2C6937"/>
            </w:tcBorders>
            <w:gridSpan w:val="3"/>
          </w:tcPr>
          <w:p>
            <w:pPr>
              <w:jc w:val="right"/>
              <w:ind w:right="20"/>
              <w:spacing w:after="0"/>
              <w:rPr>
                <w:sz w:val="20"/>
                <w:szCs w:val="20"/>
                <w:color w:val="auto"/>
              </w:rPr>
            </w:pPr>
            <w:r>
              <w:rPr>
                <w:rFonts w:ascii="Arial" w:cs="Arial" w:eastAsia="Arial" w:hAnsi="Arial"/>
                <w:sz w:val="15"/>
                <w:szCs w:val="15"/>
                <w:color w:val="auto"/>
              </w:rPr>
              <w:t>8</w:t>
            </w:r>
          </w:p>
        </w:tc>
        <w:tc>
          <w:tcPr>
            <w:tcW w:w="60" w:type="dxa"/>
            <w:vAlign w:val="bottom"/>
            <w:tcBorders>
              <w:bottom w:val="single" w:sz="8" w:color="2C6937"/>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2C6937"/>
            </w:tcBorders>
          </w:tcPr>
          <w:p>
            <w:pPr>
              <w:spacing w:after="0"/>
              <w:rPr>
                <w:sz w:val="23"/>
                <w:szCs w:val="23"/>
                <w:color w:val="auto"/>
              </w:rPr>
            </w:pPr>
          </w:p>
        </w:tc>
        <w:tc>
          <w:tcPr>
            <w:tcW w:w="620" w:type="dxa"/>
            <w:vAlign w:val="bottom"/>
            <w:tcBorders>
              <w:bottom w:val="single" w:sz="8" w:color="2C6937"/>
            </w:tcBorders>
          </w:tcPr>
          <w:p>
            <w:pPr>
              <w:spacing w:after="0"/>
              <w:rPr>
                <w:sz w:val="23"/>
                <w:szCs w:val="23"/>
                <w:color w:val="auto"/>
              </w:rPr>
            </w:pPr>
          </w:p>
        </w:tc>
        <w:tc>
          <w:tcPr>
            <w:tcW w:w="260" w:type="dxa"/>
            <w:vAlign w:val="bottom"/>
            <w:tcBorders>
              <w:bottom w:val="single" w:sz="8" w:color="2C6937"/>
            </w:tcBorders>
            <w:gridSpan w:val="3"/>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20" w:type="dxa"/>
            <w:vAlign w:val="bottom"/>
            <w:tcBorders>
              <w:bottom w:val="single" w:sz="8" w:color="2C6937"/>
            </w:tcBorders>
          </w:tcPr>
          <w:p>
            <w:pPr>
              <w:spacing w:after="0"/>
              <w:rPr>
                <w:sz w:val="23"/>
                <w:szCs w:val="23"/>
                <w:color w:val="auto"/>
              </w:rPr>
            </w:pPr>
          </w:p>
        </w:tc>
        <w:tc>
          <w:tcPr>
            <w:tcW w:w="88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8</w:t>
            </w:r>
          </w:p>
        </w:tc>
      </w:tr>
      <w:tr>
        <w:trPr>
          <w:trHeight w:val="300"/>
        </w:trPr>
        <w:tc>
          <w:tcPr>
            <w:tcW w:w="3920" w:type="dxa"/>
            <w:vAlign w:val="bottom"/>
            <w:gridSpan w:val="3"/>
          </w:tcPr>
          <w:p>
            <w:pPr>
              <w:ind w:left="320"/>
              <w:spacing w:after="0"/>
              <w:rPr>
                <w:sz w:val="20"/>
                <w:szCs w:val="20"/>
                <w:color w:val="auto"/>
              </w:rPr>
            </w:pPr>
            <w:r>
              <w:rPr>
                <w:rFonts w:ascii="Arial" w:cs="Arial" w:eastAsia="Arial" w:hAnsi="Arial"/>
                <w:sz w:val="15"/>
                <w:szCs w:val="15"/>
                <w:color w:val="auto"/>
              </w:rPr>
              <w:t>Total</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59,402</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65,786</w:t>
            </w:r>
          </w:p>
        </w:tc>
        <w:tc>
          <w:tcPr>
            <w:tcW w:w="26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76,984</w:t>
            </w:r>
          </w:p>
        </w:tc>
        <w:tc>
          <w:tcPr>
            <w:tcW w:w="28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62,378</w:t>
            </w:r>
          </w:p>
        </w:tc>
        <w:tc>
          <w:tcPr>
            <w:tcW w:w="30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gridSpan w:val="3"/>
          </w:tcPr>
          <w:p>
            <w:pPr>
              <w:jc w:val="right"/>
              <w:ind w:right="20"/>
              <w:spacing w:after="0"/>
              <w:rPr>
                <w:sz w:val="20"/>
                <w:szCs w:val="20"/>
                <w:color w:val="auto"/>
              </w:rPr>
            </w:pPr>
            <w:r>
              <w:rPr>
                <w:rFonts w:ascii="Arial" w:cs="Arial" w:eastAsia="Arial" w:hAnsi="Arial"/>
                <w:sz w:val="15"/>
                <w:szCs w:val="15"/>
                <w:color w:val="auto"/>
              </w:rPr>
              <w:t>51,270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4"/>
          </w:tcPr>
          <w:p>
            <w:pPr>
              <w:jc w:val="right"/>
              <w:ind w:right="3"/>
              <w:spacing w:after="0"/>
              <w:rPr>
                <w:sz w:val="20"/>
                <w:szCs w:val="20"/>
                <w:color w:val="auto"/>
              </w:rPr>
            </w:pPr>
            <w:r>
              <w:rPr>
                <w:rFonts w:ascii="Arial" w:cs="Arial" w:eastAsia="Arial" w:hAnsi="Arial"/>
                <w:sz w:val="15"/>
                <w:szCs w:val="15"/>
                <w:color w:val="auto"/>
              </w:rPr>
              <w:t>116,402</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432,222</w:t>
            </w:r>
          </w:p>
        </w:tc>
      </w:tr>
      <w:tr>
        <w:trPr>
          <w:trHeight w:val="21"/>
        </w:trPr>
        <w:tc>
          <w:tcPr>
            <w:tcW w:w="38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60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r>
    </w:tbl>
    <w:p>
      <w:pPr>
        <w:spacing w:after="0" w:line="123" w:lineRule="exact"/>
        <w:rPr>
          <w:sz w:val="20"/>
          <w:szCs w:val="20"/>
          <w:color w:val="auto"/>
        </w:rPr>
      </w:pPr>
    </w:p>
    <w:p>
      <w:pPr>
        <w:ind w:left="240" w:right="100" w:hanging="237"/>
        <w:spacing w:after="0" w:line="231" w:lineRule="auto"/>
        <w:tabs>
          <w:tab w:leader="none" w:pos="240" w:val="left"/>
        </w:tabs>
        <w:numPr>
          <w:ilvl w:val="0"/>
          <w:numId w:val="79"/>
        </w:numPr>
        <w:rPr>
          <w:rFonts w:ascii="Arial" w:cs="Arial" w:eastAsia="Arial" w:hAnsi="Arial"/>
          <w:sz w:val="18"/>
          <w:szCs w:val="18"/>
          <w:color w:val="auto"/>
          <w:vertAlign w:val="superscript"/>
        </w:rPr>
      </w:pPr>
      <w:r>
        <w:rPr>
          <w:rFonts w:ascii="Arial" w:cs="Arial" w:eastAsia="Arial" w:hAnsi="Arial"/>
          <w:sz w:val="14"/>
          <w:szCs w:val="14"/>
          <w:color w:val="auto"/>
        </w:rPr>
        <w:t>In the current period, we updated our presentation of credit quality indicators. Previously, “Pass” and “Special mention” were disclosed as “Non-classified,” and “Substandard” and “Doubtful” were disclosed as “Classified.” Prior periods have been updated to conform to the current period presentation. Year of loan origination may not be the same as the period in which we subsequently acquired the loan.</w:t>
      </w:r>
    </w:p>
    <w:p>
      <w:pPr>
        <w:ind w:left="240" w:hanging="237"/>
        <w:spacing w:after="0"/>
        <w:tabs>
          <w:tab w:leader="none" w:pos="240" w:val="left"/>
        </w:tabs>
        <w:numPr>
          <w:ilvl w:val="0"/>
          <w:numId w:val="79"/>
        </w:numPr>
        <w:rPr>
          <w:rFonts w:ascii="Arial" w:cs="Arial" w:eastAsia="Arial" w:hAnsi="Arial"/>
          <w:sz w:val="18"/>
          <w:szCs w:val="18"/>
          <w:color w:val="auto"/>
          <w:vertAlign w:val="superscript"/>
        </w:rPr>
      </w:pPr>
      <w:r>
        <w:rPr>
          <w:rFonts w:ascii="Arial" w:cs="Arial" w:eastAsia="Arial" w:hAnsi="Arial"/>
          <w:sz w:val="14"/>
          <w:szCs w:val="14"/>
          <w:color w:val="auto"/>
        </w:rPr>
        <w:t>A loan categorized as “Pass” is current or is adequately protected by the current financial strength and debt service capability of the borrower.</w:t>
      </w:r>
    </w:p>
    <w:p>
      <w:pPr>
        <w:spacing w:after="0" w:line="28" w:lineRule="exact"/>
        <w:rPr>
          <w:rFonts w:ascii="Arial" w:cs="Arial" w:eastAsia="Arial" w:hAnsi="Arial"/>
          <w:sz w:val="18"/>
          <w:szCs w:val="18"/>
          <w:color w:val="auto"/>
          <w:vertAlign w:val="superscript"/>
        </w:rPr>
      </w:pPr>
    </w:p>
    <w:p>
      <w:pPr>
        <w:ind w:left="240" w:right="100" w:hanging="237"/>
        <w:spacing w:after="0" w:line="254" w:lineRule="auto"/>
        <w:tabs>
          <w:tab w:leader="none" w:pos="240" w:val="left"/>
        </w:tabs>
        <w:numPr>
          <w:ilvl w:val="0"/>
          <w:numId w:val="79"/>
        </w:numPr>
        <w:rPr>
          <w:rFonts w:ascii="Arial" w:cs="Arial" w:eastAsia="Arial" w:hAnsi="Arial"/>
          <w:sz w:val="9"/>
          <w:szCs w:val="9"/>
          <w:color w:val="auto"/>
        </w:rPr>
      </w:pPr>
      <w:r>
        <w:rPr>
          <w:rFonts w:ascii="Arial" w:cs="Arial" w:eastAsia="Arial" w:hAnsi="Arial"/>
          <w:sz w:val="14"/>
          <w:szCs w:val="14"/>
          <w:color w:val="auto"/>
        </w:rPr>
        <w:t>“Special mention” refers to loans that are otherwise performing but have potential weaknesses that, if left uncorrected, may result in deterioration in the borrower’s ability to repay in full.</w:t>
      </w:r>
    </w:p>
    <w:p>
      <w:pPr>
        <w:spacing w:after="0" w:line="23" w:lineRule="exact"/>
        <w:rPr>
          <w:rFonts w:ascii="Arial" w:cs="Arial" w:eastAsia="Arial" w:hAnsi="Arial"/>
          <w:sz w:val="9"/>
          <w:szCs w:val="9"/>
          <w:color w:val="auto"/>
        </w:rPr>
      </w:pPr>
    </w:p>
    <w:p>
      <w:pPr>
        <w:ind w:left="240" w:right="20" w:hanging="237"/>
        <w:spacing w:after="0" w:line="223" w:lineRule="auto"/>
        <w:tabs>
          <w:tab w:leader="none" w:pos="240" w:val="left"/>
        </w:tabs>
        <w:numPr>
          <w:ilvl w:val="0"/>
          <w:numId w:val="79"/>
        </w:numPr>
        <w:rPr>
          <w:rFonts w:ascii="Arial" w:cs="Arial" w:eastAsia="Arial" w:hAnsi="Arial"/>
          <w:sz w:val="18"/>
          <w:szCs w:val="18"/>
          <w:color w:val="auto"/>
          <w:vertAlign w:val="superscript"/>
        </w:rPr>
      </w:pPr>
      <w:r>
        <w:rPr>
          <w:rFonts w:ascii="Arial" w:cs="Arial" w:eastAsia="Arial" w:hAnsi="Arial"/>
          <w:sz w:val="14"/>
          <w:szCs w:val="14"/>
          <w:color w:val="auto"/>
        </w:rPr>
        <w:t>Loans classified as “Substandard” have a well-defined weakness that jeopardizes the timely full repayment. We had seniors housing loans with an amortized cost of $9.2 billion as of June 30, 2023 and December 31, 2022 classified as substandard.</w:t>
      </w:r>
    </w:p>
    <w:p>
      <w:pPr>
        <w:ind w:left="240" w:hanging="237"/>
        <w:spacing w:after="0"/>
        <w:tabs>
          <w:tab w:leader="none" w:pos="240" w:val="left"/>
        </w:tabs>
        <w:numPr>
          <w:ilvl w:val="0"/>
          <w:numId w:val="79"/>
        </w:numPr>
        <w:rPr>
          <w:rFonts w:ascii="Arial" w:cs="Arial" w:eastAsia="Arial" w:hAnsi="Arial"/>
          <w:sz w:val="18"/>
          <w:szCs w:val="18"/>
          <w:color w:val="auto"/>
          <w:vertAlign w:val="superscript"/>
        </w:rPr>
      </w:pPr>
      <w:r>
        <w:rPr>
          <w:rFonts w:ascii="Arial" w:cs="Arial" w:eastAsia="Arial" w:hAnsi="Arial"/>
          <w:sz w:val="14"/>
          <w:szCs w:val="14"/>
          <w:color w:val="auto"/>
        </w:rPr>
        <w:t>“Doubtful” refers to a loan with a weakness that makes collection or liquidation in full highly questionable and improbable based on existing conditions and values.</w:t>
      </w:r>
    </w:p>
    <w:p>
      <w:pPr>
        <w:spacing w:after="0" w:line="73"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Loss Mitigation Options for Borrowers Experiencing Financial Difficulty</w:t>
      </w:r>
    </w:p>
    <w:p>
      <w:pPr>
        <w:spacing w:after="0" w:line="121" w:lineRule="exact"/>
        <w:rPr>
          <w:sz w:val="20"/>
          <w:szCs w:val="20"/>
          <w:color w:val="auto"/>
        </w:rPr>
      </w:pPr>
    </w:p>
    <w:p>
      <w:pPr>
        <w:ind w:right="420"/>
        <w:spacing w:after="0" w:line="283" w:lineRule="auto"/>
        <w:rPr>
          <w:sz w:val="20"/>
          <w:szCs w:val="20"/>
          <w:color w:val="auto"/>
        </w:rPr>
      </w:pPr>
      <w:r>
        <w:rPr>
          <w:rFonts w:ascii="Arial" w:cs="Arial" w:eastAsia="Arial" w:hAnsi="Arial"/>
          <w:sz w:val="16"/>
          <w:szCs w:val="16"/>
          <w:color w:val="auto"/>
        </w:rPr>
        <w:t>As part of our loss mitigation activities, we offer several types of loan restructurings to assist borrowers who experience financial difficulties. We do not typically offer principal forgiveness to our single-family or multifamily borrowers.</w:t>
      </w:r>
    </w:p>
    <w:p>
      <w:pPr>
        <w:spacing w:after="0" w:line="26"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For single-family borrowers, we may offer loan restructurings that are only in the form of a payment delay (</w:t>
      </w:r>
      <w:r>
        <w:rPr>
          <w:rFonts w:ascii="Arial" w:cs="Arial" w:eastAsia="Arial" w:hAnsi="Arial"/>
          <w:sz w:val="16"/>
          <w:szCs w:val="16"/>
          <w:i w:val="1"/>
          <w:iCs w:val="1"/>
          <w:color w:val="auto"/>
        </w:rPr>
        <w:t>e.g.,</w:t>
      </w:r>
      <w:r>
        <w:rPr>
          <w:rFonts w:ascii="Arial" w:cs="Arial" w:eastAsia="Arial" w:hAnsi="Arial"/>
          <w:sz w:val="16"/>
          <w:szCs w:val="16"/>
          <w:color w:val="auto"/>
        </w:rPr>
        <w:t xml:space="preserve"> a forbearance plan, a repayment plan, or a payment deferral). We may also offer loan modifications that contractually change the terms of the loan, generally after the successful completion of a three to four month trial period. Single-family loan modifications may result in the capitalization of past due amounts (a form of payment delay), an interest rate reduction, a term extension, a principal forbearance (which is another form of payment delay), or a combination thereof. During the trial period, the borrower makes reduced payments that are an estimate of the anticipated modified payment amount. Additionally, during the trial period, the mortgage loan is not contractually modified such that the loan continues to be reported as past due and the trial period is considered a form of payment delay with respect to the original contractual terms of the loan. See “Note 3, Mortgage Loans” in our 2022 Form 10-K for additional information about our single-family loss mitigation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360680</wp:posOffset>
            </wp:positionV>
            <wp:extent cx="681101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81" w:name="page82"/>
    <w:bookmarkEnd w:id="81"/>
    <w:p>
      <w:pPr>
        <w:ind w:left="6620"/>
        <w:spacing w:after="0"/>
        <w:rPr>
          <w:sz w:val="20"/>
          <w:szCs w:val="20"/>
          <w:color w:val="auto"/>
        </w:rPr>
      </w:pPr>
      <w:r>
        <w:rPr>
          <w:rFonts w:ascii="Arial" w:cs="Arial" w:eastAsia="Arial" w:hAnsi="Arial"/>
          <w:sz w:val="13"/>
          <w:szCs w:val="13"/>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22860</wp:posOffset>
            </wp:positionV>
            <wp:extent cx="70237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For multifamily borrowers, loan restructurings include short-term forbearance plans and loan modification programs, which primarily result in term extensions of up to one year with no change to the loan’s interest rate. In certain cases, we may make more significant modifications of terms for borrowers experiencing financial difficulty, such as reducing the interest rate, converting to interest-only payments, extending the maturity for longer than one year, providing principal forbearance, or some combination of these terms.</w:t>
      </w:r>
    </w:p>
    <w:p>
      <w:pPr>
        <w:spacing w:after="0" w:line="42"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Below we provide disclosures relating to loan restructurings where borrowers were experiencing financial difficulty, including restructurings that resulted in an insignificant payment delay. The disclosures exclude loans classified as HFS and those for which we have elected the fair value option. See “Note 1, Summary of Significant Accounting Policies” in our 2022 Form 10-K for additional information on our accounting policies for single-family and multifamily loans that have been restructured.</w:t>
      </w:r>
    </w:p>
    <w:p>
      <w:pPr>
        <w:spacing w:after="0" w:line="96" w:lineRule="exact"/>
        <w:rPr>
          <w:sz w:val="20"/>
          <w:szCs w:val="20"/>
          <w:color w:val="auto"/>
        </w:rPr>
      </w:pPr>
    </w:p>
    <w:p>
      <w:pPr>
        <w:spacing w:after="0"/>
        <w:rPr>
          <w:sz w:val="20"/>
          <w:szCs w:val="20"/>
          <w:color w:val="auto"/>
        </w:rPr>
      </w:pPr>
      <w:r>
        <w:rPr>
          <w:rFonts w:ascii="Arial" w:cs="Arial" w:eastAsia="Arial" w:hAnsi="Arial"/>
          <w:sz w:val="21"/>
          <w:szCs w:val="21"/>
          <w:i w:val="1"/>
          <w:iCs w:val="1"/>
          <w:color w:val="05314D"/>
        </w:rPr>
        <w:t>Restructurings for Borrowers Experiencing Financial Difficulty</w:t>
      </w:r>
    </w:p>
    <w:p>
      <w:pPr>
        <w:spacing w:after="0" w:line="71" w:lineRule="exact"/>
        <w:rPr>
          <w:sz w:val="20"/>
          <w:szCs w:val="20"/>
          <w:color w:val="auto"/>
        </w:rPr>
      </w:pPr>
    </w:p>
    <w:p>
      <w:pPr>
        <w:ind w:right="240"/>
        <w:spacing w:after="0" w:line="283" w:lineRule="auto"/>
        <w:rPr>
          <w:sz w:val="20"/>
          <w:szCs w:val="20"/>
          <w:color w:val="auto"/>
        </w:rPr>
      </w:pPr>
      <w:r>
        <w:rPr>
          <w:rFonts w:ascii="Arial" w:cs="Arial" w:eastAsia="Arial" w:hAnsi="Arial"/>
          <w:sz w:val="16"/>
          <w:szCs w:val="16"/>
          <w:color w:val="auto"/>
        </w:rPr>
        <w:t>The following tables display the amortized cost of HFI mortgage loans that were restructured during the period indicated, presented by portfolio segment and class of financing receivable.</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420" w:type="dxa"/>
            <w:vAlign w:val="bottom"/>
            <w:tcBorders>
              <w:bottom w:val="single" w:sz="8" w:color="2C6937"/>
            </w:tcBorders>
          </w:tcPr>
          <w:p>
            <w:pPr>
              <w:spacing w:after="0"/>
              <w:rPr>
                <w:sz w:val="17"/>
                <w:szCs w:val="17"/>
                <w:color w:val="auto"/>
              </w:rPr>
            </w:pPr>
          </w:p>
        </w:tc>
        <w:tc>
          <w:tcPr>
            <w:tcW w:w="78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3820" w:type="dxa"/>
            <w:vAlign w:val="bottom"/>
            <w:tcBorders>
              <w:bottom w:val="single" w:sz="8" w:color="2C6937"/>
            </w:tcBorders>
            <w:gridSpan w:val="7"/>
          </w:tcPr>
          <w:p>
            <w:pPr>
              <w:jc w:val="center"/>
              <w:spacing w:after="0"/>
              <w:rPr>
                <w:sz w:val="20"/>
                <w:szCs w:val="20"/>
                <w:color w:val="auto"/>
              </w:rPr>
            </w:pPr>
            <w:r>
              <w:rPr>
                <w:rFonts w:ascii="Arial" w:cs="Arial" w:eastAsia="Arial" w:hAnsi="Arial"/>
                <w:sz w:val="14"/>
                <w:szCs w:val="14"/>
                <w:b w:val="1"/>
                <w:bCs w:val="1"/>
                <w:color w:val="auto"/>
                <w:w w:val="97"/>
              </w:rPr>
              <w:t>For the Three Months Ended June 30, 2023</w:t>
            </w:r>
          </w:p>
        </w:tc>
        <w:tc>
          <w:tcPr>
            <w:tcW w:w="100" w:type="dxa"/>
            <w:vAlign w:val="bottom"/>
            <w:tcBorders>
              <w:bottom w:val="single" w:sz="8" w:color="2C6937"/>
            </w:tcBorders>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920" w:type="dxa"/>
            <w:vAlign w:val="bottom"/>
            <w:tcBorders>
              <w:bottom w:val="single" w:sz="8" w:color="2C6937"/>
            </w:tcBorders>
          </w:tcPr>
          <w:p>
            <w:pPr>
              <w:spacing w:after="0"/>
              <w:rPr>
                <w:sz w:val="17"/>
                <w:szCs w:val="17"/>
                <w:color w:val="auto"/>
              </w:rPr>
            </w:pPr>
          </w:p>
        </w:tc>
        <w:tc>
          <w:tcPr>
            <w:tcW w:w="142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spacing w:after="0"/>
              <w:rPr>
                <w:sz w:val="16"/>
                <w:szCs w:val="16"/>
                <w:color w:val="auto"/>
              </w:rPr>
            </w:pPr>
          </w:p>
        </w:tc>
        <w:tc>
          <w:tcPr>
            <w:tcW w:w="1440" w:type="dxa"/>
            <w:vAlign w:val="bottom"/>
            <w:tcBorders>
              <w:bottom w:val="single" w:sz="8" w:color="2C6937"/>
            </w:tcBorders>
            <w:gridSpan w:val="6"/>
          </w:tcPr>
          <w:p>
            <w:pPr>
              <w:ind w:left="20"/>
              <w:spacing w:after="0"/>
              <w:rPr>
                <w:sz w:val="20"/>
                <w:szCs w:val="20"/>
                <w:color w:val="auto"/>
              </w:rPr>
            </w:pPr>
            <w:r>
              <w:rPr>
                <w:rFonts w:ascii="Arial" w:cs="Arial" w:eastAsia="Arial" w:hAnsi="Arial"/>
                <w:sz w:val="14"/>
                <w:szCs w:val="14"/>
                <w:b w:val="1"/>
                <w:bCs w:val="1"/>
                <w:color w:val="auto"/>
                <w:w w:val="97"/>
              </w:rPr>
              <w:t>Payment Delay (Only)</w:t>
            </w:r>
          </w:p>
        </w:tc>
        <w:tc>
          <w:tcPr>
            <w:tcW w:w="80" w:type="dxa"/>
            <w:vAlign w:val="bottom"/>
            <w:tcBorders>
              <w:bottom w:val="single" w:sz="8" w:color="2C6937"/>
            </w:tcBorders>
          </w:tcPr>
          <w:p>
            <w:pPr>
              <w:spacing w:after="0"/>
              <w:rPr>
                <w:sz w:val="16"/>
                <w:szCs w:val="16"/>
                <w:color w:val="auto"/>
              </w:rPr>
            </w:pPr>
          </w:p>
        </w:tc>
        <w:tc>
          <w:tcPr>
            <w:tcW w:w="114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Trial Modification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Payment Delay</w:t>
            </w:r>
          </w:p>
        </w:tc>
        <w:tc>
          <w:tcPr>
            <w:tcW w:w="120" w:type="dxa"/>
            <w:vAlign w:val="bottom"/>
          </w:tcPr>
          <w:p>
            <w:pPr>
              <w:spacing w:after="0"/>
              <w:rPr>
                <w:sz w:val="10"/>
                <w:szCs w:val="10"/>
                <w:color w:val="auto"/>
              </w:rPr>
            </w:pPr>
          </w:p>
        </w:tc>
        <w:tc>
          <w:tcPr>
            <w:tcW w:w="1160" w:type="dxa"/>
            <w:vAlign w:val="bottom"/>
          </w:tcPr>
          <w:p>
            <w:pPr>
              <w:jc w:val="center"/>
              <w:ind w:right="25"/>
              <w:spacing w:after="0" w:line="125" w:lineRule="exact"/>
              <w:rPr>
                <w:sz w:val="20"/>
                <w:szCs w:val="20"/>
                <w:color w:val="auto"/>
              </w:rPr>
            </w:pPr>
            <w:r>
              <w:rPr>
                <w:rFonts w:ascii="Arial" w:cs="Arial" w:eastAsia="Arial" w:hAnsi="Arial"/>
                <w:sz w:val="14"/>
                <w:szCs w:val="14"/>
                <w:b w:val="1"/>
                <w:bCs w:val="1"/>
                <w:color w:val="auto"/>
                <w:w w:val="98"/>
              </w:rPr>
              <w:t>Payment Delay,</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20" w:type="dxa"/>
            <w:vAlign w:val="bottom"/>
            <w:vMerge w:val="restart"/>
          </w:tcPr>
          <w:p>
            <w:pPr>
              <w:jc w:val="center"/>
              <w:ind w:left="50"/>
              <w:spacing w:after="0"/>
              <w:rPr>
                <w:sz w:val="20"/>
                <w:szCs w:val="20"/>
                <w:color w:val="auto"/>
              </w:rPr>
            </w:pPr>
            <w:r>
              <w:rPr>
                <w:rFonts w:ascii="Arial" w:cs="Arial" w:eastAsia="Arial" w:hAnsi="Arial"/>
                <w:sz w:val="14"/>
                <w:szCs w:val="14"/>
                <w:b w:val="1"/>
                <w:bCs w:val="1"/>
                <w:color w:val="auto"/>
                <w:w w:val="96"/>
              </w:rPr>
              <w:t>Percentage of Total</w:t>
            </w:r>
          </w:p>
        </w:tc>
        <w:tc>
          <w:tcPr>
            <w:tcW w:w="0" w:type="dxa"/>
            <w:vAlign w:val="bottom"/>
          </w:tcPr>
          <w:p>
            <w:pPr>
              <w:spacing w:after="0"/>
              <w:rPr>
                <w:sz w:val="1"/>
                <w:szCs w:val="1"/>
                <w:color w:val="auto"/>
              </w:rPr>
            </w:pPr>
          </w:p>
        </w:tc>
      </w:tr>
      <w:tr>
        <w:trPr>
          <w:trHeight w:val="140"/>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25"/>
              <w:spacing w:after="0" w:line="141" w:lineRule="exact"/>
              <w:rPr>
                <w:sz w:val="20"/>
                <w:szCs w:val="20"/>
                <w:color w:val="auto"/>
              </w:rPr>
            </w:pPr>
            <w:r>
              <w:rPr>
                <w:rFonts w:ascii="Arial" w:cs="Arial" w:eastAsia="Arial" w:hAnsi="Arial"/>
                <w:sz w:val="14"/>
                <w:szCs w:val="14"/>
                <w:b w:val="1"/>
                <w:bCs w:val="1"/>
                <w:color w:val="auto"/>
                <w:w w:val="97"/>
              </w:rPr>
              <w:t>Term Extension</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Forbearance Plan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Payment Deferral</w:t>
            </w:r>
          </w:p>
        </w:tc>
        <w:tc>
          <w:tcPr>
            <w:tcW w:w="80" w:type="dxa"/>
            <w:vAlign w:val="bottom"/>
          </w:tcPr>
          <w:p>
            <w:pPr>
              <w:spacing w:after="0"/>
              <w:rPr>
                <w:sz w:val="12"/>
                <w:szCs w:val="12"/>
                <w:color w:val="auto"/>
              </w:rPr>
            </w:pPr>
          </w:p>
        </w:tc>
        <w:tc>
          <w:tcPr>
            <w:tcW w:w="1140" w:type="dxa"/>
            <w:vAlign w:val="bottom"/>
          </w:tcPr>
          <w:p>
            <w:pPr>
              <w:jc w:val="center"/>
              <w:ind w:right="45"/>
              <w:spacing w:after="0" w:line="142" w:lineRule="exact"/>
              <w:rPr>
                <w:sz w:val="20"/>
                <w:szCs w:val="20"/>
                <w:color w:val="auto"/>
              </w:rPr>
            </w:pPr>
            <w:r>
              <w:rPr>
                <w:rFonts w:ascii="Arial" w:cs="Arial" w:eastAsia="Arial" w:hAnsi="Arial"/>
                <w:sz w:val="14"/>
                <w:szCs w:val="14"/>
                <w:b w:val="1"/>
                <w:bCs w:val="1"/>
                <w:color w:val="auto"/>
                <w:w w:val="97"/>
              </w:rPr>
              <w:t>and Repayment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5"/>
              </w:rPr>
              <w:t>and Term</w:t>
            </w:r>
          </w:p>
        </w:tc>
        <w:tc>
          <w:tcPr>
            <w:tcW w:w="12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6"/>
              </w:rPr>
              <w:t>and Interest Rate</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restart"/>
          </w:tcPr>
          <w:p>
            <w:pPr>
              <w:jc w:val="right"/>
              <w:ind w:right="364"/>
              <w:spacing w:after="0"/>
              <w:rPr>
                <w:sz w:val="20"/>
                <w:szCs w:val="20"/>
                <w:color w:val="auto"/>
              </w:rPr>
            </w:pPr>
            <w:r>
              <w:rPr>
                <w:rFonts w:ascii="Arial" w:cs="Arial" w:eastAsia="Arial" w:hAnsi="Arial"/>
                <w:sz w:val="14"/>
                <w:szCs w:val="14"/>
                <w:b w:val="1"/>
                <w:bCs w:val="1"/>
                <w:color w:val="auto"/>
              </w:rPr>
              <w:t>Total</w:t>
            </w:r>
          </w:p>
        </w:tc>
        <w:tc>
          <w:tcPr>
            <w:tcW w:w="1420" w:type="dxa"/>
            <w:vAlign w:val="bottom"/>
          </w:tcPr>
          <w:p>
            <w:pPr>
              <w:jc w:val="center"/>
              <w:ind w:left="30"/>
              <w:spacing w:after="0" w:line="142" w:lineRule="exact"/>
              <w:rPr>
                <w:sz w:val="20"/>
                <w:szCs w:val="20"/>
                <w:color w:val="auto"/>
              </w:rPr>
            </w:pPr>
            <w:r>
              <w:rPr>
                <w:rFonts w:ascii="Arial" w:cs="Arial" w:eastAsia="Arial" w:hAnsi="Arial"/>
                <w:sz w:val="14"/>
                <w:szCs w:val="14"/>
                <w:b w:val="1"/>
                <w:bCs w:val="1"/>
                <w:color w:val="auto"/>
                <w:w w:val="97"/>
              </w:rPr>
              <w:t>by Financing</w:t>
            </w:r>
          </w:p>
        </w:tc>
        <w:tc>
          <w:tcPr>
            <w:tcW w:w="0" w:type="dxa"/>
            <w:vAlign w:val="bottom"/>
          </w:tcPr>
          <w:p>
            <w:pPr>
              <w:spacing w:after="0"/>
              <w:rPr>
                <w:sz w:val="1"/>
                <w:szCs w:val="1"/>
                <w:color w:val="auto"/>
              </w:rPr>
            </w:pPr>
          </w:p>
        </w:tc>
      </w:tr>
      <w:tr>
        <w:trPr>
          <w:trHeight w:val="180"/>
        </w:trPr>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bottom w:val="single" w:sz="8" w:color="2C6937"/>
            </w:tcBorders>
            <w:gridSpan w:val="2"/>
            <w:vMerge w:val="continue"/>
          </w:tcPr>
          <w:p>
            <w:pPr>
              <w:spacing w:after="0"/>
              <w:rPr>
                <w:sz w:val="15"/>
                <w:szCs w:val="15"/>
                <w:color w:val="auto"/>
              </w:rPr>
            </w:pPr>
          </w:p>
        </w:tc>
        <w:tc>
          <w:tcPr>
            <w:tcW w:w="40" w:type="dxa"/>
            <w:vAlign w:val="bottom"/>
            <w:tcBorders>
              <w:bottom w:val="single" w:sz="8" w:color="2C6937"/>
            </w:tcBorders>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1320" w:type="dxa"/>
            <w:vAlign w:val="bottom"/>
            <w:tcBorders>
              <w:bottom w:val="single" w:sz="8" w:color="2C6937"/>
            </w:tcBorders>
            <w:gridSpan w:val="4"/>
            <w:vMerge w:val="continue"/>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1140" w:type="dxa"/>
            <w:vAlign w:val="bottom"/>
            <w:tcBorders>
              <w:bottom w:val="single" w:sz="8" w:color="2C6937"/>
            </w:tcBorders>
          </w:tcPr>
          <w:p>
            <w:pPr>
              <w:jc w:val="center"/>
              <w:ind w:right="25"/>
              <w:spacing w:after="0"/>
              <w:rPr>
                <w:sz w:val="20"/>
                <w:szCs w:val="20"/>
                <w:color w:val="auto"/>
              </w:rPr>
            </w:pPr>
            <w:r>
              <w:rPr>
                <w:rFonts w:ascii="Arial" w:cs="Arial" w:eastAsia="Arial" w:hAnsi="Arial"/>
                <w:sz w:val="14"/>
                <w:szCs w:val="14"/>
                <w:b w:val="1"/>
                <w:bCs w:val="1"/>
                <w:color w:val="auto"/>
                <w:w w:val="96"/>
              </w:rPr>
              <w:t>Plans</w:t>
            </w:r>
          </w:p>
        </w:tc>
        <w:tc>
          <w:tcPr>
            <w:tcW w:w="10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gridSpan w:val="2"/>
          </w:tcPr>
          <w:p>
            <w:pPr>
              <w:jc w:val="center"/>
              <w:ind w:right="200"/>
              <w:spacing w:after="0" w:line="180" w:lineRule="exact"/>
              <w:rPr>
                <w:sz w:val="20"/>
                <w:szCs w:val="20"/>
                <w:color w:val="auto"/>
              </w:rPr>
            </w:pPr>
            <w:r>
              <w:rPr>
                <w:rFonts w:ascii="Arial" w:cs="Arial" w:eastAsia="Arial" w:hAnsi="Arial"/>
                <w:sz w:val="14"/>
                <w:szCs w:val="14"/>
                <w:b w:val="1"/>
                <w:bCs w:val="1"/>
                <w:color w:val="auto"/>
                <w:w w:val="94"/>
              </w:rPr>
              <w:t>Extension</w:t>
            </w:r>
            <w:r>
              <w:rPr>
                <w:rFonts w:ascii="Arial" w:cs="Arial" w:eastAsia="Arial" w:hAnsi="Arial"/>
                <w:sz w:val="17"/>
                <w:szCs w:val="17"/>
                <w:b w:val="1"/>
                <w:bCs w:val="1"/>
                <w:color w:val="auto"/>
                <w:w w:val="94"/>
                <w:vertAlign w:val="superscript"/>
              </w:rPr>
              <w:t>(1)</w:t>
            </w:r>
          </w:p>
        </w:tc>
        <w:tc>
          <w:tcPr>
            <w:tcW w:w="120" w:type="dxa"/>
            <w:vAlign w:val="bottom"/>
            <w:tcBorders>
              <w:bottom w:val="single" w:sz="8" w:color="2C6937"/>
            </w:tcBorders>
          </w:tcPr>
          <w:p>
            <w:pPr>
              <w:spacing w:after="0"/>
              <w:rPr>
                <w:sz w:val="15"/>
                <w:szCs w:val="15"/>
                <w:color w:val="auto"/>
              </w:rPr>
            </w:pPr>
          </w:p>
        </w:tc>
        <w:tc>
          <w:tcPr>
            <w:tcW w:w="1160" w:type="dxa"/>
            <w:vAlign w:val="bottom"/>
            <w:tcBorders>
              <w:bottom w:val="single" w:sz="8" w:color="2C6937"/>
            </w:tcBorders>
          </w:tcPr>
          <w:p>
            <w:pPr>
              <w:jc w:val="center"/>
              <w:ind w:right="25"/>
              <w:spacing w:after="0" w:line="180" w:lineRule="exact"/>
              <w:rPr>
                <w:sz w:val="20"/>
                <w:szCs w:val="20"/>
                <w:color w:val="auto"/>
              </w:rPr>
            </w:pPr>
            <w:r>
              <w:rPr>
                <w:rFonts w:ascii="Arial" w:cs="Arial" w:eastAsia="Arial" w:hAnsi="Arial"/>
                <w:sz w:val="14"/>
                <w:szCs w:val="14"/>
                <w:b w:val="1"/>
                <w:bCs w:val="1"/>
                <w:color w:val="auto"/>
                <w:w w:val="94"/>
              </w:rPr>
              <w:t>Reduction</w:t>
            </w:r>
            <w:r>
              <w:rPr>
                <w:rFonts w:ascii="Arial" w:cs="Arial" w:eastAsia="Arial" w:hAnsi="Arial"/>
                <w:sz w:val="17"/>
                <w:szCs w:val="17"/>
                <w:b w:val="1"/>
                <w:bCs w:val="1"/>
                <w:color w:val="auto"/>
                <w:w w:val="94"/>
                <w:vertAlign w:val="superscript"/>
              </w:rPr>
              <w:t>(1)</w:t>
            </w:r>
          </w:p>
        </w:tc>
        <w:tc>
          <w:tcPr>
            <w:tcW w:w="100" w:type="dxa"/>
            <w:vAlign w:val="bottom"/>
            <w:tcBorders>
              <w:bottom w:val="single" w:sz="8" w:color="2C6937"/>
            </w:tcBorders>
          </w:tcPr>
          <w:p>
            <w:pPr>
              <w:spacing w:after="0"/>
              <w:rPr>
                <w:sz w:val="15"/>
                <w:szCs w:val="15"/>
                <w:color w:val="auto"/>
              </w:rPr>
            </w:pPr>
          </w:p>
        </w:tc>
        <w:tc>
          <w:tcPr>
            <w:tcW w:w="280" w:type="dxa"/>
            <w:vAlign w:val="bottom"/>
            <w:tcBorders>
              <w:bottom w:val="single" w:sz="8" w:color="2C6937"/>
            </w:tcBorders>
          </w:tcPr>
          <w:p>
            <w:pPr>
              <w:spacing w:after="0"/>
              <w:rPr>
                <w:sz w:val="15"/>
                <w:szCs w:val="15"/>
                <w:color w:val="auto"/>
              </w:rPr>
            </w:pPr>
          </w:p>
        </w:tc>
        <w:tc>
          <w:tcPr>
            <w:tcW w:w="920" w:type="dxa"/>
            <w:vAlign w:val="bottom"/>
            <w:tcBorders>
              <w:bottom w:val="single" w:sz="8" w:color="2C6937"/>
            </w:tcBorders>
            <w:vMerge w:val="continue"/>
          </w:tcPr>
          <w:p>
            <w:pPr>
              <w:spacing w:after="0"/>
              <w:rPr>
                <w:sz w:val="15"/>
                <w:szCs w:val="15"/>
                <w:color w:val="auto"/>
              </w:rPr>
            </w:pPr>
          </w:p>
        </w:tc>
        <w:tc>
          <w:tcPr>
            <w:tcW w:w="1420" w:type="dxa"/>
            <w:vAlign w:val="bottom"/>
            <w:tcBorders>
              <w:bottom w:val="single" w:sz="8" w:color="2C6937"/>
            </w:tcBorders>
          </w:tcPr>
          <w:p>
            <w:pPr>
              <w:jc w:val="center"/>
              <w:ind w:left="30"/>
              <w:spacing w:after="0" w:line="180" w:lineRule="exact"/>
              <w:rPr>
                <w:sz w:val="20"/>
                <w:szCs w:val="20"/>
                <w:color w:val="auto"/>
              </w:rPr>
            </w:pPr>
            <w:r>
              <w:rPr>
                <w:rFonts w:ascii="Arial" w:cs="Arial" w:eastAsia="Arial" w:hAnsi="Arial"/>
                <w:sz w:val="14"/>
                <w:szCs w:val="14"/>
                <w:b w:val="1"/>
                <w:bCs w:val="1"/>
                <w:color w:val="auto"/>
                <w:w w:val="93"/>
              </w:rPr>
              <w:t>Class</w:t>
            </w:r>
            <w:r>
              <w:rPr>
                <w:rFonts w:ascii="Arial" w:cs="Arial" w:eastAsia="Arial" w:hAnsi="Arial"/>
                <w:sz w:val="17"/>
                <w:szCs w:val="17"/>
                <w:b w:val="1"/>
                <w:bCs w:val="1"/>
                <w:color w:val="auto"/>
                <w:w w:val="93"/>
                <w:vertAlign w:val="superscript"/>
              </w:rPr>
              <w:t>(2)</w:t>
            </w:r>
          </w:p>
        </w:tc>
        <w:tc>
          <w:tcPr>
            <w:tcW w:w="0" w:type="dxa"/>
            <w:vAlign w:val="bottom"/>
          </w:tcPr>
          <w:p>
            <w:pPr>
              <w:spacing w:after="0"/>
              <w:rPr>
                <w:sz w:val="1"/>
                <w:szCs w:val="1"/>
                <w:color w:val="auto"/>
              </w:rPr>
            </w:pPr>
          </w:p>
        </w:tc>
      </w:tr>
      <w:tr>
        <w:trPr>
          <w:trHeight w:val="198"/>
        </w:trPr>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(Dollars in millions)</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94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940" w:type="dxa"/>
            <w:vAlign w:val="bottom"/>
            <w:gridSpan w:val="2"/>
          </w:tcPr>
          <w:p>
            <w:pPr>
              <w:ind w:left="180"/>
              <w:spacing w:after="0"/>
              <w:rPr>
                <w:sz w:val="20"/>
                <w:szCs w:val="20"/>
                <w:color w:val="auto"/>
              </w:rPr>
            </w:pPr>
            <w:r>
              <w:rPr>
                <w:rFonts w:ascii="Arial" w:cs="Arial" w:eastAsia="Arial" w:hAnsi="Arial"/>
                <w:sz w:val="15"/>
                <w:szCs w:val="15"/>
                <w:color w:val="auto"/>
              </w:rPr>
              <w:t>20- and 30-year or</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940" w:type="dxa"/>
            <w:vAlign w:val="bottom"/>
            <w:gridSpan w:val="2"/>
          </w:tcPr>
          <w:p>
            <w:pPr>
              <w:ind w:left="320"/>
              <w:spacing w:after="0"/>
              <w:rPr>
                <w:sz w:val="20"/>
                <w:szCs w:val="20"/>
                <w:color w:val="auto"/>
              </w:rPr>
            </w:pPr>
            <w:r>
              <w:rPr>
                <w:rFonts w:ascii="Arial" w:cs="Arial" w:eastAsia="Arial" w:hAnsi="Arial"/>
                <w:sz w:val="15"/>
                <w:szCs w:val="15"/>
                <w:color w:val="auto"/>
              </w:rPr>
              <w:t>more, amortizing</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940" w:type="dxa"/>
            <w:vAlign w:val="bottom"/>
            <w:gridSpan w:val="2"/>
          </w:tcPr>
          <w:p>
            <w:pPr>
              <w:ind w:left="320"/>
              <w:spacing w:after="0"/>
              <w:rPr>
                <w:sz w:val="20"/>
                <w:szCs w:val="20"/>
                <w:color w:val="auto"/>
              </w:rPr>
            </w:pPr>
            <w:r>
              <w:rPr>
                <w:rFonts w:ascii="Arial" w:cs="Arial" w:eastAsia="Arial" w:hAnsi="Arial"/>
                <w:sz w:val="15"/>
                <w:szCs w:val="15"/>
                <w:color w:val="auto"/>
              </w:rPr>
              <w:t>fixed-rate</w:t>
            </w:r>
          </w:p>
        </w:tc>
        <w:tc>
          <w:tcPr>
            <w:tcW w:w="440" w:type="dxa"/>
            <w:vAlign w:val="bottom"/>
          </w:tcPr>
          <w:p>
            <w:pPr>
              <w:jc w:val="right"/>
              <w:ind w:right="266"/>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8,107</w:t>
            </w:r>
          </w:p>
        </w:tc>
        <w:tc>
          <w:tcPr>
            <w:tcW w:w="540" w:type="dxa"/>
            <w:vAlign w:val="bottom"/>
            <w:gridSpan w:val="3"/>
          </w:tcPr>
          <w:p>
            <w:pPr>
              <w:ind w:left="14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2,689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5"/>
              <w:spacing w:after="0"/>
              <w:rPr>
                <w:sz w:val="20"/>
                <w:szCs w:val="20"/>
                <w:color w:val="auto"/>
              </w:rPr>
            </w:pPr>
            <w:r>
              <w:rPr>
                <w:rFonts w:ascii="Arial" w:cs="Arial" w:eastAsia="Arial" w:hAnsi="Arial"/>
                <w:sz w:val="15"/>
                <w:szCs w:val="15"/>
                <w:color w:val="auto"/>
              </w:rPr>
              <w:t>3,444</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1,746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80</w:t>
            </w:r>
          </w:p>
        </w:tc>
        <w:tc>
          <w:tcPr>
            <w:tcW w:w="3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16,066</w:t>
            </w:r>
          </w:p>
        </w:tc>
        <w:tc>
          <w:tcPr>
            <w:tcW w:w="1420" w:type="dxa"/>
            <w:vAlign w:val="bottom"/>
          </w:tcPr>
          <w:p>
            <w:pPr>
              <w:jc w:val="right"/>
              <w:spacing w:after="0"/>
              <w:rPr>
                <w:sz w:val="20"/>
                <w:szCs w:val="20"/>
                <w:color w:val="auto"/>
              </w:rPr>
            </w:pPr>
            <w:r>
              <w:rPr>
                <w:rFonts w:ascii="Arial" w:cs="Arial" w:eastAsia="Arial" w:hAnsi="Arial"/>
                <w:sz w:val="15"/>
                <w:szCs w:val="15"/>
                <w:color w:val="auto"/>
              </w:rPr>
              <w:t>1 %</w:t>
            </w:r>
          </w:p>
        </w:tc>
        <w:tc>
          <w:tcPr>
            <w:tcW w:w="0" w:type="dxa"/>
            <w:vAlign w:val="bottom"/>
          </w:tcPr>
          <w:p>
            <w:pPr>
              <w:spacing w:after="0"/>
              <w:rPr>
                <w:sz w:val="1"/>
                <w:szCs w:val="1"/>
                <w:color w:val="auto"/>
              </w:rPr>
            </w:pPr>
          </w:p>
        </w:tc>
      </w:tr>
      <w:tr>
        <w:trPr>
          <w:trHeight w:val="229"/>
        </w:trPr>
        <w:tc>
          <w:tcPr>
            <w:tcW w:w="1940" w:type="dxa"/>
            <w:vAlign w:val="bottom"/>
            <w:gridSpan w:val="2"/>
          </w:tcPr>
          <w:p>
            <w:pPr>
              <w:ind w:left="180"/>
              <w:spacing w:after="0"/>
              <w:rPr>
                <w:sz w:val="20"/>
                <w:szCs w:val="20"/>
                <w:color w:val="auto"/>
              </w:rPr>
            </w:pPr>
            <w:r>
              <w:rPr>
                <w:rFonts w:ascii="Arial" w:cs="Arial" w:eastAsia="Arial" w:hAnsi="Arial"/>
                <w:sz w:val="15"/>
                <w:szCs w:val="15"/>
                <w:color w:val="auto"/>
              </w:rPr>
              <w:t>15-year or less,</w:t>
            </w: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40" w:type="dxa"/>
            <w:vAlign w:val="bottom"/>
            <w:gridSpan w:val="2"/>
          </w:tcPr>
          <w:p>
            <w:pPr>
              <w:ind w:left="320"/>
              <w:spacing w:after="0"/>
              <w:rPr>
                <w:sz w:val="20"/>
                <w:szCs w:val="20"/>
                <w:color w:val="auto"/>
              </w:rPr>
            </w:pPr>
            <w:r>
              <w:rPr>
                <w:rFonts w:ascii="Arial" w:cs="Arial" w:eastAsia="Arial" w:hAnsi="Arial"/>
                <w:sz w:val="15"/>
                <w:szCs w:val="15"/>
                <w:color w:val="auto"/>
              </w:rPr>
              <w:t>amortizing fixed-rate</w:t>
            </w:r>
          </w:p>
        </w:tc>
        <w:tc>
          <w:tcPr>
            <w:tcW w:w="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339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5"/>
              <w:spacing w:after="0"/>
              <w:rPr>
                <w:sz w:val="20"/>
                <w:szCs w:val="20"/>
                <w:color w:val="auto"/>
              </w:rPr>
            </w:pPr>
            <w:r>
              <w:rPr>
                <w:rFonts w:ascii="Arial" w:cs="Arial" w:eastAsia="Arial" w:hAnsi="Arial"/>
                <w:sz w:val="15"/>
                <w:szCs w:val="15"/>
                <w:color w:val="auto"/>
              </w:rPr>
              <w:t>132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588</w:t>
            </w:r>
          </w:p>
        </w:tc>
        <w:tc>
          <w:tcPr>
            <w:tcW w:w="1420" w:type="dxa"/>
            <w:vAlign w:val="bottom"/>
          </w:tcPr>
          <w:p>
            <w:pPr>
              <w:jc w:val="center"/>
              <w:ind w:left="870"/>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245"/>
        </w:trPr>
        <w:tc>
          <w:tcPr>
            <w:tcW w:w="194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jc w:val="right"/>
              <w:ind w:right="5"/>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69</w:t>
            </w:r>
          </w:p>
        </w:tc>
        <w:tc>
          <w:tcPr>
            <w:tcW w:w="1420" w:type="dxa"/>
            <w:vAlign w:val="bottom"/>
          </w:tcPr>
          <w:p>
            <w:pPr>
              <w:jc w:val="center"/>
              <w:ind w:left="870"/>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237"/>
        </w:trPr>
        <w:tc>
          <w:tcPr>
            <w:tcW w:w="184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89</w:t>
            </w:r>
          </w:p>
        </w:tc>
        <w:tc>
          <w:tcPr>
            <w:tcW w:w="40" w:type="dxa"/>
            <w:vAlign w:val="bottom"/>
            <w:tcBorders>
              <w:bottom w:val="single" w:sz="8" w:color="2C6937"/>
            </w:tcBorders>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36</w:t>
            </w:r>
          </w:p>
        </w:tc>
        <w:tc>
          <w:tcPr>
            <w:tcW w:w="10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80" w:type="dxa"/>
            <w:vAlign w:val="bottom"/>
            <w:tcBorders>
              <w:bottom w:val="single" w:sz="8" w:color="2C6937"/>
            </w:tcBorders>
          </w:tcPr>
          <w:p>
            <w:pPr>
              <w:spacing w:after="0"/>
              <w:rPr>
                <w:sz w:val="20"/>
                <w:szCs w:val="20"/>
                <w:color w:val="auto"/>
              </w:rPr>
            </w:pPr>
          </w:p>
        </w:tc>
        <w:tc>
          <w:tcPr>
            <w:tcW w:w="11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86</w:t>
            </w:r>
          </w:p>
        </w:tc>
        <w:tc>
          <w:tcPr>
            <w:tcW w:w="10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35</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20"/>
                <w:szCs w:val="20"/>
                <w:color w:val="auto"/>
              </w:rPr>
            </w:pPr>
          </w:p>
        </w:tc>
        <w:tc>
          <w:tcPr>
            <w:tcW w:w="280" w:type="dxa"/>
            <w:vAlign w:val="bottom"/>
            <w:tcBorders>
              <w:bottom w:val="single" w:sz="8" w:color="2C6937"/>
            </w:tcBorders>
          </w:tcPr>
          <w:p>
            <w:pPr>
              <w:spacing w:after="0"/>
              <w:rPr>
                <w:sz w:val="20"/>
                <w:szCs w:val="20"/>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263</w:t>
            </w:r>
          </w:p>
        </w:tc>
        <w:tc>
          <w:tcPr>
            <w:tcW w:w="1420" w:type="dxa"/>
            <w:vAlign w:val="bottom"/>
          </w:tcPr>
          <w:p>
            <w:pPr>
              <w:jc w:val="center"/>
              <w:ind w:left="870"/>
              <w:spacing w:after="0"/>
              <w:rPr>
                <w:sz w:val="20"/>
                <w:szCs w:val="20"/>
                <w:color w:val="auto"/>
              </w:rPr>
            </w:pPr>
            <w:r>
              <w:rPr>
                <w:rFonts w:ascii="Arial" w:cs="Arial" w:eastAsia="Arial" w:hAnsi="Arial"/>
                <w:sz w:val="15"/>
                <w:szCs w:val="15"/>
                <w:color w:val="auto"/>
                <w:w w:val="95"/>
              </w:rPr>
              <w:t>1</w:t>
            </w:r>
          </w:p>
        </w:tc>
        <w:tc>
          <w:tcPr>
            <w:tcW w:w="0" w:type="dxa"/>
            <w:vAlign w:val="bottom"/>
          </w:tcPr>
          <w:p>
            <w:pPr>
              <w:spacing w:after="0"/>
              <w:rPr>
                <w:sz w:val="1"/>
                <w:szCs w:val="1"/>
                <w:color w:val="auto"/>
              </w:rPr>
            </w:pPr>
          </w:p>
        </w:tc>
      </w:tr>
      <w:tr>
        <w:trPr>
          <w:trHeight w:val="233"/>
        </w:trPr>
        <w:tc>
          <w:tcPr>
            <w:tcW w:w="194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8,581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2,851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ind w:right="5"/>
              <w:spacing w:after="0"/>
              <w:rPr>
                <w:sz w:val="20"/>
                <w:szCs w:val="20"/>
                <w:color w:val="auto"/>
              </w:rPr>
            </w:pPr>
            <w:r>
              <w:rPr>
                <w:rFonts w:ascii="Arial" w:cs="Arial" w:eastAsia="Arial" w:hAnsi="Arial"/>
                <w:sz w:val="15"/>
                <w:szCs w:val="15"/>
                <w:color w:val="auto"/>
              </w:rPr>
              <w:t>3,674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1,782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98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16,986</w:t>
            </w:r>
          </w:p>
        </w:tc>
        <w:tc>
          <w:tcPr>
            <w:tcW w:w="1420" w:type="dxa"/>
            <w:vAlign w:val="bottom"/>
          </w:tcPr>
          <w:p>
            <w:pPr>
              <w:jc w:val="center"/>
              <w:ind w:left="870"/>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238"/>
        </w:trPr>
        <w:tc>
          <w:tcPr>
            <w:tcW w:w="1840" w:type="dxa"/>
            <w:vAlign w:val="bottom"/>
            <w:tcBorders>
              <w:bottom w:val="single" w:sz="8" w:color="2C6937"/>
            </w:tcBorders>
          </w:tcPr>
          <w:p>
            <w:pPr>
              <w:ind w:left="6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423</w:t>
            </w:r>
          </w:p>
        </w:tc>
        <w:tc>
          <w:tcPr>
            <w:tcW w:w="40" w:type="dxa"/>
            <w:vAlign w:val="bottom"/>
            <w:tcBorders>
              <w:bottom w:val="single" w:sz="8" w:color="2C6937"/>
            </w:tcBorders>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80" w:type="dxa"/>
            <w:vAlign w:val="bottom"/>
            <w:tcBorders>
              <w:bottom w:val="single" w:sz="8" w:color="2C6937"/>
            </w:tcBorders>
          </w:tcPr>
          <w:p>
            <w:pPr>
              <w:spacing w:after="0"/>
              <w:rPr>
                <w:sz w:val="20"/>
                <w:szCs w:val="20"/>
                <w:color w:val="auto"/>
              </w:rPr>
            </w:pPr>
          </w:p>
        </w:tc>
        <w:tc>
          <w:tcPr>
            <w:tcW w:w="11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525</w:t>
            </w:r>
          </w:p>
        </w:tc>
        <w:tc>
          <w:tcPr>
            <w:tcW w:w="100" w:type="dxa"/>
            <w:vAlign w:val="bottom"/>
          </w:tcPr>
          <w:p>
            <w:pPr>
              <w:spacing w:after="0"/>
              <w:rPr>
                <w:sz w:val="20"/>
                <w:szCs w:val="20"/>
                <w:color w:val="auto"/>
              </w:rPr>
            </w:pPr>
          </w:p>
        </w:tc>
        <w:tc>
          <w:tcPr>
            <w:tcW w:w="280" w:type="dxa"/>
            <w:vAlign w:val="bottom"/>
            <w:tcBorders>
              <w:bottom w:val="single" w:sz="8" w:color="2C6937"/>
            </w:tcBorders>
          </w:tcPr>
          <w:p>
            <w:pPr>
              <w:spacing w:after="0"/>
              <w:rPr>
                <w:sz w:val="20"/>
                <w:szCs w:val="20"/>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948</w:t>
            </w:r>
          </w:p>
        </w:tc>
        <w:tc>
          <w:tcPr>
            <w:tcW w:w="1420" w:type="dxa"/>
            <w:vAlign w:val="bottom"/>
          </w:tcPr>
          <w:p>
            <w:pPr>
              <w:jc w:val="center"/>
              <w:ind w:left="870"/>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231"/>
        </w:trPr>
        <w:tc>
          <w:tcPr>
            <w:tcW w:w="1940" w:type="dxa"/>
            <w:vAlign w:val="bottom"/>
            <w:gridSpan w:val="2"/>
          </w:tcPr>
          <w:p>
            <w:pPr>
              <w:ind w:left="180"/>
              <w:spacing w:after="0"/>
              <w:rPr>
                <w:sz w:val="20"/>
                <w:szCs w:val="20"/>
                <w:color w:val="auto"/>
              </w:rPr>
            </w:pPr>
            <w:r>
              <w:rPr>
                <w:rFonts w:ascii="Arial" w:cs="Arial" w:eastAsia="Arial" w:hAnsi="Arial"/>
                <w:sz w:val="15"/>
                <w:szCs w:val="15"/>
                <w:color w:val="auto"/>
              </w:rPr>
              <w:t>Total</w:t>
            </w:r>
            <w:r>
              <w:rPr>
                <w:rFonts w:ascii="Arial" w:cs="Arial" w:eastAsia="Arial" w:hAnsi="Arial"/>
                <w:sz w:val="20"/>
                <w:szCs w:val="20"/>
                <w:color w:val="auto"/>
                <w:vertAlign w:val="superscript"/>
              </w:rPr>
              <w:t>(3)</w:t>
            </w:r>
          </w:p>
        </w:tc>
        <w:tc>
          <w:tcPr>
            <w:tcW w:w="440" w:type="dxa"/>
            <w:vAlign w:val="bottom"/>
          </w:tcPr>
          <w:p>
            <w:pPr>
              <w:jc w:val="right"/>
              <w:ind w:right="266"/>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9,004</w:t>
            </w:r>
          </w:p>
        </w:tc>
        <w:tc>
          <w:tcPr>
            <w:tcW w:w="540" w:type="dxa"/>
            <w:vAlign w:val="bottom"/>
            <w:gridSpan w:val="3"/>
          </w:tcPr>
          <w:p>
            <w:pPr>
              <w:ind w:left="14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2,851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5"/>
              <w:spacing w:after="0"/>
              <w:rPr>
                <w:sz w:val="20"/>
                <w:szCs w:val="20"/>
                <w:color w:val="auto"/>
              </w:rPr>
            </w:pPr>
            <w:r>
              <w:rPr>
                <w:rFonts w:ascii="Arial" w:cs="Arial" w:eastAsia="Arial" w:hAnsi="Arial"/>
                <w:sz w:val="15"/>
                <w:szCs w:val="15"/>
                <w:color w:val="auto"/>
              </w:rPr>
              <w:t>3,674</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1,782</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623</w:t>
            </w:r>
          </w:p>
        </w:tc>
        <w:tc>
          <w:tcPr>
            <w:tcW w:w="3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17,934</w:t>
            </w:r>
          </w:p>
        </w:tc>
        <w:tc>
          <w:tcPr>
            <w:tcW w:w="1420" w:type="dxa"/>
            <w:vAlign w:val="bottom"/>
          </w:tcPr>
          <w:p>
            <w:pPr>
              <w:jc w:val="center"/>
              <w:ind w:left="870"/>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20"/>
        </w:trPr>
        <w:tc>
          <w:tcPr>
            <w:tcW w:w="18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565150</wp:posOffset>
            </wp:positionV>
            <wp:extent cx="681101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164070" cy="4191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50" w:right="379" w:bottom="1440" w:gutter="0" w:footer="0" w:header="0"/>
        </w:sectPr>
      </w:pPr>
    </w:p>
    <w:bookmarkStart w:id="82" w:name="page83"/>
    <w:bookmarkEnd w:id="82"/>
    <w:p>
      <w:pPr>
        <w:ind w:left="6620"/>
        <w:spacing w:after="0"/>
        <w:rPr>
          <w:sz w:val="20"/>
          <w:szCs w:val="20"/>
          <w:color w:val="auto"/>
        </w:rPr>
      </w:pPr>
      <w:r>
        <w:rPr>
          <w:rFonts w:ascii="Arial" w:cs="Arial" w:eastAsia="Arial" w:hAnsi="Arial"/>
          <w:sz w:val="13"/>
          <w:szCs w:val="13"/>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22860</wp:posOffset>
            </wp:positionV>
            <wp:extent cx="70237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spacing w:after="0"/>
              <w:rPr>
                <w:sz w:val="16"/>
                <w:szCs w:val="16"/>
                <w:color w:val="auto"/>
              </w:rPr>
            </w:pPr>
          </w:p>
        </w:tc>
        <w:tc>
          <w:tcPr>
            <w:tcW w:w="38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3660" w:type="dxa"/>
            <w:vAlign w:val="bottom"/>
            <w:tcBorders>
              <w:bottom w:val="single" w:sz="8" w:color="2C6937"/>
            </w:tcBorders>
            <w:gridSpan w:val="7"/>
          </w:tcPr>
          <w:p>
            <w:pPr>
              <w:jc w:val="center"/>
              <w:ind w:left="126"/>
              <w:spacing w:after="0"/>
              <w:rPr>
                <w:sz w:val="20"/>
                <w:szCs w:val="20"/>
                <w:color w:val="auto"/>
              </w:rPr>
            </w:pPr>
            <w:r>
              <w:rPr>
                <w:rFonts w:ascii="Arial" w:cs="Arial" w:eastAsia="Arial" w:hAnsi="Arial"/>
                <w:sz w:val="14"/>
                <w:szCs w:val="14"/>
                <w:b w:val="1"/>
                <w:bCs w:val="1"/>
                <w:color w:val="auto"/>
                <w:w w:val="97"/>
              </w:rPr>
              <w:t>For the Six Months Ended June 30, 2023</w:t>
            </w:r>
          </w:p>
        </w:tc>
        <w:tc>
          <w:tcPr>
            <w:tcW w:w="36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spacing w:after="0"/>
              <w:rPr>
                <w:sz w:val="16"/>
                <w:szCs w:val="16"/>
                <w:color w:val="auto"/>
              </w:rPr>
            </w:pPr>
          </w:p>
        </w:tc>
        <w:tc>
          <w:tcPr>
            <w:tcW w:w="152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spacing w:after="0"/>
              <w:rPr>
                <w:sz w:val="16"/>
                <w:szCs w:val="16"/>
                <w:color w:val="auto"/>
              </w:rPr>
            </w:pPr>
          </w:p>
        </w:tc>
        <w:tc>
          <w:tcPr>
            <w:tcW w:w="1460" w:type="dxa"/>
            <w:vAlign w:val="bottom"/>
            <w:tcBorders>
              <w:bottom w:val="single" w:sz="8" w:color="2C6937"/>
            </w:tcBorders>
            <w:gridSpan w:val="4"/>
          </w:tcPr>
          <w:p>
            <w:pPr>
              <w:ind w:left="20"/>
              <w:spacing w:after="0"/>
              <w:rPr>
                <w:sz w:val="20"/>
                <w:szCs w:val="20"/>
                <w:color w:val="auto"/>
              </w:rPr>
            </w:pPr>
            <w:r>
              <w:rPr>
                <w:rFonts w:ascii="Arial" w:cs="Arial" w:eastAsia="Arial" w:hAnsi="Arial"/>
                <w:sz w:val="14"/>
                <w:szCs w:val="14"/>
                <w:b w:val="1"/>
                <w:bCs w:val="1"/>
                <w:color w:val="auto"/>
                <w:w w:val="98"/>
              </w:rPr>
              <w:t>Payment Delay (Only)</w:t>
            </w: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center"/>
              <w:ind w:right="66"/>
              <w:spacing w:after="0"/>
              <w:rPr>
                <w:sz w:val="20"/>
                <w:szCs w:val="20"/>
                <w:color w:val="auto"/>
              </w:rPr>
            </w:pPr>
            <w:r>
              <w:rPr>
                <w:rFonts w:ascii="Arial" w:cs="Arial" w:eastAsia="Arial" w:hAnsi="Arial"/>
                <w:sz w:val="14"/>
                <w:szCs w:val="14"/>
                <w:b w:val="1"/>
                <w:bCs w:val="1"/>
                <w:color w:val="auto"/>
                <w:w w:val="94"/>
              </w:rPr>
              <w:t>Trial</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spacing w:after="0" w:line="137" w:lineRule="exact"/>
              <w:rPr>
                <w:sz w:val="20"/>
                <w:szCs w:val="20"/>
                <w:color w:val="auto"/>
              </w:rPr>
            </w:pPr>
            <w:r>
              <w:rPr>
                <w:rFonts w:ascii="Arial" w:cs="Arial" w:eastAsia="Arial" w:hAnsi="Arial"/>
                <w:sz w:val="14"/>
                <w:szCs w:val="14"/>
                <w:b w:val="1"/>
                <w:bCs w:val="1"/>
                <w:color w:val="auto"/>
                <w:w w:val="96"/>
              </w:rPr>
              <w:t>Payment Delay,</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520" w:type="dxa"/>
            <w:vAlign w:val="bottom"/>
            <w:vMerge w:val="restart"/>
          </w:tcPr>
          <w:p>
            <w:pPr>
              <w:jc w:val="center"/>
              <w:ind w:left="329"/>
              <w:spacing w:after="0"/>
              <w:rPr>
                <w:sz w:val="20"/>
                <w:szCs w:val="20"/>
                <w:color w:val="auto"/>
              </w:rPr>
            </w:pPr>
            <w:r>
              <w:rPr>
                <w:rFonts w:ascii="Arial" w:cs="Arial" w:eastAsia="Arial" w:hAnsi="Arial"/>
                <w:sz w:val="14"/>
                <w:szCs w:val="14"/>
                <w:b w:val="1"/>
                <w:bCs w:val="1"/>
                <w:color w:val="auto"/>
                <w:w w:val="99"/>
              </w:rPr>
              <w:t>Percentage of</w:t>
            </w:r>
          </w:p>
        </w:tc>
        <w:tc>
          <w:tcPr>
            <w:tcW w:w="0" w:type="dxa"/>
            <w:vAlign w:val="bottom"/>
          </w:tcPr>
          <w:p>
            <w:pPr>
              <w:spacing w:after="0"/>
              <w:rPr>
                <w:sz w:val="1"/>
                <w:szCs w:val="1"/>
                <w:color w:val="auto"/>
              </w:rPr>
            </w:pPr>
          </w:p>
        </w:tc>
      </w:tr>
      <w:tr>
        <w:trPr>
          <w:trHeight w:val="142"/>
        </w:trPr>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8"/>
              </w:rPr>
              <w:t>Payment Delay</w:t>
            </w:r>
          </w:p>
        </w:tc>
        <w:tc>
          <w:tcPr>
            <w:tcW w:w="100" w:type="dxa"/>
            <w:vAlign w:val="bottom"/>
          </w:tcPr>
          <w:p>
            <w:pPr>
              <w:spacing w:after="0"/>
              <w:rPr>
                <w:sz w:val="12"/>
                <w:szCs w:val="12"/>
                <w:color w:val="auto"/>
              </w:rPr>
            </w:pPr>
          </w:p>
        </w:tc>
        <w:tc>
          <w:tcPr>
            <w:tcW w:w="11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7"/>
              </w:rPr>
              <w:t>Term Extension</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center"/>
              <w:ind w:right="45"/>
              <w:spacing w:after="0"/>
              <w:rPr>
                <w:sz w:val="20"/>
                <w:szCs w:val="20"/>
                <w:color w:val="auto"/>
              </w:rPr>
            </w:pPr>
            <w:r>
              <w:rPr>
                <w:rFonts w:ascii="Arial" w:cs="Arial" w:eastAsia="Arial" w:hAnsi="Arial"/>
                <w:sz w:val="14"/>
                <w:szCs w:val="14"/>
                <w:b w:val="1"/>
                <w:bCs w:val="1"/>
                <w:color w:val="auto"/>
                <w:w w:val="99"/>
              </w:rPr>
              <w:t>Forbearance</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Payment</w:t>
            </w:r>
          </w:p>
        </w:tc>
        <w:tc>
          <w:tcPr>
            <w:tcW w:w="140" w:type="dxa"/>
            <w:vAlign w:val="bottom"/>
          </w:tcPr>
          <w:p>
            <w:pPr>
              <w:spacing w:after="0"/>
              <w:rPr>
                <w:sz w:val="11"/>
                <w:szCs w:val="11"/>
                <w:color w:val="auto"/>
              </w:rPr>
            </w:pPr>
          </w:p>
        </w:tc>
        <w:tc>
          <w:tcPr>
            <w:tcW w:w="980" w:type="dxa"/>
            <w:vAlign w:val="bottom"/>
          </w:tcPr>
          <w:p>
            <w:pPr>
              <w:jc w:val="center"/>
              <w:ind w:right="66"/>
              <w:spacing w:after="0" w:line="131" w:lineRule="exact"/>
              <w:rPr>
                <w:sz w:val="20"/>
                <w:szCs w:val="20"/>
                <w:color w:val="auto"/>
              </w:rPr>
            </w:pPr>
            <w:r>
              <w:rPr>
                <w:rFonts w:ascii="Arial" w:cs="Arial" w:eastAsia="Arial" w:hAnsi="Arial"/>
                <w:sz w:val="14"/>
                <w:szCs w:val="14"/>
                <w:b w:val="1"/>
                <w:bCs w:val="1"/>
                <w:color w:val="auto"/>
                <w:w w:val="96"/>
              </w:rPr>
              <w:t>Modification</w:t>
            </w:r>
          </w:p>
        </w:tc>
        <w:tc>
          <w:tcPr>
            <w:tcW w:w="3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65"/>
              <w:spacing w:after="0" w:line="131" w:lineRule="exact"/>
              <w:rPr>
                <w:sz w:val="20"/>
                <w:szCs w:val="20"/>
                <w:color w:val="auto"/>
              </w:rPr>
            </w:pPr>
            <w:r>
              <w:rPr>
                <w:rFonts w:ascii="Arial" w:cs="Arial" w:eastAsia="Arial" w:hAnsi="Arial"/>
                <w:sz w:val="14"/>
                <w:szCs w:val="14"/>
                <w:b w:val="1"/>
                <w:bCs w:val="1"/>
                <w:color w:val="auto"/>
                <w:w w:val="98"/>
              </w:rPr>
              <w:t>and Interest</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520" w:type="dxa"/>
            <w:vAlign w:val="bottom"/>
          </w:tcPr>
          <w:p>
            <w:pPr>
              <w:jc w:val="center"/>
              <w:ind w:left="329"/>
              <w:spacing w:after="0" w:line="131" w:lineRule="exact"/>
              <w:rPr>
                <w:sz w:val="20"/>
                <w:szCs w:val="20"/>
                <w:color w:val="auto"/>
              </w:rPr>
            </w:pPr>
            <w:r>
              <w:rPr>
                <w:rFonts w:ascii="Arial" w:cs="Arial" w:eastAsia="Arial" w:hAnsi="Arial"/>
                <w:sz w:val="14"/>
                <w:szCs w:val="14"/>
                <w:b w:val="1"/>
                <w:bCs w:val="1"/>
                <w:color w:val="auto"/>
                <w:w w:val="96"/>
              </w:rPr>
              <w:t>Total by</w:t>
            </w:r>
          </w:p>
        </w:tc>
        <w:tc>
          <w:tcPr>
            <w:tcW w:w="0" w:type="dxa"/>
            <w:vAlign w:val="bottom"/>
          </w:tcPr>
          <w:p>
            <w:pPr>
              <w:spacing w:after="0"/>
              <w:rPr>
                <w:sz w:val="1"/>
                <w:szCs w:val="1"/>
                <w:color w:val="auto"/>
              </w:rPr>
            </w:pPr>
          </w:p>
        </w:tc>
      </w:tr>
      <w:tr>
        <w:trPr>
          <w:trHeight w:val="140"/>
        </w:trPr>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2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7"/>
              </w:rPr>
              <w:t>and Repayment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45"/>
              <w:spacing w:after="0" w:line="141" w:lineRule="exact"/>
              <w:rPr>
                <w:sz w:val="20"/>
                <w:szCs w:val="20"/>
                <w:color w:val="auto"/>
              </w:rPr>
            </w:pPr>
            <w:r>
              <w:rPr>
                <w:rFonts w:ascii="Arial" w:cs="Arial" w:eastAsia="Arial" w:hAnsi="Arial"/>
                <w:sz w:val="14"/>
                <w:szCs w:val="14"/>
                <w:b w:val="1"/>
                <w:bCs w:val="1"/>
                <w:color w:val="auto"/>
                <w:w w:val="95"/>
              </w:rPr>
              <w:t>and Term</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65"/>
              <w:spacing w:after="0" w:line="141" w:lineRule="exact"/>
              <w:rPr>
                <w:sz w:val="20"/>
                <w:szCs w:val="20"/>
                <w:color w:val="auto"/>
              </w:rPr>
            </w:pPr>
            <w:r>
              <w:rPr>
                <w:rFonts w:ascii="Arial" w:cs="Arial" w:eastAsia="Arial" w:hAnsi="Arial"/>
                <w:sz w:val="14"/>
                <w:szCs w:val="14"/>
                <w:b w:val="1"/>
                <w:bCs w:val="1"/>
                <w:color w:val="auto"/>
                <w:w w:val="98"/>
              </w:rPr>
              <w:t>Rate</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64"/>
              <w:spacing w:after="0"/>
              <w:rPr>
                <w:sz w:val="20"/>
                <w:szCs w:val="20"/>
                <w:color w:val="auto"/>
              </w:rPr>
            </w:pPr>
            <w:r>
              <w:rPr>
                <w:rFonts w:ascii="Arial" w:cs="Arial" w:eastAsia="Arial" w:hAnsi="Arial"/>
                <w:sz w:val="14"/>
                <w:szCs w:val="14"/>
                <w:b w:val="1"/>
                <w:bCs w:val="1"/>
                <w:color w:val="auto"/>
              </w:rPr>
              <w:t>Total</w:t>
            </w:r>
          </w:p>
        </w:tc>
        <w:tc>
          <w:tcPr>
            <w:tcW w:w="1520" w:type="dxa"/>
            <w:vAlign w:val="bottom"/>
          </w:tcPr>
          <w:p>
            <w:pPr>
              <w:jc w:val="center"/>
              <w:ind w:left="329"/>
              <w:spacing w:after="0" w:line="141" w:lineRule="exact"/>
              <w:rPr>
                <w:sz w:val="20"/>
                <w:szCs w:val="20"/>
                <w:color w:val="auto"/>
              </w:rPr>
            </w:pPr>
            <w:r>
              <w:rPr>
                <w:rFonts w:ascii="Arial" w:cs="Arial" w:eastAsia="Arial" w:hAnsi="Arial"/>
                <w:sz w:val="14"/>
                <w:szCs w:val="14"/>
                <w:b w:val="1"/>
                <w:bCs w:val="1"/>
                <w:color w:val="auto"/>
                <w:w w:val="96"/>
              </w:rPr>
              <w:t>Financing</w:t>
            </w:r>
          </w:p>
        </w:tc>
        <w:tc>
          <w:tcPr>
            <w:tcW w:w="0" w:type="dxa"/>
            <w:vAlign w:val="bottom"/>
          </w:tcPr>
          <w:p>
            <w:pPr>
              <w:spacing w:after="0"/>
              <w:rPr>
                <w:sz w:val="1"/>
                <w:szCs w:val="1"/>
                <w:color w:val="auto"/>
              </w:rPr>
            </w:pPr>
          </w:p>
        </w:tc>
      </w:tr>
      <w:tr>
        <w:trPr>
          <w:trHeight w:val="180"/>
        </w:trPr>
        <w:tc>
          <w:tcPr>
            <w:tcW w:w="1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tcPr>
          <w:p>
            <w:pPr>
              <w:jc w:val="center"/>
              <w:ind w:right="45"/>
              <w:spacing w:after="0"/>
              <w:rPr>
                <w:sz w:val="20"/>
                <w:szCs w:val="20"/>
                <w:color w:val="auto"/>
              </w:rPr>
            </w:pPr>
            <w:r>
              <w:rPr>
                <w:rFonts w:ascii="Arial" w:cs="Arial" w:eastAsia="Arial" w:hAnsi="Arial"/>
                <w:sz w:val="14"/>
                <w:szCs w:val="14"/>
                <w:b w:val="1"/>
                <w:bCs w:val="1"/>
                <w:color w:val="auto"/>
                <w:w w:val="94"/>
              </w:rPr>
              <w:t>Plan</w:t>
            </w:r>
          </w:p>
        </w:tc>
        <w:tc>
          <w:tcPr>
            <w:tcW w:w="380" w:type="dxa"/>
            <w:vAlign w:val="bottom"/>
            <w:tcBorders>
              <w:bottom w:val="single" w:sz="8" w:color="2C6937"/>
            </w:tcBorders>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920" w:type="dxa"/>
            <w:vAlign w:val="bottom"/>
            <w:tcBorders>
              <w:bottom w:val="single" w:sz="8" w:color="2C6937"/>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Deferral</w:t>
            </w:r>
          </w:p>
        </w:tc>
        <w:tc>
          <w:tcPr>
            <w:tcW w:w="14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tcPr>
          <w:p>
            <w:pPr>
              <w:jc w:val="center"/>
              <w:ind w:right="66"/>
              <w:spacing w:after="0"/>
              <w:rPr>
                <w:sz w:val="20"/>
                <w:szCs w:val="20"/>
                <w:color w:val="auto"/>
              </w:rPr>
            </w:pPr>
            <w:r>
              <w:rPr>
                <w:rFonts w:ascii="Arial" w:cs="Arial" w:eastAsia="Arial" w:hAnsi="Arial"/>
                <w:sz w:val="14"/>
                <w:szCs w:val="14"/>
                <w:b w:val="1"/>
                <w:bCs w:val="1"/>
                <w:color w:val="auto"/>
                <w:w w:val="96"/>
              </w:rPr>
              <w:t>Plans</w:t>
            </w:r>
          </w:p>
        </w:tc>
        <w:tc>
          <w:tcPr>
            <w:tcW w:w="380" w:type="dxa"/>
            <w:vAlign w:val="bottom"/>
            <w:tcBorders>
              <w:bottom w:val="single" w:sz="8" w:color="2C6937"/>
            </w:tcBorders>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960" w:type="dxa"/>
            <w:vAlign w:val="bottom"/>
            <w:tcBorders>
              <w:bottom w:val="single" w:sz="8" w:color="2C6937"/>
            </w:tcBorders>
          </w:tcPr>
          <w:p>
            <w:pPr>
              <w:jc w:val="center"/>
              <w:ind w:right="45"/>
              <w:spacing w:after="0"/>
              <w:rPr>
                <w:sz w:val="20"/>
                <w:szCs w:val="20"/>
                <w:color w:val="auto"/>
              </w:rPr>
            </w:pPr>
            <w:r>
              <w:rPr>
                <w:rFonts w:ascii="Arial" w:cs="Arial" w:eastAsia="Arial" w:hAnsi="Arial"/>
                <w:sz w:val="14"/>
                <w:szCs w:val="14"/>
                <w:b w:val="1"/>
                <w:bCs w:val="1"/>
                <w:color w:val="auto"/>
                <w:w w:val="99"/>
              </w:rPr>
              <w:t>Extension</w:t>
            </w:r>
            <w:r>
              <w:rPr>
                <w:rFonts w:ascii="Arial" w:cs="Arial" w:eastAsia="Arial" w:hAnsi="Arial"/>
                <w:sz w:val="8"/>
                <w:szCs w:val="8"/>
                <w:b w:val="1"/>
                <w:bCs w:val="1"/>
                <w:color w:val="auto"/>
                <w:w w:val="99"/>
              </w:rPr>
              <w:t>(1)</w:t>
            </w:r>
          </w:p>
        </w:tc>
        <w:tc>
          <w:tcPr>
            <w:tcW w:w="100" w:type="dxa"/>
            <w:vAlign w:val="bottom"/>
            <w:tcBorders>
              <w:bottom w:val="single" w:sz="8" w:color="2C6937"/>
            </w:tcBorders>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tcPr>
          <w:p>
            <w:pPr>
              <w:jc w:val="center"/>
              <w:ind w:right="65"/>
              <w:spacing w:after="0"/>
              <w:rPr>
                <w:sz w:val="20"/>
                <w:szCs w:val="20"/>
                <w:color w:val="auto"/>
              </w:rPr>
            </w:pPr>
            <w:r>
              <w:rPr>
                <w:rFonts w:ascii="Arial" w:cs="Arial" w:eastAsia="Arial" w:hAnsi="Arial"/>
                <w:sz w:val="14"/>
                <w:szCs w:val="14"/>
                <w:b w:val="1"/>
                <w:bCs w:val="1"/>
                <w:color w:val="auto"/>
                <w:w w:val="99"/>
              </w:rPr>
              <w:t>Reduction</w:t>
            </w:r>
            <w:r>
              <w:rPr>
                <w:rFonts w:ascii="Arial" w:cs="Arial" w:eastAsia="Arial" w:hAnsi="Arial"/>
                <w:sz w:val="8"/>
                <w:szCs w:val="8"/>
                <w:b w:val="1"/>
                <w:bCs w:val="1"/>
                <w:color w:val="auto"/>
                <w:w w:val="99"/>
              </w:rPr>
              <w:t>(1)</w:t>
            </w:r>
          </w:p>
        </w:tc>
        <w:tc>
          <w:tcPr>
            <w:tcW w:w="360" w:type="dxa"/>
            <w:vAlign w:val="bottom"/>
            <w:tcBorders>
              <w:bottom w:val="single" w:sz="8" w:color="2C6937"/>
            </w:tcBorders>
          </w:tcPr>
          <w:p>
            <w:pPr>
              <w:spacing w:after="0"/>
              <w:rPr>
                <w:sz w:val="15"/>
                <w:szCs w:val="15"/>
                <w:color w:val="auto"/>
              </w:rPr>
            </w:pPr>
          </w:p>
        </w:tc>
        <w:tc>
          <w:tcPr>
            <w:tcW w:w="240" w:type="dxa"/>
            <w:vAlign w:val="bottom"/>
            <w:tcBorders>
              <w:bottom w:val="single" w:sz="8" w:color="2C6937"/>
            </w:tcBorders>
          </w:tcPr>
          <w:p>
            <w:pPr>
              <w:spacing w:after="0"/>
              <w:rPr>
                <w:sz w:val="15"/>
                <w:szCs w:val="15"/>
                <w:color w:val="auto"/>
              </w:rPr>
            </w:pPr>
          </w:p>
        </w:tc>
        <w:tc>
          <w:tcPr>
            <w:tcW w:w="780" w:type="dxa"/>
            <w:vAlign w:val="bottom"/>
            <w:tcBorders>
              <w:bottom w:val="single" w:sz="8" w:color="2C6937"/>
            </w:tcBorders>
            <w:vMerge w:val="continue"/>
          </w:tcPr>
          <w:p>
            <w:pPr>
              <w:spacing w:after="0"/>
              <w:rPr>
                <w:sz w:val="15"/>
                <w:szCs w:val="15"/>
                <w:color w:val="auto"/>
              </w:rPr>
            </w:pPr>
          </w:p>
        </w:tc>
        <w:tc>
          <w:tcPr>
            <w:tcW w:w="1520" w:type="dxa"/>
            <w:vAlign w:val="bottom"/>
            <w:tcBorders>
              <w:bottom w:val="single" w:sz="8" w:color="2C6937"/>
            </w:tcBorders>
          </w:tcPr>
          <w:p>
            <w:pPr>
              <w:jc w:val="center"/>
              <w:ind w:left="329"/>
              <w:spacing w:after="0"/>
              <w:rPr>
                <w:sz w:val="20"/>
                <w:szCs w:val="20"/>
                <w:color w:val="auto"/>
              </w:rPr>
            </w:pPr>
            <w:r>
              <w:rPr>
                <w:rFonts w:ascii="Arial" w:cs="Arial" w:eastAsia="Arial" w:hAnsi="Arial"/>
                <w:sz w:val="14"/>
                <w:szCs w:val="14"/>
                <w:b w:val="1"/>
                <w:bCs w:val="1"/>
                <w:color w:val="auto"/>
              </w:rPr>
              <w:t>Class</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198"/>
        </w:trPr>
        <w:tc>
          <w:tcPr>
            <w:tcW w:w="1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80" w:type="dxa"/>
            <w:vAlign w:val="bottom"/>
            <w:gridSpan w:val="5"/>
          </w:tcPr>
          <w:p>
            <w:pPr>
              <w:jc w:val="center"/>
              <w:ind w:left="146"/>
              <w:spacing w:after="0"/>
              <w:rPr>
                <w:sz w:val="20"/>
                <w:szCs w:val="20"/>
                <w:color w:val="auto"/>
              </w:rPr>
            </w:pPr>
            <w:r>
              <w:rPr>
                <w:rFonts w:ascii="Arial" w:cs="Arial" w:eastAsia="Arial" w:hAnsi="Arial"/>
                <w:sz w:val="14"/>
                <w:szCs w:val="14"/>
                <w:b w:val="1"/>
                <w:bCs w:val="1"/>
                <w:color w:val="auto"/>
                <w:w w:val="96"/>
              </w:rPr>
              <w:t>(Dollars in millions)</w:t>
            </w: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92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20" w:type="dxa"/>
            <w:vAlign w:val="bottom"/>
            <w:gridSpan w:val="2"/>
          </w:tcPr>
          <w:p>
            <w:pPr>
              <w:ind w:left="180"/>
              <w:spacing w:after="0"/>
              <w:rPr>
                <w:sz w:val="20"/>
                <w:szCs w:val="20"/>
                <w:color w:val="auto"/>
              </w:rPr>
            </w:pPr>
            <w:r>
              <w:rPr>
                <w:rFonts w:ascii="Arial" w:cs="Arial" w:eastAsia="Arial" w:hAnsi="Arial"/>
                <w:sz w:val="15"/>
                <w:szCs w:val="15"/>
                <w:color w:val="auto"/>
              </w:rPr>
              <w:t>20- and 30-year or</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920" w:type="dxa"/>
            <w:vAlign w:val="bottom"/>
            <w:gridSpan w:val="2"/>
          </w:tcPr>
          <w:p>
            <w:pPr>
              <w:ind w:left="320"/>
              <w:spacing w:after="0"/>
              <w:rPr>
                <w:sz w:val="20"/>
                <w:szCs w:val="20"/>
                <w:color w:val="auto"/>
              </w:rPr>
            </w:pPr>
            <w:r>
              <w:rPr>
                <w:rFonts w:ascii="Arial" w:cs="Arial" w:eastAsia="Arial" w:hAnsi="Arial"/>
                <w:sz w:val="15"/>
                <w:szCs w:val="15"/>
                <w:color w:val="auto"/>
              </w:rPr>
              <w:t>more, amortizing</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920" w:type="dxa"/>
            <w:vAlign w:val="bottom"/>
            <w:gridSpan w:val="2"/>
          </w:tcPr>
          <w:p>
            <w:pPr>
              <w:ind w:left="320"/>
              <w:spacing w:after="0"/>
              <w:rPr>
                <w:sz w:val="20"/>
                <w:szCs w:val="20"/>
                <w:color w:val="auto"/>
              </w:rPr>
            </w:pPr>
            <w:r>
              <w:rPr>
                <w:rFonts w:ascii="Arial" w:cs="Arial" w:eastAsia="Arial" w:hAnsi="Arial"/>
                <w:sz w:val="15"/>
                <w:szCs w:val="15"/>
                <w:color w:val="auto"/>
              </w:rPr>
              <w:t>fixed-rate</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10,410</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6,207</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5,202</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3,487</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338</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25,644</w:t>
            </w:r>
          </w:p>
        </w:tc>
        <w:tc>
          <w:tcPr>
            <w:tcW w:w="1520" w:type="dxa"/>
            <w:vAlign w:val="bottom"/>
          </w:tcPr>
          <w:p>
            <w:pPr>
              <w:ind w:left="1240"/>
              <w:spacing w:after="0"/>
              <w:rPr>
                <w:sz w:val="20"/>
                <w:szCs w:val="20"/>
                <w:color w:val="auto"/>
              </w:rPr>
            </w:pPr>
            <w:r>
              <w:rPr>
                <w:rFonts w:ascii="Arial" w:cs="Arial" w:eastAsia="Arial" w:hAnsi="Arial"/>
                <w:sz w:val="15"/>
                <w:szCs w:val="15"/>
                <w:color w:val="auto"/>
              </w:rPr>
              <w:t>1 %</w:t>
            </w:r>
          </w:p>
        </w:tc>
        <w:tc>
          <w:tcPr>
            <w:tcW w:w="0" w:type="dxa"/>
            <w:vAlign w:val="bottom"/>
          </w:tcPr>
          <w:p>
            <w:pPr>
              <w:spacing w:after="0"/>
              <w:rPr>
                <w:sz w:val="1"/>
                <w:szCs w:val="1"/>
                <w:color w:val="auto"/>
              </w:rPr>
            </w:pPr>
          </w:p>
        </w:tc>
      </w:tr>
      <w:tr>
        <w:trPr>
          <w:trHeight w:val="229"/>
        </w:trPr>
        <w:tc>
          <w:tcPr>
            <w:tcW w:w="1920" w:type="dxa"/>
            <w:vAlign w:val="bottom"/>
            <w:gridSpan w:val="2"/>
          </w:tcPr>
          <w:p>
            <w:pPr>
              <w:ind w:left="180"/>
              <w:spacing w:after="0"/>
              <w:rPr>
                <w:sz w:val="20"/>
                <w:szCs w:val="20"/>
                <w:color w:val="auto"/>
              </w:rPr>
            </w:pPr>
            <w:r>
              <w:rPr>
                <w:rFonts w:ascii="Arial" w:cs="Arial" w:eastAsia="Arial" w:hAnsi="Arial"/>
                <w:sz w:val="15"/>
                <w:szCs w:val="15"/>
                <w:color w:val="auto"/>
              </w:rPr>
              <w:t>15-year or less,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920" w:type="dxa"/>
            <w:vAlign w:val="bottom"/>
            <w:gridSpan w:val="2"/>
          </w:tcPr>
          <w:p>
            <w:pPr>
              <w:ind w:left="320"/>
              <w:spacing w:after="0"/>
              <w:rPr>
                <w:sz w:val="20"/>
                <w:szCs w:val="20"/>
                <w:color w:val="auto"/>
              </w:rPr>
            </w:pPr>
            <w:r>
              <w:rPr>
                <w:rFonts w:ascii="Arial" w:cs="Arial" w:eastAsia="Arial" w:hAnsi="Arial"/>
                <w:sz w:val="15"/>
                <w:szCs w:val="15"/>
                <w:color w:val="auto"/>
              </w:rPr>
              <w:t>amortizing fixed-</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20" w:type="dxa"/>
            <w:vAlign w:val="bottom"/>
            <w:gridSpan w:val="2"/>
          </w:tcPr>
          <w:p>
            <w:pPr>
              <w:ind w:left="320"/>
              <w:spacing w:after="0"/>
              <w:rPr>
                <w:sz w:val="20"/>
                <w:szCs w:val="20"/>
                <w:color w:val="auto"/>
              </w:rPr>
            </w:pPr>
            <w:r>
              <w:rPr>
                <w:rFonts w:ascii="Arial" w:cs="Arial" w:eastAsia="Arial" w:hAnsi="Arial"/>
                <w:sz w:val="15"/>
                <w:szCs w:val="15"/>
                <w:color w:val="auto"/>
              </w:rPr>
              <w:t>rate</w:t>
            </w:r>
          </w:p>
        </w:tc>
        <w:tc>
          <w:tcPr>
            <w:tcW w:w="120" w:type="dxa"/>
            <w:vAlign w:val="bottom"/>
          </w:tcPr>
          <w:p>
            <w:pPr>
              <w:spacing w:after="0"/>
              <w:rPr>
                <w:sz w:val="18"/>
                <w:szCs w:val="18"/>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451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264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203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919</w:t>
            </w:r>
          </w:p>
        </w:tc>
        <w:tc>
          <w:tcPr>
            <w:tcW w:w="1520" w:type="dxa"/>
            <w:vAlign w:val="bottom"/>
          </w:tcPr>
          <w:p>
            <w:pPr>
              <w:jc w:val="center"/>
              <w:ind w:left="969"/>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232"/>
        </w:trPr>
        <w:tc>
          <w:tcPr>
            <w:tcW w:w="192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120" w:type="dxa"/>
            <w:vAlign w:val="bottom"/>
          </w:tcPr>
          <w:p>
            <w:pPr>
              <w:spacing w:after="0"/>
              <w:rPr>
                <w:sz w:val="20"/>
                <w:szCs w:val="20"/>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55</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27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18</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2</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102</w:t>
            </w:r>
          </w:p>
        </w:tc>
        <w:tc>
          <w:tcPr>
            <w:tcW w:w="1520" w:type="dxa"/>
            <w:vAlign w:val="bottom"/>
          </w:tcPr>
          <w:p>
            <w:pPr>
              <w:jc w:val="center"/>
              <w:ind w:left="969"/>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241"/>
        </w:trPr>
        <w:tc>
          <w:tcPr>
            <w:tcW w:w="156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36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00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137</w:t>
            </w:r>
          </w:p>
        </w:tc>
        <w:tc>
          <w:tcPr>
            <w:tcW w:w="38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84</w:t>
            </w:r>
          </w:p>
        </w:tc>
        <w:tc>
          <w:tcPr>
            <w:tcW w:w="8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98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134</w:t>
            </w:r>
          </w:p>
        </w:tc>
        <w:tc>
          <w:tcPr>
            <w:tcW w:w="3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9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69</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00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45</w:t>
            </w:r>
          </w:p>
        </w:tc>
        <w:tc>
          <w:tcPr>
            <w:tcW w:w="360" w:type="dxa"/>
            <w:vAlign w:val="bottom"/>
          </w:tcPr>
          <w:p>
            <w:pPr>
              <w:spacing w:after="0"/>
              <w:rPr>
                <w:sz w:val="20"/>
                <w:szCs w:val="20"/>
                <w:color w:val="auto"/>
              </w:rPr>
            </w:pPr>
          </w:p>
        </w:tc>
        <w:tc>
          <w:tcPr>
            <w:tcW w:w="24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469</w:t>
            </w:r>
          </w:p>
        </w:tc>
        <w:tc>
          <w:tcPr>
            <w:tcW w:w="1520" w:type="dxa"/>
            <w:vAlign w:val="bottom"/>
          </w:tcPr>
          <w:p>
            <w:pPr>
              <w:jc w:val="center"/>
              <w:ind w:left="969"/>
              <w:spacing w:after="0"/>
              <w:rPr>
                <w:sz w:val="20"/>
                <w:szCs w:val="20"/>
                <w:color w:val="auto"/>
              </w:rPr>
            </w:pPr>
            <w:r>
              <w:rPr>
                <w:rFonts w:ascii="Arial" w:cs="Arial" w:eastAsia="Arial" w:hAnsi="Arial"/>
                <w:sz w:val="15"/>
                <w:szCs w:val="15"/>
                <w:color w:val="auto"/>
                <w:w w:val="95"/>
              </w:rPr>
              <w:t>2</w:t>
            </w:r>
          </w:p>
        </w:tc>
        <w:tc>
          <w:tcPr>
            <w:tcW w:w="0" w:type="dxa"/>
            <w:vAlign w:val="bottom"/>
          </w:tcPr>
          <w:p>
            <w:pPr>
              <w:spacing w:after="0"/>
              <w:rPr>
                <w:sz w:val="1"/>
                <w:szCs w:val="1"/>
                <w:color w:val="auto"/>
              </w:rPr>
            </w:pPr>
          </w:p>
        </w:tc>
      </w:tr>
      <w:tr>
        <w:trPr>
          <w:trHeight w:val="209"/>
        </w:trPr>
        <w:tc>
          <w:tcPr>
            <w:tcW w:w="192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120" w:type="dxa"/>
            <w:vAlign w:val="bottom"/>
          </w:tcPr>
          <w:p>
            <w:pPr>
              <w:spacing w:after="0"/>
              <w:rPr>
                <w:sz w:val="18"/>
                <w:szCs w:val="18"/>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11,053</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6,582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5,557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3,557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385</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27,134</w:t>
            </w:r>
          </w:p>
        </w:tc>
        <w:tc>
          <w:tcPr>
            <w:tcW w:w="1520" w:type="dxa"/>
            <w:vAlign w:val="bottom"/>
          </w:tcPr>
          <w:p>
            <w:pPr>
              <w:jc w:val="center"/>
              <w:ind w:left="969"/>
              <w:spacing w:after="0"/>
              <w:rPr>
                <w:sz w:val="20"/>
                <w:szCs w:val="20"/>
                <w:color w:val="auto"/>
              </w:rPr>
            </w:pPr>
            <w:r>
              <w:rPr>
                <w:rFonts w:ascii="Arial" w:cs="Arial" w:eastAsia="Arial" w:hAnsi="Arial"/>
                <w:sz w:val="15"/>
                <w:szCs w:val="15"/>
                <w:color w:val="auto"/>
                <w:w w:val="95"/>
              </w:rPr>
              <w:t>1</w:t>
            </w:r>
          </w:p>
        </w:tc>
        <w:tc>
          <w:tcPr>
            <w:tcW w:w="0" w:type="dxa"/>
            <w:vAlign w:val="bottom"/>
          </w:tcPr>
          <w:p>
            <w:pPr>
              <w:spacing w:after="0"/>
              <w:rPr>
                <w:sz w:val="1"/>
                <w:szCs w:val="1"/>
                <w:color w:val="auto"/>
              </w:rPr>
            </w:pPr>
          </w:p>
        </w:tc>
      </w:tr>
      <w:tr>
        <w:trPr>
          <w:trHeight w:val="263"/>
        </w:trPr>
        <w:tc>
          <w:tcPr>
            <w:tcW w:w="15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36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100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784</w:t>
            </w:r>
          </w:p>
        </w:tc>
        <w:tc>
          <w:tcPr>
            <w:tcW w:w="380" w:type="dxa"/>
            <w:vAlign w:val="bottom"/>
          </w:tcPr>
          <w:p>
            <w:pPr>
              <w:spacing w:after="0"/>
              <w:rPr>
                <w:sz w:val="22"/>
                <w:szCs w:val="22"/>
                <w:color w:val="auto"/>
              </w:rPr>
            </w:pPr>
          </w:p>
        </w:tc>
        <w:tc>
          <w:tcPr>
            <w:tcW w:w="160" w:type="dxa"/>
            <w:vAlign w:val="bottom"/>
            <w:tcBorders>
              <w:bottom w:val="single" w:sz="8" w:color="2C6937"/>
            </w:tcBorders>
          </w:tcPr>
          <w:p>
            <w:pPr>
              <w:spacing w:after="0"/>
              <w:rPr>
                <w:sz w:val="22"/>
                <w:szCs w:val="22"/>
                <w:color w:val="auto"/>
              </w:rPr>
            </w:pPr>
          </w:p>
        </w:tc>
        <w:tc>
          <w:tcPr>
            <w:tcW w:w="8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2"/>
                <w:szCs w:val="22"/>
                <w:color w:val="auto"/>
              </w:rPr>
            </w:pPr>
          </w:p>
        </w:tc>
        <w:tc>
          <w:tcPr>
            <w:tcW w:w="140" w:type="dxa"/>
            <w:vAlign w:val="bottom"/>
            <w:tcBorders>
              <w:bottom w:val="single" w:sz="8" w:color="2C6937"/>
            </w:tcBorders>
          </w:tcPr>
          <w:p>
            <w:pPr>
              <w:spacing w:after="0"/>
              <w:rPr>
                <w:sz w:val="22"/>
                <w:szCs w:val="22"/>
                <w:color w:val="auto"/>
              </w:rPr>
            </w:pPr>
          </w:p>
        </w:tc>
        <w:tc>
          <w:tcPr>
            <w:tcW w:w="98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9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100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534</w:t>
            </w:r>
          </w:p>
        </w:tc>
        <w:tc>
          <w:tcPr>
            <w:tcW w:w="360" w:type="dxa"/>
            <w:vAlign w:val="bottom"/>
          </w:tcPr>
          <w:p>
            <w:pPr>
              <w:spacing w:after="0"/>
              <w:rPr>
                <w:sz w:val="22"/>
                <w:szCs w:val="22"/>
                <w:color w:val="auto"/>
              </w:rPr>
            </w:pPr>
          </w:p>
        </w:tc>
        <w:tc>
          <w:tcPr>
            <w:tcW w:w="240" w:type="dxa"/>
            <w:vAlign w:val="bottom"/>
            <w:tcBorders>
              <w:bottom w:val="single" w:sz="8" w:color="2C6937"/>
            </w:tcBorders>
          </w:tcPr>
          <w:p>
            <w:pPr>
              <w:spacing w:after="0"/>
              <w:rPr>
                <w:sz w:val="22"/>
                <w:szCs w:val="22"/>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1,318</w:t>
            </w:r>
          </w:p>
        </w:tc>
        <w:tc>
          <w:tcPr>
            <w:tcW w:w="1520" w:type="dxa"/>
            <w:vAlign w:val="bottom"/>
          </w:tcPr>
          <w:p>
            <w:pPr>
              <w:jc w:val="center"/>
              <w:ind w:left="969"/>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212"/>
        </w:trPr>
        <w:tc>
          <w:tcPr>
            <w:tcW w:w="1920" w:type="dxa"/>
            <w:vAlign w:val="bottom"/>
            <w:gridSpan w:val="2"/>
          </w:tcPr>
          <w:p>
            <w:pPr>
              <w:ind w:left="180"/>
              <w:spacing w:after="0" w:line="212" w:lineRule="exact"/>
              <w:rPr>
                <w:sz w:val="20"/>
                <w:szCs w:val="20"/>
                <w:color w:val="auto"/>
              </w:rPr>
            </w:pPr>
            <w:r>
              <w:rPr>
                <w:rFonts w:ascii="Arial" w:cs="Arial" w:eastAsia="Arial" w:hAnsi="Arial"/>
                <w:sz w:val="15"/>
                <w:szCs w:val="15"/>
                <w:color w:val="auto"/>
              </w:rPr>
              <w:t>Total</w:t>
            </w:r>
            <w:r>
              <w:rPr>
                <w:rFonts w:ascii="Arial" w:cs="Arial" w:eastAsia="Arial" w:hAnsi="Arial"/>
                <w:sz w:val="20"/>
                <w:szCs w:val="20"/>
                <w:color w:val="auto"/>
                <w:vertAlign w:val="superscript"/>
              </w:rPr>
              <w:t>(3)</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11,837</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6,582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5,557</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3,557</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919</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28,452</w:t>
            </w:r>
          </w:p>
        </w:tc>
        <w:tc>
          <w:tcPr>
            <w:tcW w:w="1520" w:type="dxa"/>
            <w:vAlign w:val="bottom"/>
            <w:vMerge w:val="restart"/>
          </w:tcPr>
          <w:p>
            <w:pPr>
              <w:ind w:left="12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
        </w:trPr>
        <w:tc>
          <w:tcPr>
            <w:tcW w:w="1560" w:type="dxa"/>
            <w:vAlign w:val="bottom"/>
            <w:tcBorders>
              <w:bottom w:val="single" w:sz="8" w:color="2C6937"/>
            </w:tcBorders>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1000" w:type="dxa"/>
            <w:vAlign w:val="bottom"/>
            <w:tcBorders>
              <w:bottom w:val="single" w:sz="8" w:color="2C6937"/>
            </w:tcBorders>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Borders>
              <w:bottom w:val="single" w:sz="8" w:color="2C6937"/>
            </w:tcBorders>
          </w:tcPr>
          <w:p>
            <w:pPr>
              <w:spacing w:after="0"/>
              <w:rPr>
                <w:sz w:val="2"/>
                <w:szCs w:val="2"/>
                <w:color w:val="auto"/>
              </w:rPr>
            </w:pPr>
          </w:p>
        </w:tc>
        <w:tc>
          <w:tcPr>
            <w:tcW w:w="8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980" w:type="dxa"/>
            <w:vAlign w:val="bottom"/>
            <w:tcBorders>
              <w:bottom w:val="single" w:sz="8" w:color="2C6937"/>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9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1000" w:type="dxa"/>
            <w:vAlign w:val="bottom"/>
            <w:tcBorders>
              <w:bottom w:val="single" w:sz="8" w:color="2C6937"/>
            </w:tcBorders>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Borders>
              <w:bottom w:val="single" w:sz="8" w:color="2C6937"/>
            </w:tcBorders>
          </w:tcPr>
          <w:p>
            <w:pPr>
              <w:spacing w:after="0"/>
              <w:rPr>
                <w:sz w:val="2"/>
                <w:szCs w:val="2"/>
                <w:color w:val="auto"/>
              </w:rPr>
            </w:pPr>
          </w:p>
        </w:tc>
        <w:tc>
          <w:tcPr>
            <w:tcW w:w="780" w:type="dxa"/>
            <w:vAlign w:val="bottom"/>
            <w:tcBorders>
              <w:bottom w:val="single" w:sz="8" w:color="2C6937"/>
            </w:tcBorders>
          </w:tcPr>
          <w:p>
            <w:pPr>
              <w:spacing w:after="0"/>
              <w:rPr>
                <w:sz w:val="2"/>
                <w:szCs w:val="2"/>
                <w:color w:val="auto"/>
              </w:rPr>
            </w:pPr>
          </w:p>
        </w:tc>
        <w:tc>
          <w:tcPr>
            <w:tcW w:w="15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560" w:type="dxa"/>
            <w:vAlign w:val="bottom"/>
            <w:tcBorders>
              <w:bottom w:val="single" w:sz="8" w:color="2C6937"/>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000" w:type="dxa"/>
            <w:vAlign w:val="bottom"/>
            <w:tcBorders>
              <w:bottom w:val="single" w:sz="8" w:color="2C6937"/>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Borders>
              <w:bottom w:val="single" w:sz="8" w:color="2C6937"/>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2C6937"/>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4"/>
        </w:trPr>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000" w:type="dxa"/>
            <w:vAlign w:val="bottom"/>
            <w:tcBorders>
              <w:bottom w:val="single" w:sz="8" w:color="2C6937"/>
            </w:tcBorders>
          </w:tcPr>
          <w:p>
            <w:pPr>
              <w:spacing w:after="0"/>
              <w:rPr>
                <w:sz w:val="24"/>
                <w:szCs w:val="24"/>
                <w:color w:val="auto"/>
              </w:rPr>
            </w:pPr>
          </w:p>
        </w:tc>
        <w:tc>
          <w:tcPr>
            <w:tcW w:w="380" w:type="dxa"/>
            <w:vAlign w:val="bottom"/>
            <w:tcBorders>
              <w:bottom w:val="single" w:sz="8" w:color="2C6937"/>
            </w:tcBorders>
          </w:tcPr>
          <w:p>
            <w:pPr>
              <w:spacing w:after="0"/>
              <w:rPr>
                <w:sz w:val="24"/>
                <w:szCs w:val="24"/>
                <w:color w:val="auto"/>
              </w:rPr>
            </w:pPr>
          </w:p>
        </w:tc>
        <w:tc>
          <w:tcPr>
            <w:tcW w:w="16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3660" w:type="dxa"/>
            <w:vAlign w:val="bottom"/>
            <w:tcBorders>
              <w:bottom w:val="single" w:sz="8" w:color="2C6937"/>
            </w:tcBorders>
            <w:gridSpan w:val="7"/>
          </w:tcPr>
          <w:p>
            <w:pPr>
              <w:jc w:val="center"/>
              <w:ind w:left="126"/>
              <w:spacing w:after="0"/>
              <w:rPr>
                <w:sz w:val="20"/>
                <w:szCs w:val="20"/>
                <w:color w:val="auto"/>
              </w:rPr>
            </w:pPr>
            <w:r>
              <w:rPr>
                <w:rFonts w:ascii="Arial" w:cs="Arial" w:eastAsia="Arial" w:hAnsi="Arial"/>
                <w:sz w:val="14"/>
                <w:szCs w:val="14"/>
                <w:b w:val="1"/>
                <w:bCs w:val="1"/>
                <w:color w:val="auto"/>
                <w:w w:val="97"/>
              </w:rPr>
              <w:t>For the Three Months Ended June 30, 2022</w:t>
            </w:r>
          </w:p>
        </w:tc>
        <w:tc>
          <w:tcPr>
            <w:tcW w:w="360" w:type="dxa"/>
            <w:vAlign w:val="bottom"/>
            <w:tcBorders>
              <w:bottom w:val="single" w:sz="8" w:color="2C6937"/>
            </w:tcBorders>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780" w:type="dxa"/>
            <w:vAlign w:val="bottom"/>
            <w:tcBorders>
              <w:bottom w:val="single" w:sz="8" w:color="2C6937"/>
            </w:tcBorders>
          </w:tcPr>
          <w:p>
            <w:pPr>
              <w:spacing w:after="0"/>
              <w:rPr>
                <w:sz w:val="24"/>
                <w:szCs w:val="24"/>
                <w:color w:val="auto"/>
              </w:rPr>
            </w:pPr>
          </w:p>
        </w:tc>
        <w:tc>
          <w:tcPr>
            <w:tcW w:w="152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spacing w:after="0"/>
              <w:rPr>
                <w:sz w:val="16"/>
                <w:szCs w:val="16"/>
                <w:color w:val="auto"/>
              </w:rPr>
            </w:pPr>
          </w:p>
        </w:tc>
        <w:tc>
          <w:tcPr>
            <w:tcW w:w="1460" w:type="dxa"/>
            <w:vAlign w:val="bottom"/>
            <w:tcBorders>
              <w:bottom w:val="single" w:sz="8" w:color="2C6937"/>
            </w:tcBorders>
            <w:gridSpan w:val="4"/>
          </w:tcPr>
          <w:p>
            <w:pPr>
              <w:ind w:left="20"/>
              <w:spacing w:after="0"/>
              <w:rPr>
                <w:sz w:val="20"/>
                <w:szCs w:val="20"/>
                <w:color w:val="auto"/>
              </w:rPr>
            </w:pPr>
            <w:r>
              <w:rPr>
                <w:rFonts w:ascii="Arial" w:cs="Arial" w:eastAsia="Arial" w:hAnsi="Arial"/>
                <w:sz w:val="14"/>
                <w:szCs w:val="14"/>
                <w:b w:val="1"/>
                <w:bCs w:val="1"/>
                <w:color w:val="auto"/>
                <w:w w:val="98"/>
              </w:rPr>
              <w:t>Payment Delay (Only)</w:t>
            </w: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1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vMerge w:val="restart"/>
          </w:tcPr>
          <w:p>
            <w:pPr>
              <w:jc w:val="center"/>
              <w:ind w:right="66"/>
              <w:spacing w:after="0"/>
              <w:rPr>
                <w:sz w:val="20"/>
                <w:szCs w:val="20"/>
                <w:color w:val="auto"/>
              </w:rPr>
            </w:pPr>
            <w:r>
              <w:rPr>
                <w:rFonts w:ascii="Arial" w:cs="Arial" w:eastAsia="Arial" w:hAnsi="Arial"/>
                <w:sz w:val="14"/>
                <w:szCs w:val="14"/>
                <w:b w:val="1"/>
                <w:bCs w:val="1"/>
                <w:color w:val="auto"/>
                <w:w w:val="94"/>
              </w:rPr>
              <w:t>Trial</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98"/>
              </w:rPr>
              <w:t>Payment Delay,</w:t>
            </w: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520" w:type="dxa"/>
            <w:vAlign w:val="bottom"/>
            <w:vMerge w:val="restart"/>
          </w:tcPr>
          <w:p>
            <w:pPr>
              <w:jc w:val="center"/>
              <w:ind w:left="329"/>
              <w:spacing w:after="0"/>
              <w:rPr>
                <w:sz w:val="20"/>
                <w:szCs w:val="20"/>
                <w:color w:val="auto"/>
              </w:rPr>
            </w:pPr>
            <w:r>
              <w:rPr>
                <w:rFonts w:ascii="Arial" w:cs="Arial" w:eastAsia="Arial" w:hAnsi="Arial"/>
                <w:sz w:val="14"/>
                <w:szCs w:val="14"/>
                <w:b w:val="1"/>
                <w:bCs w:val="1"/>
                <w:color w:val="auto"/>
                <w:w w:val="99"/>
              </w:rPr>
              <w:t>Percentage of</w:t>
            </w:r>
          </w:p>
        </w:tc>
        <w:tc>
          <w:tcPr>
            <w:tcW w:w="0" w:type="dxa"/>
            <w:vAlign w:val="bottom"/>
          </w:tcPr>
          <w:p>
            <w:pPr>
              <w:spacing w:after="0"/>
              <w:rPr>
                <w:sz w:val="1"/>
                <w:szCs w:val="1"/>
                <w:color w:val="auto"/>
              </w:rPr>
            </w:pPr>
          </w:p>
        </w:tc>
      </w:tr>
      <w:tr>
        <w:trPr>
          <w:trHeight w:val="142"/>
        </w:trPr>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Payment Delay</w:t>
            </w:r>
          </w:p>
        </w:tc>
        <w:tc>
          <w:tcPr>
            <w:tcW w:w="100" w:type="dxa"/>
            <w:vAlign w:val="bottom"/>
          </w:tcPr>
          <w:p>
            <w:pPr>
              <w:spacing w:after="0"/>
              <w:rPr>
                <w:sz w:val="12"/>
                <w:szCs w:val="12"/>
                <w:color w:val="auto"/>
              </w:rPr>
            </w:pPr>
          </w:p>
        </w:tc>
        <w:tc>
          <w:tcPr>
            <w:tcW w:w="11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7"/>
              </w:rPr>
              <w:t>Term Extension</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center"/>
              <w:ind w:right="45"/>
              <w:spacing w:after="0"/>
              <w:rPr>
                <w:sz w:val="20"/>
                <w:szCs w:val="20"/>
                <w:color w:val="auto"/>
              </w:rPr>
            </w:pPr>
            <w:r>
              <w:rPr>
                <w:rFonts w:ascii="Arial" w:cs="Arial" w:eastAsia="Arial" w:hAnsi="Arial"/>
                <w:sz w:val="14"/>
                <w:szCs w:val="14"/>
                <w:b w:val="1"/>
                <w:bCs w:val="1"/>
                <w:color w:val="auto"/>
                <w:w w:val="99"/>
              </w:rPr>
              <w:t>Forbearance</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Payment</w:t>
            </w:r>
          </w:p>
        </w:tc>
        <w:tc>
          <w:tcPr>
            <w:tcW w:w="140" w:type="dxa"/>
            <w:vAlign w:val="bottom"/>
          </w:tcPr>
          <w:p>
            <w:pPr>
              <w:spacing w:after="0"/>
              <w:rPr>
                <w:sz w:val="12"/>
                <w:szCs w:val="12"/>
                <w:color w:val="auto"/>
              </w:rPr>
            </w:pPr>
          </w:p>
        </w:tc>
        <w:tc>
          <w:tcPr>
            <w:tcW w:w="980" w:type="dxa"/>
            <w:vAlign w:val="bottom"/>
          </w:tcPr>
          <w:p>
            <w:pPr>
              <w:jc w:val="center"/>
              <w:ind w:right="66"/>
              <w:spacing w:after="0" w:line="141" w:lineRule="exact"/>
              <w:rPr>
                <w:sz w:val="20"/>
                <w:szCs w:val="20"/>
                <w:color w:val="auto"/>
              </w:rPr>
            </w:pPr>
            <w:r>
              <w:rPr>
                <w:rFonts w:ascii="Arial" w:cs="Arial" w:eastAsia="Arial" w:hAnsi="Arial"/>
                <w:sz w:val="14"/>
                <w:szCs w:val="14"/>
                <w:b w:val="1"/>
                <w:bCs w:val="1"/>
                <w:color w:val="auto"/>
                <w:w w:val="96"/>
              </w:rPr>
              <w:t>Modification</w:t>
            </w:r>
          </w:p>
        </w:tc>
        <w:tc>
          <w:tcPr>
            <w:tcW w:w="3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65"/>
              <w:spacing w:after="0" w:line="141" w:lineRule="exact"/>
              <w:rPr>
                <w:sz w:val="20"/>
                <w:szCs w:val="20"/>
                <w:color w:val="auto"/>
              </w:rPr>
            </w:pPr>
            <w:r>
              <w:rPr>
                <w:rFonts w:ascii="Arial" w:cs="Arial" w:eastAsia="Arial" w:hAnsi="Arial"/>
                <w:sz w:val="14"/>
                <w:szCs w:val="14"/>
                <w:b w:val="1"/>
                <w:bCs w:val="1"/>
                <w:color w:val="auto"/>
                <w:w w:val="98"/>
              </w:rPr>
              <w:t>and Interest</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20" w:type="dxa"/>
            <w:vAlign w:val="bottom"/>
          </w:tcPr>
          <w:p>
            <w:pPr>
              <w:jc w:val="center"/>
              <w:ind w:left="329"/>
              <w:spacing w:after="0" w:line="141" w:lineRule="exact"/>
              <w:rPr>
                <w:sz w:val="20"/>
                <w:szCs w:val="20"/>
                <w:color w:val="auto"/>
              </w:rPr>
            </w:pPr>
            <w:r>
              <w:rPr>
                <w:rFonts w:ascii="Arial" w:cs="Arial" w:eastAsia="Arial" w:hAnsi="Arial"/>
                <w:sz w:val="14"/>
                <w:szCs w:val="14"/>
                <w:b w:val="1"/>
                <w:bCs w:val="1"/>
                <w:color w:val="auto"/>
                <w:w w:val="96"/>
              </w:rPr>
              <w:t>Total by</w:t>
            </w:r>
          </w:p>
        </w:tc>
        <w:tc>
          <w:tcPr>
            <w:tcW w:w="0" w:type="dxa"/>
            <w:vAlign w:val="bottom"/>
          </w:tcPr>
          <w:p>
            <w:pPr>
              <w:spacing w:after="0"/>
              <w:rPr>
                <w:sz w:val="1"/>
                <w:szCs w:val="1"/>
                <w:color w:val="auto"/>
              </w:rPr>
            </w:pPr>
          </w:p>
        </w:tc>
      </w:tr>
      <w:tr>
        <w:trPr>
          <w:trHeight w:val="129"/>
        </w:trPr>
        <w:tc>
          <w:tcPr>
            <w:tcW w:w="1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1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7"/>
              </w:rPr>
              <w:t>and Repayment</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45"/>
              <w:spacing w:after="0" w:line="129" w:lineRule="exact"/>
              <w:rPr>
                <w:sz w:val="20"/>
                <w:szCs w:val="20"/>
                <w:color w:val="auto"/>
              </w:rPr>
            </w:pPr>
            <w:r>
              <w:rPr>
                <w:rFonts w:ascii="Arial" w:cs="Arial" w:eastAsia="Arial" w:hAnsi="Arial"/>
                <w:sz w:val="14"/>
                <w:szCs w:val="14"/>
                <w:b w:val="1"/>
                <w:bCs w:val="1"/>
                <w:color w:val="auto"/>
                <w:w w:val="95"/>
              </w:rPr>
              <w:t>and Term</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65"/>
              <w:spacing w:after="0" w:line="129" w:lineRule="exact"/>
              <w:rPr>
                <w:sz w:val="20"/>
                <w:szCs w:val="20"/>
                <w:color w:val="auto"/>
              </w:rPr>
            </w:pPr>
            <w:r>
              <w:rPr>
                <w:rFonts w:ascii="Arial" w:cs="Arial" w:eastAsia="Arial" w:hAnsi="Arial"/>
                <w:sz w:val="14"/>
                <w:szCs w:val="14"/>
                <w:b w:val="1"/>
                <w:bCs w:val="1"/>
                <w:color w:val="auto"/>
                <w:w w:val="98"/>
              </w:rPr>
              <w:t>Rate</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vMerge w:val="restart"/>
          </w:tcPr>
          <w:p>
            <w:pPr>
              <w:jc w:val="right"/>
              <w:ind w:right="264"/>
              <w:spacing w:after="0"/>
              <w:rPr>
                <w:sz w:val="20"/>
                <w:szCs w:val="20"/>
                <w:color w:val="auto"/>
              </w:rPr>
            </w:pPr>
            <w:r>
              <w:rPr>
                <w:rFonts w:ascii="Arial" w:cs="Arial" w:eastAsia="Arial" w:hAnsi="Arial"/>
                <w:sz w:val="14"/>
                <w:szCs w:val="14"/>
                <w:b w:val="1"/>
                <w:bCs w:val="1"/>
                <w:color w:val="auto"/>
              </w:rPr>
              <w:t>Total</w:t>
            </w:r>
          </w:p>
        </w:tc>
        <w:tc>
          <w:tcPr>
            <w:tcW w:w="1520" w:type="dxa"/>
            <w:vAlign w:val="bottom"/>
          </w:tcPr>
          <w:p>
            <w:pPr>
              <w:jc w:val="center"/>
              <w:ind w:left="329"/>
              <w:spacing w:after="0" w:line="129" w:lineRule="exact"/>
              <w:rPr>
                <w:sz w:val="20"/>
                <w:szCs w:val="20"/>
                <w:color w:val="auto"/>
              </w:rPr>
            </w:pPr>
            <w:r>
              <w:rPr>
                <w:rFonts w:ascii="Arial" w:cs="Arial" w:eastAsia="Arial" w:hAnsi="Arial"/>
                <w:sz w:val="14"/>
                <w:szCs w:val="14"/>
                <w:b w:val="1"/>
                <w:bCs w:val="1"/>
                <w:color w:val="auto"/>
                <w:w w:val="96"/>
              </w:rPr>
              <w:t>Financing</w:t>
            </w:r>
          </w:p>
        </w:tc>
        <w:tc>
          <w:tcPr>
            <w:tcW w:w="0" w:type="dxa"/>
            <w:vAlign w:val="bottom"/>
          </w:tcPr>
          <w:p>
            <w:pPr>
              <w:spacing w:after="0"/>
              <w:rPr>
                <w:sz w:val="1"/>
                <w:szCs w:val="1"/>
                <w:color w:val="auto"/>
              </w:rPr>
            </w:pPr>
          </w:p>
        </w:tc>
      </w:tr>
      <w:tr>
        <w:trPr>
          <w:trHeight w:val="193"/>
        </w:trPr>
        <w:tc>
          <w:tcPr>
            <w:tcW w:w="1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center"/>
              <w:ind w:right="45"/>
              <w:spacing w:after="0"/>
              <w:rPr>
                <w:sz w:val="20"/>
                <w:szCs w:val="20"/>
                <w:color w:val="auto"/>
              </w:rPr>
            </w:pPr>
            <w:r>
              <w:rPr>
                <w:rFonts w:ascii="Arial" w:cs="Arial" w:eastAsia="Arial" w:hAnsi="Arial"/>
                <w:sz w:val="14"/>
                <w:szCs w:val="14"/>
                <w:b w:val="1"/>
                <w:bCs w:val="1"/>
                <w:color w:val="auto"/>
                <w:w w:val="94"/>
              </w:rPr>
              <w:t>Plan</w:t>
            </w:r>
          </w:p>
        </w:tc>
        <w:tc>
          <w:tcPr>
            <w:tcW w:w="38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Deferral</w:t>
            </w: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center"/>
              <w:ind w:right="66"/>
              <w:spacing w:after="0"/>
              <w:rPr>
                <w:sz w:val="20"/>
                <w:szCs w:val="20"/>
                <w:color w:val="auto"/>
              </w:rPr>
            </w:pPr>
            <w:r>
              <w:rPr>
                <w:rFonts w:ascii="Arial" w:cs="Arial" w:eastAsia="Arial" w:hAnsi="Arial"/>
                <w:sz w:val="14"/>
                <w:szCs w:val="14"/>
                <w:b w:val="1"/>
                <w:bCs w:val="1"/>
                <w:color w:val="auto"/>
                <w:w w:val="96"/>
              </w:rPr>
              <w:t>Plans</w:t>
            </w:r>
          </w:p>
        </w:tc>
        <w:tc>
          <w:tcPr>
            <w:tcW w:w="38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center"/>
              <w:ind w:right="45"/>
              <w:spacing w:after="0" w:line="194" w:lineRule="exact"/>
              <w:rPr>
                <w:sz w:val="20"/>
                <w:szCs w:val="20"/>
                <w:color w:val="auto"/>
              </w:rPr>
            </w:pPr>
            <w:r>
              <w:rPr>
                <w:rFonts w:ascii="Arial" w:cs="Arial" w:eastAsia="Arial" w:hAnsi="Arial"/>
                <w:sz w:val="14"/>
                <w:szCs w:val="14"/>
                <w:b w:val="1"/>
                <w:bCs w:val="1"/>
                <w:color w:val="auto"/>
                <w:w w:val="94"/>
              </w:rPr>
              <w:t>Extension</w:t>
            </w:r>
            <w:r>
              <w:rPr>
                <w:rFonts w:ascii="Arial" w:cs="Arial" w:eastAsia="Arial" w:hAnsi="Arial"/>
                <w:sz w:val="17"/>
                <w:szCs w:val="17"/>
                <w:b w:val="1"/>
                <w:bCs w:val="1"/>
                <w:color w:val="auto"/>
                <w:w w:val="94"/>
                <w:vertAlign w:val="superscript"/>
              </w:rPr>
              <w:t>(1)</w:t>
            </w:r>
          </w:p>
        </w:tc>
        <w:tc>
          <w:tcPr>
            <w:tcW w:w="10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center"/>
              <w:ind w:right="65"/>
              <w:spacing w:after="0" w:line="194" w:lineRule="exact"/>
              <w:rPr>
                <w:sz w:val="20"/>
                <w:szCs w:val="20"/>
                <w:color w:val="auto"/>
              </w:rPr>
            </w:pPr>
            <w:r>
              <w:rPr>
                <w:rFonts w:ascii="Arial" w:cs="Arial" w:eastAsia="Arial" w:hAnsi="Arial"/>
                <w:sz w:val="14"/>
                <w:szCs w:val="14"/>
                <w:b w:val="1"/>
                <w:bCs w:val="1"/>
                <w:color w:val="auto"/>
                <w:w w:val="94"/>
              </w:rPr>
              <w:t>Reduction</w:t>
            </w:r>
            <w:r>
              <w:rPr>
                <w:rFonts w:ascii="Arial" w:cs="Arial" w:eastAsia="Arial" w:hAnsi="Arial"/>
                <w:sz w:val="17"/>
                <w:szCs w:val="17"/>
                <w:b w:val="1"/>
                <w:bCs w:val="1"/>
                <w:color w:val="auto"/>
                <w:w w:val="94"/>
                <w:vertAlign w:val="superscript"/>
              </w:rPr>
              <w:t>(1)</w:t>
            </w:r>
          </w:p>
        </w:tc>
        <w:tc>
          <w:tcPr>
            <w:tcW w:w="36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vMerge w:val="continue"/>
          </w:tcPr>
          <w:p>
            <w:pPr>
              <w:spacing w:after="0"/>
              <w:rPr>
                <w:sz w:val="16"/>
                <w:szCs w:val="16"/>
                <w:color w:val="auto"/>
              </w:rPr>
            </w:pPr>
          </w:p>
        </w:tc>
        <w:tc>
          <w:tcPr>
            <w:tcW w:w="1520" w:type="dxa"/>
            <w:vAlign w:val="bottom"/>
            <w:tcBorders>
              <w:bottom w:val="single" w:sz="8" w:color="2C6937"/>
            </w:tcBorders>
          </w:tcPr>
          <w:p>
            <w:pPr>
              <w:jc w:val="center"/>
              <w:ind w:left="329"/>
              <w:spacing w:after="0" w:line="194" w:lineRule="exact"/>
              <w:rPr>
                <w:sz w:val="20"/>
                <w:szCs w:val="20"/>
                <w:color w:val="auto"/>
              </w:rPr>
            </w:pPr>
            <w:r>
              <w:rPr>
                <w:rFonts w:ascii="Arial" w:cs="Arial" w:eastAsia="Arial" w:hAnsi="Arial"/>
                <w:sz w:val="14"/>
                <w:szCs w:val="14"/>
                <w:b w:val="1"/>
                <w:bCs w:val="1"/>
                <w:color w:val="auto"/>
                <w:w w:val="93"/>
              </w:rPr>
              <w:t>Class</w:t>
            </w:r>
            <w:r>
              <w:rPr>
                <w:rFonts w:ascii="Arial" w:cs="Arial" w:eastAsia="Arial" w:hAnsi="Arial"/>
                <w:sz w:val="17"/>
                <w:szCs w:val="17"/>
                <w:b w:val="1"/>
                <w:bCs w:val="1"/>
                <w:color w:val="auto"/>
                <w:w w:val="93"/>
                <w:vertAlign w:val="superscript"/>
              </w:rPr>
              <w:t>(2)</w:t>
            </w:r>
          </w:p>
        </w:tc>
        <w:tc>
          <w:tcPr>
            <w:tcW w:w="0" w:type="dxa"/>
            <w:vAlign w:val="bottom"/>
          </w:tcPr>
          <w:p>
            <w:pPr>
              <w:spacing w:after="0"/>
              <w:rPr>
                <w:sz w:val="1"/>
                <w:szCs w:val="1"/>
                <w:color w:val="auto"/>
              </w:rPr>
            </w:pPr>
          </w:p>
        </w:tc>
      </w:tr>
      <w:tr>
        <w:trPr>
          <w:trHeight w:val="198"/>
        </w:trPr>
        <w:tc>
          <w:tcPr>
            <w:tcW w:w="1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80" w:type="dxa"/>
            <w:vAlign w:val="bottom"/>
            <w:gridSpan w:val="5"/>
          </w:tcPr>
          <w:p>
            <w:pPr>
              <w:jc w:val="center"/>
              <w:ind w:left="146"/>
              <w:spacing w:after="0"/>
              <w:rPr>
                <w:sz w:val="20"/>
                <w:szCs w:val="20"/>
                <w:color w:val="auto"/>
              </w:rPr>
            </w:pPr>
            <w:r>
              <w:rPr>
                <w:rFonts w:ascii="Arial" w:cs="Arial" w:eastAsia="Arial" w:hAnsi="Arial"/>
                <w:sz w:val="14"/>
                <w:szCs w:val="14"/>
                <w:b w:val="1"/>
                <w:bCs w:val="1"/>
                <w:color w:val="auto"/>
                <w:w w:val="96"/>
              </w:rPr>
              <w:t>(Dollars in millions)</w:t>
            </w: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92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920" w:type="dxa"/>
            <w:vAlign w:val="bottom"/>
            <w:gridSpan w:val="2"/>
          </w:tcPr>
          <w:p>
            <w:pPr>
              <w:ind w:left="180"/>
              <w:spacing w:after="0"/>
              <w:rPr>
                <w:sz w:val="20"/>
                <w:szCs w:val="20"/>
                <w:color w:val="auto"/>
              </w:rPr>
            </w:pPr>
            <w:r>
              <w:rPr>
                <w:rFonts w:ascii="Arial" w:cs="Arial" w:eastAsia="Arial" w:hAnsi="Arial"/>
                <w:sz w:val="15"/>
                <w:szCs w:val="15"/>
                <w:color w:val="auto"/>
              </w:rPr>
              <w:t>20- and 30-year or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920" w:type="dxa"/>
            <w:vAlign w:val="bottom"/>
            <w:gridSpan w:val="2"/>
          </w:tcPr>
          <w:p>
            <w:pPr>
              <w:ind w:left="320"/>
              <w:spacing w:after="0"/>
              <w:rPr>
                <w:sz w:val="20"/>
                <w:szCs w:val="20"/>
                <w:color w:val="auto"/>
              </w:rPr>
            </w:pPr>
            <w:r>
              <w:rPr>
                <w:rFonts w:ascii="Arial" w:cs="Arial" w:eastAsia="Arial" w:hAnsi="Arial"/>
                <w:sz w:val="15"/>
                <w:szCs w:val="15"/>
                <w:color w:val="auto"/>
              </w:rPr>
              <w:t>more, amortizing</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920" w:type="dxa"/>
            <w:vAlign w:val="bottom"/>
            <w:gridSpan w:val="2"/>
          </w:tcPr>
          <w:p>
            <w:pPr>
              <w:ind w:left="320"/>
              <w:spacing w:after="0"/>
              <w:rPr>
                <w:sz w:val="20"/>
                <w:szCs w:val="20"/>
                <w:color w:val="auto"/>
              </w:rPr>
            </w:pPr>
            <w:r>
              <w:rPr>
                <w:rFonts w:ascii="Arial" w:cs="Arial" w:eastAsia="Arial" w:hAnsi="Arial"/>
                <w:sz w:val="15"/>
                <w:szCs w:val="15"/>
                <w:color w:val="auto"/>
              </w:rPr>
              <w:t>fixed-rate</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11,213</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5,203</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3,815</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769</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4,671</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25,671</w:t>
            </w:r>
          </w:p>
        </w:tc>
        <w:tc>
          <w:tcPr>
            <w:tcW w:w="1520" w:type="dxa"/>
            <w:vAlign w:val="bottom"/>
          </w:tcPr>
          <w:p>
            <w:pPr>
              <w:ind w:left="1240"/>
              <w:spacing w:after="0"/>
              <w:rPr>
                <w:sz w:val="20"/>
                <w:szCs w:val="20"/>
                <w:color w:val="auto"/>
              </w:rPr>
            </w:pPr>
            <w:r>
              <w:rPr>
                <w:rFonts w:ascii="Arial" w:cs="Arial" w:eastAsia="Arial" w:hAnsi="Arial"/>
                <w:sz w:val="15"/>
                <w:szCs w:val="15"/>
                <w:color w:val="auto"/>
              </w:rPr>
              <w:t>1 %</w:t>
            </w:r>
          </w:p>
        </w:tc>
        <w:tc>
          <w:tcPr>
            <w:tcW w:w="0" w:type="dxa"/>
            <w:vAlign w:val="bottom"/>
          </w:tcPr>
          <w:p>
            <w:pPr>
              <w:spacing w:after="0"/>
              <w:rPr>
                <w:sz w:val="1"/>
                <w:szCs w:val="1"/>
                <w:color w:val="auto"/>
              </w:rPr>
            </w:pPr>
          </w:p>
        </w:tc>
      </w:tr>
      <w:tr>
        <w:trPr>
          <w:trHeight w:val="229"/>
        </w:trPr>
        <w:tc>
          <w:tcPr>
            <w:tcW w:w="1920" w:type="dxa"/>
            <w:vAlign w:val="bottom"/>
            <w:gridSpan w:val="2"/>
          </w:tcPr>
          <w:p>
            <w:pPr>
              <w:ind w:left="180"/>
              <w:spacing w:after="0"/>
              <w:rPr>
                <w:sz w:val="20"/>
                <w:szCs w:val="20"/>
                <w:color w:val="auto"/>
              </w:rPr>
            </w:pPr>
            <w:r>
              <w:rPr>
                <w:rFonts w:ascii="Arial" w:cs="Arial" w:eastAsia="Arial" w:hAnsi="Arial"/>
                <w:sz w:val="15"/>
                <w:szCs w:val="15"/>
                <w:color w:val="auto"/>
              </w:rPr>
              <w:t>15-year or less,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920" w:type="dxa"/>
            <w:vAlign w:val="bottom"/>
            <w:gridSpan w:val="2"/>
          </w:tcPr>
          <w:p>
            <w:pPr>
              <w:ind w:left="320"/>
              <w:spacing w:after="0"/>
              <w:rPr>
                <w:sz w:val="20"/>
                <w:szCs w:val="20"/>
                <w:color w:val="auto"/>
              </w:rPr>
            </w:pPr>
            <w:r>
              <w:rPr>
                <w:rFonts w:ascii="Arial" w:cs="Arial" w:eastAsia="Arial" w:hAnsi="Arial"/>
                <w:sz w:val="15"/>
                <w:szCs w:val="15"/>
                <w:color w:val="auto"/>
              </w:rPr>
              <w:t>amortizing fixed-</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20" w:type="dxa"/>
            <w:vAlign w:val="bottom"/>
            <w:gridSpan w:val="2"/>
          </w:tcPr>
          <w:p>
            <w:pPr>
              <w:ind w:left="320"/>
              <w:spacing w:after="0"/>
              <w:rPr>
                <w:sz w:val="20"/>
                <w:szCs w:val="20"/>
                <w:color w:val="auto"/>
              </w:rPr>
            </w:pPr>
            <w:r>
              <w:rPr>
                <w:rFonts w:ascii="Arial" w:cs="Arial" w:eastAsia="Arial" w:hAnsi="Arial"/>
                <w:sz w:val="15"/>
                <w:szCs w:val="15"/>
                <w:color w:val="auto"/>
              </w:rPr>
              <w:t>rate</w:t>
            </w:r>
          </w:p>
        </w:tc>
        <w:tc>
          <w:tcPr>
            <w:tcW w:w="120" w:type="dxa"/>
            <w:vAlign w:val="bottom"/>
          </w:tcPr>
          <w:p>
            <w:pPr>
              <w:spacing w:after="0"/>
              <w:rPr>
                <w:sz w:val="18"/>
                <w:szCs w:val="18"/>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571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287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154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1,012</w:t>
            </w:r>
          </w:p>
        </w:tc>
        <w:tc>
          <w:tcPr>
            <w:tcW w:w="1520" w:type="dxa"/>
            <w:vAlign w:val="bottom"/>
          </w:tcPr>
          <w:p>
            <w:pPr>
              <w:jc w:val="center"/>
              <w:ind w:left="969"/>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232"/>
        </w:trPr>
        <w:tc>
          <w:tcPr>
            <w:tcW w:w="192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120" w:type="dxa"/>
            <w:vAlign w:val="bottom"/>
          </w:tcPr>
          <w:p>
            <w:pPr>
              <w:spacing w:after="0"/>
              <w:rPr>
                <w:sz w:val="20"/>
                <w:szCs w:val="20"/>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61</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27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28</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4</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120</w:t>
            </w:r>
          </w:p>
        </w:tc>
        <w:tc>
          <w:tcPr>
            <w:tcW w:w="1520" w:type="dxa"/>
            <w:vAlign w:val="bottom"/>
          </w:tcPr>
          <w:p>
            <w:pPr>
              <w:jc w:val="center"/>
              <w:ind w:left="969"/>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237"/>
        </w:trPr>
        <w:tc>
          <w:tcPr>
            <w:tcW w:w="156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36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00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231</w:t>
            </w:r>
          </w:p>
        </w:tc>
        <w:tc>
          <w:tcPr>
            <w:tcW w:w="38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121</w:t>
            </w:r>
          </w:p>
        </w:tc>
        <w:tc>
          <w:tcPr>
            <w:tcW w:w="8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98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144</w:t>
            </w:r>
          </w:p>
        </w:tc>
        <w:tc>
          <w:tcPr>
            <w:tcW w:w="3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46</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00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148</w:t>
            </w:r>
          </w:p>
        </w:tc>
        <w:tc>
          <w:tcPr>
            <w:tcW w:w="360" w:type="dxa"/>
            <w:vAlign w:val="bottom"/>
          </w:tcPr>
          <w:p>
            <w:pPr>
              <w:spacing w:after="0"/>
              <w:rPr>
                <w:sz w:val="20"/>
                <w:szCs w:val="20"/>
                <w:color w:val="auto"/>
              </w:rPr>
            </w:pPr>
          </w:p>
        </w:tc>
        <w:tc>
          <w:tcPr>
            <w:tcW w:w="24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690</w:t>
            </w:r>
          </w:p>
        </w:tc>
        <w:tc>
          <w:tcPr>
            <w:tcW w:w="1520" w:type="dxa"/>
            <w:vAlign w:val="bottom"/>
          </w:tcPr>
          <w:p>
            <w:pPr>
              <w:jc w:val="center"/>
              <w:ind w:left="969"/>
              <w:spacing w:after="0"/>
              <w:rPr>
                <w:sz w:val="20"/>
                <w:szCs w:val="20"/>
                <w:color w:val="auto"/>
              </w:rPr>
            </w:pPr>
            <w:r>
              <w:rPr>
                <w:rFonts w:ascii="Arial" w:cs="Arial" w:eastAsia="Arial" w:hAnsi="Arial"/>
                <w:sz w:val="15"/>
                <w:szCs w:val="15"/>
                <w:color w:val="auto"/>
                <w:w w:val="95"/>
              </w:rPr>
              <w:t>2</w:t>
            </w:r>
          </w:p>
        </w:tc>
        <w:tc>
          <w:tcPr>
            <w:tcW w:w="0" w:type="dxa"/>
            <w:vAlign w:val="bottom"/>
          </w:tcPr>
          <w:p>
            <w:pPr>
              <w:spacing w:after="0"/>
              <w:rPr>
                <w:sz w:val="1"/>
                <w:szCs w:val="1"/>
                <w:color w:val="auto"/>
              </w:rPr>
            </w:pPr>
          </w:p>
        </w:tc>
      </w:tr>
      <w:tr>
        <w:trPr>
          <w:trHeight w:val="214"/>
        </w:trPr>
        <w:tc>
          <w:tcPr>
            <w:tcW w:w="192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120" w:type="dxa"/>
            <w:vAlign w:val="bottom"/>
          </w:tcPr>
          <w:p>
            <w:pPr>
              <w:spacing w:after="0"/>
              <w:rPr>
                <w:sz w:val="18"/>
                <w:szCs w:val="18"/>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12,076</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5,638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4,141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4,823</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27,493</w:t>
            </w:r>
          </w:p>
        </w:tc>
        <w:tc>
          <w:tcPr>
            <w:tcW w:w="1520" w:type="dxa"/>
            <w:vAlign w:val="bottom"/>
          </w:tcPr>
          <w:p>
            <w:pPr>
              <w:jc w:val="center"/>
              <w:ind w:left="969"/>
              <w:spacing w:after="0"/>
              <w:rPr>
                <w:sz w:val="20"/>
                <w:szCs w:val="20"/>
                <w:color w:val="auto"/>
              </w:rPr>
            </w:pPr>
            <w:r>
              <w:rPr>
                <w:rFonts w:ascii="Arial" w:cs="Arial" w:eastAsia="Arial" w:hAnsi="Arial"/>
                <w:sz w:val="15"/>
                <w:szCs w:val="15"/>
                <w:color w:val="auto"/>
                <w:w w:val="95"/>
              </w:rPr>
              <w:t>1</w:t>
            </w:r>
          </w:p>
        </w:tc>
        <w:tc>
          <w:tcPr>
            <w:tcW w:w="0" w:type="dxa"/>
            <w:vAlign w:val="bottom"/>
          </w:tcPr>
          <w:p>
            <w:pPr>
              <w:spacing w:after="0"/>
              <w:rPr>
                <w:sz w:val="1"/>
                <w:szCs w:val="1"/>
                <w:color w:val="auto"/>
              </w:rPr>
            </w:pPr>
          </w:p>
        </w:tc>
      </w:tr>
      <w:tr>
        <w:trPr>
          <w:trHeight w:val="263"/>
        </w:trPr>
        <w:tc>
          <w:tcPr>
            <w:tcW w:w="15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36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100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23</w:t>
            </w:r>
          </w:p>
        </w:tc>
        <w:tc>
          <w:tcPr>
            <w:tcW w:w="380" w:type="dxa"/>
            <w:vAlign w:val="bottom"/>
          </w:tcPr>
          <w:p>
            <w:pPr>
              <w:spacing w:after="0"/>
              <w:rPr>
                <w:sz w:val="22"/>
                <w:szCs w:val="22"/>
                <w:color w:val="auto"/>
              </w:rPr>
            </w:pPr>
          </w:p>
        </w:tc>
        <w:tc>
          <w:tcPr>
            <w:tcW w:w="160" w:type="dxa"/>
            <w:vAlign w:val="bottom"/>
            <w:tcBorders>
              <w:bottom w:val="single" w:sz="8" w:color="2C6937"/>
            </w:tcBorders>
          </w:tcPr>
          <w:p>
            <w:pPr>
              <w:spacing w:after="0"/>
              <w:rPr>
                <w:sz w:val="22"/>
                <w:szCs w:val="22"/>
                <w:color w:val="auto"/>
              </w:rPr>
            </w:pPr>
          </w:p>
        </w:tc>
        <w:tc>
          <w:tcPr>
            <w:tcW w:w="8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2"/>
                <w:szCs w:val="22"/>
                <w:color w:val="auto"/>
              </w:rPr>
            </w:pPr>
          </w:p>
        </w:tc>
        <w:tc>
          <w:tcPr>
            <w:tcW w:w="140" w:type="dxa"/>
            <w:vAlign w:val="bottom"/>
            <w:tcBorders>
              <w:bottom w:val="single" w:sz="8" w:color="2C6937"/>
            </w:tcBorders>
          </w:tcPr>
          <w:p>
            <w:pPr>
              <w:spacing w:after="0"/>
              <w:rPr>
                <w:sz w:val="22"/>
                <w:szCs w:val="22"/>
                <w:color w:val="auto"/>
              </w:rPr>
            </w:pPr>
          </w:p>
        </w:tc>
        <w:tc>
          <w:tcPr>
            <w:tcW w:w="98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100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11</w:t>
            </w:r>
          </w:p>
        </w:tc>
        <w:tc>
          <w:tcPr>
            <w:tcW w:w="360" w:type="dxa"/>
            <w:vAlign w:val="bottom"/>
          </w:tcPr>
          <w:p>
            <w:pPr>
              <w:spacing w:after="0"/>
              <w:rPr>
                <w:sz w:val="22"/>
                <w:szCs w:val="22"/>
                <w:color w:val="auto"/>
              </w:rPr>
            </w:pPr>
          </w:p>
        </w:tc>
        <w:tc>
          <w:tcPr>
            <w:tcW w:w="240" w:type="dxa"/>
            <w:vAlign w:val="bottom"/>
            <w:tcBorders>
              <w:bottom w:val="single" w:sz="8" w:color="2C6937"/>
            </w:tcBorders>
          </w:tcPr>
          <w:p>
            <w:pPr>
              <w:spacing w:after="0"/>
              <w:rPr>
                <w:sz w:val="22"/>
                <w:szCs w:val="22"/>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34</w:t>
            </w:r>
          </w:p>
        </w:tc>
        <w:tc>
          <w:tcPr>
            <w:tcW w:w="1520" w:type="dxa"/>
            <w:vAlign w:val="bottom"/>
          </w:tcPr>
          <w:p>
            <w:pPr>
              <w:jc w:val="center"/>
              <w:ind w:left="969"/>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225"/>
        </w:trPr>
        <w:tc>
          <w:tcPr>
            <w:tcW w:w="1920" w:type="dxa"/>
            <w:vAlign w:val="bottom"/>
            <w:gridSpan w:val="2"/>
          </w:tcPr>
          <w:p>
            <w:pPr>
              <w:ind w:left="180"/>
              <w:spacing w:after="0" w:line="225" w:lineRule="exact"/>
              <w:rPr>
                <w:sz w:val="20"/>
                <w:szCs w:val="20"/>
                <w:color w:val="auto"/>
              </w:rPr>
            </w:pPr>
            <w:r>
              <w:rPr>
                <w:rFonts w:ascii="Arial" w:cs="Arial" w:eastAsia="Arial" w:hAnsi="Arial"/>
                <w:sz w:val="15"/>
                <w:szCs w:val="15"/>
                <w:color w:val="auto"/>
              </w:rPr>
              <w:t>Total</w:t>
            </w:r>
            <w:r>
              <w:rPr>
                <w:rFonts w:ascii="Arial" w:cs="Arial" w:eastAsia="Arial" w:hAnsi="Arial"/>
                <w:sz w:val="20"/>
                <w:szCs w:val="20"/>
                <w:color w:val="auto"/>
                <w:vertAlign w:val="superscript"/>
              </w:rPr>
              <w:t>(3)</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12,099</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5,638</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4,141</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815</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4,834</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27,527</w:t>
            </w:r>
          </w:p>
        </w:tc>
        <w:tc>
          <w:tcPr>
            <w:tcW w:w="1520" w:type="dxa"/>
            <w:vAlign w:val="bottom"/>
          </w:tcPr>
          <w:p>
            <w:pPr>
              <w:jc w:val="center"/>
              <w:ind w:left="969"/>
              <w:spacing w:after="0"/>
              <w:rPr>
                <w:sz w:val="20"/>
                <w:szCs w:val="20"/>
                <w:color w:val="auto"/>
              </w:rPr>
            </w:pPr>
            <w:r>
              <w:rPr>
                <w:rFonts w:ascii="Arial" w:cs="Arial" w:eastAsia="Arial" w:hAnsi="Arial"/>
                <w:sz w:val="15"/>
                <w:szCs w:val="15"/>
                <w:color w:val="auto"/>
                <w:w w:val="95"/>
              </w:rPr>
              <w:t>1</w:t>
            </w:r>
          </w:p>
        </w:tc>
        <w:tc>
          <w:tcPr>
            <w:tcW w:w="0" w:type="dxa"/>
            <w:vAlign w:val="bottom"/>
          </w:tcPr>
          <w:p>
            <w:pPr>
              <w:spacing w:after="0"/>
              <w:rPr>
                <w:sz w:val="1"/>
                <w:szCs w:val="1"/>
                <w:color w:val="auto"/>
              </w:rPr>
            </w:pPr>
          </w:p>
        </w:tc>
      </w:tr>
      <w:tr>
        <w:trPr>
          <w:trHeight w:val="20"/>
        </w:trPr>
        <w:tc>
          <w:tcPr>
            <w:tcW w:w="1560" w:type="dxa"/>
            <w:vAlign w:val="bottom"/>
            <w:tcBorders>
              <w:top w:val="single" w:sz="8" w:color="2C6937"/>
              <w:bottom w:val="single" w:sz="8" w:color="2C6937"/>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000" w:type="dxa"/>
            <w:vAlign w:val="bottom"/>
            <w:tcBorders>
              <w:top w:val="single" w:sz="8" w:color="2C6937"/>
              <w:bottom w:val="single" w:sz="8" w:color="2C6937"/>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000" w:type="dxa"/>
            <w:vAlign w:val="bottom"/>
            <w:tcBorders>
              <w:top w:val="single" w:sz="8" w:color="2C6937"/>
              <w:bottom w:val="single" w:sz="8" w:color="2C6937"/>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581025</wp:posOffset>
            </wp:positionV>
            <wp:extent cx="681101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164070" cy="4191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50" w:right="379" w:bottom="1440" w:gutter="0" w:footer="0" w:header="0"/>
        </w:sectPr>
      </w:pPr>
    </w:p>
    <w:bookmarkStart w:id="83" w:name="page84"/>
    <w:bookmarkEnd w:id="83"/>
    <w:p>
      <w:pPr>
        <w:ind w:left="6620"/>
        <w:spacing w:after="0"/>
        <w:rPr>
          <w:sz w:val="20"/>
          <w:szCs w:val="20"/>
          <w:color w:val="auto"/>
        </w:rPr>
      </w:pPr>
      <w:r>
        <w:rPr>
          <w:rFonts w:ascii="Arial" w:cs="Arial" w:eastAsia="Arial" w:hAnsi="Arial"/>
          <w:sz w:val="13"/>
          <w:szCs w:val="13"/>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22860</wp:posOffset>
            </wp:positionV>
            <wp:extent cx="70237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For the Six Months Ended June 30, 2022</w:t>
      </w:r>
    </w:p>
    <w:p>
      <w:pPr>
        <w:spacing w:after="0" w:line="29" w:lineRule="exact"/>
        <w:rPr>
          <w:sz w:val="20"/>
          <w:szCs w:val="20"/>
          <w:color w:val="auto"/>
        </w:rPr>
      </w:pPr>
    </w:p>
    <w:tbl>
      <w:tblPr>
        <w:tblLayout w:type="fixed"/>
        <w:tblInd w:w="1700" w:type="dxa"/>
        <w:tblCellMar>
          <w:top w:w="0" w:type="dxa"/>
          <w:left w:w="0" w:type="dxa"/>
          <w:bottom w:w="0" w:type="dxa"/>
          <w:right w:w="0" w:type="dxa"/>
        </w:tblCellMar>
      </w:tblPr>
      <w:tr>
        <w:trPr>
          <w:trHeight w:val="188"/>
        </w:trPr>
        <w:tc>
          <w:tcPr>
            <w:tcW w:w="1080" w:type="dxa"/>
            <w:vAlign w:val="bottom"/>
            <w:tcBorders>
              <w:top w:val="single" w:sz="8" w:color="2C6937"/>
              <w:bottom w:val="single" w:sz="8" w:color="2C6937"/>
            </w:tcBorders>
          </w:tcPr>
          <w:p>
            <w:pPr>
              <w:spacing w:after="0"/>
              <w:rPr>
                <w:sz w:val="16"/>
                <w:szCs w:val="16"/>
                <w:color w:val="auto"/>
              </w:rPr>
            </w:pPr>
          </w:p>
        </w:tc>
        <w:tc>
          <w:tcPr>
            <w:tcW w:w="1560" w:type="dxa"/>
            <w:vAlign w:val="bottom"/>
            <w:tcBorders>
              <w:top w:val="single" w:sz="8" w:color="2C6937"/>
              <w:bottom w:val="single" w:sz="8" w:color="2C6937"/>
            </w:tcBorders>
          </w:tcPr>
          <w:p>
            <w:pPr>
              <w:ind w:left="100"/>
              <w:spacing w:after="0"/>
              <w:rPr>
                <w:sz w:val="20"/>
                <w:szCs w:val="20"/>
                <w:color w:val="auto"/>
              </w:rPr>
            </w:pPr>
            <w:r>
              <w:rPr>
                <w:rFonts w:ascii="Arial" w:cs="Arial" w:eastAsia="Arial" w:hAnsi="Arial"/>
                <w:sz w:val="14"/>
                <w:szCs w:val="14"/>
                <w:b w:val="1"/>
                <w:bCs w:val="1"/>
                <w:color w:val="auto"/>
              </w:rPr>
              <w:t>Payment Delay (Only)</w:t>
            </w:r>
          </w:p>
        </w:tc>
        <w:tc>
          <w:tcPr>
            <w:tcW w:w="1140" w:type="dxa"/>
            <w:vAlign w:val="bottom"/>
            <w:tcBorders>
              <w:top w:val="single" w:sz="8" w:color="2C6937"/>
              <w:bottom w:val="single" w:sz="8" w:color="2C6937"/>
            </w:tcBorders>
          </w:tcPr>
          <w:p>
            <w:pPr>
              <w:spacing w:after="0"/>
              <w:rPr>
                <w:sz w:val="16"/>
                <w:szCs w:val="16"/>
                <w:color w:val="auto"/>
              </w:rPr>
            </w:pPr>
          </w:p>
        </w:tc>
        <w:tc>
          <w:tcPr>
            <w:tcW w:w="1620" w:type="dxa"/>
            <w:vAlign w:val="bottom"/>
            <w:tcBorders>
              <w:top w:val="single" w:sz="8" w:color="2C6937"/>
            </w:tcBorders>
          </w:tcPr>
          <w:p>
            <w:pPr>
              <w:spacing w:after="0"/>
              <w:rPr>
                <w:sz w:val="16"/>
                <w:szCs w:val="16"/>
                <w:color w:val="auto"/>
              </w:rPr>
            </w:pPr>
          </w:p>
        </w:tc>
        <w:tc>
          <w:tcPr>
            <w:tcW w:w="1460" w:type="dxa"/>
            <w:vAlign w:val="bottom"/>
            <w:tcBorders>
              <w:top w:val="single" w:sz="8" w:color="2C6937"/>
            </w:tcBorders>
          </w:tcPr>
          <w:p>
            <w:pPr>
              <w:spacing w:after="0"/>
              <w:rPr>
                <w:sz w:val="16"/>
                <w:szCs w:val="16"/>
                <w:color w:val="auto"/>
              </w:rPr>
            </w:pPr>
          </w:p>
        </w:tc>
        <w:tc>
          <w:tcPr>
            <w:tcW w:w="1160" w:type="dxa"/>
            <w:vAlign w:val="bottom"/>
            <w:tcBorders>
              <w:top w:val="single" w:sz="8" w:color="2C6937"/>
            </w:tcBorders>
          </w:tcPr>
          <w:p>
            <w:pPr>
              <w:spacing w:after="0"/>
              <w:rPr>
                <w:sz w:val="16"/>
                <w:szCs w:val="16"/>
                <w:color w:val="auto"/>
              </w:rPr>
            </w:pPr>
          </w:p>
        </w:tc>
        <w:tc>
          <w:tcPr>
            <w:tcW w:w="1480" w:type="dxa"/>
            <w:vAlign w:val="bottom"/>
            <w:tcBorders>
              <w:top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0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Trial</w:t>
            </w:r>
          </w:p>
        </w:tc>
        <w:tc>
          <w:tcPr>
            <w:tcW w:w="1620" w:type="dxa"/>
            <w:vAlign w:val="bottom"/>
          </w:tcPr>
          <w:p>
            <w:pPr>
              <w:spacing w:after="0"/>
              <w:rPr>
                <w:sz w:val="11"/>
                <w:szCs w:val="11"/>
                <w:color w:val="auto"/>
              </w:rPr>
            </w:pPr>
          </w:p>
        </w:tc>
        <w:tc>
          <w:tcPr>
            <w:tcW w:w="1460" w:type="dxa"/>
            <w:vAlign w:val="bottom"/>
          </w:tcPr>
          <w:p>
            <w:pPr>
              <w:jc w:val="center"/>
              <w:ind w:right="311"/>
              <w:spacing w:after="0" w:line="136" w:lineRule="exact"/>
              <w:rPr>
                <w:sz w:val="20"/>
                <w:szCs w:val="20"/>
                <w:color w:val="auto"/>
              </w:rPr>
            </w:pPr>
            <w:r>
              <w:rPr>
                <w:rFonts w:ascii="Arial" w:cs="Arial" w:eastAsia="Arial" w:hAnsi="Arial"/>
                <w:sz w:val="14"/>
                <w:szCs w:val="14"/>
                <w:b w:val="1"/>
                <w:bCs w:val="1"/>
                <w:color w:val="auto"/>
                <w:w w:val="96"/>
              </w:rPr>
              <w:t>Payment Delay,</w:t>
            </w:r>
          </w:p>
        </w:tc>
        <w:tc>
          <w:tcPr>
            <w:tcW w:w="1160" w:type="dxa"/>
            <w:vAlign w:val="bottom"/>
          </w:tcPr>
          <w:p>
            <w:pPr>
              <w:spacing w:after="0"/>
              <w:rPr>
                <w:sz w:val="11"/>
                <w:szCs w:val="11"/>
                <w:color w:val="auto"/>
              </w:rPr>
            </w:pPr>
          </w:p>
        </w:tc>
        <w:tc>
          <w:tcPr>
            <w:tcW w:w="1480" w:type="dxa"/>
            <w:vAlign w:val="bottom"/>
            <w:vMerge w:val="restart"/>
          </w:tcPr>
          <w:p>
            <w:pPr>
              <w:jc w:val="center"/>
              <w:ind w:left="251"/>
              <w:spacing w:after="0"/>
              <w:rPr>
                <w:sz w:val="20"/>
                <w:szCs w:val="20"/>
                <w:color w:val="auto"/>
              </w:rPr>
            </w:pPr>
            <w:r>
              <w:rPr>
                <w:rFonts w:ascii="Arial" w:cs="Arial" w:eastAsia="Arial" w:hAnsi="Arial"/>
                <w:sz w:val="14"/>
                <w:szCs w:val="14"/>
                <w:b w:val="1"/>
                <w:bCs w:val="1"/>
                <w:color w:val="auto"/>
                <w:w w:val="99"/>
              </w:rPr>
              <w:t>Percentage of</w:t>
            </w: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620" w:type="dxa"/>
            <w:vAlign w:val="bottom"/>
            <w:vMerge w:val="restart"/>
          </w:tcPr>
          <w:p>
            <w:pPr>
              <w:jc w:val="center"/>
              <w:ind w:left="211"/>
              <w:spacing w:after="0"/>
              <w:rPr>
                <w:sz w:val="20"/>
                <w:szCs w:val="20"/>
                <w:color w:val="auto"/>
              </w:rPr>
            </w:pPr>
            <w:r>
              <w:rPr>
                <w:rFonts w:ascii="Arial" w:cs="Arial" w:eastAsia="Arial" w:hAnsi="Arial"/>
                <w:sz w:val="14"/>
                <w:szCs w:val="14"/>
                <w:b w:val="1"/>
                <w:bCs w:val="1"/>
                <w:color w:val="auto"/>
                <w:w w:val="98"/>
              </w:rPr>
              <w:t>Payment Delay</w:t>
            </w:r>
          </w:p>
        </w:tc>
        <w:tc>
          <w:tcPr>
            <w:tcW w:w="1460" w:type="dxa"/>
            <w:vAlign w:val="bottom"/>
          </w:tcPr>
          <w:p>
            <w:pPr>
              <w:jc w:val="center"/>
              <w:ind w:right="331"/>
              <w:spacing w:after="0" w:line="141" w:lineRule="exact"/>
              <w:rPr>
                <w:sz w:val="20"/>
                <w:szCs w:val="20"/>
                <w:color w:val="auto"/>
              </w:rPr>
            </w:pPr>
            <w:r>
              <w:rPr>
                <w:rFonts w:ascii="Arial" w:cs="Arial" w:eastAsia="Arial" w:hAnsi="Arial"/>
                <w:sz w:val="14"/>
                <w:szCs w:val="14"/>
                <w:b w:val="1"/>
                <w:bCs w:val="1"/>
                <w:color w:val="auto"/>
                <w:w w:val="97"/>
              </w:rPr>
              <w:t>Term Extension</w:t>
            </w:r>
          </w:p>
        </w:tc>
        <w:tc>
          <w:tcPr>
            <w:tcW w:w="11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Forbearance</w:t>
            </w:r>
          </w:p>
        </w:tc>
        <w:tc>
          <w:tcPr>
            <w:tcW w:w="1560" w:type="dxa"/>
            <w:vAlign w:val="bottom"/>
            <w:vMerge w:val="restart"/>
          </w:tcPr>
          <w:p>
            <w:pPr>
              <w:jc w:val="center"/>
              <w:ind w:left="271"/>
              <w:spacing w:after="0"/>
              <w:rPr>
                <w:sz w:val="20"/>
                <w:szCs w:val="20"/>
                <w:color w:val="auto"/>
              </w:rPr>
            </w:pPr>
            <w:r>
              <w:rPr>
                <w:rFonts w:ascii="Arial" w:cs="Arial" w:eastAsia="Arial" w:hAnsi="Arial"/>
                <w:sz w:val="14"/>
                <w:szCs w:val="14"/>
                <w:b w:val="1"/>
                <w:bCs w:val="1"/>
                <w:color w:val="auto"/>
                <w:w w:val="99"/>
              </w:rPr>
              <w:t>Payment</w:t>
            </w:r>
          </w:p>
        </w:tc>
        <w:tc>
          <w:tcPr>
            <w:tcW w:w="114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8"/>
              </w:rPr>
              <w:t>Modification and</w:t>
            </w:r>
          </w:p>
        </w:tc>
        <w:tc>
          <w:tcPr>
            <w:tcW w:w="1620" w:type="dxa"/>
            <w:vAlign w:val="bottom"/>
            <w:vMerge w:val="continue"/>
          </w:tcPr>
          <w:p>
            <w:pPr>
              <w:spacing w:after="0"/>
              <w:rPr>
                <w:sz w:val="11"/>
                <w:szCs w:val="11"/>
                <w:color w:val="auto"/>
              </w:rPr>
            </w:pPr>
          </w:p>
        </w:tc>
        <w:tc>
          <w:tcPr>
            <w:tcW w:w="1460" w:type="dxa"/>
            <w:vAlign w:val="bottom"/>
          </w:tcPr>
          <w:p>
            <w:pPr>
              <w:jc w:val="center"/>
              <w:ind w:right="311"/>
              <w:spacing w:after="0" w:line="131" w:lineRule="exact"/>
              <w:rPr>
                <w:sz w:val="20"/>
                <w:szCs w:val="20"/>
                <w:color w:val="auto"/>
              </w:rPr>
            </w:pPr>
            <w:r>
              <w:rPr>
                <w:rFonts w:ascii="Arial" w:cs="Arial" w:eastAsia="Arial" w:hAnsi="Arial"/>
                <w:sz w:val="14"/>
                <w:szCs w:val="14"/>
                <w:b w:val="1"/>
                <w:bCs w:val="1"/>
                <w:color w:val="auto"/>
                <w:w w:val="95"/>
              </w:rPr>
              <w:t>and Interest</w:t>
            </w:r>
          </w:p>
        </w:tc>
        <w:tc>
          <w:tcPr>
            <w:tcW w:w="1160" w:type="dxa"/>
            <w:vAlign w:val="bottom"/>
          </w:tcPr>
          <w:p>
            <w:pPr>
              <w:spacing w:after="0"/>
              <w:rPr>
                <w:sz w:val="11"/>
                <w:szCs w:val="11"/>
                <w:color w:val="auto"/>
              </w:rPr>
            </w:pPr>
          </w:p>
        </w:tc>
        <w:tc>
          <w:tcPr>
            <w:tcW w:w="1480" w:type="dxa"/>
            <w:vAlign w:val="bottom"/>
          </w:tcPr>
          <w:p>
            <w:pPr>
              <w:jc w:val="center"/>
              <w:ind w:left="251"/>
              <w:spacing w:after="0" w:line="131" w:lineRule="exact"/>
              <w:rPr>
                <w:sz w:val="20"/>
                <w:szCs w:val="20"/>
                <w:color w:val="auto"/>
              </w:rPr>
            </w:pPr>
            <w:r>
              <w:rPr>
                <w:rFonts w:ascii="Arial" w:cs="Arial" w:eastAsia="Arial" w:hAnsi="Arial"/>
                <w:sz w:val="14"/>
                <w:szCs w:val="14"/>
                <w:b w:val="1"/>
                <w:bCs w:val="1"/>
                <w:color w:val="auto"/>
                <w:w w:val="96"/>
              </w:rPr>
              <w:t>Total by</w:t>
            </w:r>
          </w:p>
        </w:tc>
        <w:tc>
          <w:tcPr>
            <w:tcW w:w="0" w:type="dxa"/>
            <w:vAlign w:val="bottom"/>
          </w:tcPr>
          <w:p>
            <w:pPr>
              <w:spacing w:after="0"/>
              <w:rPr>
                <w:sz w:val="1"/>
                <w:szCs w:val="1"/>
                <w:color w:val="auto"/>
              </w:rPr>
            </w:pPr>
          </w:p>
        </w:tc>
      </w:tr>
      <w:tr>
        <w:trPr>
          <w:trHeight w:val="140"/>
        </w:trPr>
        <w:tc>
          <w:tcPr>
            <w:tcW w:w="1080" w:type="dxa"/>
            <w:vAlign w:val="bottom"/>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11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8"/>
              </w:rPr>
              <w:t>Repayment</w:t>
            </w:r>
          </w:p>
        </w:tc>
        <w:tc>
          <w:tcPr>
            <w:tcW w:w="1620" w:type="dxa"/>
            <w:vAlign w:val="bottom"/>
          </w:tcPr>
          <w:p>
            <w:pPr>
              <w:jc w:val="center"/>
              <w:ind w:left="191"/>
              <w:spacing w:after="0" w:line="141" w:lineRule="exact"/>
              <w:rPr>
                <w:sz w:val="20"/>
                <w:szCs w:val="20"/>
                <w:color w:val="auto"/>
              </w:rPr>
            </w:pPr>
            <w:r>
              <w:rPr>
                <w:rFonts w:ascii="Arial" w:cs="Arial" w:eastAsia="Arial" w:hAnsi="Arial"/>
                <w:sz w:val="14"/>
                <w:szCs w:val="14"/>
                <w:b w:val="1"/>
                <w:bCs w:val="1"/>
                <w:color w:val="auto"/>
                <w:w w:val="95"/>
              </w:rPr>
              <w:t>and Term</w:t>
            </w:r>
          </w:p>
        </w:tc>
        <w:tc>
          <w:tcPr>
            <w:tcW w:w="1460" w:type="dxa"/>
            <w:vAlign w:val="bottom"/>
          </w:tcPr>
          <w:p>
            <w:pPr>
              <w:jc w:val="center"/>
              <w:ind w:right="311"/>
              <w:spacing w:after="0" w:line="141" w:lineRule="exact"/>
              <w:rPr>
                <w:sz w:val="20"/>
                <w:szCs w:val="20"/>
                <w:color w:val="auto"/>
              </w:rPr>
            </w:pPr>
            <w:r>
              <w:rPr>
                <w:rFonts w:ascii="Arial" w:cs="Arial" w:eastAsia="Arial" w:hAnsi="Arial"/>
                <w:sz w:val="14"/>
                <w:szCs w:val="14"/>
                <w:b w:val="1"/>
                <w:bCs w:val="1"/>
                <w:color w:val="auto"/>
                <w:w w:val="92"/>
              </w:rPr>
              <w:t>Rate</w:t>
            </w:r>
          </w:p>
        </w:tc>
        <w:tc>
          <w:tcPr>
            <w:tcW w:w="11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Total</w:t>
            </w:r>
          </w:p>
        </w:tc>
        <w:tc>
          <w:tcPr>
            <w:tcW w:w="1480" w:type="dxa"/>
            <w:vAlign w:val="bottom"/>
          </w:tcPr>
          <w:p>
            <w:pPr>
              <w:jc w:val="center"/>
              <w:ind w:left="251"/>
              <w:spacing w:after="0" w:line="141" w:lineRule="exact"/>
              <w:rPr>
                <w:sz w:val="20"/>
                <w:szCs w:val="20"/>
                <w:color w:val="auto"/>
              </w:rPr>
            </w:pPr>
            <w:r>
              <w:rPr>
                <w:rFonts w:ascii="Arial" w:cs="Arial" w:eastAsia="Arial" w:hAnsi="Arial"/>
                <w:sz w:val="14"/>
                <w:szCs w:val="14"/>
                <w:b w:val="1"/>
                <w:bCs w:val="1"/>
                <w:color w:val="auto"/>
                <w:w w:val="96"/>
              </w:rPr>
              <w:t>Financing</w:t>
            </w:r>
          </w:p>
        </w:tc>
        <w:tc>
          <w:tcPr>
            <w:tcW w:w="0" w:type="dxa"/>
            <w:vAlign w:val="bottom"/>
          </w:tcPr>
          <w:p>
            <w:pPr>
              <w:spacing w:after="0"/>
              <w:rPr>
                <w:sz w:val="1"/>
                <w:szCs w:val="1"/>
                <w:color w:val="auto"/>
              </w:rPr>
            </w:pPr>
          </w:p>
        </w:tc>
      </w:tr>
      <w:tr>
        <w:trPr>
          <w:trHeight w:val="193"/>
        </w:trPr>
        <w:tc>
          <w:tcPr>
            <w:tcW w:w="1080" w:type="dxa"/>
            <w:vAlign w:val="bottom"/>
            <w:tcBorders>
              <w:bottom w:val="single" w:sz="8" w:color="2C6937"/>
            </w:tcBorders>
          </w:tcPr>
          <w:p>
            <w:pPr>
              <w:jc w:val="center"/>
              <w:spacing w:after="0" w:line="194" w:lineRule="exact"/>
              <w:rPr>
                <w:sz w:val="20"/>
                <w:szCs w:val="20"/>
                <w:color w:val="auto"/>
              </w:rPr>
            </w:pPr>
            <w:r>
              <w:rPr>
                <w:rFonts w:ascii="Arial" w:cs="Arial" w:eastAsia="Arial" w:hAnsi="Arial"/>
                <w:sz w:val="14"/>
                <w:szCs w:val="14"/>
                <w:b w:val="1"/>
                <w:bCs w:val="1"/>
                <w:color w:val="auto"/>
                <w:w w:val="92"/>
              </w:rPr>
              <w:t>Plan</w:t>
            </w:r>
            <w:r>
              <w:rPr>
                <w:rFonts w:ascii="Arial" w:cs="Arial" w:eastAsia="Arial" w:hAnsi="Arial"/>
                <w:sz w:val="17"/>
                <w:szCs w:val="17"/>
                <w:b w:val="1"/>
                <w:bCs w:val="1"/>
                <w:color w:val="auto"/>
                <w:w w:val="92"/>
                <w:vertAlign w:val="superscript"/>
              </w:rPr>
              <w:t>(4)</w:t>
            </w:r>
          </w:p>
        </w:tc>
        <w:tc>
          <w:tcPr>
            <w:tcW w:w="1560" w:type="dxa"/>
            <w:vAlign w:val="bottom"/>
            <w:tcBorders>
              <w:bottom w:val="single" w:sz="8" w:color="2C6937"/>
            </w:tcBorders>
          </w:tcPr>
          <w:p>
            <w:pPr>
              <w:jc w:val="center"/>
              <w:ind w:left="291"/>
              <w:spacing w:after="0"/>
              <w:rPr>
                <w:sz w:val="20"/>
                <w:szCs w:val="20"/>
                <w:color w:val="auto"/>
              </w:rPr>
            </w:pPr>
            <w:r>
              <w:rPr>
                <w:rFonts w:ascii="Arial" w:cs="Arial" w:eastAsia="Arial" w:hAnsi="Arial"/>
                <w:sz w:val="14"/>
                <w:szCs w:val="14"/>
                <w:b w:val="1"/>
                <w:bCs w:val="1"/>
                <w:color w:val="auto"/>
                <w:w w:val="98"/>
              </w:rPr>
              <w:t>Deferral</w:t>
            </w:r>
          </w:p>
        </w:tc>
        <w:tc>
          <w:tcPr>
            <w:tcW w:w="1140" w:type="dxa"/>
            <w:vAlign w:val="bottom"/>
            <w:tcBorders>
              <w:bottom w:val="single" w:sz="8" w:color="2C6937"/>
            </w:tcBorders>
          </w:tcPr>
          <w:p>
            <w:pPr>
              <w:jc w:val="center"/>
              <w:spacing w:after="0" w:line="194" w:lineRule="exact"/>
              <w:rPr>
                <w:sz w:val="20"/>
                <w:szCs w:val="20"/>
                <w:color w:val="auto"/>
              </w:rPr>
            </w:pPr>
            <w:r>
              <w:rPr>
                <w:rFonts w:ascii="Arial" w:cs="Arial" w:eastAsia="Arial" w:hAnsi="Arial"/>
                <w:sz w:val="14"/>
                <w:szCs w:val="14"/>
                <w:b w:val="1"/>
                <w:bCs w:val="1"/>
                <w:color w:val="auto"/>
                <w:w w:val="93"/>
              </w:rPr>
              <w:t>Plans</w:t>
            </w:r>
            <w:r>
              <w:rPr>
                <w:rFonts w:ascii="Arial" w:cs="Arial" w:eastAsia="Arial" w:hAnsi="Arial"/>
                <w:sz w:val="17"/>
                <w:szCs w:val="17"/>
                <w:b w:val="1"/>
                <w:bCs w:val="1"/>
                <w:color w:val="auto"/>
                <w:w w:val="93"/>
                <w:vertAlign w:val="superscript"/>
              </w:rPr>
              <w:t>(4)</w:t>
            </w:r>
          </w:p>
        </w:tc>
        <w:tc>
          <w:tcPr>
            <w:tcW w:w="1620" w:type="dxa"/>
            <w:vAlign w:val="bottom"/>
            <w:tcBorders>
              <w:bottom w:val="single" w:sz="8" w:color="2C6937"/>
            </w:tcBorders>
          </w:tcPr>
          <w:p>
            <w:pPr>
              <w:jc w:val="center"/>
              <w:ind w:left="191"/>
              <w:spacing w:after="0" w:line="194" w:lineRule="exact"/>
              <w:rPr>
                <w:sz w:val="20"/>
                <w:szCs w:val="20"/>
                <w:color w:val="auto"/>
              </w:rPr>
            </w:pPr>
            <w:r>
              <w:rPr>
                <w:rFonts w:ascii="Arial" w:cs="Arial" w:eastAsia="Arial" w:hAnsi="Arial"/>
                <w:sz w:val="14"/>
                <w:szCs w:val="14"/>
                <w:b w:val="1"/>
                <w:bCs w:val="1"/>
                <w:color w:val="auto"/>
                <w:w w:val="94"/>
              </w:rPr>
              <w:t>Extension</w:t>
            </w:r>
            <w:r>
              <w:rPr>
                <w:rFonts w:ascii="Arial" w:cs="Arial" w:eastAsia="Arial" w:hAnsi="Arial"/>
                <w:sz w:val="17"/>
                <w:szCs w:val="17"/>
                <w:b w:val="1"/>
                <w:bCs w:val="1"/>
                <w:color w:val="auto"/>
                <w:w w:val="94"/>
                <w:vertAlign w:val="superscript"/>
              </w:rPr>
              <w:t>(1)</w:t>
            </w:r>
          </w:p>
        </w:tc>
        <w:tc>
          <w:tcPr>
            <w:tcW w:w="1460" w:type="dxa"/>
            <w:vAlign w:val="bottom"/>
            <w:tcBorders>
              <w:bottom w:val="single" w:sz="8" w:color="2C6937"/>
            </w:tcBorders>
          </w:tcPr>
          <w:p>
            <w:pPr>
              <w:jc w:val="center"/>
              <w:ind w:right="331"/>
              <w:spacing w:after="0" w:line="194" w:lineRule="exact"/>
              <w:rPr>
                <w:sz w:val="20"/>
                <w:szCs w:val="20"/>
                <w:color w:val="auto"/>
              </w:rPr>
            </w:pPr>
            <w:r>
              <w:rPr>
                <w:rFonts w:ascii="Arial" w:cs="Arial" w:eastAsia="Arial" w:hAnsi="Arial"/>
                <w:sz w:val="14"/>
                <w:szCs w:val="14"/>
                <w:b w:val="1"/>
                <w:bCs w:val="1"/>
                <w:color w:val="auto"/>
                <w:w w:val="94"/>
              </w:rPr>
              <w:t>Reduction</w:t>
            </w:r>
            <w:r>
              <w:rPr>
                <w:rFonts w:ascii="Arial" w:cs="Arial" w:eastAsia="Arial" w:hAnsi="Arial"/>
                <w:sz w:val="17"/>
                <w:szCs w:val="17"/>
                <w:b w:val="1"/>
                <w:bCs w:val="1"/>
                <w:color w:val="auto"/>
                <w:w w:val="94"/>
                <w:vertAlign w:val="superscript"/>
              </w:rPr>
              <w:t>(1)</w:t>
            </w:r>
          </w:p>
        </w:tc>
        <w:tc>
          <w:tcPr>
            <w:tcW w:w="1160" w:type="dxa"/>
            <w:vAlign w:val="bottom"/>
            <w:tcBorders>
              <w:bottom w:val="single" w:sz="8" w:color="2C6937"/>
            </w:tcBorders>
            <w:vMerge w:val="continue"/>
          </w:tcPr>
          <w:p>
            <w:pPr>
              <w:spacing w:after="0"/>
              <w:rPr>
                <w:sz w:val="16"/>
                <w:szCs w:val="16"/>
                <w:color w:val="auto"/>
              </w:rPr>
            </w:pPr>
          </w:p>
        </w:tc>
        <w:tc>
          <w:tcPr>
            <w:tcW w:w="1480" w:type="dxa"/>
            <w:vAlign w:val="bottom"/>
            <w:tcBorders>
              <w:bottom w:val="single" w:sz="8" w:color="2C6937"/>
            </w:tcBorders>
          </w:tcPr>
          <w:p>
            <w:pPr>
              <w:jc w:val="center"/>
              <w:ind w:left="251"/>
              <w:spacing w:after="0" w:line="194" w:lineRule="exact"/>
              <w:rPr>
                <w:sz w:val="20"/>
                <w:szCs w:val="20"/>
                <w:color w:val="auto"/>
              </w:rPr>
            </w:pPr>
            <w:r>
              <w:rPr>
                <w:rFonts w:ascii="Arial" w:cs="Arial" w:eastAsia="Arial" w:hAnsi="Arial"/>
                <w:sz w:val="14"/>
                <w:szCs w:val="14"/>
                <w:b w:val="1"/>
                <w:bCs w:val="1"/>
                <w:color w:val="auto"/>
                <w:w w:val="93"/>
              </w:rPr>
              <w:t>Class</w:t>
            </w:r>
            <w:r>
              <w:rPr>
                <w:rFonts w:ascii="Arial" w:cs="Arial" w:eastAsia="Arial" w:hAnsi="Arial"/>
                <w:sz w:val="17"/>
                <w:szCs w:val="17"/>
                <w:b w:val="1"/>
                <w:bCs w:val="1"/>
                <w:color w:val="auto"/>
                <w:w w:val="93"/>
                <w:vertAlign w:val="superscript"/>
              </w:rPr>
              <w:t>(2)</w:t>
            </w:r>
          </w:p>
        </w:tc>
        <w:tc>
          <w:tcPr>
            <w:tcW w:w="0" w:type="dxa"/>
            <w:vAlign w:val="bottom"/>
          </w:tcPr>
          <w:p>
            <w:pPr>
              <w:spacing w:after="0"/>
              <w:rPr>
                <w:sz w:val="1"/>
                <w:szCs w:val="1"/>
                <w:color w:val="auto"/>
              </w:rPr>
            </w:pPr>
          </w:p>
        </w:tc>
      </w:tr>
      <w:tr>
        <w:trPr>
          <w:trHeight w:val="198"/>
        </w:trPr>
        <w:tc>
          <w:tcPr>
            <w:tcW w:w="10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20" w:type="dxa"/>
            <w:vAlign w:val="bottom"/>
          </w:tcPr>
          <w:p>
            <w:pPr>
              <w:ind w:left="340"/>
              <w:spacing w:after="0"/>
              <w:rPr>
                <w:sz w:val="20"/>
                <w:szCs w:val="20"/>
                <w:color w:val="auto"/>
              </w:rPr>
            </w:pPr>
            <w:r>
              <w:rPr>
                <w:rFonts w:ascii="Arial" w:cs="Arial" w:eastAsia="Arial" w:hAnsi="Arial"/>
                <w:sz w:val="14"/>
                <w:szCs w:val="14"/>
                <w:b w:val="1"/>
                <w:bCs w:val="1"/>
                <w:color w:val="auto"/>
                <w:w w:val="96"/>
              </w:rPr>
              <w:t>(Dollars in millions)</w:t>
            </w:r>
          </w:p>
        </w:tc>
        <w:tc>
          <w:tcPr>
            <w:tcW w:w="1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ectPr>
          <w:pgSz w:w="11900" w:h="16838" w:orient="portrait"/>
          <w:cols w:equalWidth="0" w:num="1">
            <w:col w:w="11240"/>
          </w:cols>
          <w:pgMar w:left="320" w:top="250"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1600" w:type="dxa"/>
            <w:vAlign w:val="bottom"/>
          </w:tcPr>
          <w:p>
            <w:pPr>
              <w:ind w:left="20"/>
              <w:spacing w:after="0"/>
              <w:rPr>
                <w:sz w:val="20"/>
                <w:szCs w:val="20"/>
                <w:color w:val="auto"/>
              </w:rPr>
            </w:pPr>
            <w:r>
              <w:rPr>
                <w:rFonts w:ascii="Arial" w:cs="Arial" w:eastAsia="Arial" w:hAnsi="Arial"/>
                <w:sz w:val="15"/>
                <w:szCs w:val="15"/>
                <w:color w:val="auto"/>
              </w:rPr>
              <w:t>Single-family:</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29"/>
        </w:trPr>
        <w:tc>
          <w:tcPr>
            <w:tcW w:w="1600" w:type="dxa"/>
            <w:vAlign w:val="bottom"/>
          </w:tcPr>
          <w:p>
            <w:pPr>
              <w:ind w:left="180"/>
              <w:spacing w:after="0"/>
              <w:rPr>
                <w:sz w:val="20"/>
                <w:szCs w:val="20"/>
                <w:color w:val="auto"/>
              </w:rPr>
            </w:pPr>
            <w:r>
              <w:rPr>
                <w:rFonts w:ascii="Arial" w:cs="Arial" w:eastAsia="Arial" w:hAnsi="Arial"/>
                <w:sz w:val="15"/>
                <w:szCs w:val="15"/>
                <w:color w:val="auto"/>
              </w:rPr>
              <w:t>20- and 30-year or</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180"/>
        </w:trPr>
        <w:tc>
          <w:tcPr>
            <w:tcW w:w="1600" w:type="dxa"/>
            <w:vAlign w:val="bottom"/>
          </w:tcPr>
          <w:p>
            <w:pPr>
              <w:ind w:left="320"/>
              <w:spacing w:after="0"/>
              <w:rPr>
                <w:sz w:val="20"/>
                <w:szCs w:val="20"/>
                <w:color w:val="auto"/>
              </w:rPr>
            </w:pPr>
            <w:r>
              <w:rPr>
                <w:rFonts w:ascii="Arial" w:cs="Arial" w:eastAsia="Arial" w:hAnsi="Arial"/>
                <w:sz w:val="15"/>
                <w:szCs w:val="15"/>
                <w:color w:val="auto"/>
              </w:rPr>
              <w:t>more, amortizing</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96"/>
        </w:trPr>
        <w:tc>
          <w:tcPr>
            <w:tcW w:w="1600" w:type="dxa"/>
            <w:vAlign w:val="bottom"/>
          </w:tcPr>
          <w:p>
            <w:pPr>
              <w:ind w:left="320"/>
              <w:spacing w:after="0"/>
              <w:rPr>
                <w:sz w:val="20"/>
                <w:szCs w:val="20"/>
                <w:color w:val="auto"/>
              </w:rPr>
            </w:pPr>
            <w:r>
              <w:rPr>
                <w:rFonts w:ascii="Arial" w:cs="Arial" w:eastAsia="Arial" w:hAnsi="Arial"/>
                <w:sz w:val="15"/>
                <w:szCs w:val="15"/>
                <w:color w:val="auto"/>
              </w:rPr>
              <w:t>fixed-rate</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14,428</w:t>
            </w:r>
          </w:p>
        </w:tc>
        <w:tc>
          <w:tcPr>
            <w:tcW w:w="7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11,518</w:t>
            </w:r>
          </w:p>
        </w:tc>
        <w:tc>
          <w:tcPr>
            <w:tcW w:w="4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6,064</w:t>
            </w:r>
          </w:p>
        </w:tc>
        <w:tc>
          <w:tcPr>
            <w:tcW w:w="7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1,831</w:t>
            </w:r>
          </w:p>
        </w:tc>
        <w:tc>
          <w:tcPr>
            <w:tcW w:w="4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9,165</w:t>
            </w: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43,006</w:t>
            </w:r>
          </w:p>
        </w:tc>
      </w:tr>
      <w:tr>
        <w:trPr>
          <w:trHeight w:val="229"/>
        </w:trPr>
        <w:tc>
          <w:tcPr>
            <w:tcW w:w="1600" w:type="dxa"/>
            <w:vAlign w:val="bottom"/>
          </w:tcPr>
          <w:p>
            <w:pPr>
              <w:ind w:left="180"/>
              <w:spacing w:after="0"/>
              <w:rPr>
                <w:sz w:val="20"/>
                <w:szCs w:val="20"/>
                <w:color w:val="auto"/>
              </w:rPr>
            </w:pPr>
            <w:r>
              <w:rPr>
                <w:rFonts w:ascii="Arial" w:cs="Arial" w:eastAsia="Arial" w:hAnsi="Arial"/>
                <w:sz w:val="15"/>
                <w:szCs w:val="15"/>
                <w:color w:val="auto"/>
              </w:rPr>
              <w:t>15-year or less,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193"/>
        </w:trPr>
        <w:tc>
          <w:tcPr>
            <w:tcW w:w="1600" w:type="dxa"/>
            <w:vAlign w:val="bottom"/>
          </w:tcPr>
          <w:p>
            <w:pPr>
              <w:ind w:left="320"/>
              <w:spacing w:after="0"/>
              <w:rPr>
                <w:sz w:val="20"/>
                <w:szCs w:val="20"/>
                <w:color w:val="auto"/>
              </w:rPr>
            </w:pPr>
            <w:r>
              <w:rPr>
                <w:rFonts w:ascii="Arial" w:cs="Arial" w:eastAsia="Arial" w:hAnsi="Arial"/>
                <w:sz w:val="15"/>
                <w:szCs w:val="15"/>
                <w:color w:val="auto"/>
              </w:rPr>
              <w:t>amortizing fixed-</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6"/>
        </w:trPr>
        <w:tc>
          <w:tcPr>
            <w:tcW w:w="1600" w:type="dxa"/>
            <w:vAlign w:val="bottom"/>
          </w:tcPr>
          <w:p>
            <w:pPr>
              <w:ind w:left="320"/>
              <w:spacing w:after="0"/>
              <w:rPr>
                <w:sz w:val="20"/>
                <w:szCs w:val="20"/>
                <w:color w:val="auto"/>
              </w:rPr>
            </w:pPr>
            <w:r>
              <w:rPr>
                <w:rFonts w:ascii="Arial" w:cs="Arial" w:eastAsia="Arial" w:hAnsi="Arial"/>
                <w:sz w:val="15"/>
                <w:szCs w:val="15"/>
                <w:color w:val="auto"/>
              </w:rPr>
              <w:t>rate</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735</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653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253</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1</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1,643</w:t>
            </w:r>
          </w:p>
        </w:tc>
      </w:tr>
      <w:tr>
        <w:trPr>
          <w:trHeight w:val="232"/>
        </w:trPr>
        <w:tc>
          <w:tcPr>
            <w:tcW w:w="1600" w:type="dxa"/>
            <w:vAlign w:val="bottom"/>
          </w:tcPr>
          <w:p>
            <w:pPr>
              <w:ind w:left="180"/>
              <w:spacing w:after="0"/>
              <w:rPr>
                <w:sz w:val="20"/>
                <w:szCs w:val="20"/>
                <w:color w:val="auto"/>
              </w:rPr>
            </w:pPr>
            <w:r>
              <w:rPr>
                <w:rFonts w:ascii="Arial" w:cs="Arial" w:eastAsia="Arial" w:hAnsi="Arial"/>
                <w:sz w:val="15"/>
                <w:szCs w:val="15"/>
                <w:color w:val="auto"/>
              </w:rPr>
              <w:t>Adjustable-rate</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84</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77</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53</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12</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226</w:t>
            </w:r>
          </w:p>
        </w:tc>
      </w:tr>
      <w:tr>
        <w:trPr>
          <w:trHeight w:val="232"/>
        </w:trPr>
        <w:tc>
          <w:tcPr>
            <w:tcW w:w="1600" w:type="dxa"/>
            <w:vAlign w:val="bottom"/>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319</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304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232</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139</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374</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1,368</w:t>
            </w:r>
          </w:p>
        </w:tc>
      </w:tr>
      <w:tr>
        <w:trPr>
          <w:trHeight w:val="31"/>
        </w:trPr>
        <w:tc>
          <w:tcPr>
            <w:tcW w:w="16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2C6937"/>
            </w:tcBorders>
          </w:tcPr>
          <w:p>
            <w:pPr>
              <w:spacing w:after="0"/>
              <w:rPr>
                <w:sz w:val="2"/>
                <w:szCs w:val="2"/>
                <w:color w:val="auto"/>
              </w:rPr>
            </w:pPr>
          </w:p>
        </w:tc>
        <w:tc>
          <w:tcPr>
            <w:tcW w:w="780" w:type="dxa"/>
            <w:vAlign w:val="bottom"/>
            <w:tcBorders>
              <w:bottom w:val="single" w:sz="8" w:color="2C6937"/>
            </w:tcBorders>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r>
      <w:tr>
        <w:trPr>
          <w:trHeight w:val="206"/>
        </w:trPr>
        <w:tc>
          <w:tcPr>
            <w:tcW w:w="1600" w:type="dxa"/>
            <w:vAlign w:val="bottom"/>
          </w:tcPr>
          <w:p>
            <w:pPr>
              <w:ind w:left="20"/>
              <w:spacing w:after="0"/>
              <w:rPr>
                <w:sz w:val="20"/>
                <w:szCs w:val="20"/>
                <w:color w:val="auto"/>
              </w:rPr>
            </w:pPr>
            <w:r>
              <w:rPr>
                <w:rFonts w:ascii="Arial" w:cs="Arial" w:eastAsia="Arial" w:hAnsi="Arial"/>
                <w:sz w:val="15"/>
                <w:szCs w:val="15"/>
                <w:color w:val="auto"/>
              </w:rPr>
              <w:t>Total single-family</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15,566</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12,552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6,602</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1,971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9,552</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46,243</w:t>
            </w:r>
          </w:p>
        </w:tc>
      </w:tr>
      <w:tr>
        <w:trPr>
          <w:trHeight w:val="232"/>
        </w:trPr>
        <w:tc>
          <w:tcPr>
            <w:tcW w:w="1600" w:type="dxa"/>
            <w:vAlign w:val="bottom"/>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237</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11</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248</w:t>
            </w:r>
          </w:p>
        </w:tc>
      </w:tr>
      <w:tr>
        <w:trPr>
          <w:trHeight w:val="31"/>
        </w:trPr>
        <w:tc>
          <w:tcPr>
            <w:tcW w:w="16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2C6937"/>
            </w:tcBorders>
          </w:tcPr>
          <w:p>
            <w:pPr>
              <w:spacing w:after="0"/>
              <w:rPr>
                <w:sz w:val="2"/>
                <w:szCs w:val="2"/>
                <w:color w:val="auto"/>
              </w:rPr>
            </w:pPr>
          </w:p>
        </w:tc>
        <w:tc>
          <w:tcPr>
            <w:tcW w:w="780" w:type="dxa"/>
            <w:vAlign w:val="bottom"/>
            <w:tcBorders>
              <w:bottom w:val="single" w:sz="8" w:color="2C6937"/>
            </w:tcBorders>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r>
      <w:tr>
        <w:trPr>
          <w:trHeight w:val="225"/>
        </w:trPr>
        <w:tc>
          <w:tcPr>
            <w:tcW w:w="1600" w:type="dxa"/>
            <w:vAlign w:val="bottom"/>
          </w:tcPr>
          <w:p>
            <w:pPr>
              <w:ind w:left="180"/>
              <w:spacing w:after="0" w:line="225" w:lineRule="exact"/>
              <w:rPr>
                <w:sz w:val="20"/>
                <w:szCs w:val="20"/>
                <w:color w:val="auto"/>
              </w:rPr>
            </w:pPr>
            <w:r>
              <w:rPr>
                <w:rFonts w:ascii="Arial" w:cs="Arial" w:eastAsia="Arial" w:hAnsi="Arial"/>
                <w:sz w:val="15"/>
                <w:szCs w:val="15"/>
                <w:color w:val="auto"/>
              </w:rPr>
              <w:t>Total</w:t>
            </w:r>
            <w:r>
              <w:rPr>
                <w:rFonts w:ascii="Arial" w:cs="Arial" w:eastAsia="Arial" w:hAnsi="Arial"/>
                <w:sz w:val="20"/>
                <w:szCs w:val="20"/>
                <w:color w:val="auto"/>
                <w:vertAlign w:val="superscript"/>
              </w:rPr>
              <w:t>(3)</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15,803</w:t>
            </w:r>
          </w:p>
        </w:tc>
        <w:tc>
          <w:tcPr>
            <w:tcW w:w="7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12,552</w:t>
            </w:r>
          </w:p>
        </w:tc>
        <w:tc>
          <w:tcPr>
            <w:tcW w:w="4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6,602</w:t>
            </w:r>
          </w:p>
        </w:tc>
        <w:tc>
          <w:tcPr>
            <w:tcW w:w="7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1,971</w:t>
            </w:r>
          </w:p>
        </w:tc>
        <w:tc>
          <w:tcPr>
            <w:tcW w:w="4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9,563</w:t>
            </w: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46,491</w:t>
            </w:r>
          </w:p>
        </w:tc>
      </w:tr>
      <w:tr>
        <w:trPr>
          <w:trHeight w:val="20"/>
        </w:trPr>
        <w:tc>
          <w:tcPr>
            <w:tcW w:w="16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r>
    </w:tbl>
    <w:p>
      <w:pPr>
        <w:spacing w:after="0" w:line="123" w:lineRule="exact"/>
        <w:rPr>
          <w:sz w:val="20"/>
          <w:szCs w:val="20"/>
          <w:color w:val="auto"/>
        </w:rPr>
      </w:pPr>
    </w:p>
    <w:p>
      <w:pPr>
        <w:ind w:left="200" w:hanging="197"/>
        <w:spacing w:after="0"/>
        <w:tabs>
          <w:tab w:leader="none" w:pos="200" w:val="left"/>
        </w:tabs>
        <w:numPr>
          <w:ilvl w:val="0"/>
          <w:numId w:val="80"/>
        </w:numPr>
        <w:rPr>
          <w:rFonts w:ascii="Arial" w:cs="Arial" w:eastAsia="Arial" w:hAnsi="Arial"/>
          <w:sz w:val="14"/>
          <w:szCs w:val="14"/>
          <w:color w:val="auto"/>
        </w:rPr>
      </w:pPr>
      <w:r>
        <w:rPr>
          <w:rFonts w:ascii="Arial" w:cs="Arial" w:eastAsia="Arial" w:hAnsi="Arial"/>
          <w:sz w:val="14"/>
          <w:szCs w:val="14"/>
          <w:color w:val="auto"/>
        </w:rPr>
        <w:t>Represents less than 0.5% of total by financing class.</w:t>
      </w:r>
    </w:p>
    <w:p>
      <w:pPr>
        <w:spacing w:after="0" w:line="13" w:lineRule="exact"/>
        <w:rPr>
          <w:sz w:val="20"/>
          <w:szCs w:val="20"/>
          <w:color w:val="auto"/>
        </w:rPr>
      </w:pPr>
    </w:p>
    <w:p>
      <w:pPr>
        <w:ind w:left="260" w:hanging="257"/>
        <w:spacing w:after="0"/>
        <w:tabs>
          <w:tab w:leader="none" w:pos="260" w:val="left"/>
        </w:tabs>
        <w:numPr>
          <w:ilvl w:val="0"/>
          <w:numId w:val="81"/>
        </w:numPr>
        <w:rPr>
          <w:rFonts w:ascii="Arial" w:cs="Arial" w:eastAsia="Arial" w:hAnsi="Arial"/>
          <w:sz w:val="18"/>
          <w:szCs w:val="18"/>
          <w:color w:val="auto"/>
          <w:vertAlign w:val="superscript"/>
        </w:rPr>
      </w:pPr>
      <w:r>
        <w:rPr>
          <w:rFonts w:ascii="Arial" w:cs="Arial" w:eastAsia="Arial" w:hAnsi="Arial"/>
          <w:sz w:val="14"/>
          <w:szCs w:val="14"/>
          <w:color w:val="auto"/>
        </w:rPr>
        <w:t>Represents loans that received a contractual modification.</w:t>
      </w:r>
    </w:p>
    <w:p>
      <w:pPr>
        <w:spacing w:after="0" w:line="29" w:lineRule="exact"/>
        <w:rPr>
          <w:rFonts w:ascii="Arial" w:cs="Arial" w:eastAsia="Arial" w:hAnsi="Arial"/>
          <w:sz w:val="18"/>
          <w:szCs w:val="18"/>
          <w:color w:val="auto"/>
          <w:vertAlign w:val="superscript"/>
        </w:rPr>
      </w:pPr>
    </w:p>
    <w:p>
      <w:pPr>
        <w:ind w:left="260" w:hanging="257"/>
        <w:spacing w:after="0"/>
        <w:tabs>
          <w:tab w:leader="none" w:pos="260" w:val="left"/>
        </w:tabs>
        <w:numPr>
          <w:ilvl w:val="0"/>
          <w:numId w:val="81"/>
        </w:numPr>
        <w:rPr>
          <w:rFonts w:ascii="Arial" w:cs="Arial" w:eastAsia="Arial" w:hAnsi="Arial"/>
          <w:sz w:val="9"/>
          <w:szCs w:val="9"/>
          <w:color w:val="auto"/>
        </w:rPr>
      </w:pPr>
      <w:r>
        <w:rPr>
          <w:rFonts w:ascii="Arial" w:cs="Arial" w:eastAsia="Arial" w:hAnsi="Arial"/>
          <w:sz w:val="14"/>
          <w:szCs w:val="14"/>
          <w:color w:val="auto"/>
        </w:rPr>
        <w:t>Based on the amortized cost basis as of period end, divided by the period-end amortized cost basis of the corresponding class of financing receivable.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5"/>
          <w:szCs w:val="15"/>
          <w:color w:val="auto"/>
        </w:rPr>
        <w:t>1 %</w:t>
      </w: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1</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4</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1</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1</w:t>
      </w:r>
    </w:p>
    <w:p>
      <w:pPr>
        <w:spacing w:after="0" w:line="796" w:lineRule="exact"/>
        <w:rPr>
          <w:sz w:val="20"/>
          <w:szCs w:val="20"/>
          <w:color w:val="auto"/>
        </w:rPr>
      </w:pPr>
    </w:p>
    <w:p>
      <w:pPr>
        <w:sectPr>
          <w:pgSz w:w="11900" w:h="16838" w:orient="portrait"/>
          <w:cols w:equalWidth="0" w:num="2">
            <w:col w:w="10200" w:space="720"/>
            <w:col w:w="320"/>
          </w:cols>
          <w:pgMar w:left="320" w:top="250" w:right="339" w:bottom="1440" w:gutter="0" w:footer="0" w:header="0"/>
          <w:type w:val="continuous"/>
        </w:sectPr>
      </w:pPr>
    </w:p>
    <w:p>
      <w:pPr>
        <w:ind w:left="240" w:right="40" w:hanging="237"/>
        <w:spacing w:after="0" w:line="282" w:lineRule="auto"/>
        <w:tabs>
          <w:tab w:leader="none" w:pos="216" w:val="left"/>
        </w:tabs>
        <w:numPr>
          <w:ilvl w:val="0"/>
          <w:numId w:val="82"/>
        </w:numPr>
        <w:rPr>
          <w:rFonts w:ascii="Arial" w:cs="Arial" w:eastAsia="Arial" w:hAnsi="Arial"/>
          <w:sz w:val="8"/>
          <w:szCs w:val="8"/>
          <w:color w:val="auto"/>
        </w:rPr>
      </w:pPr>
      <w:r>
        <w:rPr>
          <w:rFonts w:ascii="Arial" w:cs="Arial" w:eastAsia="Arial" w:hAnsi="Arial"/>
          <w:sz w:val="13"/>
          <w:szCs w:val="13"/>
          <w:color w:val="auto"/>
        </w:rPr>
        <w:t>Excludes $200 million and $604 million for the three and six months ended June 30, 2023, respectively, and $269 million and $1.7 billion for the three and six months ended June 30, 2022, respectively, for loans that were the subject of loss mitigation activity during the period that paid off, were repurchased or sold prior to period end. Also excludes loans that liquidated either through foreclosure, deed-in-lieu of foreclosure, or a short sale. Loans may move from one category to another, as a result of the restructuring(s) they received during the period, in which case they appear in the table above only in the category that best reflects the cumulative effects of the loan restructurings received during the periods.</w:t>
      </w:r>
    </w:p>
    <w:p>
      <w:pPr>
        <w:spacing w:after="0" w:line="46" w:lineRule="exact"/>
        <w:rPr>
          <w:sz w:val="20"/>
          <w:szCs w:val="20"/>
          <w:color w:val="auto"/>
        </w:rPr>
      </w:pPr>
    </w:p>
    <w:p>
      <w:pPr>
        <w:jc w:val="both"/>
        <w:ind w:right="60"/>
        <w:spacing w:after="0" w:line="268" w:lineRule="auto"/>
        <w:rPr>
          <w:sz w:val="20"/>
          <w:szCs w:val="20"/>
          <w:color w:val="auto"/>
        </w:rPr>
      </w:pPr>
      <w:r>
        <w:rPr>
          <w:rFonts w:ascii="Arial" w:cs="Arial" w:eastAsia="Arial" w:hAnsi="Arial"/>
          <w:sz w:val="16"/>
          <w:szCs w:val="16"/>
          <w:color w:val="auto"/>
        </w:rPr>
        <w:t>Our estimate of future credit losses uses a lifetime methodology, derived from modeled loan performance based on extensive historical experience of loans with similar risk characteristics, adjusted to reflect current conditions and reasonable and supportable forecasts. The historical loss experience used in our single-family and multifamily credit loss models includes the impact of the loss mitigation options provided to borrowers experiencing financial difficulty, and also includes the impact of projected loss severities as a result of a loan default.</w:t>
      </w:r>
    </w:p>
    <w:p>
      <w:pPr>
        <w:spacing w:after="0" w:line="6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following tables summarize the financial impacts of loan modifications and payment deferrals for single-family HFI loans presented by class of financing receivable. The qualitative impact of forbearance plans, repayment plans, and trial modifications are discussed earlier in this footnote; these loss mitigation options are not included in the table below.</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3080" w:type="dxa"/>
            <w:vAlign w:val="bottom"/>
          </w:tcPr>
          <w:p>
            <w:pPr>
              <w:spacing w:after="0"/>
              <w:rPr>
                <w:sz w:val="17"/>
                <w:szCs w:val="17"/>
                <w:color w:val="auto"/>
              </w:rPr>
            </w:pPr>
          </w:p>
        </w:tc>
        <w:tc>
          <w:tcPr>
            <w:tcW w:w="12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1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2600" w:type="dxa"/>
            <w:vAlign w:val="bottom"/>
            <w:tcBorders>
              <w:bottom w:val="single" w:sz="8" w:color="2C6937"/>
            </w:tcBorders>
            <w:gridSpan w:val="3"/>
          </w:tcPr>
          <w:p>
            <w:pPr>
              <w:ind w:left="100"/>
              <w:spacing w:after="0"/>
              <w:rPr>
                <w:sz w:val="20"/>
                <w:szCs w:val="20"/>
                <w:color w:val="auto"/>
              </w:rPr>
            </w:pPr>
            <w:r>
              <w:rPr>
                <w:rFonts w:ascii="Arial" w:cs="Arial" w:eastAsia="Arial" w:hAnsi="Arial"/>
                <w:sz w:val="14"/>
                <w:szCs w:val="14"/>
                <w:b w:val="1"/>
                <w:bCs w:val="1"/>
                <w:color w:val="auto"/>
                <w:w w:val="99"/>
              </w:rPr>
              <w:t>For the Three Months Ended June 30,</w:t>
            </w:r>
          </w:p>
        </w:tc>
        <w:tc>
          <w:tcPr>
            <w:tcW w:w="8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28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080" w:type="dxa"/>
            <w:vAlign w:val="bottom"/>
          </w:tcPr>
          <w:p>
            <w:pPr>
              <w:spacing w:after="0"/>
              <w:rPr>
                <w:sz w:val="17"/>
                <w:szCs w:val="17"/>
                <w:color w:val="auto"/>
              </w:rPr>
            </w:pPr>
          </w:p>
        </w:tc>
        <w:tc>
          <w:tcPr>
            <w:tcW w:w="1220" w:type="dxa"/>
            <w:vAlign w:val="bottom"/>
            <w:tcBorders>
              <w:bottom w:val="single" w:sz="8" w:color="2C6937"/>
            </w:tcBorders>
          </w:tcPr>
          <w:p>
            <w:pPr>
              <w:spacing w:after="0"/>
              <w:rPr>
                <w:sz w:val="17"/>
                <w:szCs w:val="17"/>
                <w:color w:val="auto"/>
              </w:rPr>
            </w:pPr>
          </w:p>
        </w:tc>
        <w:tc>
          <w:tcPr>
            <w:tcW w:w="1200" w:type="dxa"/>
            <w:vAlign w:val="bottom"/>
            <w:tcBorders>
              <w:bottom w:val="single" w:sz="8" w:color="2C6937"/>
            </w:tcBorders>
            <w:gridSpan w:val="2"/>
          </w:tcPr>
          <w:p>
            <w:pPr>
              <w:jc w:val="right"/>
              <w:ind w:right="25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280" w:type="dxa"/>
            <w:vAlign w:val="bottom"/>
            <w:tcBorders>
              <w:bottom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Borders>
              <w:bottom w:val="single" w:sz="8" w:color="2C6937"/>
            </w:tcBorders>
          </w:tcPr>
          <w:p>
            <w:pPr>
              <w:spacing w:after="0"/>
              <w:rPr>
                <w:sz w:val="17"/>
                <w:szCs w:val="17"/>
                <w:color w:val="auto"/>
              </w:rPr>
            </w:pPr>
          </w:p>
        </w:tc>
        <w:tc>
          <w:tcPr>
            <w:tcW w:w="1200" w:type="dxa"/>
            <w:vAlign w:val="bottom"/>
            <w:tcBorders>
              <w:bottom w:val="single" w:sz="8" w:color="2C6937"/>
            </w:tcBorders>
            <w:gridSpan w:val="2"/>
          </w:tcPr>
          <w:p>
            <w:pPr>
              <w:jc w:val="right"/>
              <w:ind w:right="25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28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3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Weighted-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vMerge w:val="restart"/>
          </w:tcPr>
          <w:p>
            <w:pPr>
              <w:jc w:val="center"/>
              <w:ind w:right="67"/>
              <w:spacing w:after="0"/>
              <w:rPr>
                <w:sz w:val="20"/>
                <w:szCs w:val="20"/>
                <w:color w:val="auto"/>
              </w:rPr>
            </w:pPr>
            <w:r>
              <w:rPr>
                <w:rFonts w:ascii="Arial" w:cs="Arial" w:eastAsia="Arial" w:hAnsi="Arial"/>
                <w:sz w:val="14"/>
                <w:szCs w:val="14"/>
                <w:b w:val="1"/>
                <w:bCs w:val="1"/>
                <w:color w:val="auto"/>
                <w:w w:val="98"/>
              </w:rPr>
              <w:t>Average Amount</w:t>
            </w:r>
          </w:p>
        </w:tc>
        <w:tc>
          <w:tcPr>
            <w:tcW w:w="80" w:type="dxa"/>
            <w:vAlign w:val="bottom"/>
          </w:tcPr>
          <w:p>
            <w:pPr>
              <w:spacing w:after="0"/>
              <w:rPr>
                <w:sz w:val="11"/>
                <w:szCs w:val="11"/>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Weighted-</w:t>
            </w:r>
          </w:p>
        </w:tc>
        <w:tc>
          <w:tcPr>
            <w:tcW w:w="80" w:type="dxa"/>
            <w:vAlign w:val="bottom"/>
          </w:tcPr>
          <w:p>
            <w:pPr>
              <w:spacing w:after="0"/>
              <w:rPr>
                <w:sz w:val="11"/>
                <w:szCs w:val="11"/>
                <w:color w:val="auto"/>
              </w:rPr>
            </w:pPr>
          </w:p>
        </w:tc>
        <w:tc>
          <w:tcPr>
            <w:tcW w:w="112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97"/>
              </w:rPr>
              <w:t>Weighted-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vMerge w:val="restart"/>
          </w:tcPr>
          <w:p>
            <w:pPr>
              <w:jc w:val="center"/>
              <w:ind w:right="47"/>
              <w:spacing w:after="0"/>
              <w:rPr>
                <w:sz w:val="20"/>
                <w:szCs w:val="20"/>
                <w:color w:val="auto"/>
              </w:rPr>
            </w:pPr>
            <w:r>
              <w:rPr>
                <w:rFonts w:ascii="Arial" w:cs="Arial" w:eastAsia="Arial" w:hAnsi="Arial"/>
                <w:sz w:val="14"/>
                <w:szCs w:val="14"/>
                <w:b w:val="1"/>
                <w:bCs w:val="1"/>
                <w:color w:val="auto"/>
                <w:w w:val="96"/>
              </w:rPr>
              <w:t>Average Amount</w:t>
            </w:r>
          </w:p>
        </w:tc>
        <w:tc>
          <w:tcPr>
            <w:tcW w:w="0" w:type="dxa"/>
            <w:vAlign w:val="bottom"/>
          </w:tcPr>
          <w:p>
            <w:pPr>
              <w:spacing w:after="0"/>
              <w:rPr>
                <w:sz w:val="1"/>
                <w:szCs w:val="1"/>
                <w:color w:val="auto"/>
              </w:rPr>
            </w:pPr>
          </w:p>
        </w:tc>
      </w:tr>
      <w:tr>
        <w:trPr>
          <w:trHeight w:val="140"/>
        </w:trPr>
        <w:tc>
          <w:tcPr>
            <w:tcW w:w="308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Weighted-</w:t>
            </w: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7"/>
              </w:rPr>
              <w:t>Average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Average Term</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47"/>
              <w:spacing w:after="0" w:line="142" w:lineRule="exact"/>
              <w:rPr>
                <w:sz w:val="20"/>
                <w:szCs w:val="20"/>
                <w:color w:val="auto"/>
              </w:rPr>
            </w:pPr>
            <w:r>
              <w:rPr>
                <w:rFonts w:ascii="Arial" w:cs="Arial" w:eastAsia="Arial" w:hAnsi="Arial"/>
                <w:sz w:val="14"/>
                <w:szCs w:val="14"/>
                <w:b w:val="1"/>
                <w:bCs w:val="1"/>
                <w:color w:val="auto"/>
                <w:w w:val="98"/>
              </w:rPr>
              <w:t>Capitalized as</w:t>
            </w:r>
          </w:p>
        </w:tc>
        <w:tc>
          <w:tcPr>
            <w:tcW w:w="80" w:type="dxa"/>
            <w:vAlign w:val="bottom"/>
          </w:tcPr>
          <w:p>
            <w:pPr>
              <w:spacing w:after="0"/>
              <w:rPr>
                <w:sz w:val="12"/>
                <w:szCs w:val="12"/>
                <w:color w:val="auto"/>
              </w:rPr>
            </w:pPr>
          </w:p>
        </w:tc>
        <w:tc>
          <w:tcPr>
            <w:tcW w:w="12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7"/>
              </w:rPr>
              <w:t>Average</w:t>
            </w:r>
          </w:p>
        </w:tc>
        <w:tc>
          <w:tcPr>
            <w:tcW w:w="80" w:type="dxa"/>
            <w:vAlign w:val="bottom"/>
          </w:tcPr>
          <w:p>
            <w:pPr>
              <w:spacing w:after="0"/>
              <w:rPr>
                <w:sz w:val="12"/>
                <w:szCs w:val="12"/>
                <w:color w:val="auto"/>
              </w:rPr>
            </w:pPr>
          </w:p>
        </w:tc>
        <w:tc>
          <w:tcPr>
            <w:tcW w:w="11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9"/>
              </w:rPr>
              <w:t>Term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47"/>
              <w:spacing w:after="0" w:line="142" w:lineRule="exact"/>
              <w:rPr>
                <w:sz w:val="20"/>
                <w:szCs w:val="20"/>
                <w:color w:val="auto"/>
              </w:rPr>
            </w:pPr>
            <w:r>
              <w:rPr>
                <w:rFonts w:ascii="Arial" w:cs="Arial" w:eastAsia="Arial" w:hAnsi="Arial"/>
                <w:sz w:val="14"/>
                <w:szCs w:val="14"/>
                <w:b w:val="1"/>
                <w:bCs w:val="1"/>
                <w:color w:val="auto"/>
                <w:w w:val="98"/>
              </w:rPr>
              <w:t>Capitalized as</w:t>
            </w:r>
          </w:p>
        </w:tc>
        <w:tc>
          <w:tcPr>
            <w:tcW w:w="0" w:type="dxa"/>
            <w:vAlign w:val="bottom"/>
          </w:tcPr>
          <w:p>
            <w:pPr>
              <w:spacing w:after="0"/>
              <w:rPr>
                <w:sz w:val="1"/>
                <w:szCs w:val="1"/>
                <w:color w:val="auto"/>
              </w:rPr>
            </w:pPr>
          </w:p>
        </w:tc>
      </w:tr>
      <w:tr>
        <w:trPr>
          <w:trHeight w:val="129"/>
        </w:trPr>
        <w:tc>
          <w:tcPr>
            <w:tcW w:w="3080" w:type="dxa"/>
            <w:vAlign w:val="bottom"/>
          </w:tcPr>
          <w:p>
            <w:pPr>
              <w:spacing w:after="0"/>
              <w:rPr>
                <w:sz w:val="11"/>
                <w:szCs w:val="11"/>
                <w:color w:val="auto"/>
              </w:rPr>
            </w:pPr>
          </w:p>
        </w:tc>
        <w:tc>
          <w:tcPr>
            <w:tcW w:w="12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Average Interest</w:t>
            </w:r>
          </w:p>
        </w:tc>
        <w:tc>
          <w:tcPr>
            <w:tcW w:w="10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7"/>
              </w:rPr>
              <w:t>Extension (in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center"/>
              <w:ind w:right="67"/>
              <w:spacing w:after="0" w:line="129" w:lineRule="exact"/>
              <w:rPr>
                <w:sz w:val="20"/>
                <w:szCs w:val="20"/>
                <w:color w:val="auto"/>
              </w:rPr>
            </w:pPr>
            <w:r>
              <w:rPr>
                <w:rFonts w:ascii="Arial" w:cs="Arial" w:eastAsia="Arial" w:hAnsi="Arial"/>
                <w:sz w:val="14"/>
                <w:szCs w:val="14"/>
                <w:b w:val="1"/>
                <w:bCs w:val="1"/>
                <w:color w:val="auto"/>
                <w:w w:val="98"/>
              </w:rPr>
              <w:t>a Result of a</w:t>
            </w:r>
          </w:p>
        </w:tc>
        <w:tc>
          <w:tcPr>
            <w:tcW w:w="80" w:type="dxa"/>
            <w:vAlign w:val="bottom"/>
          </w:tcPr>
          <w:p>
            <w:pPr>
              <w:spacing w:after="0"/>
              <w:rPr>
                <w:sz w:val="11"/>
                <w:szCs w:val="11"/>
                <w:color w:val="auto"/>
              </w:rPr>
            </w:pPr>
          </w:p>
        </w:tc>
        <w:tc>
          <w:tcPr>
            <w:tcW w:w="12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9"/>
              </w:rPr>
              <w:t>Interest Rate</w:t>
            </w:r>
          </w:p>
        </w:tc>
        <w:tc>
          <w:tcPr>
            <w:tcW w:w="80" w:type="dxa"/>
            <w:vAlign w:val="bottom"/>
          </w:tcPr>
          <w:p>
            <w:pPr>
              <w:spacing w:after="0"/>
              <w:rPr>
                <w:sz w:val="11"/>
                <w:szCs w:val="11"/>
                <w:color w:val="auto"/>
              </w:rPr>
            </w:pPr>
          </w:p>
        </w:tc>
        <w:tc>
          <w:tcPr>
            <w:tcW w:w="11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8"/>
              </w:rPr>
              <w:t>Extension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center"/>
              <w:ind w:right="67"/>
              <w:spacing w:after="0" w:line="129" w:lineRule="exact"/>
              <w:rPr>
                <w:sz w:val="20"/>
                <w:szCs w:val="20"/>
                <w:color w:val="auto"/>
              </w:rPr>
            </w:pPr>
            <w:r>
              <w:rPr>
                <w:rFonts w:ascii="Arial" w:cs="Arial" w:eastAsia="Arial" w:hAnsi="Arial"/>
                <w:sz w:val="14"/>
                <w:szCs w:val="14"/>
                <w:b w:val="1"/>
                <w:bCs w:val="1"/>
                <w:color w:val="auto"/>
                <w:w w:val="98"/>
              </w:rPr>
              <w:t>a Result of a</w:t>
            </w:r>
          </w:p>
        </w:tc>
        <w:tc>
          <w:tcPr>
            <w:tcW w:w="0" w:type="dxa"/>
            <w:vAlign w:val="bottom"/>
          </w:tcPr>
          <w:p>
            <w:pPr>
              <w:spacing w:after="0"/>
              <w:rPr>
                <w:sz w:val="1"/>
                <w:szCs w:val="1"/>
                <w:color w:val="auto"/>
              </w:rPr>
            </w:pPr>
          </w:p>
        </w:tc>
      </w:tr>
      <w:tr>
        <w:trPr>
          <w:trHeight w:val="193"/>
        </w:trPr>
        <w:tc>
          <w:tcPr>
            <w:tcW w:w="3080" w:type="dxa"/>
            <w:vAlign w:val="bottom"/>
          </w:tcPr>
          <w:p>
            <w:pPr>
              <w:spacing w:after="0"/>
              <w:rPr>
                <w:sz w:val="16"/>
                <w:szCs w:val="16"/>
                <w:color w:val="auto"/>
              </w:rPr>
            </w:pPr>
          </w:p>
        </w:tc>
        <w:tc>
          <w:tcPr>
            <w:tcW w:w="122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7"/>
              </w:rPr>
              <w:t>Rate Reduction</w:t>
            </w:r>
          </w:p>
        </w:tc>
        <w:tc>
          <w:tcPr>
            <w:tcW w:w="100" w:type="dxa"/>
            <w:vAlign w:val="bottom"/>
          </w:tcPr>
          <w:p>
            <w:pPr>
              <w:spacing w:after="0"/>
              <w:rPr>
                <w:sz w:val="16"/>
                <w:szCs w:val="16"/>
                <w:color w:val="auto"/>
              </w:rPr>
            </w:pPr>
          </w:p>
        </w:tc>
        <w:tc>
          <w:tcPr>
            <w:tcW w:w="110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Months)</w:t>
            </w: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280" w:type="dxa"/>
            <w:vAlign w:val="bottom"/>
            <w:tcBorders>
              <w:bottom w:val="single" w:sz="8" w:color="2C6937"/>
            </w:tcBorders>
          </w:tcPr>
          <w:p>
            <w:pPr>
              <w:jc w:val="center"/>
              <w:ind w:right="67"/>
              <w:spacing w:after="0" w:line="194" w:lineRule="exact"/>
              <w:rPr>
                <w:sz w:val="20"/>
                <w:szCs w:val="20"/>
                <w:color w:val="auto"/>
              </w:rPr>
            </w:pPr>
            <w:r>
              <w:rPr>
                <w:rFonts w:ascii="Arial" w:cs="Arial" w:eastAsia="Arial" w:hAnsi="Arial"/>
                <w:sz w:val="14"/>
                <w:szCs w:val="14"/>
                <w:b w:val="1"/>
                <w:bCs w:val="1"/>
                <w:color w:val="auto"/>
                <w:w w:val="96"/>
              </w:rPr>
              <w:t>Payment Delay</w:t>
            </w:r>
            <w:r>
              <w:rPr>
                <w:rFonts w:ascii="Arial" w:cs="Arial" w:eastAsia="Arial" w:hAnsi="Arial"/>
                <w:sz w:val="17"/>
                <w:szCs w:val="17"/>
                <w:b w:val="1"/>
                <w:bCs w:val="1"/>
                <w:color w:val="auto"/>
                <w:w w:val="96"/>
                <w:vertAlign w:val="superscript"/>
              </w:rPr>
              <w:t>(1)</w:t>
            </w:r>
          </w:p>
        </w:tc>
        <w:tc>
          <w:tcPr>
            <w:tcW w:w="80" w:type="dxa"/>
            <w:vAlign w:val="bottom"/>
          </w:tcPr>
          <w:p>
            <w:pPr>
              <w:spacing w:after="0"/>
              <w:rPr>
                <w:sz w:val="16"/>
                <w:szCs w:val="16"/>
                <w:color w:val="auto"/>
              </w:rPr>
            </w:pPr>
          </w:p>
        </w:tc>
        <w:tc>
          <w:tcPr>
            <w:tcW w:w="12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Reduction</w:t>
            </w:r>
          </w:p>
        </w:tc>
        <w:tc>
          <w:tcPr>
            <w:tcW w:w="80" w:type="dxa"/>
            <w:vAlign w:val="bottom"/>
          </w:tcPr>
          <w:p>
            <w:pPr>
              <w:spacing w:after="0"/>
              <w:rPr>
                <w:sz w:val="16"/>
                <w:szCs w:val="16"/>
                <w:color w:val="auto"/>
              </w:rPr>
            </w:pPr>
          </w:p>
        </w:tc>
        <w:tc>
          <w:tcPr>
            <w:tcW w:w="112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8"/>
              </w:rPr>
              <w:t>(in Months)</w:t>
            </w:r>
          </w:p>
        </w:tc>
        <w:tc>
          <w:tcPr>
            <w:tcW w:w="8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280" w:type="dxa"/>
            <w:vAlign w:val="bottom"/>
            <w:tcBorders>
              <w:bottom w:val="single" w:sz="8" w:color="2C6937"/>
            </w:tcBorders>
          </w:tcPr>
          <w:p>
            <w:pPr>
              <w:jc w:val="center"/>
              <w:ind w:right="47"/>
              <w:spacing w:after="0" w:line="194" w:lineRule="exact"/>
              <w:rPr>
                <w:sz w:val="20"/>
                <w:szCs w:val="20"/>
                <w:color w:val="auto"/>
              </w:rPr>
            </w:pPr>
            <w:r>
              <w:rPr>
                <w:rFonts w:ascii="Arial" w:cs="Arial" w:eastAsia="Arial" w:hAnsi="Arial"/>
                <w:sz w:val="14"/>
                <w:szCs w:val="14"/>
                <w:b w:val="1"/>
                <w:bCs w:val="1"/>
                <w:color w:val="auto"/>
                <w:w w:val="95"/>
              </w:rPr>
              <w:t>Payment Delay</w:t>
            </w:r>
            <w:r>
              <w:rPr>
                <w:rFonts w:ascii="Arial" w:cs="Arial" w:eastAsia="Arial" w:hAnsi="Arial"/>
                <w:sz w:val="17"/>
                <w:szCs w:val="17"/>
                <w:b w:val="1"/>
                <w:bCs w:val="1"/>
                <w:color w:val="auto"/>
                <w:w w:val="95"/>
                <w:vertAlign w:val="superscript"/>
              </w:rPr>
              <w:t>(1)</w:t>
            </w:r>
          </w:p>
        </w:tc>
        <w:tc>
          <w:tcPr>
            <w:tcW w:w="0" w:type="dxa"/>
            <w:vAlign w:val="bottom"/>
          </w:tcPr>
          <w:p>
            <w:pPr>
              <w:spacing w:after="0"/>
              <w:rPr>
                <w:sz w:val="1"/>
                <w:szCs w:val="1"/>
                <w:color w:val="auto"/>
              </w:rPr>
            </w:pPr>
          </w:p>
        </w:tc>
      </w:tr>
      <w:tr>
        <w:trPr>
          <w:trHeight w:val="294"/>
        </w:trPr>
        <w:tc>
          <w:tcPr>
            <w:tcW w:w="3080" w:type="dxa"/>
            <w:vAlign w:val="bottom"/>
          </w:tcPr>
          <w:p>
            <w:pPr>
              <w:spacing w:after="0"/>
              <w:rPr>
                <w:sz w:val="20"/>
                <w:szCs w:val="20"/>
                <w:color w:val="auto"/>
              </w:rPr>
            </w:pPr>
            <w:r>
              <w:rPr>
                <w:rFonts w:ascii="Arial" w:cs="Arial" w:eastAsia="Arial" w:hAnsi="Arial"/>
                <w:sz w:val="14"/>
                <w:szCs w:val="14"/>
                <w:color w:val="auto"/>
              </w:rPr>
              <w:t>Loan by class of financing receivable</w:t>
            </w:r>
            <w:r>
              <w:rPr>
                <w:rFonts w:ascii="Arial" w:cs="Arial" w:eastAsia="Arial" w:hAnsi="Arial"/>
                <w:sz w:val="17"/>
                <w:szCs w:val="17"/>
                <w:color w:val="auto"/>
                <w:vertAlign w:val="superscript"/>
              </w:rPr>
              <w:t>(2)</w:t>
            </w:r>
            <w:r>
              <w:rPr>
                <w:rFonts w:ascii="Arial" w:cs="Arial" w:eastAsia="Arial" w:hAnsi="Arial"/>
                <w:sz w:val="14"/>
                <w:szCs w:val="14"/>
                <w:color w:val="auto"/>
              </w:rPr>
              <w:t>:</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080" w:type="dxa"/>
            <w:vAlign w:val="bottom"/>
          </w:tcPr>
          <w:p>
            <w:pPr>
              <w:ind w:left="160"/>
              <w:spacing w:after="0"/>
              <w:rPr>
                <w:sz w:val="20"/>
                <w:szCs w:val="20"/>
                <w:color w:val="auto"/>
              </w:rPr>
            </w:pPr>
            <w:r>
              <w:rPr>
                <w:rFonts w:ascii="Arial" w:cs="Arial" w:eastAsia="Arial" w:hAnsi="Arial"/>
                <w:sz w:val="14"/>
                <w:szCs w:val="14"/>
                <w:color w:val="auto"/>
              </w:rPr>
              <w:t>20- and 30-year or more, amortizing fixed-rate</w:t>
            </w:r>
          </w:p>
        </w:tc>
        <w:tc>
          <w:tcPr>
            <w:tcW w:w="1220" w:type="dxa"/>
            <w:vAlign w:val="bottom"/>
          </w:tcPr>
          <w:p>
            <w:pPr>
              <w:ind w:left="720"/>
              <w:spacing w:after="0"/>
              <w:rPr>
                <w:sz w:val="20"/>
                <w:szCs w:val="20"/>
                <w:color w:val="auto"/>
              </w:rPr>
            </w:pPr>
            <w:r>
              <w:rPr>
                <w:rFonts w:ascii="Arial" w:cs="Arial" w:eastAsia="Arial" w:hAnsi="Arial"/>
                <w:sz w:val="15"/>
                <w:szCs w:val="15"/>
                <w:color w:val="auto"/>
              </w:rPr>
              <w:t>1.15 %</w:t>
            </w: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172</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7"/>
              <w:spacing w:after="0"/>
              <w:rPr>
                <w:sz w:val="20"/>
                <w:szCs w:val="20"/>
                <w:color w:val="auto"/>
              </w:rPr>
            </w:pPr>
            <w:r>
              <w:rPr>
                <w:rFonts w:ascii="Arial" w:cs="Arial" w:eastAsia="Arial" w:hAnsi="Arial"/>
                <w:sz w:val="15"/>
                <w:szCs w:val="15"/>
                <w:color w:val="auto"/>
              </w:rPr>
              <w:t>16,661</w:t>
            </w:r>
          </w:p>
        </w:tc>
        <w:tc>
          <w:tcPr>
            <w:tcW w:w="1320" w:type="dxa"/>
            <w:vAlign w:val="bottom"/>
            <w:gridSpan w:val="2"/>
          </w:tcPr>
          <w:p>
            <w:pPr>
              <w:ind w:left="800"/>
              <w:spacing w:after="0"/>
              <w:rPr>
                <w:sz w:val="20"/>
                <w:szCs w:val="20"/>
                <w:color w:val="auto"/>
              </w:rPr>
            </w:pPr>
            <w:r>
              <w:rPr>
                <w:rFonts w:ascii="Arial" w:cs="Arial" w:eastAsia="Arial" w:hAnsi="Arial"/>
                <w:sz w:val="15"/>
                <w:szCs w:val="15"/>
                <w:color w:val="auto"/>
              </w:rPr>
              <w:t>1.45 %</w:t>
            </w:r>
          </w:p>
        </w:tc>
        <w:tc>
          <w:tcPr>
            <w:tcW w:w="1200" w:type="dxa"/>
            <w:vAlign w:val="bottom"/>
            <w:gridSpan w:val="2"/>
          </w:tcPr>
          <w:p>
            <w:pPr>
              <w:jc w:val="right"/>
              <w:ind w:right="10"/>
              <w:spacing w:after="0"/>
              <w:rPr>
                <w:sz w:val="20"/>
                <w:szCs w:val="20"/>
                <w:color w:val="auto"/>
              </w:rPr>
            </w:pPr>
            <w:r>
              <w:rPr>
                <w:rFonts w:ascii="Arial" w:cs="Arial" w:eastAsia="Arial" w:hAnsi="Arial"/>
                <w:sz w:val="15"/>
                <w:szCs w:val="15"/>
                <w:color w:val="auto"/>
              </w:rPr>
              <w:t>180</w:t>
            </w: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7"/>
              <w:spacing w:after="0"/>
              <w:rPr>
                <w:sz w:val="20"/>
                <w:szCs w:val="20"/>
                <w:color w:val="auto"/>
              </w:rPr>
            </w:pPr>
            <w:r>
              <w:rPr>
                <w:rFonts w:ascii="Arial" w:cs="Arial" w:eastAsia="Arial" w:hAnsi="Arial"/>
                <w:sz w:val="15"/>
                <w:szCs w:val="15"/>
                <w:color w:val="auto"/>
              </w:rPr>
              <w:t>22,997</w:t>
            </w:r>
          </w:p>
        </w:tc>
        <w:tc>
          <w:tcPr>
            <w:tcW w:w="0" w:type="dxa"/>
            <w:vAlign w:val="bottom"/>
          </w:tcPr>
          <w:p>
            <w:pPr>
              <w:spacing w:after="0"/>
              <w:rPr>
                <w:sz w:val="1"/>
                <w:szCs w:val="1"/>
                <w:color w:val="auto"/>
              </w:rPr>
            </w:pPr>
          </w:p>
        </w:tc>
      </w:tr>
      <w:tr>
        <w:trPr>
          <w:trHeight w:val="219"/>
        </w:trPr>
        <w:tc>
          <w:tcPr>
            <w:tcW w:w="3080" w:type="dxa"/>
            <w:vAlign w:val="bottom"/>
          </w:tcPr>
          <w:p>
            <w:pPr>
              <w:ind w:left="160"/>
              <w:spacing w:after="0"/>
              <w:rPr>
                <w:sz w:val="20"/>
                <w:szCs w:val="20"/>
                <w:color w:val="auto"/>
              </w:rPr>
            </w:pPr>
            <w:r>
              <w:rPr>
                <w:rFonts w:ascii="Arial" w:cs="Arial" w:eastAsia="Arial" w:hAnsi="Arial"/>
                <w:sz w:val="14"/>
                <w:szCs w:val="14"/>
                <w:color w:val="auto"/>
              </w:rPr>
              <w:t>15-year or less, amortizing fixed-rate</w:t>
            </w:r>
          </w:p>
        </w:tc>
        <w:tc>
          <w:tcPr>
            <w:tcW w:w="1220" w:type="dxa"/>
            <w:vAlign w:val="bottom"/>
          </w:tcPr>
          <w:p>
            <w:pPr>
              <w:ind w:left="720"/>
              <w:spacing w:after="0"/>
              <w:rPr>
                <w:sz w:val="20"/>
                <w:szCs w:val="20"/>
                <w:color w:val="auto"/>
              </w:rPr>
            </w:pPr>
            <w:r>
              <w:rPr>
                <w:rFonts w:ascii="Arial" w:cs="Arial" w:eastAsia="Arial" w:hAnsi="Arial"/>
                <w:sz w:val="15"/>
                <w:szCs w:val="15"/>
                <w:color w:val="auto"/>
              </w:rPr>
              <w:t>2.50</w:t>
            </w: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7"/>
              <w:spacing w:after="0"/>
              <w:rPr>
                <w:sz w:val="20"/>
                <w:szCs w:val="20"/>
                <w:color w:val="auto"/>
              </w:rPr>
            </w:pPr>
            <w:r>
              <w:rPr>
                <w:rFonts w:ascii="Arial" w:cs="Arial" w:eastAsia="Arial" w:hAnsi="Arial"/>
                <w:sz w:val="15"/>
                <w:szCs w:val="15"/>
                <w:color w:val="auto"/>
              </w:rPr>
              <w:t>14,819</w:t>
            </w:r>
          </w:p>
        </w:tc>
        <w:tc>
          <w:tcPr>
            <w:tcW w:w="1320" w:type="dxa"/>
            <w:vAlign w:val="bottom"/>
            <w:gridSpan w:val="2"/>
          </w:tcPr>
          <w:p>
            <w:pPr>
              <w:ind w:left="800"/>
              <w:spacing w:after="0"/>
              <w:rPr>
                <w:sz w:val="20"/>
                <w:szCs w:val="20"/>
                <w:color w:val="auto"/>
              </w:rPr>
            </w:pPr>
            <w:r>
              <w:rPr>
                <w:rFonts w:ascii="Arial" w:cs="Arial" w:eastAsia="Arial" w:hAnsi="Arial"/>
                <w:sz w:val="15"/>
                <w:szCs w:val="15"/>
                <w:color w:val="auto"/>
              </w:rPr>
              <w:t>1.88</w:t>
            </w:r>
          </w:p>
        </w:tc>
        <w:tc>
          <w:tcPr>
            <w:tcW w:w="1200" w:type="dxa"/>
            <w:vAlign w:val="bottom"/>
            <w:gridSpan w:val="2"/>
          </w:tcPr>
          <w:p>
            <w:pPr>
              <w:jc w:val="right"/>
              <w:ind w:right="10"/>
              <w:spacing w:after="0"/>
              <w:rPr>
                <w:sz w:val="20"/>
                <w:szCs w:val="20"/>
                <w:color w:val="auto"/>
              </w:rPr>
            </w:pPr>
            <w:r>
              <w:rPr>
                <w:rFonts w:ascii="Arial" w:cs="Arial" w:eastAsia="Arial" w:hAnsi="Arial"/>
                <w:sz w:val="15"/>
                <w:szCs w:val="15"/>
                <w:color w:val="auto"/>
              </w:rPr>
              <w:t>51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7"/>
              <w:spacing w:after="0"/>
              <w:rPr>
                <w:sz w:val="20"/>
                <w:szCs w:val="20"/>
                <w:color w:val="auto"/>
              </w:rPr>
            </w:pPr>
            <w:r>
              <w:rPr>
                <w:rFonts w:ascii="Arial" w:cs="Arial" w:eastAsia="Arial" w:hAnsi="Arial"/>
                <w:sz w:val="15"/>
                <w:szCs w:val="15"/>
                <w:color w:val="auto"/>
              </w:rPr>
              <w:t>18,394</w:t>
            </w:r>
          </w:p>
        </w:tc>
        <w:tc>
          <w:tcPr>
            <w:tcW w:w="0" w:type="dxa"/>
            <w:vAlign w:val="bottom"/>
          </w:tcPr>
          <w:p>
            <w:pPr>
              <w:spacing w:after="0"/>
              <w:rPr>
                <w:sz w:val="1"/>
                <w:szCs w:val="1"/>
                <w:color w:val="auto"/>
              </w:rPr>
            </w:pPr>
          </w:p>
        </w:tc>
      </w:tr>
      <w:tr>
        <w:trPr>
          <w:trHeight w:val="284"/>
        </w:trPr>
        <w:tc>
          <w:tcPr>
            <w:tcW w:w="3080" w:type="dxa"/>
            <w:vAlign w:val="bottom"/>
          </w:tcPr>
          <w:p>
            <w:pPr>
              <w:ind w:left="160"/>
              <w:spacing w:after="0"/>
              <w:rPr>
                <w:sz w:val="20"/>
                <w:szCs w:val="20"/>
                <w:color w:val="auto"/>
              </w:rPr>
            </w:pPr>
            <w:r>
              <w:rPr>
                <w:rFonts w:ascii="Arial" w:cs="Arial" w:eastAsia="Arial" w:hAnsi="Arial"/>
                <w:sz w:val="14"/>
                <w:szCs w:val="14"/>
                <w:color w:val="auto"/>
              </w:rPr>
              <w:t>Adjustable-rate</w:t>
            </w:r>
          </w:p>
        </w:tc>
        <w:tc>
          <w:tcPr>
            <w:tcW w:w="1220" w:type="dxa"/>
            <w:vAlign w:val="bottom"/>
          </w:tcPr>
          <w:p>
            <w:pPr>
              <w:ind w:left="720"/>
              <w:spacing w:after="0"/>
              <w:rPr>
                <w:sz w:val="20"/>
                <w:szCs w:val="20"/>
                <w:color w:val="auto"/>
              </w:rPr>
            </w:pPr>
            <w:r>
              <w:rPr>
                <w:rFonts w:ascii="Arial" w:cs="Arial" w:eastAsia="Arial" w:hAnsi="Arial"/>
                <w:sz w:val="15"/>
                <w:szCs w:val="15"/>
                <w:color w:val="auto"/>
              </w:rPr>
              <w:t>1.61</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7"/>
              <w:spacing w:after="0"/>
              <w:rPr>
                <w:sz w:val="20"/>
                <w:szCs w:val="20"/>
                <w:color w:val="auto"/>
              </w:rPr>
            </w:pPr>
            <w:r>
              <w:rPr>
                <w:rFonts w:ascii="Arial" w:cs="Arial" w:eastAsia="Arial" w:hAnsi="Arial"/>
                <w:sz w:val="15"/>
                <w:szCs w:val="15"/>
                <w:color w:val="auto"/>
              </w:rPr>
              <w:t>14,450</w:t>
            </w:r>
          </w:p>
        </w:tc>
        <w:tc>
          <w:tcPr>
            <w:tcW w:w="1320" w:type="dxa"/>
            <w:vAlign w:val="bottom"/>
            <w:gridSpan w:val="2"/>
          </w:tcPr>
          <w:p>
            <w:pPr>
              <w:ind w:left="800"/>
              <w:spacing w:after="0"/>
              <w:rPr>
                <w:sz w:val="20"/>
                <w:szCs w:val="20"/>
                <w:color w:val="auto"/>
              </w:rPr>
            </w:pPr>
            <w:r>
              <w:rPr>
                <w:rFonts w:ascii="Arial" w:cs="Arial" w:eastAsia="Arial" w:hAnsi="Arial"/>
                <w:sz w:val="15"/>
                <w:szCs w:val="15"/>
                <w:color w:val="auto"/>
              </w:rPr>
              <w:t>0.78</w:t>
            </w:r>
          </w:p>
        </w:tc>
        <w:tc>
          <w:tcPr>
            <w:tcW w:w="8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7"/>
              <w:spacing w:after="0"/>
              <w:rPr>
                <w:sz w:val="20"/>
                <w:szCs w:val="20"/>
                <w:color w:val="auto"/>
              </w:rPr>
            </w:pPr>
            <w:r>
              <w:rPr>
                <w:rFonts w:ascii="Arial" w:cs="Arial" w:eastAsia="Arial" w:hAnsi="Arial"/>
                <w:sz w:val="15"/>
                <w:szCs w:val="15"/>
                <w:color w:val="auto"/>
              </w:rPr>
              <w:t>19,528</w:t>
            </w:r>
          </w:p>
        </w:tc>
        <w:tc>
          <w:tcPr>
            <w:tcW w:w="0" w:type="dxa"/>
            <w:vAlign w:val="bottom"/>
          </w:tcPr>
          <w:p>
            <w:pPr>
              <w:spacing w:after="0"/>
              <w:rPr>
                <w:sz w:val="1"/>
                <w:szCs w:val="1"/>
                <w:color w:val="auto"/>
              </w:rPr>
            </w:pPr>
          </w:p>
        </w:tc>
      </w:tr>
      <w:tr>
        <w:trPr>
          <w:trHeight w:val="297"/>
        </w:trPr>
        <w:tc>
          <w:tcPr>
            <w:tcW w:w="3080" w:type="dxa"/>
            <w:vAlign w:val="bottom"/>
          </w:tcPr>
          <w:p>
            <w:pPr>
              <w:ind w:left="160"/>
              <w:spacing w:after="0"/>
              <w:rPr>
                <w:sz w:val="20"/>
                <w:szCs w:val="20"/>
                <w:color w:val="auto"/>
              </w:rPr>
            </w:pPr>
            <w:r>
              <w:rPr>
                <w:rFonts w:ascii="Arial" w:cs="Arial" w:eastAsia="Arial" w:hAnsi="Arial"/>
                <w:sz w:val="14"/>
                <w:szCs w:val="14"/>
                <w:color w:val="auto"/>
              </w:rPr>
              <w:t>Other</w:t>
            </w:r>
          </w:p>
        </w:tc>
        <w:tc>
          <w:tcPr>
            <w:tcW w:w="1220" w:type="dxa"/>
            <w:vAlign w:val="bottom"/>
          </w:tcPr>
          <w:p>
            <w:pPr>
              <w:ind w:left="720"/>
              <w:spacing w:after="0"/>
              <w:rPr>
                <w:sz w:val="20"/>
                <w:szCs w:val="20"/>
                <w:color w:val="auto"/>
              </w:rPr>
            </w:pPr>
            <w:r>
              <w:rPr>
                <w:rFonts w:ascii="Arial" w:cs="Arial" w:eastAsia="Arial" w:hAnsi="Arial"/>
                <w:sz w:val="15"/>
                <w:szCs w:val="15"/>
                <w:color w:val="auto"/>
              </w:rPr>
              <w:t>1.34</w:t>
            </w: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172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7"/>
              <w:spacing w:after="0"/>
              <w:rPr>
                <w:sz w:val="20"/>
                <w:szCs w:val="20"/>
                <w:color w:val="auto"/>
              </w:rPr>
            </w:pPr>
            <w:r>
              <w:rPr>
                <w:rFonts w:ascii="Arial" w:cs="Arial" w:eastAsia="Arial" w:hAnsi="Arial"/>
                <w:sz w:val="15"/>
                <w:szCs w:val="15"/>
                <w:color w:val="auto"/>
              </w:rPr>
              <w:t>21,304</w:t>
            </w:r>
          </w:p>
        </w:tc>
        <w:tc>
          <w:tcPr>
            <w:tcW w:w="1320" w:type="dxa"/>
            <w:vAlign w:val="bottom"/>
            <w:gridSpan w:val="2"/>
          </w:tcPr>
          <w:p>
            <w:pPr>
              <w:ind w:left="800"/>
              <w:spacing w:after="0"/>
              <w:rPr>
                <w:sz w:val="20"/>
                <w:szCs w:val="20"/>
                <w:color w:val="auto"/>
              </w:rPr>
            </w:pPr>
            <w:r>
              <w:rPr>
                <w:rFonts w:ascii="Arial" w:cs="Arial" w:eastAsia="Arial" w:hAnsi="Arial"/>
                <w:sz w:val="15"/>
                <w:szCs w:val="15"/>
                <w:color w:val="auto"/>
              </w:rPr>
              <w:t>1.81</w:t>
            </w:r>
          </w:p>
        </w:tc>
        <w:tc>
          <w:tcPr>
            <w:tcW w:w="1200" w:type="dxa"/>
            <w:vAlign w:val="bottom"/>
            <w:gridSpan w:val="2"/>
          </w:tcPr>
          <w:p>
            <w:pPr>
              <w:jc w:val="right"/>
              <w:ind w:right="10"/>
              <w:spacing w:after="0"/>
              <w:rPr>
                <w:sz w:val="20"/>
                <w:szCs w:val="20"/>
                <w:color w:val="auto"/>
              </w:rPr>
            </w:pPr>
            <w:r>
              <w:rPr>
                <w:rFonts w:ascii="Arial" w:cs="Arial" w:eastAsia="Arial" w:hAnsi="Arial"/>
                <w:sz w:val="15"/>
                <w:szCs w:val="15"/>
                <w:color w:val="auto"/>
              </w:rPr>
              <w:t>183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7"/>
              <w:spacing w:after="0"/>
              <w:rPr>
                <w:sz w:val="20"/>
                <w:szCs w:val="20"/>
                <w:color w:val="auto"/>
              </w:rPr>
            </w:pPr>
            <w:r>
              <w:rPr>
                <w:rFonts w:ascii="Arial" w:cs="Arial" w:eastAsia="Arial" w:hAnsi="Arial"/>
                <w:sz w:val="15"/>
                <w:szCs w:val="15"/>
                <w:color w:val="auto"/>
              </w:rPr>
              <w:t>22,666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429260</wp:posOffset>
            </wp:positionV>
            <wp:extent cx="681101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type w:val="continuous"/>
        </w:sectPr>
      </w:pPr>
    </w:p>
    <w:bookmarkStart w:id="84" w:name="page85"/>
    <w:bookmarkEnd w:id="84"/>
    <w:p>
      <w:pPr>
        <w:ind w:left="6620"/>
        <w:spacing w:after="0"/>
        <w:rPr>
          <w:sz w:val="20"/>
          <w:szCs w:val="20"/>
          <w:color w:val="auto"/>
        </w:rPr>
      </w:pPr>
      <w:r>
        <w:rPr>
          <w:rFonts w:ascii="Arial" w:cs="Arial" w:eastAsia="Arial" w:hAnsi="Arial"/>
          <w:sz w:val="13"/>
          <w:szCs w:val="13"/>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22860</wp:posOffset>
            </wp:positionV>
            <wp:extent cx="70237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3080" w:type="dxa"/>
            <w:vAlign w:val="bottom"/>
          </w:tcPr>
          <w:p>
            <w:pPr>
              <w:spacing w:after="0"/>
              <w:rPr>
                <w:sz w:val="17"/>
                <w:szCs w:val="17"/>
                <w:color w:val="auto"/>
              </w:rPr>
            </w:pPr>
          </w:p>
        </w:tc>
        <w:tc>
          <w:tcPr>
            <w:tcW w:w="12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1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2580" w:type="dxa"/>
            <w:vAlign w:val="bottom"/>
            <w:tcBorders>
              <w:bottom w:val="single" w:sz="8" w:color="2C6937"/>
            </w:tcBorders>
            <w:gridSpan w:val="3"/>
          </w:tcPr>
          <w:p>
            <w:pPr>
              <w:ind w:left="180"/>
              <w:spacing w:after="0"/>
              <w:rPr>
                <w:sz w:val="20"/>
                <w:szCs w:val="20"/>
                <w:color w:val="auto"/>
              </w:rPr>
            </w:pPr>
            <w:r>
              <w:rPr>
                <w:rFonts w:ascii="Arial" w:cs="Arial" w:eastAsia="Arial" w:hAnsi="Arial"/>
                <w:sz w:val="14"/>
                <w:szCs w:val="14"/>
                <w:b w:val="1"/>
                <w:bCs w:val="1"/>
                <w:color w:val="auto"/>
              </w:rPr>
              <w:t>For the Six Months Ended June 30,</w:t>
            </w:r>
          </w:p>
        </w:tc>
        <w:tc>
          <w:tcPr>
            <w:tcW w:w="100" w:type="dxa"/>
            <w:vAlign w:val="bottom"/>
            <w:tcBorders>
              <w:bottom w:val="single" w:sz="8" w:color="2C6937"/>
            </w:tcBorders>
          </w:tcPr>
          <w:p>
            <w:pPr>
              <w:spacing w:after="0"/>
              <w:rPr>
                <w:sz w:val="17"/>
                <w:szCs w:val="17"/>
                <w:color w:val="auto"/>
              </w:rPr>
            </w:pPr>
          </w:p>
        </w:tc>
        <w:tc>
          <w:tcPr>
            <w:tcW w:w="11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28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80" w:type="dxa"/>
            <w:vAlign w:val="bottom"/>
          </w:tcPr>
          <w:p>
            <w:pPr>
              <w:spacing w:after="0"/>
              <w:rPr>
                <w:sz w:val="18"/>
                <w:szCs w:val="18"/>
                <w:color w:val="auto"/>
              </w:rPr>
            </w:pPr>
          </w:p>
        </w:tc>
        <w:tc>
          <w:tcPr>
            <w:tcW w:w="1220" w:type="dxa"/>
            <w:vAlign w:val="bottom"/>
            <w:tcBorders>
              <w:bottom w:val="single" w:sz="8" w:color="2C6937"/>
            </w:tcBorders>
          </w:tcPr>
          <w:p>
            <w:pPr>
              <w:spacing w:after="0"/>
              <w:rPr>
                <w:sz w:val="18"/>
                <w:szCs w:val="18"/>
                <w:color w:val="auto"/>
              </w:rPr>
            </w:pPr>
          </w:p>
        </w:tc>
        <w:tc>
          <w:tcPr>
            <w:tcW w:w="1200" w:type="dxa"/>
            <w:vAlign w:val="bottom"/>
            <w:tcBorders>
              <w:bottom w:val="single" w:sz="8" w:color="2C6937"/>
            </w:tcBorders>
            <w:gridSpan w:val="2"/>
          </w:tcPr>
          <w:p>
            <w:pPr>
              <w:jc w:val="right"/>
              <w:ind w:right="25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260" w:type="dxa"/>
            <w:vAlign w:val="bottom"/>
            <w:tcBorders>
              <w:bottom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2C6937"/>
            </w:tcBorders>
          </w:tcPr>
          <w:p>
            <w:pPr>
              <w:spacing w:after="0"/>
              <w:rPr>
                <w:sz w:val="18"/>
                <w:szCs w:val="18"/>
                <w:color w:val="auto"/>
              </w:rPr>
            </w:pPr>
          </w:p>
        </w:tc>
        <w:tc>
          <w:tcPr>
            <w:tcW w:w="1200" w:type="dxa"/>
            <w:vAlign w:val="bottom"/>
            <w:tcBorders>
              <w:bottom w:val="single" w:sz="8" w:color="2C6937"/>
            </w:tcBorders>
            <w:gridSpan w:val="2"/>
          </w:tcPr>
          <w:p>
            <w:pPr>
              <w:jc w:val="right"/>
              <w:ind w:right="25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280" w:type="dxa"/>
            <w:vAlign w:val="bottom"/>
            <w:tcBorders>
              <w:bottom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Weighted-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restart"/>
          </w:tcPr>
          <w:p>
            <w:pPr>
              <w:jc w:val="center"/>
              <w:ind w:right="47"/>
              <w:spacing w:after="0"/>
              <w:rPr>
                <w:sz w:val="20"/>
                <w:szCs w:val="20"/>
                <w:color w:val="auto"/>
              </w:rPr>
            </w:pPr>
            <w:r>
              <w:rPr>
                <w:rFonts w:ascii="Arial" w:cs="Arial" w:eastAsia="Arial" w:hAnsi="Arial"/>
                <w:sz w:val="14"/>
                <w:szCs w:val="14"/>
                <w:b w:val="1"/>
                <w:bCs w:val="1"/>
                <w:color w:val="auto"/>
                <w:w w:val="98"/>
              </w:rPr>
              <w:t>Average Amount</w:t>
            </w:r>
          </w:p>
        </w:tc>
        <w:tc>
          <w:tcPr>
            <w:tcW w:w="10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Weighted-</w:t>
            </w:r>
          </w:p>
        </w:tc>
        <w:tc>
          <w:tcPr>
            <w:tcW w:w="10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7"/>
              </w:rPr>
              <w:t>Weighted-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restart"/>
          </w:tcPr>
          <w:p>
            <w:pPr>
              <w:jc w:val="center"/>
              <w:ind w:right="47"/>
              <w:spacing w:after="0"/>
              <w:rPr>
                <w:sz w:val="20"/>
                <w:szCs w:val="20"/>
                <w:color w:val="auto"/>
              </w:rPr>
            </w:pPr>
            <w:r>
              <w:rPr>
                <w:rFonts w:ascii="Arial" w:cs="Arial" w:eastAsia="Arial" w:hAnsi="Arial"/>
                <w:sz w:val="14"/>
                <w:szCs w:val="14"/>
                <w:b w:val="1"/>
                <w:bCs w:val="1"/>
                <w:color w:val="auto"/>
                <w:w w:val="96"/>
              </w:rPr>
              <w:t>Average Amount</w:t>
            </w:r>
          </w:p>
        </w:tc>
        <w:tc>
          <w:tcPr>
            <w:tcW w:w="0" w:type="dxa"/>
            <w:vAlign w:val="bottom"/>
          </w:tcPr>
          <w:p>
            <w:pPr>
              <w:spacing w:after="0"/>
              <w:rPr>
                <w:sz w:val="1"/>
                <w:szCs w:val="1"/>
                <w:color w:val="auto"/>
              </w:rPr>
            </w:pPr>
          </w:p>
        </w:tc>
      </w:tr>
      <w:tr>
        <w:trPr>
          <w:trHeight w:val="130"/>
        </w:trPr>
        <w:tc>
          <w:tcPr>
            <w:tcW w:w="3080" w:type="dxa"/>
            <w:vAlign w:val="bottom"/>
          </w:tcPr>
          <w:p>
            <w:pPr>
              <w:spacing w:after="0"/>
              <w:rPr>
                <w:sz w:val="11"/>
                <w:szCs w:val="11"/>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Weighted-</w:t>
            </w:r>
          </w:p>
        </w:tc>
        <w:tc>
          <w:tcPr>
            <w:tcW w:w="1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7"/>
              </w:rPr>
              <w:t>Average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0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6"/>
              </w:rPr>
              <w:t>Average Term</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47"/>
              <w:spacing w:after="0" w:line="141" w:lineRule="exact"/>
              <w:rPr>
                <w:sz w:val="20"/>
                <w:szCs w:val="20"/>
                <w:color w:val="auto"/>
              </w:rPr>
            </w:pPr>
            <w:r>
              <w:rPr>
                <w:rFonts w:ascii="Arial" w:cs="Arial" w:eastAsia="Arial" w:hAnsi="Arial"/>
                <w:sz w:val="14"/>
                <w:szCs w:val="14"/>
                <w:b w:val="1"/>
                <w:bCs w:val="1"/>
                <w:color w:val="auto"/>
                <w:w w:val="96"/>
              </w:rPr>
              <w:t>Capitalized as</w:t>
            </w:r>
          </w:p>
        </w:tc>
        <w:tc>
          <w:tcPr>
            <w:tcW w:w="100" w:type="dxa"/>
            <w:vAlign w:val="bottom"/>
          </w:tcPr>
          <w:p>
            <w:pPr>
              <w:spacing w:after="0"/>
              <w:rPr>
                <w:sz w:val="12"/>
                <w:szCs w:val="12"/>
                <w:color w:val="auto"/>
              </w:rPr>
            </w:pPr>
          </w:p>
        </w:tc>
        <w:tc>
          <w:tcPr>
            <w:tcW w:w="12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7"/>
              </w:rPr>
              <w:t>Average</w:t>
            </w:r>
          </w:p>
        </w:tc>
        <w:tc>
          <w:tcPr>
            <w:tcW w:w="100" w:type="dxa"/>
            <w:vAlign w:val="bottom"/>
          </w:tcPr>
          <w:p>
            <w:pPr>
              <w:spacing w:after="0"/>
              <w:rPr>
                <w:sz w:val="12"/>
                <w:szCs w:val="12"/>
                <w:color w:val="auto"/>
              </w:rPr>
            </w:pPr>
          </w:p>
        </w:tc>
        <w:tc>
          <w:tcPr>
            <w:tcW w:w="11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9"/>
              </w:rPr>
              <w:t>Term</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47"/>
              <w:spacing w:after="0" w:line="141" w:lineRule="exact"/>
              <w:rPr>
                <w:sz w:val="20"/>
                <w:szCs w:val="20"/>
                <w:color w:val="auto"/>
              </w:rPr>
            </w:pPr>
            <w:r>
              <w:rPr>
                <w:rFonts w:ascii="Arial" w:cs="Arial" w:eastAsia="Arial" w:hAnsi="Arial"/>
                <w:sz w:val="14"/>
                <w:szCs w:val="14"/>
                <w:b w:val="1"/>
                <w:bCs w:val="1"/>
                <w:color w:val="auto"/>
                <w:w w:val="98"/>
              </w:rPr>
              <w:t>Capitalized as</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2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Average Interest</w:t>
            </w:r>
          </w:p>
        </w:tc>
        <w:tc>
          <w:tcPr>
            <w:tcW w:w="10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7"/>
              </w:rPr>
              <w:t>Extension (in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47"/>
              <w:spacing w:after="0" w:line="142" w:lineRule="exact"/>
              <w:rPr>
                <w:sz w:val="20"/>
                <w:szCs w:val="20"/>
                <w:color w:val="auto"/>
              </w:rPr>
            </w:pPr>
            <w:r>
              <w:rPr>
                <w:rFonts w:ascii="Arial" w:cs="Arial" w:eastAsia="Arial" w:hAnsi="Arial"/>
                <w:sz w:val="14"/>
                <w:szCs w:val="14"/>
                <w:b w:val="1"/>
                <w:bCs w:val="1"/>
                <w:color w:val="auto"/>
                <w:w w:val="98"/>
              </w:rPr>
              <w:t>a Result of a</w:t>
            </w:r>
          </w:p>
        </w:tc>
        <w:tc>
          <w:tcPr>
            <w:tcW w:w="100" w:type="dxa"/>
            <w:vAlign w:val="bottom"/>
          </w:tcPr>
          <w:p>
            <w:pPr>
              <w:spacing w:after="0"/>
              <w:rPr>
                <w:sz w:val="12"/>
                <w:szCs w:val="12"/>
                <w:color w:val="auto"/>
              </w:rPr>
            </w:pPr>
          </w:p>
        </w:tc>
        <w:tc>
          <w:tcPr>
            <w:tcW w:w="12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Interest Rate</w:t>
            </w:r>
          </w:p>
        </w:tc>
        <w:tc>
          <w:tcPr>
            <w:tcW w:w="10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8"/>
              </w:rPr>
              <w:t>Extension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67"/>
              <w:spacing w:after="0" w:line="142" w:lineRule="exact"/>
              <w:rPr>
                <w:sz w:val="20"/>
                <w:szCs w:val="20"/>
                <w:color w:val="auto"/>
              </w:rPr>
            </w:pPr>
            <w:r>
              <w:rPr>
                <w:rFonts w:ascii="Arial" w:cs="Arial" w:eastAsia="Arial" w:hAnsi="Arial"/>
                <w:sz w:val="14"/>
                <w:szCs w:val="14"/>
                <w:b w:val="1"/>
                <w:bCs w:val="1"/>
                <w:color w:val="auto"/>
                <w:w w:val="98"/>
              </w:rPr>
              <w:t>a Result of a</w:t>
            </w:r>
          </w:p>
        </w:tc>
        <w:tc>
          <w:tcPr>
            <w:tcW w:w="0" w:type="dxa"/>
            <w:vAlign w:val="bottom"/>
          </w:tcPr>
          <w:p>
            <w:pPr>
              <w:spacing w:after="0"/>
              <w:rPr>
                <w:sz w:val="1"/>
                <w:szCs w:val="1"/>
                <w:color w:val="auto"/>
              </w:rPr>
            </w:pPr>
          </w:p>
        </w:tc>
      </w:tr>
      <w:tr>
        <w:trPr>
          <w:trHeight w:val="180"/>
        </w:trPr>
        <w:tc>
          <w:tcPr>
            <w:tcW w:w="3080" w:type="dxa"/>
            <w:vAlign w:val="bottom"/>
          </w:tcPr>
          <w:p>
            <w:pPr>
              <w:spacing w:after="0"/>
              <w:rPr>
                <w:sz w:val="15"/>
                <w:szCs w:val="15"/>
                <w:color w:val="auto"/>
              </w:rPr>
            </w:pPr>
          </w:p>
        </w:tc>
        <w:tc>
          <w:tcPr>
            <w:tcW w:w="122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Rate Reduction</w:t>
            </w:r>
          </w:p>
        </w:tc>
        <w:tc>
          <w:tcPr>
            <w:tcW w:w="100" w:type="dxa"/>
            <w:vAlign w:val="bottom"/>
          </w:tcPr>
          <w:p>
            <w:pPr>
              <w:spacing w:after="0"/>
              <w:rPr>
                <w:sz w:val="15"/>
                <w:szCs w:val="15"/>
                <w:color w:val="auto"/>
              </w:rPr>
            </w:pPr>
          </w:p>
        </w:tc>
        <w:tc>
          <w:tcPr>
            <w:tcW w:w="110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Months)</w:t>
            </w: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260" w:type="dxa"/>
            <w:vAlign w:val="bottom"/>
            <w:tcBorders>
              <w:bottom w:val="single" w:sz="8" w:color="2C6937"/>
            </w:tcBorders>
          </w:tcPr>
          <w:p>
            <w:pPr>
              <w:jc w:val="center"/>
              <w:ind w:right="47"/>
              <w:spacing w:after="0" w:line="180" w:lineRule="exact"/>
              <w:rPr>
                <w:sz w:val="20"/>
                <w:szCs w:val="20"/>
                <w:color w:val="auto"/>
              </w:rPr>
            </w:pPr>
            <w:r>
              <w:rPr>
                <w:rFonts w:ascii="Arial" w:cs="Arial" w:eastAsia="Arial" w:hAnsi="Arial"/>
                <w:sz w:val="14"/>
                <w:szCs w:val="14"/>
                <w:b w:val="1"/>
                <w:bCs w:val="1"/>
                <w:color w:val="auto"/>
                <w:w w:val="96"/>
              </w:rPr>
              <w:t>Payment Delay</w:t>
            </w:r>
            <w:r>
              <w:rPr>
                <w:rFonts w:ascii="Arial" w:cs="Arial" w:eastAsia="Arial" w:hAnsi="Arial"/>
                <w:sz w:val="17"/>
                <w:szCs w:val="17"/>
                <w:b w:val="1"/>
                <w:bCs w:val="1"/>
                <w:color w:val="auto"/>
                <w:w w:val="96"/>
                <w:vertAlign w:val="superscript"/>
              </w:rPr>
              <w:t>(1)</w:t>
            </w:r>
          </w:p>
        </w:tc>
        <w:tc>
          <w:tcPr>
            <w:tcW w:w="100" w:type="dxa"/>
            <w:vAlign w:val="bottom"/>
          </w:tcPr>
          <w:p>
            <w:pPr>
              <w:spacing w:after="0"/>
              <w:rPr>
                <w:sz w:val="15"/>
                <w:szCs w:val="15"/>
                <w:color w:val="auto"/>
              </w:rPr>
            </w:pPr>
          </w:p>
        </w:tc>
        <w:tc>
          <w:tcPr>
            <w:tcW w:w="122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Reduction</w:t>
            </w:r>
          </w:p>
        </w:tc>
        <w:tc>
          <w:tcPr>
            <w:tcW w:w="100" w:type="dxa"/>
            <w:vAlign w:val="bottom"/>
          </w:tcPr>
          <w:p>
            <w:pPr>
              <w:spacing w:after="0"/>
              <w:rPr>
                <w:sz w:val="15"/>
                <w:szCs w:val="15"/>
                <w:color w:val="auto"/>
              </w:rPr>
            </w:pPr>
          </w:p>
        </w:tc>
        <w:tc>
          <w:tcPr>
            <w:tcW w:w="110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8"/>
              </w:rPr>
              <w:t>(in Months)</w:t>
            </w: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280" w:type="dxa"/>
            <w:vAlign w:val="bottom"/>
            <w:tcBorders>
              <w:bottom w:val="single" w:sz="8" w:color="2C6937"/>
            </w:tcBorders>
          </w:tcPr>
          <w:p>
            <w:pPr>
              <w:jc w:val="center"/>
              <w:ind w:right="47"/>
              <w:spacing w:after="0" w:line="180" w:lineRule="exact"/>
              <w:rPr>
                <w:sz w:val="20"/>
                <w:szCs w:val="20"/>
                <w:color w:val="auto"/>
              </w:rPr>
            </w:pPr>
            <w:r>
              <w:rPr>
                <w:rFonts w:ascii="Arial" w:cs="Arial" w:eastAsia="Arial" w:hAnsi="Arial"/>
                <w:sz w:val="14"/>
                <w:szCs w:val="14"/>
                <w:b w:val="1"/>
                <w:bCs w:val="1"/>
                <w:color w:val="auto"/>
                <w:w w:val="95"/>
              </w:rPr>
              <w:t>Payment Delay</w:t>
            </w:r>
            <w:r>
              <w:rPr>
                <w:rFonts w:ascii="Arial" w:cs="Arial" w:eastAsia="Arial" w:hAnsi="Arial"/>
                <w:sz w:val="17"/>
                <w:szCs w:val="17"/>
                <w:b w:val="1"/>
                <w:bCs w:val="1"/>
                <w:color w:val="auto"/>
                <w:w w:val="95"/>
                <w:vertAlign w:val="superscript"/>
              </w:rPr>
              <w:t>(1)</w:t>
            </w:r>
          </w:p>
        </w:tc>
        <w:tc>
          <w:tcPr>
            <w:tcW w:w="0" w:type="dxa"/>
            <w:vAlign w:val="bottom"/>
          </w:tcPr>
          <w:p>
            <w:pPr>
              <w:spacing w:after="0"/>
              <w:rPr>
                <w:sz w:val="1"/>
                <w:szCs w:val="1"/>
                <w:color w:val="auto"/>
              </w:rPr>
            </w:pPr>
          </w:p>
        </w:tc>
      </w:tr>
      <w:tr>
        <w:trPr>
          <w:trHeight w:val="268"/>
        </w:trPr>
        <w:tc>
          <w:tcPr>
            <w:tcW w:w="3080" w:type="dxa"/>
            <w:vAlign w:val="bottom"/>
          </w:tcPr>
          <w:p>
            <w:pPr>
              <w:spacing w:after="0"/>
              <w:rPr>
                <w:sz w:val="20"/>
                <w:szCs w:val="20"/>
                <w:color w:val="auto"/>
              </w:rPr>
            </w:pPr>
            <w:r>
              <w:rPr>
                <w:rFonts w:ascii="Arial" w:cs="Arial" w:eastAsia="Arial" w:hAnsi="Arial"/>
                <w:sz w:val="13"/>
                <w:szCs w:val="13"/>
                <w:color w:val="auto"/>
              </w:rPr>
              <w:t>Loan by class of financing receivable</w:t>
            </w:r>
            <w:r>
              <w:rPr>
                <w:rFonts w:ascii="Arial" w:cs="Arial" w:eastAsia="Arial" w:hAnsi="Arial"/>
                <w:sz w:val="16"/>
                <w:szCs w:val="16"/>
                <w:color w:val="auto"/>
                <w:vertAlign w:val="superscript"/>
              </w:rPr>
              <w:t>(2)</w:t>
            </w:r>
            <w:r>
              <w:rPr>
                <w:rFonts w:ascii="Arial" w:cs="Arial" w:eastAsia="Arial" w:hAnsi="Arial"/>
                <w:sz w:val="13"/>
                <w:szCs w:val="13"/>
                <w:color w:val="auto"/>
              </w:rPr>
              <w:t>:</w:t>
            </w: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3080" w:type="dxa"/>
            <w:vAlign w:val="bottom"/>
          </w:tcPr>
          <w:p>
            <w:pPr>
              <w:ind w:left="160"/>
              <w:spacing w:after="0"/>
              <w:rPr>
                <w:sz w:val="20"/>
                <w:szCs w:val="20"/>
                <w:color w:val="auto"/>
              </w:rPr>
            </w:pPr>
            <w:r>
              <w:rPr>
                <w:rFonts w:ascii="Arial" w:cs="Arial" w:eastAsia="Arial" w:hAnsi="Arial"/>
                <w:sz w:val="13"/>
                <w:szCs w:val="13"/>
                <w:color w:val="auto"/>
              </w:rPr>
              <w:t>20- and 30-year or more, amortizing fixed-rate</w:t>
            </w:r>
          </w:p>
        </w:tc>
        <w:tc>
          <w:tcPr>
            <w:tcW w:w="1220" w:type="dxa"/>
            <w:vAlign w:val="bottom"/>
          </w:tcPr>
          <w:p>
            <w:pPr>
              <w:ind w:left="720"/>
              <w:spacing w:after="0"/>
              <w:rPr>
                <w:sz w:val="20"/>
                <w:szCs w:val="20"/>
                <w:color w:val="auto"/>
              </w:rPr>
            </w:pPr>
            <w:r>
              <w:rPr>
                <w:rFonts w:ascii="Arial" w:cs="Arial" w:eastAsia="Arial" w:hAnsi="Arial"/>
                <w:sz w:val="15"/>
                <w:szCs w:val="15"/>
                <w:color w:val="auto"/>
              </w:rPr>
              <w:t>1.09 %</w:t>
            </w:r>
          </w:p>
        </w:tc>
        <w:tc>
          <w:tcPr>
            <w:tcW w:w="1200" w:type="dxa"/>
            <w:vAlign w:val="bottom"/>
            <w:gridSpan w:val="2"/>
          </w:tcPr>
          <w:p>
            <w:pPr>
              <w:jc w:val="right"/>
              <w:ind w:right="10"/>
              <w:spacing w:after="0"/>
              <w:rPr>
                <w:sz w:val="20"/>
                <w:szCs w:val="20"/>
                <w:color w:val="auto"/>
              </w:rPr>
            </w:pPr>
            <w:r>
              <w:rPr>
                <w:rFonts w:ascii="Arial" w:cs="Arial" w:eastAsia="Arial" w:hAnsi="Arial"/>
                <w:sz w:val="15"/>
                <w:szCs w:val="15"/>
                <w:color w:val="auto"/>
              </w:rPr>
              <w:t>173</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16,864</w:t>
            </w:r>
          </w:p>
        </w:tc>
        <w:tc>
          <w:tcPr>
            <w:tcW w:w="1320" w:type="dxa"/>
            <w:vAlign w:val="bottom"/>
            <w:gridSpan w:val="2"/>
          </w:tcPr>
          <w:p>
            <w:pPr>
              <w:ind w:left="820"/>
              <w:spacing w:after="0"/>
              <w:rPr>
                <w:sz w:val="20"/>
                <w:szCs w:val="20"/>
                <w:color w:val="auto"/>
              </w:rPr>
            </w:pPr>
            <w:r>
              <w:rPr>
                <w:rFonts w:ascii="Arial" w:cs="Arial" w:eastAsia="Arial" w:hAnsi="Arial"/>
                <w:sz w:val="15"/>
                <w:szCs w:val="15"/>
                <w:color w:val="auto"/>
              </w:rPr>
              <w:t>1.52 %</w:t>
            </w: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179</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7"/>
              <w:spacing w:after="0"/>
              <w:rPr>
                <w:sz w:val="20"/>
                <w:szCs w:val="20"/>
                <w:color w:val="auto"/>
              </w:rPr>
            </w:pPr>
            <w:r>
              <w:rPr>
                <w:rFonts w:ascii="Arial" w:cs="Arial" w:eastAsia="Arial" w:hAnsi="Arial"/>
                <w:sz w:val="15"/>
                <w:szCs w:val="15"/>
                <w:color w:val="auto"/>
              </w:rPr>
              <w:t>23,372</w:t>
            </w:r>
          </w:p>
        </w:tc>
        <w:tc>
          <w:tcPr>
            <w:tcW w:w="0" w:type="dxa"/>
            <w:vAlign w:val="bottom"/>
          </w:tcPr>
          <w:p>
            <w:pPr>
              <w:spacing w:after="0"/>
              <w:rPr>
                <w:sz w:val="1"/>
                <w:szCs w:val="1"/>
                <w:color w:val="auto"/>
              </w:rPr>
            </w:pPr>
          </w:p>
        </w:tc>
      </w:tr>
      <w:tr>
        <w:trPr>
          <w:trHeight w:val="206"/>
        </w:trPr>
        <w:tc>
          <w:tcPr>
            <w:tcW w:w="3080" w:type="dxa"/>
            <w:vAlign w:val="bottom"/>
          </w:tcPr>
          <w:p>
            <w:pPr>
              <w:ind w:left="160"/>
              <w:spacing w:after="0"/>
              <w:rPr>
                <w:sz w:val="20"/>
                <w:szCs w:val="20"/>
                <w:color w:val="auto"/>
              </w:rPr>
            </w:pPr>
            <w:r>
              <w:rPr>
                <w:rFonts w:ascii="Arial" w:cs="Arial" w:eastAsia="Arial" w:hAnsi="Arial"/>
                <w:sz w:val="13"/>
                <w:szCs w:val="13"/>
                <w:color w:val="auto"/>
              </w:rPr>
              <w:t>15-year or less, amortizing fixed-rate</w:t>
            </w:r>
          </w:p>
        </w:tc>
        <w:tc>
          <w:tcPr>
            <w:tcW w:w="1220" w:type="dxa"/>
            <w:vAlign w:val="bottom"/>
          </w:tcPr>
          <w:p>
            <w:pPr>
              <w:ind w:left="720"/>
              <w:spacing w:after="0"/>
              <w:rPr>
                <w:sz w:val="20"/>
                <w:szCs w:val="20"/>
                <w:color w:val="auto"/>
              </w:rPr>
            </w:pPr>
            <w:r>
              <w:rPr>
                <w:rFonts w:ascii="Arial" w:cs="Arial" w:eastAsia="Arial" w:hAnsi="Arial"/>
                <w:sz w:val="15"/>
                <w:szCs w:val="15"/>
                <w:color w:val="auto"/>
              </w:rPr>
              <w:t>1.83</w:t>
            </w:r>
          </w:p>
        </w:tc>
        <w:tc>
          <w:tcPr>
            <w:tcW w:w="1200" w:type="dxa"/>
            <w:vAlign w:val="bottom"/>
            <w:gridSpan w:val="2"/>
          </w:tcPr>
          <w:p>
            <w:pPr>
              <w:jc w:val="right"/>
              <w:ind w:right="10"/>
              <w:spacing w:after="0"/>
              <w:rPr>
                <w:sz w:val="20"/>
                <w:szCs w:val="20"/>
                <w:color w:val="auto"/>
              </w:rPr>
            </w:pPr>
            <w:r>
              <w:rPr>
                <w:rFonts w:ascii="Arial" w:cs="Arial" w:eastAsia="Arial" w:hAnsi="Arial"/>
                <w:sz w:val="15"/>
                <w:szCs w:val="15"/>
                <w:color w:val="auto"/>
              </w:rPr>
              <w:t>73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14,636</w:t>
            </w:r>
          </w:p>
        </w:tc>
        <w:tc>
          <w:tcPr>
            <w:tcW w:w="1320" w:type="dxa"/>
            <w:vAlign w:val="bottom"/>
            <w:gridSpan w:val="2"/>
          </w:tcPr>
          <w:p>
            <w:pPr>
              <w:ind w:left="820"/>
              <w:spacing w:after="0"/>
              <w:rPr>
                <w:sz w:val="20"/>
                <w:szCs w:val="20"/>
                <w:color w:val="auto"/>
              </w:rPr>
            </w:pPr>
            <w:r>
              <w:rPr>
                <w:rFonts w:ascii="Arial" w:cs="Arial" w:eastAsia="Arial" w:hAnsi="Arial"/>
                <w:sz w:val="15"/>
                <w:szCs w:val="15"/>
                <w:color w:val="auto"/>
              </w:rPr>
              <w:t>2.69</w:t>
            </w: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61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7"/>
              <w:spacing w:after="0"/>
              <w:rPr>
                <w:sz w:val="20"/>
                <w:szCs w:val="20"/>
                <w:color w:val="auto"/>
              </w:rPr>
            </w:pPr>
            <w:r>
              <w:rPr>
                <w:rFonts w:ascii="Arial" w:cs="Arial" w:eastAsia="Arial" w:hAnsi="Arial"/>
                <w:sz w:val="15"/>
                <w:szCs w:val="15"/>
                <w:color w:val="auto"/>
              </w:rPr>
              <w:t>20,361</w:t>
            </w:r>
          </w:p>
        </w:tc>
        <w:tc>
          <w:tcPr>
            <w:tcW w:w="0" w:type="dxa"/>
            <w:vAlign w:val="bottom"/>
          </w:tcPr>
          <w:p>
            <w:pPr>
              <w:spacing w:after="0"/>
              <w:rPr>
                <w:sz w:val="1"/>
                <w:szCs w:val="1"/>
                <w:color w:val="auto"/>
              </w:rPr>
            </w:pPr>
          </w:p>
        </w:tc>
      </w:tr>
      <w:tr>
        <w:trPr>
          <w:trHeight w:val="284"/>
        </w:trPr>
        <w:tc>
          <w:tcPr>
            <w:tcW w:w="3080" w:type="dxa"/>
            <w:vAlign w:val="bottom"/>
          </w:tcPr>
          <w:p>
            <w:pPr>
              <w:ind w:left="160"/>
              <w:spacing w:after="0"/>
              <w:rPr>
                <w:sz w:val="20"/>
                <w:szCs w:val="20"/>
                <w:color w:val="auto"/>
              </w:rPr>
            </w:pPr>
            <w:r>
              <w:rPr>
                <w:rFonts w:ascii="Arial" w:cs="Arial" w:eastAsia="Arial" w:hAnsi="Arial"/>
                <w:sz w:val="13"/>
                <w:szCs w:val="13"/>
                <w:color w:val="auto"/>
              </w:rPr>
              <w:t>Adjustable-rate</w:t>
            </w:r>
          </w:p>
        </w:tc>
        <w:tc>
          <w:tcPr>
            <w:tcW w:w="1220" w:type="dxa"/>
            <w:vAlign w:val="bottom"/>
          </w:tcPr>
          <w:p>
            <w:pPr>
              <w:ind w:left="720"/>
              <w:spacing w:after="0"/>
              <w:rPr>
                <w:sz w:val="20"/>
                <w:szCs w:val="20"/>
                <w:color w:val="auto"/>
              </w:rPr>
            </w:pPr>
            <w:r>
              <w:rPr>
                <w:rFonts w:ascii="Arial" w:cs="Arial" w:eastAsia="Arial" w:hAnsi="Arial"/>
                <w:sz w:val="15"/>
                <w:szCs w:val="15"/>
                <w:color w:val="auto"/>
              </w:rPr>
              <w:t>1.76</w:t>
            </w:r>
          </w:p>
        </w:tc>
        <w:tc>
          <w:tcPr>
            <w:tcW w:w="10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15,228</w:t>
            </w:r>
          </w:p>
        </w:tc>
        <w:tc>
          <w:tcPr>
            <w:tcW w:w="1320" w:type="dxa"/>
            <w:vAlign w:val="bottom"/>
            <w:gridSpan w:val="2"/>
          </w:tcPr>
          <w:p>
            <w:pPr>
              <w:ind w:left="820"/>
              <w:spacing w:after="0"/>
              <w:rPr>
                <w:sz w:val="20"/>
                <w:szCs w:val="20"/>
                <w:color w:val="auto"/>
              </w:rPr>
            </w:pPr>
            <w:r>
              <w:rPr>
                <w:rFonts w:ascii="Arial" w:cs="Arial" w:eastAsia="Arial" w:hAnsi="Arial"/>
                <w:sz w:val="15"/>
                <w:szCs w:val="15"/>
                <w:color w:val="auto"/>
              </w:rPr>
              <w:t>0.53</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7"/>
              <w:spacing w:after="0"/>
              <w:rPr>
                <w:sz w:val="20"/>
                <w:szCs w:val="20"/>
                <w:color w:val="auto"/>
              </w:rPr>
            </w:pPr>
            <w:r>
              <w:rPr>
                <w:rFonts w:ascii="Arial" w:cs="Arial" w:eastAsia="Arial" w:hAnsi="Arial"/>
                <w:sz w:val="15"/>
                <w:szCs w:val="15"/>
                <w:color w:val="auto"/>
              </w:rPr>
              <w:t>23,406</w:t>
            </w:r>
          </w:p>
        </w:tc>
        <w:tc>
          <w:tcPr>
            <w:tcW w:w="0" w:type="dxa"/>
            <w:vAlign w:val="bottom"/>
          </w:tcPr>
          <w:p>
            <w:pPr>
              <w:spacing w:after="0"/>
              <w:rPr>
                <w:sz w:val="1"/>
                <w:szCs w:val="1"/>
                <w:color w:val="auto"/>
              </w:rPr>
            </w:pPr>
          </w:p>
        </w:tc>
      </w:tr>
      <w:tr>
        <w:trPr>
          <w:trHeight w:val="284"/>
        </w:trPr>
        <w:tc>
          <w:tcPr>
            <w:tcW w:w="3080" w:type="dxa"/>
            <w:vAlign w:val="bottom"/>
          </w:tcPr>
          <w:p>
            <w:pPr>
              <w:ind w:left="160"/>
              <w:spacing w:after="0"/>
              <w:rPr>
                <w:sz w:val="20"/>
                <w:szCs w:val="20"/>
                <w:color w:val="auto"/>
              </w:rPr>
            </w:pPr>
            <w:r>
              <w:rPr>
                <w:rFonts w:ascii="Arial" w:cs="Arial" w:eastAsia="Arial" w:hAnsi="Arial"/>
                <w:sz w:val="13"/>
                <w:szCs w:val="13"/>
                <w:color w:val="auto"/>
              </w:rPr>
              <w:t>Other</w:t>
            </w:r>
          </w:p>
        </w:tc>
        <w:tc>
          <w:tcPr>
            <w:tcW w:w="1220" w:type="dxa"/>
            <w:vAlign w:val="bottom"/>
          </w:tcPr>
          <w:p>
            <w:pPr>
              <w:ind w:left="720"/>
              <w:spacing w:after="0"/>
              <w:rPr>
                <w:sz w:val="20"/>
                <w:szCs w:val="20"/>
                <w:color w:val="auto"/>
              </w:rPr>
            </w:pPr>
            <w:r>
              <w:rPr>
                <w:rFonts w:ascii="Arial" w:cs="Arial" w:eastAsia="Arial" w:hAnsi="Arial"/>
                <w:sz w:val="15"/>
                <w:szCs w:val="15"/>
                <w:color w:val="auto"/>
              </w:rPr>
              <w:t>1.48</w:t>
            </w:r>
          </w:p>
        </w:tc>
        <w:tc>
          <w:tcPr>
            <w:tcW w:w="1200" w:type="dxa"/>
            <w:vAlign w:val="bottom"/>
            <w:gridSpan w:val="2"/>
          </w:tcPr>
          <w:p>
            <w:pPr>
              <w:jc w:val="right"/>
              <w:ind w:right="10"/>
              <w:spacing w:after="0"/>
              <w:rPr>
                <w:sz w:val="20"/>
                <w:szCs w:val="20"/>
                <w:color w:val="auto"/>
              </w:rPr>
            </w:pPr>
            <w:r>
              <w:rPr>
                <w:rFonts w:ascii="Arial" w:cs="Arial" w:eastAsia="Arial" w:hAnsi="Arial"/>
                <w:sz w:val="15"/>
                <w:szCs w:val="15"/>
                <w:color w:val="auto"/>
              </w:rPr>
              <w:t>179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20,715</w:t>
            </w:r>
          </w:p>
        </w:tc>
        <w:tc>
          <w:tcPr>
            <w:tcW w:w="1320" w:type="dxa"/>
            <w:vAlign w:val="bottom"/>
            <w:gridSpan w:val="2"/>
          </w:tcPr>
          <w:p>
            <w:pPr>
              <w:ind w:left="820"/>
              <w:spacing w:after="0"/>
              <w:rPr>
                <w:sz w:val="20"/>
                <w:szCs w:val="20"/>
                <w:color w:val="auto"/>
              </w:rPr>
            </w:pPr>
            <w:r>
              <w:rPr>
                <w:rFonts w:ascii="Arial" w:cs="Arial" w:eastAsia="Arial" w:hAnsi="Arial"/>
                <w:sz w:val="15"/>
                <w:szCs w:val="15"/>
                <w:color w:val="auto"/>
              </w:rPr>
              <w:t>1.87</w:t>
            </w: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185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7"/>
              <w:spacing w:after="0"/>
              <w:rPr>
                <w:sz w:val="20"/>
                <w:szCs w:val="20"/>
                <w:color w:val="auto"/>
              </w:rPr>
            </w:pPr>
            <w:r>
              <w:rPr>
                <w:rFonts w:ascii="Arial" w:cs="Arial" w:eastAsia="Arial" w:hAnsi="Arial"/>
                <w:sz w:val="15"/>
                <w:szCs w:val="15"/>
                <w:color w:val="auto"/>
              </w:rPr>
              <w:t>24,310</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220" w:hanging="217"/>
        <w:spacing w:after="0"/>
        <w:tabs>
          <w:tab w:leader="none" w:pos="220" w:val="left"/>
        </w:tabs>
        <w:numPr>
          <w:ilvl w:val="0"/>
          <w:numId w:val="83"/>
        </w:numPr>
        <w:rPr>
          <w:rFonts w:ascii="Arial" w:cs="Arial" w:eastAsia="Arial" w:hAnsi="Arial"/>
          <w:sz w:val="18"/>
          <w:szCs w:val="18"/>
          <w:color w:val="auto"/>
          <w:vertAlign w:val="superscript"/>
        </w:rPr>
      </w:pPr>
      <w:r>
        <w:rPr>
          <w:rFonts w:ascii="Arial" w:cs="Arial" w:eastAsia="Arial" w:hAnsi="Arial"/>
          <w:sz w:val="14"/>
          <w:szCs w:val="14"/>
          <w:color w:val="auto"/>
        </w:rPr>
        <w:t>Represents the average amount of delinquency-related amounts that were capitalized as part of the loan balance. Amounts are in whole dollars.</w:t>
      </w:r>
    </w:p>
    <w:p>
      <w:pPr>
        <w:spacing w:after="0" w:line="41" w:lineRule="exact"/>
        <w:rPr>
          <w:rFonts w:ascii="Arial" w:cs="Arial" w:eastAsia="Arial" w:hAnsi="Arial"/>
          <w:sz w:val="18"/>
          <w:szCs w:val="18"/>
          <w:color w:val="auto"/>
          <w:vertAlign w:val="superscript"/>
        </w:rPr>
      </w:pPr>
    </w:p>
    <w:p>
      <w:pPr>
        <w:ind w:left="220" w:hanging="217"/>
        <w:spacing w:after="0" w:line="190" w:lineRule="auto"/>
        <w:tabs>
          <w:tab w:leader="none" w:pos="220" w:val="left"/>
        </w:tabs>
        <w:numPr>
          <w:ilvl w:val="0"/>
          <w:numId w:val="83"/>
        </w:numPr>
        <w:rPr>
          <w:rFonts w:ascii="Arial" w:cs="Arial" w:eastAsia="Arial" w:hAnsi="Arial"/>
          <w:sz w:val="18"/>
          <w:szCs w:val="18"/>
          <w:color w:val="auto"/>
          <w:vertAlign w:val="superscript"/>
        </w:rPr>
      </w:pPr>
      <w:r>
        <w:rPr>
          <w:rFonts w:ascii="Arial" w:cs="Arial" w:eastAsia="Arial" w:hAnsi="Arial"/>
          <w:sz w:val="14"/>
          <w:szCs w:val="14"/>
          <w:color w:val="auto"/>
        </w:rPr>
        <w:t>Excludes the financial effects of modifications for loans that were paid off or otherwise liquidated as of period-end.</w:t>
      </w:r>
    </w:p>
    <w:p>
      <w:pPr>
        <w:spacing w:after="0" w:line="5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tables display the amortized cost of HFI loans that defaulted during the period and had received a completed modification or payment deferral in the twelve months prior to the payment default. The substantial majority of loans that received a completed modification or a payment deferral during the second quarter of 2023 did not default during the period. For purposes of the default tables, we define loans that had a payment default as single-family loans with completed modifications that are two or more months delinquent during the period; or multifamily loans with completed modifications that are one or more months delinquent during the period. For loans that receive a forbearance plan, repayment plan or trial modification, these loss mitigation options generally remain in default until the loan is no longer delinquent as a result of the payment of all past-due amounts or as a result of a loan modification or payment deferral. Therefore, forbearance plans, repayment plans and trial modifications are not included in default tables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369570</wp:posOffset>
            </wp:positionV>
            <wp:extent cx="681101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164070" cy="419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50" w:right="359" w:bottom="1440" w:gutter="0" w:footer="0" w:header="0"/>
        </w:sectPr>
      </w:pPr>
    </w:p>
    <w:bookmarkStart w:id="85" w:name="page86"/>
    <w:bookmarkEnd w:id="85"/>
    <w:p>
      <w:pPr>
        <w:ind w:left="6620"/>
        <w:spacing w:after="0"/>
        <w:rPr>
          <w:sz w:val="20"/>
          <w:szCs w:val="20"/>
          <w:color w:val="auto"/>
        </w:rPr>
      </w:pPr>
      <w:r>
        <w:rPr>
          <w:rFonts w:ascii="Arial" w:cs="Arial" w:eastAsia="Arial" w:hAnsi="Arial"/>
          <w:sz w:val="13"/>
          <w:szCs w:val="13"/>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22860</wp:posOffset>
            </wp:positionV>
            <wp:extent cx="70237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52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44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3080" w:type="dxa"/>
            <w:vAlign w:val="bottom"/>
            <w:tcBorders>
              <w:bottom w:val="single" w:sz="8" w:color="2C6937"/>
            </w:tcBorders>
            <w:gridSpan w:val="4"/>
          </w:tcPr>
          <w:p>
            <w:pPr>
              <w:jc w:val="center"/>
              <w:ind w:right="64"/>
              <w:spacing w:after="0"/>
              <w:rPr>
                <w:sz w:val="20"/>
                <w:szCs w:val="20"/>
                <w:color w:val="auto"/>
              </w:rPr>
            </w:pPr>
            <w:r>
              <w:rPr>
                <w:rFonts w:ascii="Arial" w:cs="Arial" w:eastAsia="Arial" w:hAnsi="Arial"/>
                <w:sz w:val="14"/>
                <w:szCs w:val="14"/>
                <w:b w:val="1"/>
                <w:bCs w:val="1"/>
                <w:color w:val="auto"/>
                <w:w w:val="97"/>
              </w:rPr>
              <w:t>For the Three Months Ended June 30, 2023</w:t>
            </w:r>
          </w:p>
        </w:tc>
        <w:tc>
          <w:tcPr>
            <w:tcW w:w="80" w:type="dxa"/>
            <w:vAlign w:val="bottom"/>
            <w:tcBorders>
              <w:bottom w:val="single" w:sz="8" w:color="2C6937"/>
            </w:tcBorders>
          </w:tcPr>
          <w:p>
            <w:pPr>
              <w:spacing w:after="0"/>
              <w:rPr>
                <w:sz w:val="17"/>
                <w:szCs w:val="17"/>
                <w:color w:val="auto"/>
              </w:rPr>
            </w:pPr>
          </w:p>
        </w:tc>
        <w:tc>
          <w:tcPr>
            <w:tcW w:w="360" w:type="dxa"/>
            <w:vAlign w:val="bottom"/>
            <w:tcBorders>
              <w:bottom w:val="single" w:sz="8" w:color="2C6937"/>
            </w:tcBorders>
          </w:tcPr>
          <w:p>
            <w:pPr>
              <w:spacing w:after="0"/>
              <w:rPr>
                <w:sz w:val="17"/>
                <w:szCs w:val="17"/>
                <w:color w:val="auto"/>
              </w:rPr>
            </w:pPr>
          </w:p>
        </w:tc>
        <w:tc>
          <w:tcPr>
            <w:tcW w:w="118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right="45"/>
              <w:spacing w:after="0" w:line="142" w:lineRule="exact"/>
              <w:rPr>
                <w:sz w:val="20"/>
                <w:szCs w:val="20"/>
                <w:color w:val="auto"/>
              </w:rPr>
            </w:pPr>
            <w:r>
              <w:rPr>
                <w:rFonts w:ascii="Arial" w:cs="Arial" w:eastAsia="Arial" w:hAnsi="Arial"/>
                <w:sz w:val="14"/>
                <w:szCs w:val="14"/>
                <w:b w:val="1"/>
                <w:bCs w:val="1"/>
                <w:color w:val="auto"/>
                <w:w w:val="97"/>
              </w:rPr>
              <w:t>Payment Delay as a</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vMerge w:val="restart"/>
          </w:tcPr>
          <w:p>
            <w:pPr>
              <w:jc w:val="center"/>
              <w:ind w:right="46"/>
              <w:spacing w:after="0"/>
              <w:rPr>
                <w:sz w:val="20"/>
                <w:szCs w:val="20"/>
                <w:color w:val="auto"/>
              </w:rPr>
            </w:pPr>
            <w:r>
              <w:rPr>
                <w:rFonts w:ascii="Arial" w:cs="Arial" w:eastAsia="Arial" w:hAnsi="Arial"/>
                <w:sz w:val="14"/>
                <w:szCs w:val="14"/>
                <w:b w:val="1"/>
                <w:bCs w:val="1"/>
                <w:color w:val="auto"/>
                <w:w w:val="98"/>
              </w:rPr>
              <w:t>Payment Delay and</w:t>
            </w:r>
          </w:p>
        </w:tc>
        <w:tc>
          <w:tcPr>
            <w:tcW w:w="100" w:type="dxa"/>
            <w:vAlign w:val="bottom"/>
          </w:tcPr>
          <w:p>
            <w:pPr>
              <w:spacing w:after="0"/>
              <w:rPr>
                <w:sz w:val="12"/>
                <w:szCs w:val="12"/>
                <w:color w:val="auto"/>
              </w:rPr>
            </w:pPr>
          </w:p>
        </w:tc>
        <w:tc>
          <w:tcPr>
            <w:tcW w:w="15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7"/>
              </w:rPr>
              <w:t>Payment Delay, Term</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jc w:val="center"/>
              <w:ind w:right="45"/>
              <w:spacing w:after="0" w:line="131" w:lineRule="exact"/>
              <w:rPr>
                <w:sz w:val="20"/>
                <w:szCs w:val="20"/>
                <w:color w:val="auto"/>
              </w:rPr>
            </w:pPr>
            <w:r>
              <w:rPr>
                <w:rFonts w:ascii="Arial" w:cs="Arial" w:eastAsia="Arial" w:hAnsi="Arial"/>
                <w:sz w:val="14"/>
                <w:szCs w:val="14"/>
                <w:b w:val="1"/>
                <w:bCs w:val="1"/>
                <w:color w:val="auto"/>
                <w:w w:val="98"/>
              </w:rPr>
              <w:t>Result of a Payment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w w:val="97"/>
              </w:rPr>
              <w:t>Extension and Interest</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vMerge w:val="restart"/>
          </w:tcPr>
          <w:p>
            <w:pPr>
              <w:jc w:val="right"/>
              <w:ind w:right="524"/>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40" w:type="dxa"/>
            <w:vAlign w:val="bottom"/>
            <w:tcBorders>
              <w:bottom w:val="single" w:sz="8" w:color="2C6937"/>
            </w:tcBorders>
          </w:tcPr>
          <w:p>
            <w:pPr>
              <w:jc w:val="center"/>
              <w:ind w:right="45"/>
              <w:spacing w:after="0"/>
              <w:rPr>
                <w:sz w:val="20"/>
                <w:szCs w:val="20"/>
                <w:color w:val="auto"/>
              </w:rPr>
            </w:pPr>
            <w:r>
              <w:rPr>
                <w:rFonts w:ascii="Arial" w:cs="Arial" w:eastAsia="Arial" w:hAnsi="Arial"/>
                <w:sz w:val="14"/>
                <w:szCs w:val="14"/>
                <w:b w:val="1"/>
                <w:bCs w:val="1"/>
                <w:color w:val="auto"/>
                <w:w w:val="98"/>
              </w:rPr>
              <w:t>Deferral (Only)</w:t>
            </w:r>
          </w:p>
        </w:tc>
        <w:tc>
          <w:tcPr>
            <w:tcW w:w="8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420" w:type="dxa"/>
            <w:vAlign w:val="bottom"/>
            <w:tcBorders>
              <w:bottom w:val="single" w:sz="8" w:color="2C6937"/>
            </w:tcBorders>
          </w:tcPr>
          <w:p>
            <w:pPr>
              <w:jc w:val="center"/>
              <w:ind w:right="46"/>
              <w:spacing w:after="0"/>
              <w:rPr>
                <w:sz w:val="20"/>
                <w:szCs w:val="20"/>
                <w:color w:val="auto"/>
              </w:rPr>
            </w:pPr>
            <w:r>
              <w:rPr>
                <w:rFonts w:ascii="Arial" w:cs="Arial" w:eastAsia="Arial" w:hAnsi="Arial"/>
                <w:sz w:val="14"/>
                <w:szCs w:val="14"/>
                <w:b w:val="1"/>
                <w:bCs w:val="1"/>
                <w:color w:val="auto"/>
                <w:w w:val="97"/>
              </w:rPr>
              <w:t>Term Extension</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380" w:type="dxa"/>
            <w:vAlign w:val="bottom"/>
            <w:tcBorders>
              <w:bottom w:val="single" w:sz="8" w:color="2C6937"/>
            </w:tcBorders>
          </w:tcPr>
          <w:p>
            <w:pPr>
              <w:jc w:val="center"/>
              <w:ind w:right="124"/>
              <w:spacing w:after="0"/>
              <w:rPr>
                <w:sz w:val="20"/>
                <w:szCs w:val="20"/>
                <w:color w:val="auto"/>
              </w:rPr>
            </w:pPr>
            <w:r>
              <w:rPr>
                <w:rFonts w:ascii="Arial" w:cs="Arial" w:eastAsia="Arial" w:hAnsi="Arial"/>
                <w:sz w:val="14"/>
                <w:szCs w:val="14"/>
                <w:b w:val="1"/>
                <w:bCs w:val="1"/>
                <w:color w:val="auto"/>
                <w:w w:val="99"/>
              </w:rPr>
              <w:t>Rate Reduction</w:t>
            </w:r>
          </w:p>
        </w:tc>
        <w:tc>
          <w:tcPr>
            <w:tcW w:w="80" w:type="dxa"/>
            <w:vAlign w:val="bottom"/>
          </w:tcPr>
          <w:p>
            <w:pPr>
              <w:spacing w:after="0"/>
              <w:rPr>
                <w:sz w:val="16"/>
                <w:szCs w:val="16"/>
                <w:color w:val="auto"/>
              </w:rPr>
            </w:pPr>
          </w:p>
        </w:tc>
        <w:tc>
          <w:tcPr>
            <w:tcW w:w="360" w:type="dxa"/>
            <w:vAlign w:val="bottom"/>
            <w:tcBorders>
              <w:bottom w:val="single" w:sz="8" w:color="2C6937"/>
            </w:tcBorders>
          </w:tcPr>
          <w:p>
            <w:pPr>
              <w:spacing w:after="0"/>
              <w:rPr>
                <w:sz w:val="16"/>
                <w:szCs w:val="16"/>
                <w:color w:val="auto"/>
              </w:rPr>
            </w:pPr>
          </w:p>
        </w:tc>
        <w:tc>
          <w:tcPr>
            <w:tcW w:w="1180" w:type="dxa"/>
            <w:vAlign w:val="bottom"/>
            <w:tcBorders>
              <w:bottom w:val="single" w:sz="8" w:color="2C6937"/>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gridSpan w:val="4"/>
          </w:tcPr>
          <w:p>
            <w:pPr>
              <w:jc w:val="center"/>
              <w:ind w:right="64"/>
              <w:spacing w:after="0"/>
              <w:rPr>
                <w:sz w:val="20"/>
                <w:szCs w:val="20"/>
                <w:color w:val="auto"/>
              </w:rPr>
            </w:pPr>
            <w:r>
              <w:rPr>
                <w:rFonts w:ascii="Arial" w:cs="Arial" w:eastAsia="Arial" w:hAnsi="Arial"/>
                <w:sz w:val="14"/>
                <w:szCs w:val="14"/>
                <w:b w:val="1"/>
                <w:bCs w:val="1"/>
                <w:color w:val="auto"/>
                <w:w w:val="96"/>
              </w:rPr>
              <w:t>(Dollars in millions)</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520" w:type="dxa"/>
            <w:vAlign w:val="bottom"/>
          </w:tcPr>
          <w:p>
            <w:pPr>
              <w:ind w:left="20"/>
              <w:spacing w:after="0"/>
              <w:rPr>
                <w:sz w:val="20"/>
                <w:szCs w:val="20"/>
                <w:color w:val="auto"/>
              </w:rPr>
            </w:pPr>
            <w:r>
              <w:rPr>
                <w:rFonts w:ascii="Arial" w:cs="Arial" w:eastAsia="Arial" w:hAnsi="Arial"/>
                <w:sz w:val="15"/>
                <w:szCs w:val="15"/>
                <w:color w:val="auto"/>
              </w:rPr>
              <w:t>Single-family:</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520" w:type="dxa"/>
            <w:vAlign w:val="bottom"/>
          </w:tcPr>
          <w:p>
            <w:pPr>
              <w:ind w:left="20"/>
              <w:spacing w:after="0"/>
              <w:rPr>
                <w:sz w:val="20"/>
                <w:szCs w:val="20"/>
                <w:color w:val="auto"/>
              </w:rPr>
            </w:pPr>
            <w:r>
              <w:rPr>
                <w:rFonts w:ascii="Arial" w:cs="Arial" w:eastAsia="Arial" w:hAnsi="Arial"/>
                <w:sz w:val="15"/>
                <w:szCs w:val="15"/>
                <w:color w:val="auto"/>
              </w:rPr>
              <w:t>20- and 30-year or more, amortizing fixed-rate</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819</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327</w:t>
            </w:r>
          </w:p>
        </w:tc>
        <w:tc>
          <w:tcPr>
            <w:tcW w:w="280" w:type="dxa"/>
            <w:vAlign w:val="bottom"/>
            <w:gridSpan w:val="2"/>
          </w:tcPr>
          <w:p>
            <w:pPr>
              <w:jc w:val="right"/>
              <w:ind w:right="10"/>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4"/>
              <w:spacing w:after="0"/>
              <w:rPr>
                <w:sz w:val="20"/>
                <w:szCs w:val="20"/>
                <w:color w:val="auto"/>
              </w:rPr>
            </w:pPr>
            <w:r>
              <w:rPr>
                <w:rFonts w:ascii="Arial" w:cs="Arial" w:eastAsia="Arial" w:hAnsi="Arial"/>
                <w:sz w:val="15"/>
                <w:szCs w:val="15"/>
                <w:color w:val="auto"/>
              </w:rPr>
              <w:t>197</w:t>
            </w:r>
          </w:p>
        </w:tc>
        <w:tc>
          <w:tcPr>
            <w:tcW w:w="440" w:type="dxa"/>
            <w:vAlign w:val="bottom"/>
            <w:gridSpan w:val="2"/>
          </w:tcPr>
          <w:p>
            <w:pPr>
              <w:jc w:val="right"/>
              <w:ind w:right="183"/>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1,343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520" w:type="dxa"/>
            <w:vAlign w:val="bottom"/>
          </w:tcPr>
          <w:p>
            <w:pPr>
              <w:ind w:left="20"/>
              <w:spacing w:after="0"/>
              <w:rPr>
                <w:sz w:val="20"/>
                <w:szCs w:val="20"/>
                <w:color w:val="auto"/>
              </w:rPr>
            </w:pPr>
            <w:r>
              <w:rPr>
                <w:rFonts w:ascii="Arial" w:cs="Arial" w:eastAsia="Arial" w:hAnsi="Arial"/>
                <w:sz w:val="15"/>
                <w:szCs w:val="15"/>
                <w:color w:val="auto"/>
              </w:rPr>
              <w:t>15-year or less, amortizing fixed-rate</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27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520" w:type="dxa"/>
            <w:vAlign w:val="bottom"/>
          </w:tcPr>
          <w:p>
            <w:pPr>
              <w:ind w:left="20"/>
              <w:spacing w:after="0"/>
              <w:rPr>
                <w:sz w:val="20"/>
                <w:szCs w:val="20"/>
                <w:color w:val="auto"/>
              </w:rPr>
            </w:pPr>
            <w:r>
              <w:rPr>
                <w:rFonts w:ascii="Arial" w:cs="Arial" w:eastAsia="Arial" w:hAnsi="Arial"/>
                <w:sz w:val="15"/>
                <w:szCs w:val="15"/>
                <w:color w:val="auto"/>
              </w:rPr>
              <w:t>Adjustable-rate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4"/>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5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1"/>
                <w:szCs w:val="21"/>
                <w:color w:val="auto"/>
              </w:rPr>
            </w:pPr>
          </w:p>
        </w:tc>
        <w:tc>
          <w:tcPr>
            <w:tcW w:w="100" w:type="dxa"/>
            <w:vAlign w:val="bottom"/>
            <w:tcBorders>
              <w:bottom w:val="single" w:sz="8" w:color="2C6937"/>
            </w:tcBorders>
          </w:tcPr>
          <w:p>
            <w:pPr>
              <w:spacing w:after="0"/>
              <w:rPr>
                <w:sz w:val="21"/>
                <w:szCs w:val="21"/>
                <w:color w:val="auto"/>
              </w:rPr>
            </w:pP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21"/>
                <w:szCs w:val="21"/>
                <w:color w:val="auto"/>
              </w:rPr>
            </w:pPr>
          </w:p>
        </w:tc>
        <w:tc>
          <w:tcPr>
            <w:tcW w:w="140" w:type="dxa"/>
            <w:vAlign w:val="bottom"/>
            <w:tcBorders>
              <w:bottom w:val="single" w:sz="8" w:color="2C6937"/>
            </w:tcBorders>
          </w:tcPr>
          <w:p>
            <w:pPr>
              <w:spacing w:after="0"/>
              <w:rPr>
                <w:sz w:val="21"/>
                <w:szCs w:val="21"/>
                <w:color w:val="auto"/>
              </w:rPr>
            </w:pPr>
          </w:p>
        </w:tc>
        <w:tc>
          <w:tcPr>
            <w:tcW w:w="142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21"/>
                <w:szCs w:val="21"/>
                <w:color w:val="auto"/>
              </w:rPr>
            </w:pPr>
          </w:p>
        </w:tc>
        <w:tc>
          <w:tcPr>
            <w:tcW w:w="180" w:type="dxa"/>
            <w:vAlign w:val="bottom"/>
            <w:tcBorders>
              <w:bottom w:val="single" w:sz="8" w:color="2C6937"/>
            </w:tcBorders>
          </w:tcPr>
          <w:p>
            <w:pPr>
              <w:spacing w:after="0"/>
              <w:rPr>
                <w:sz w:val="21"/>
                <w:szCs w:val="21"/>
                <w:color w:val="auto"/>
              </w:rPr>
            </w:pPr>
          </w:p>
        </w:tc>
        <w:tc>
          <w:tcPr>
            <w:tcW w:w="13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10</w:t>
            </w:r>
          </w:p>
        </w:tc>
        <w:tc>
          <w:tcPr>
            <w:tcW w:w="80" w:type="dxa"/>
            <w:vAlign w:val="bottom"/>
          </w:tcPr>
          <w:p>
            <w:pPr>
              <w:spacing w:after="0"/>
              <w:rPr>
                <w:sz w:val="21"/>
                <w:szCs w:val="21"/>
                <w:color w:val="auto"/>
              </w:rPr>
            </w:pPr>
          </w:p>
        </w:tc>
        <w:tc>
          <w:tcPr>
            <w:tcW w:w="360" w:type="dxa"/>
            <w:vAlign w:val="bottom"/>
            <w:tcBorders>
              <w:bottom w:val="single" w:sz="8" w:color="2C6937"/>
            </w:tcBorders>
          </w:tcPr>
          <w:p>
            <w:pPr>
              <w:spacing w:after="0"/>
              <w:rPr>
                <w:sz w:val="21"/>
                <w:szCs w:val="21"/>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4520" w:type="dxa"/>
            <w:vAlign w:val="bottom"/>
          </w:tcPr>
          <w:p>
            <w:pPr>
              <w:ind w:left="180"/>
              <w:spacing w:after="0"/>
              <w:rPr>
                <w:sz w:val="20"/>
                <w:szCs w:val="20"/>
                <w:color w:val="auto"/>
              </w:rPr>
            </w:pPr>
            <w:r>
              <w:rPr>
                <w:rFonts w:ascii="Arial" w:cs="Arial" w:eastAsia="Arial" w:hAnsi="Arial"/>
                <w:sz w:val="15"/>
                <w:szCs w:val="15"/>
                <w:color w:val="auto"/>
              </w:rPr>
              <w:t>Total single-family</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859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334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4"/>
              <w:spacing w:after="0"/>
              <w:rPr>
                <w:sz w:val="20"/>
                <w:szCs w:val="20"/>
                <w:color w:val="auto"/>
              </w:rPr>
            </w:pPr>
            <w:r>
              <w:rPr>
                <w:rFonts w:ascii="Arial" w:cs="Arial" w:eastAsia="Arial" w:hAnsi="Arial"/>
                <w:sz w:val="15"/>
                <w:szCs w:val="15"/>
                <w:color w:val="auto"/>
              </w:rPr>
              <w:t>209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52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142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3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20"/>
                <w:szCs w:val="20"/>
                <w:color w:val="auto"/>
              </w:rPr>
            </w:pPr>
          </w:p>
        </w:tc>
        <w:tc>
          <w:tcPr>
            <w:tcW w:w="360" w:type="dxa"/>
            <w:vAlign w:val="bottom"/>
            <w:tcBorders>
              <w:bottom w:val="single" w:sz="8" w:color="2C6937"/>
            </w:tcBorders>
          </w:tcPr>
          <w:p>
            <w:pPr>
              <w:spacing w:after="0"/>
              <w:rPr>
                <w:sz w:val="20"/>
                <w:szCs w:val="20"/>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5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Total loans that subsequently defaulted</w:t>
            </w:r>
            <w:r>
              <w:rPr>
                <w:rFonts w:ascii="Arial" w:cs="Arial" w:eastAsia="Arial" w:hAnsi="Arial"/>
                <w:sz w:val="20"/>
                <w:szCs w:val="20"/>
                <w:color w:val="auto"/>
                <w:vertAlign w:val="superscript"/>
              </w:rPr>
              <w:t>(1)</w:t>
            </w:r>
          </w:p>
        </w:tc>
        <w:tc>
          <w:tcPr>
            <w:tcW w:w="100" w:type="dxa"/>
            <w:vAlign w:val="bottom"/>
          </w:tcPr>
          <w:p>
            <w:pPr>
              <w:spacing w:after="0"/>
              <w:rPr>
                <w:sz w:val="20"/>
                <w:szCs w:val="20"/>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859</w:t>
            </w:r>
          </w:p>
        </w:tc>
        <w:tc>
          <w:tcPr>
            <w:tcW w:w="80" w:type="dxa"/>
            <w:vAlign w:val="bottom"/>
          </w:tcPr>
          <w:p>
            <w:pPr>
              <w:spacing w:after="0"/>
              <w:rPr>
                <w:sz w:val="20"/>
                <w:szCs w:val="20"/>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334</w:t>
            </w:r>
          </w:p>
        </w:tc>
        <w:tc>
          <w:tcPr>
            <w:tcW w:w="100" w:type="dxa"/>
            <w:vAlign w:val="bottom"/>
          </w:tcPr>
          <w:p>
            <w:pPr>
              <w:spacing w:after="0"/>
              <w:rPr>
                <w:sz w:val="20"/>
                <w:szCs w:val="20"/>
                <w:color w:val="auto"/>
              </w:rPr>
            </w:pPr>
          </w:p>
        </w:tc>
        <w:tc>
          <w:tcPr>
            <w:tcW w:w="180" w:type="dxa"/>
            <w:vAlign w:val="bottom"/>
            <w:tcBorders>
              <w:bottom w:val="single" w:sz="8" w:color="2C6937"/>
            </w:tcBorders>
          </w:tcPr>
          <w:p>
            <w:pPr>
              <w:jc w:val="right"/>
              <w:ind w:right="10"/>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210</w:t>
            </w:r>
          </w:p>
        </w:tc>
        <w:tc>
          <w:tcPr>
            <w:tcW w:w="80" w:type="dxa"/>
            <w:vAlign w:val="bottom"/>
          </w:tcPr>
          <w:p>
            <w:pPr>
              <w:spacing w:after="0"/>
              <w:rPr>
                <w:sz w:val="20"/>
                <w:szCs w:val="20"/>
                <w:color w:val="auto"/>
              </w:rPr>
            </w:pPr>
          </w:p>
        </w:tc>
        <w:tc>
          <w:tcPr>
            <w:tcW w:w="36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1,403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44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14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2C6937"/>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2C6937"/>
            </w:tcBorders>
          </w:tcPr>
          <w:p>
            <w:pPr>
              <w:spacing w:after="0" w:line="20" w:lineRule="exact"/>
              <w:rPr>
                <w:sz w:val="1"/>
                <w:szCs w:val="1"/>
                <w:color w:val="auto"/>
              </w:rPr>
            </w:pPr>
          </w:p>
        </w:tc>
        <w:tc>
          <w:tcPr>
            <w:tcW w:w="11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4520" w:type="dxa"/>
            <w:vAlign w:val="bottom"/>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44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3080" w:type="dxa"/>
            <w:vAlign w:val="bottom"/>
            <w:tcBorders>
              <w:bottom w:val="single" w:sz="8" w:color="2C6937"/>
            </w:tcBorders>
            <w:gridSpan w:val="4"/>
          </w:tcPr>
          <w:p>
            <w:pPr>
              <w:jc w:val="center"/>
              <w:ind w:right="64"/>
              <w:spacing w:after="0"/>
              <w:rPr>
                <w:sz w:val="20"/>
                <w:szCs w:val="20"/>
                <w:color w:val="auto"/>
              </w:rPr>
            </w:pPr>
            <w:r>
              <w:rPr>
                <w:rFonts w:ascii="Arial" w:cs="Arial" w:eastAsia="Arial" w:hAnsi="Arial"/>
                <w:sz w:val="14"/>
                <w:szCs w:val="14"/>
                <w:b w:val="1"/>
                <w:bCs w:val="1"/>
                <w:color w:val="auto"/>
                <w:w w:val="97"/>
              </w:rPr>
              <w:t>For the Six Months Ended June 30, 2023</w:t>
            </w:r>
          </w:p>
        </w:tc>
        <w:tc>
          <w:tcPr>
            <w:tcW w:w="80" w:type="dxa"/>
            <w:vAlign w:val="bottom"/>
            <w:tcBorders>
              <w:bottom w:val="single" w:sz="8" w:color="2C6937"/>
            </w:tcBorders>
          </w:tcPr>
          <w:p>
            <w:pPr>
              <w:spacing w:after="0"/>
              <w:rPr>
                <w:sz w:val="24"/>
                <w:szCs w:val="24"/>
                <w:color w:val="auto"/>
              </w:rPr>
            </w:pPr>
          </w:p>
        </w:tc>
        <w:tc>
          <w:tcPr>
            <w:tcW w:w="360" w:type="dxa"/>
            <w:vAlign w:val="bottom"/>
            <w:tcBorders>
              <w:bottom w:val="single" w:sz="8" w:color="2C6937"/>
            </w:tcBorders>
          </w:tcPr>
          <w:p>
            <w:pPr>
              <w:spacing w:after="0"/>
              <w:rPr>
                <w:sz w:val="24"/>
                <w:szCs w:val="24"/>
                <w:color w:val="auto"/>
              </w:rPr>
            </w:pPr>
          </w:p>
        </w:tc>
        <w:tc>
          <w:tcPr>
            <w:tcW w:w="118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jc w:val="center"/>
              <w:ind w:right="45"/>
              <w:spacing w:after="0" w:line="137" w:lineRule="exact"/>
              <w:rPr>
                <w:sz w:val="20"/>
                <w:szCs w:val="20"/>
                <w:color w:val="auto"/>
              </w:rPr>
            </w:pPr>
            <w:r>
              <w:rPr>
                <w:rFonts w:ascii="Arial" w:cs="Arial" w:eastAsia="Arial" w:hAnsi="Arial"/>
                <w:sz w:val="14"/>
                <w:szCs w:val="14"/>
                <w:b w:val="1"/>
                <w:bCs w:val="1"/>
                <w:color w:val="auto"/>
                <w:w w:val="97"/>
              </w:rPr>
              <w:t>Payment Delay as a</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vMerge w:val="restart"/>
          </w:tcPr>
          <w:p>
            <w:pPr>
              <w:jc w:val="center"/>
              <w:ind w:right="46"/>
              <w:spacing w:after="0"/>
              <w:rPr>
                <w:sz w:val="20"/>
                <w:szCs w:val="20"/>
                <w:color w:val="auto"/>
              </w:rPr>
            </w:pPr>
            <w:r>
              <w:rPr>
                <w:rFonts w:ascii="Arial" w:cs="Arial" w:eastAsia="Arial" w:hAnsi="Arial"/>
                <w:sz w:val="14"/>
                <w:szCs w:val="14"/>
                <w:b w:val="1"/>
                <w:bCs w:val="1"/>
                <w:color w:val="auto"/>
                <w:w w:val="98"/>
              </w:rPr>
              <w:t>Payment Delay and</w:t>
            </w:r>
          </w:p>
        </w:tc>
        <w:tc>
          <w:tcPr>
            <w:tcW w:w="100" w:type="dxa"/>
            <w:vAlign w:val="bottom"/>
          </w:tcPr>
          <w:p>
            <w:pPr>
              <w:spacing w:after="0"/>
              <w:rPr>
                <w:sz w:val="11"/>
                <w:szCs w:val="11"/>
                <w:color w:val="auto"/>
              </w:rPr>
            </w:pPr>
          </w:p>
        </w:tc>
        <w:tc>
          <w:tcPr>
            <w:tcW w:w="1560" w:type="dxa"/>
            <w:vAlign w:val="bottom"/>
            <w:gridSpan w:val="2"/>
          </w:tcPr>
          <w:p>
            <w:pPr>
              <w:jc w:val="center"/>
              <w:spacing w:after="0" w:line="137" w:lineRule="exact"/>
              <w:rPr>
                <w:sz w:val="20"/>
                <w:szCs w:val="20"/>
                <w:color w:val="auto"/>
              </w:rPr>
            </w:pPr>
            <w:r>
              <w:rPr>
                <w:rFonts w:ascii="Arial" w:cs="Arial" w:eastAsia="Arial" w:hAnsi="Arial"/>
                <w:sz w:val="14"/>
                <w:szCs w:val="14"/>
                <w:b w:val="1"/>
                <w:bCs w:val="1"/>
                <w:color w:val="auto"/>
                <w:w w:val="97"/>
              </w:rPr>
              <w:t>Payment Delay, Term</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right="45"/>
              <w:spacing w:after="0" w:line="142" w:lineRule="exact"/>
              <w:rPr>
                <w:sz w:val="20"/>
                <w:szCs w:val="20"/>
                <w:color w:val="auto"/>
              </w:rPr>
            </w:pPr>
            <w:r>
              <w:rPr>
                <w:rFonts w:ascii="Arial" w:cs="Arial" w:eastAsia="Arial" w:hAnsi="Arial"/>
                <w:sz w:val="14"/>
                <w:szCs w:val="14"/>
                <w:b w:val="1"/>
                <w:bCs w:val="1"/>
                <w:color w:val="auto"/>
                <w:w w:val="98"/>
              </w:rPr>
              <w:t>Result of a Payment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7"/>
              </w:rPr>
              <w:t>Extension and Interest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vMerge w:val="restart"/>
          </w:tcPr>
          <w:p>
            <w:pPr>
              <w:jc w:val="right"/>
              <w:ind w:right="524"/>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440" w:type="dxa"/>
            <w:vAlign w:val="bottom"/>
            <w:tcBorders>
              <w:bottom w:val="single" w:sz="8" w:color="2C6937"/>
            </w:tcBorders>
          </w:tcPr>
          <w:p>
            <w:pPr>
              <w:jc w:val="center"/>
              <w:ind w:right="45"/>
              <w:spacing w:after="0"/>
              <w:rPr>
                <w:sz w:val="20"/>
                <w:szCs w:val="20"/>
                <w:color w:val="auto"/>
              </w:rPr>
            </w:pPr>
            <w:r>
              <w:rPr>
                <w:rFonts w:ascii="Arial" w:cs="Arial" w:eastAsia="Arial" w:hAnsi="Arial"/>
                <w:sz w:val="14"/>
                <w:szCs w:val="14"/>
                <w:b w:val="1"/>
                <w:bCs w:val="1"/>
                <w:color w:val="auto"/>
                <w:w w:val="98"/>
              </w:rPr>
              <w:t>Deferral (Only)</w:t>
            </w:r>
          </w:p>
        </w:tc>
        <w:tc>
          <w:tcPr>
            <w:tcW w:w="8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420" w:type="dxa"/>
            <w:vAlign w:val="bottom"/>
            <w:tcBorders>
              <w:bottom w:val="single" w:sz="8" w:color="2C6937"/>
            </w:tcBorders>
          </w:tcPr>
          <w:p>
            <w:pPr>
              <w:jc w:val="center"/>
              <w:ind w:right="46"/>
              <w:spacing w:after="0"/>
              <w:rPr>
                <w:sz w:val="20"/>
                <w:szCs w:val="20"/>
                <w:color w:val="auto"/>
              </w:rPr>
            </w:pPr>
            <w:r>
              <w:rPr>
                <w:rFonts w:ascii="Arial" w:cs="Arial" w:eastAsia="Arial" w:hAnsi="Arial"/>
                <w:sz w:val="14"/>
                <w:szCs w:val="14"/>
                <w:b w:val="1"/>
                <w:bCs w:val="1"/>
                <w:color w:val="auto"/>
                <w:w w:val="97"/>
              </w:rPr>
              <w:t>Term Extension</w:t>
            </w: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1380" w:type="dxa"/>
            <w:vAlign w:val="bottom"/>
            <w:tcBorders>
              <w:bottom w:val="single" w:sz="8" w:color="2C6937"/>
            </w:tcBorders>
          </w:tcPr>
          <w:p>
            <w:pPr>
              <w:jc w:val="center"/>
              <w:ind w:right="124"/>
              <w:spacing w:after="0"/>
              <w:rPr>
                <w:sz w:val="20"/>
                <w:szCs w:val="20"/>
                <w:color w:val="auto"/>
              </w:rPr>
            </w:pPr>
            <w:r>
              <w:rPr>
                <w:rFonts w:ascii="Arial" w:cs="Arial" w:eastAsia="Arial" w:hAnsi="Arial"/>
                <w:sz w:val="14"/>
                <w:szCs w:val="14"/>
                <w:b w:val="1"/>
                <w:bCs w:val="1"/>
                <w:color w:val="auto"/>
                <w:w w:val="99"/>
              </w:rPr>
              <w:t>Rate Reduction</w:t>
            </w:r>
          </w:p>
        </w:tc>
        <w:tc>
          <w:tcPr>
            <w:tcW w:w="80" w:type="dxa"/>
            <w:vAlign w:val="bottom"/>
          </w:tcPr>
          <w:p>
            <w:pPr>
              <w:spacing w:after="0"/>
              <w:rPr>
                <w:sz w:val="15"/>
                <w:szCs w:val="15"/>
                <w:color w:val="auto"/>
              </w:rPr>
            </w:pPr>
          </w:p>
        </w:tc>
        <w:tc>
          <w:tcPr>
            <w:tcW w:w="360" w:type="dxa"/>
            <w:vAlign w:val="bottom"/>
            <w:tcBorders>
              <w:bottom w:val="single" w:sz="8" w:color="2C6937"/>
            </w:tcBorders>
          </w:tcPr>
          <w:p>
            <w:pPr>
              <w:spacing w:after="0"/>
              <w:rPr>
                <w:sz w:val="15"/>
                <w:szCs w:val="15"/>
                <w:color w:val="auto"/>
              </w:rPr>
            </w:pPr>
          </w:p>
        </w:tc>
        <w:tc>
          <w:tcPr>
            <w:tcW w:w="1180" w:type="dxa"/>
            <w:vAlign w:val="bottom"/>
            <w:tcBorders>
              <w:bottom w:val="single" w:sz="8" w:color="2C6937"/>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gridSpan w:val="4"/>
          </w:tcPr>
          <w:p>
            <w:pPr>
              <w:jc w:val="center"/>
              <w:ind w:right="64"/>
              <w:spacing w:after="0"/>
              <w:rPr>
                <w:sz w:val="20"/>
                <w:szCs w:val="20"/>
                <w:color w:val="auto"/>
              </w:rPr>
            </w:pPr>
            <w:r>
              <w:rPr>
                <w:rFonts w:ascii="Arial" w:cs="Arial" w:eastAsia="Arial" w:hAnsi="Arial"/>
                <w:sz w:val="14"/>
                <w:szCs w:val="14"/>
                <w:b w:val="1"/>
                <w:bCs w:val="1"/>
                <w:color w:val="auto"/>
                <w:w w:val="96"/>
              </w:rPr>
              <w:t>(Dollars in millions)</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520" w:type="dxa"/>
            <w:vAlign w:val="bottom"/>
          </w:tcPr>
          <w:p>
            <w:pPr>
              <w:ind w:left="20"/>
              <w:spacing w:after="0"/>
              <w:rPr>
                <w:sz w:val="20"/>
                <w:szCs w:val="20"/>
                <w:color w:val="auto"/>
              </w:rPr>
            </w:pPr>
            <w:r>
              <w:rPr>
                <w:rFonts w:ascii="Arial" w:cs="Arial" w:eastAsia="Arial" w:hAnsi="Arial"/>
                <w:sz w:val="15"/>
                <w:szCs w:val="15"/>
                <w:color w:val="auto"/>
              </w:rPr>
              <w:t>Single-family:</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520" w:type="dxa"/>
            <w:vAlign w:val="bottom"/>
          </w:tcPr>
          <w:p>
            <w:pPr>
              <w:ind w:left="20"/>
              <w:spacing w:after="0"/>
              <w:rPr>
                <w:sz w:val="20"/>
                <w:szCs w:val="20"/>
                <w:color w:val="auto"/>
              </w:rPr>
            </w:pPr>
            <w:r>
              <w:rPr>
                <w:rFonts w:ascii="Arial" w:cs="Arial" w:eastAsia="Arial" w:hAnsi="Arial"/>
                <w:sz w:val="15"/>
                <w:szCs w:val="15"/>
                <w:color w:val="auto"/>
              </w:rPr>
              <w:t>20- and 30-year or more, amortizing fixed-rate</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1,290</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446</w:t>
            </w:r>
          </w:p>
        </w:tc>
        <w:tc>
          <w:tcPr>
            <w:tcW w:w="280" w:type="dxa"/>
            <w:vAlign w:val="bottom"/>
            <w:gridSpan w:val="2"/>
          </w:tcPr>
          <w:p>
            <w:pPr>
              <w:jc w:val="right"/>
              <w:ind w:right="10"/>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4"/>
              <w:spacing w:after="0"/>
              <w:rPr>
                <w:sz w:val="20"/>
                <w:szCs w:val="20"/>
                <w:color w:val="auto"/>
              </w:rPr>
            </w:pPr>
            <w:r>
              <w:rPr>
                <w:rFonts w:ascii="Arial" w:cs="Arial" w:eastAsia="Arial" w:hAnsi="Arial"/>
                <w:sz w:val="15"/>
                <w:szCs w:val="15"/>
                <w:color w:val="auto"/>
              </w:rPr>
              <w:t>385</w:t>
            </w:r>
          </w:p>
        </w:tc>
        <w:tc>
          <w:tcPr>
            <w:tcW w:w="440" w:type="dxa"/>
            <w:vAlign w:val="bottom"/>
            <w:gridSpan w:val="2"/>
          </w:tcPr>
          <w:p>
            <w:pPr>
              <w:jc w:val="right"/>
              <w:ind w:right="183"/>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2,121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4520" w:type="dxa"/>
            <w:vAlign w:val="bottom"/>
          </w:tcPr>
          <w:p>
            <w:pPr>
              <w:ind w:left="20"/>
              <w:spacing w:after="0"/>
              <w:rPr>
                <w:sz w:val="20"/>
                <w:szCs w:val="20"/>
                <w:color w:val="auto"/>
              </w:rPr>
            </w:pPr>
            <w:r>
              <w:rPr>
                <w:rFonts w:ascii="Arial" w:cs="Arial" w:eastAsia="Arial" w:hAnsi="Arial"/>
                <w:sz w:val="15"/>
                <w:szCs w:val="15"/>
                <w:color w:val="auto"/>
              </w:rPr>
              <w:t>15-year or less, amortizing fixed-rate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44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4"/>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520" w:type="dxa"/>
            <w:vAlign w:val="bottom"/>
          </w:tcPr>
          <w:p>
            <w:pPr>
              <w:ind w:left="20"/>
              <w:spacing w:after="0"/>
              <w:rPr>
                <w:sz w:val="20"/>
                <w:szCs w:val="20"/>
                <w:color w:val="auto"/>
              </w:rPr>
            </w:pPr>
            <w:r>
              <w:rPr>
                <w:rFonts w:ascii="Arial" w:cs="Arial" w:eastAsia="Arial" w:hAnsi="Arial"/>
                <w:sz w:val="15"/>
                <w:szCs w:val="15"/>
                <w:color w:val="auto"/>
              </w:rPr>
              <w:t>Adjustable-rate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4"/>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5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2"/>
                <w:szCs w:val="22"/>
                <w:color w:val="auto"/>
              </w:rPr>
            </w:pPr>
          </w:p>
        </w:tc>
        <w:tc>
          <w:tcPr>
            <w:tcW w:w="100" w:type="dxa"/>
            <w:vAlign w:val="bottom"/>
            <w:tcBorders>
              <w:bottom w:val="single" w:sz="8" w:color="2C6937"/>
            </w:tcBorders>
          </w:tcPr>
          <w:p>
            <w:pPr>
              <w:spacing w:after="0"/>
              <w:rPr>
                <w:sz w:val="22"/>
                <w:szCs w:val="22"/>
                <w:color w:val="auto"/>
              </w:rPr>
            </w:pP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18</w:t>
            </w:r>
          </w:p>
        </w:tc>
        <w:tc>
          <w:tcPr>
            <w:tcW w:w="80" w:type="dxa"/>
            <w:vAlign w:val="bottom"/>
          </w:tcPr>
          <w:p>
            <w:pPr>
              <w:spacing w:after="0"/>
              <w:rPr>
                <w:sz w:val="22"/>
                <w:szCs w:val="22"/>
                <w:color w:val="auto"/>
              </w:rPr>
            </w:pPr>
          </w:p>
        </w:tc>
        <w:tc>
          <w:tcPr>
            <w:tcW w:w="140" w:type="dxa"/>
            <w:vAlign w:val="bottom"/>
            <w:tcBorders>
              <w:bottom w:val="single" w:sz="8" w:color="2C6937"/>
            </w:tcBorders>
          </w:tcPr>
          <w:p>
            <w:pPr>
              <w:spacing w:after="0"/>
              <w:rPr>
                <w:sz w:val="22"/>
                <w:szCs w:val="22"/>
                <w:color w:val="auto"/>
              </w:rPr>
            </w:pPr>
          </w:p>
        </w:tc>
        <w:tc>
          <w:tcPr>
            <w:tcW w:w="142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13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19</w:t>
            </w:r>
          </w:p>
        </w:tc>
        <w:tc>
          <w:tcPr>
            <w:tcW w:w="80" w:type="dxa"/>
            <w:vAlign w:val="bottom"/>
          </w:tcPr>
          <w:p>
            <w:pPr>
              <w:spacing w:after="0"/>
              <w:rPr>
                <w:sz w:val="22"/>
                <w:szCs w:val="22"/>
                <w:color w:val="auto"/>
              </w:rPr>
            </w:pPr>
          </w:p>
        </w:tc>
        <w:tc>
          <w:tcPr>
            <w:tcW w:w="360" w:type="dxa"/>
            <w:vAlign w:val="bottom"/>
            <w:tcBorders>
              <w:bottom w:val="single" w:sz="8" w:color="2C6937"/>
            </w:tcBorders>
          </w:tcPr>
          <w:p>
            <w:pPr>
              <w:spacing w:after="0"/>
              <w:rPr>
                <w:sz w:val="22"/>
                <w:szCs w:val="22"/>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4520" w:type="dxa"/>
            <w:vAlign w:val="bottom"/>
          </w:tcPr>
          <w:p>
            <w:pPr>
              <w:ind w:left="180"/>
              <w:spacing w:after="0"/>
              <w:rPr>
                <w:sz w:val="20"/>
                <w:szCs w:val="20"/>
                <w:color w:val="auto"/>
              </w:rPr>
            </w:pPr>
            <w:r>
              <w:rPr>
                <w:rFonts w:ascii="Arial" w:cs="Arial" w:eastAsia="Arial" w:hAnsi="Arial"/>
                <w:sz w:val="15"/>
                <w:szCs w:val="15"/>
                <w:color w:val="auto"/>
              </w:rPr>
              <w:t>Total single-family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1,355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457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4"/>
              <w:spacing w:after="0"/>
              <w:rPr>
                <w:sz w:val="20"/>
                <w:szCs w:val="20"/>
                <w:color w:val="auto"/>
              </w:rPr>
            </w:pPr>
            <w:r>
              <w:rPr>
                <w:rFonts w:ascii="Arial" w:cs="Arial" w:eastAsia="Arial" w:hAnsi="Arial"/>
                <w:sz w:val="15"/>
                <w:szCs w:val="15"/>
                <w:color w:val="auto"/>
              </w:rPr>
              <w:t>407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2,219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520" w:type="dxa"/>
            <w:vAlign w:val="bottom"/>
            <w:tcBorders>
              <w:bottom w:val="single" w:sz="8" w:color="2C6937"/>
            </w:tcBorders>
          </w:tcPr>
          <w:p>
            <w:pPr>
              <w:ind w:left="38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142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3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20"/>
                <w:szCs w:val="20"/>
                <w:color w:val="auto"/>
              </w:rPr>
            </w:pPr>
          </w:p>
        </w:tc>
        <w:tc>
          <w:tcPr>
            <w:tcW w:w="360" w:type="dxa"/>
            <w:vAlign w:val="bottom"/>
            <w:tcBorders>
              <w:bottom w:val="single" w:sz="8" w:color="2C6937"/>
            </w:tcBorders>
          </w:tcPr>
          <w:p>
            <w:pPr>
              <w:spacing w:after="0"/>
              <w:rPr>
                <w:sz w:val="20"/>
                <w:szCs w:val="20"/>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520" w:type="dxa"/>
            <w:vAlign w:val="bottom"/>
          </w:tcPr>
          <w:p>
            <w:pPr>
              <w:ind w:left="20"/>
              <w:spacing w:after="0" w:line="228" w:lineRule="exact"/>
              <w:rPr>
                <w:sz w:val="20"/>
                <w:szCs w:val="20"/>
                <w:color w:val="auto"/>
              </w:rPr>
            </w:pPr>
            <w:r>
              <w:rPr>
                <w:rFonts w:ascii="Arial" w:cs="Arial" w:eastAsia="Arial" w:hAnsi="Arial"/>
                <w:sz w:val="15"/>
                <w:szCs w:val="15"/>
                <w:color w:val="auto"/>
              </w:rPr>
              <w:t>Total loans that subsequently defaulted</w:t>
            </w:r>
            <w:r>
              <w:rPr>
                <w:rFonts w:ascii="Arial" w:cs="Arial" w:eastAsia="Arial" w:hAnsi="Arial"/>
                <w:sz w:val="20"/>
                <w:szCs w:val="20"/>
                <w:color w:val="auto"/>
                <w:vertAlign w:val="superscript"/>
              </w:rPr>
              <w:t>(1)</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1,355</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457</w:t>
            </w:r>
          </w:p>
        </w:tc>
        <w:tc>
          <w:tcPr>
            <w:tcW w:w="280" w:type="dxa"/>
            <w:vAlign w:val="bottom"/>
            <w:gridSpan w:val="2"/>
          </w:tcPr>
          <w:p>
            <w:pPr>
              <w:jc w:val="right"/>
              <w:ind w:right="10"/>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4"/>
              <w:spacing w:after="0"/>
              <w:rPr>
                <w:sz w:val="20"/>
                <w:szCs w:val="20"/>
                <w:color w:val="auto"/>
              </w:rPr>
            </w:pPr>
            <w:r>
              <w:rPr>
                <w:rFonts w:ascii="Arial" w:cs="Arial" w:eastAsia="Arial" w:hAnsi="Arial"/>
                <w:sz w:val="15"/>
                <w:szCs w:val="15"/>
                <w:color w:val="auto"/>
              </w:rPr>
              <w:t>408</w:t>
            </w:r>
          </w:p>
        </w:tc>
        <w:tc>
          <w:tcPr>
            <w:tcW w:w="440" w:type="dxa"/>
            <w:vAlign w:val="bottom"/>
            <w:gridSpan w:val="2"/>
          </w:tcPr>
          <w:p>
            <w:pPr>
              <w:jc w:val="right"/>
              <w:ind w:right="183"/>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2,220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4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4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3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2C6937"/>
              <w:bottom w:val="single" w:sz="8" w:color="2C6937"/>
            </w:tcBorders>
          </w:tcPr>
          <w:p>
            <w:pPr>
              <w:spacing w:after="0" w:line="20" w:lineRule="exact"/>
              <w:rPr>
                <w:sz w:val="1"/>
                <w:szCs w:val="1"/>
                <w:color w:val="auto"/>
              </w:rPr>
            </w:pPr>
          </w:p>
        </w:tc>
        <w:tc>
          <w:tcPr>
            <w:tcW w:w="11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ind w:left="220" w:hanging="217"/>
        <w:spacing w:after="0"/>
        <w:tabs>
          <w:tab w:leader="none" w:pos="220" w:val="left"/>
        </w:tabs>
        <w:numPr>
          <w:ilvl w:val="0"/>
          <w:numId w:val="84"/>
        </w:numPr>
        <w:rPr>
          <w:rFonts w:ascii="Arial" w:cs="Arial" w:eastAsia="Arial" w:hAnsi="Arial"/>
          <w:sz w:val="18"/>
          <w:szCs w:val="18"/>
          <w:color w:val="auto"/>
          <w:vertAlign w:val="superscript"/>
        </w:rPr>
      </w:pPr>
      <w:r>
        <w:rPr>
          <w:rFonts w:ascii="Arial" w:cs="Arial" w:eastAsia="Arial" w:hAnsi="Arial"/>
          <w:sz w:val="14"/>
          <w:szCs w:val="14"/>
          <w:color w:val="auto"/>
        </w:rPr>
        <w:t>Represents amortized cost as of period end. Excludes loans that liquidated either through foreclosure, deed-in-lieu of foreclosure, or a short sale.</w:t>
      </w: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212" w:lineRule="exact"/>
        <w:rPr>
          <w:rFonts w:ascii="Arial" w:cs="Arial" w:eastAsia="Arial" w:hAnsi="Arial"/>
          <w:sz w:val="18"/>
          <w:szCs w:val="18"/>
          <w:color w:val="auto"/>
          <w:vertAlign w:val="superscript"/>
        </w:rPr>
      </w:pPr>
    </w:p>
    <w:p>
      <w:pPr>
        <w:ind w:left="640"/>
        <w:spacing w:after="0"/>
        <w:rPr>
          <w:rFonts w:ascii="Arial" w:cs="Arial" w:eastAsia="Arial" w:hAnsi="Arial"/>
          <w:sz w:val="18"/>
          <w:szCs w:val="18"/>
          <w:color w:val="auto"/>
          <w:vertAlign w:val="superscript"/>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164070" cy="4191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-114300</wp:posOffset>
            </wp:positionV>
            <wp:extent cx="681101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ectPr>
          <w:pgSz w:w="11900" w:h="16838" w:orient="portrait"/>
          <w:cols w:equalWidth="0" w:num="1">
            <w:col w:w="11180"/>
          </w:cols>
          <w:pgMar w:left="320" w:top="250" w:right="399" w:bottom="1440" w:gutter="0" w:footer="0" w:header="0"/>
        </w:sectPr>
      </w:pPr>
    </w:p>
    <w:bookmarkStart w:id="86" w:name="page87"/>
    <w:bookmarkEnd w:id="86"/>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15875</wp:posOffset>
            </wp:positionV>
            <wp:extent cx="70237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320"/>
        <w:spacing w:after="0" w:line="267" w:lineRule="auto"/>
        <w:rPr>
          <w:sz w:val="20"/>
          <w:szCs w:val="20"/>
          <w:color w:val="auto"/>
        </w:rPr>
      </w:pPr>
      <w:r>
        <w:rPr>
          <w:rFonts w:ascii="Arial" w:cs="Arial" w:eastAsia="Arial" w:hAnsi="Arial"/>
          <w:sz w:val="16"/>
          <w:szCs w:val="16"/>
          <w:color w:val="auto"/>
        </w:rPr>
        <w:t>The following table displays the amortized cost of HFI loans that received a completed modification or payment deferral on or after January 1, 2022, the date we adopted ASU 2022-02, through June 30, 2022 and that defaulted in the period presented. The substantial majority of loans that received a completed modification or a payment deferral during the second quarter of 2022 did not default during the period.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4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3100" w:type="dxa"/>
            <w:vAlign w:val="bottom"/>
            <w:tcBorders>
              <w:bottom w:val="single" w:sz="8" w:color="2C6937"/>
            </w:tcBorders>
            <w:gridSpan w:val="4"/>
          </w:tcPr>
          <w:p>
            <w:pPr>
              <w:jc w:val="right"/>
              <w:ind w:right="184"/>
              <w:spacing w:after="0"/>
              <w:rPr>
                <w:sz w:val="20"/>
                <w:szCs w:val="20"/>
                <w:color w:val="auto"/>
              </w:rPr>
            </w:pPr>
            <w:r>
              <w:rPr>
                <w:rFonts w:ascii="Arial" w:cs="Arial" w:eastAsia="Arial" w:hAnsi="Arial"/>
                <w:sz w:val="14"/>
                <w:szCs w:val="14"/>
                <w:b w:val="1"/>
                <w:bCs w:val="1"/>
                <w:color w:val="auto"/>
              </w:rPr>
              <w:t>For the Six Months Ended June 30, 2022</w:t>
            </w:r>
            <w:r>
              <w:rPr>
                <w:rFonts w:ascii="Arial" w:cs="Arial" w:eastAsia="Arial" w:hAnsi="Arial"/>
                <w:sz w:val="17"/>
                <w:szCs w:val="17"/>
                <w:b w:val="1"/>
                <w:bCs w:val="1"/>
                <w:color w:val="auto"/>
                <w:vertAlign w:val="superscript"/>
              </w:rPr>
              <w:t>(1)</w:t>
            </w:r>
          </w:p>
        </w:tc>
        <w:tc>
          <w:tcPr>
            <w:tcW w:w="100" w:type="dxa"/>
            <w:vAlign w:val="bottom"/>
            <w:tcBorders>
              <w:bottom w:val="single" w:sz="8" w:color="2C6937"/>
            </w:tcBorders>
          </w:tcPr>
          <w:p>
            <w:pPr>
              <w:spacing w:after="0"/>
              <w:rPr>
                <w:sz w:val="16"/>
                <w:szCs w:val="16"/>
                <w:color w:val="auto"/>
              </w:rPr>
            </w:pPr>
          </w:p>
        </w:tc>
        <w:tc>
          <w:tcPr>
            <w:tcW w:w="340" w:type="dxa"/>
            <w:vAlign w:val="bottom"/>
            <w:tcBorders>
              <w:bottom w:val="single" w:sz="8" w:color="2C6937"/>
            </w:tcBorders>
          </w:tcPr>
          <w:p>
            <w:pPr>
              <w:spacing w:after="0"/>
              <w:rPr>
                <w:sz w:val="16"/>
                <w:szCs w:val="16"/>
                <w:color w:val="auto"/>
              </w:rPr>
            </w:pPr>
          </w:p>
        </w:tc>
        <w:tc>
          <w:tcPr>
            <w:tcW w:w="11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right="45"/>
              <w:spacing w:after="0" w:line="148" w:lineRule="exact"/>
              <w:rPr>
                <w:sz w:val="20"/>
                <w:szCs w:val="20"/>
                <w:color w:val="auto"/>
              </w:rPr>
            </w:pPr>
            <w:r>
              <w:rPr>
                <w:rFonts w:ascii="Arial" w:cs="Arial" w:eastAsia="Arial" w:hAnsi="Arial"/>
                <w:sz w:val="14"/>
                <w:szCs w:val="14"/>
                <w:b w:val="1"/>
                <w:bCs w:val="1"/>
                <w:color w:val="auto"/>
                <w:w w:val="97"/>
              </w:rPr>
              <w:t>Payment Delay as a</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vMerge w:val="restart"/>
          </w:tcPr>
          <w:p>
            <w:pPr>
              <w:jc w:val="right"/>
              <w:ind w:right="86"/>
              <w:spacing w:after="0"/>
              <w:rPr>
                <w:sz w:val="20"/>
                <w:szCs w:val="20"/>
                <w:color w:val="auto"/>
              </w:rPr>
            </w:pPr>
            <w:r>
              <w:rPr>
                <w:rFonts w:ascii="Arial" w:cs="Arial" w:eastAsia="Arial" w:hAnsi="Arial"/>
                <w:sz w:val="14"/>
                <w:szCs w:val="14"/>
                <w:b w:val="1"/>
                <w:bCs w:val="1"/>
                <w:color w:val="auto"/>
                <w:w w:val="98"/>
              </w:rPr>
              <w:t>Payment Delay and</w:t>
            </w:r>
          </w:p>
        </w:tc>
        <w:tc>
          <w:tcPr>
            <w:tcW w:w="100" w:type="dxa"/>
            <w:vAlign w:val="bottom"/>
          </w:tcPr>
          <w:p>
            <w:pPr>
              <w:spacing w:after="0"/>
              <w:rPr>
                <w:sz w:val="12"/>
                <w:szCs w:val="12"/>
                <w:color w:val="auto"/>
              </w:rPr>
            </w:pPr>
          </w:p>
        </w:tc>
        <w:tc>
          <w:tcPr>
            <w:tcW w:w="156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96"/>
              </w:rPr>
              <w:t>Payment Delay, Term</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jc w:val="center"/>
              <w:ind w:right="25"/>
              <w:spacing w:after="0" w:line="129" w:lineRule="exact"/>
              <w:rPr>
                <w:sz w:val="20"/>
                <w:szCs w:val="20"/>
                <w:color w:val="auto"/>
              </w:rPr>
            </w:pPr>
            <w:r>
              <w:rPr>
                <w:rFonts w:ascii="Arial" w:cs="Arial" w:eastAsia="Arial" w:hAnsi="Arial"/>
                <w:sz w:val="14"/>
                <w:szCs w:val="14"/>
                <w:b w:val="1"/>
                <w:bCs w:val="1"/>
                <w:color w:val="auto"/>
                <w:w w:val="97"/>
              </w:rPr>
              <w:t>Result of a Payment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8"/>
              </w:rPr>
              <w:t>Extension and Interest</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vMerge w:val="restart"/>
          </w:tcPr>
          <w:p>
            <w:pPr>
              <w:jc w:val="right"/>
              <w:ind w:right="524"/>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4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40" w:type="dxa"/>
            <w:vAlign w:val="bottom"/>
            <w:tcBorders>
              <w:bottom w:val="single" w:sz="8" w:color="2C6937"/>
            </w:tcBorders>
          </w:tcPr>
          <w:p>
            <w:pPr>
              <w:jc w:val="center"/>
              <w:ind w:right="25"/>
              <w:spacing w:after="0"/>
              <w:rPr>
                <w:sz w:val="20"/>
                <w:szCs w:val="20"/>
                <w:color w:val="auto"/>
              </w:rPr>
            </w:pPr>
            <w:r>
              <w:rPr>
                <w:rFonts w:ascii="Arial" w:cs="Arial" w:eastAsia="Arial" w:hAnsi="Arial"/>
                <w:sz w:val="14"/>
                <w:szCs w:val="14"/>
                <w:b w:val="1"/>
                <w:bCs w:val="1"/>
                <w:color w:val="auto"/>
                <w:w w:val="96"/>
              </w:rPr>
              <w:t>Deferral (Only)</w:t>
            </w:r>
          </w:p>
        </w:tc>
        <w:tc>
          <w:tcPr>
            <w:tcW w:w="8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440" w:type="dxa"/>
            <w:vAlign w:val="bottom"/>
            <w:tcBorders>
              <w:bottom w:val="single" w:sz="8" w:color="2C6937"/>
            </w:tcBorders>
          </w:tcPr>
          <w:p>
            <w:pPr>
              <w:jc w:val="right"/>
              <w:ind w:right="146"/>
              <w:spacing w:after="0" w:line="194" w:lineRule="exact"/>
              <w:rPr>
                <w:sz w:val="20"/>
                <w:szCs w:val="20"/>
                <w:color w:val="auto"/>
              </w:rPr>
            </w:pPr>
            <w:r>
              <w:rPr>
                <w:rFonts w:ascii="Arial" w:cs="Arial" w:eastAsia="Arial" w:hAnsi="Arial"/>
                <w:sz w:val="14"/>
                <w:szCs w:val="14"/>
                <w:b w:val="1"/>
                <w:bCs w:val="1"/>
                <w:color w:val="auto"/>
              </w:rPr>
              <w:t>Term Extension</w:t>
            </w:r>
            <w:r>
              <w:rPr>
                <w:rFonts w:ascii="Arial" w:cs="Arial" w:eastAsia="Arial" w:hAnsi="Arial"/>
                <w:sz w:val="17"/>
                <w:szCs w:val="17"/>
                <w:b w:val="1"/>
                <w:bCs w:val="1"/>
                <w:color w:val="auto"/>
                <w:vertAlign w:val="superscript"/>
              </w:rPr>
              <w:t>(1)</w:t>
            </w: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400" w:type="dxa"/>
            <w:vAlign w:val="bottom"/>
            <w:tcBorders>
              <w:bottom w:val="single" w:sz="8" w:color="2C6937"/>
            </w:tcBorders>
          </w:tcPr>
          <w:p>
            <w:pPr>
              <w:jc w:val="center"/>
              <w:ind w:right="84"/>
              <w:spacing w:after="0" w:line="194" w:lineRule="exact"/>
              <w:rPr>
                <w:sz w:val="20"/>
                <w:szCs w:val="20"/>
                <w:color w:val="auto"/>
              </w:rPr>
            </w:pPr>
            <w:r>
              <w:rPr>
                <w:rFonts w:ascii="Arial" w:cs="Arial" w:eastAsia="Arial" w:hAnsi="Arial"/>
                <w:sz w:val="14"/>
                <w:szCs w:val="14"/>
                <w:b w:val="1"/>
                <w:bCs w:val="1"/>
                <w:color w:val="auto"/>
                <w:w w:val="96"/>
              </w:rPr>
              <w:t>Rate Reduction</w:t>
            </w:r>
            <w:r>
              <w:rPr>
                <w:rFonts w:ascii="Arial" w:cs="Arial" w:eastAsia="Arial" w:hAnsi="Arial"/>
                <w:sz w:val="17"/>
                <w:szCs w:val="17"/>
                <w:b w:val="1"/>
                <w:bCs w:val="1"/>
                <w:color w:val="auto"/>
                <w:w w:val="96"/>
                <w:vertAlign w:val="superscript"/>
              </w:rPr>
              <w:t>(1)</w:t>
            </w:r>
          </w:p>
        </w:tc>
        <w:tc>
          <w:tcPr>
            <w:tcW w:w="100" w:type="dxa"/>
            <w:vAlign w:val="bottom"/>
          </w:tcPr>
          <w:p>
            <w:pPr>
              <w:spacing w:after="0"/>
              <w:rPr>
                <w:sz w:val="16"/>
                <w:szCs w:val="16"/>
                <w:color w:val="auto"/>
              </w:rPr>
            </w:pPr>
          </w:p>
        </w:tc>
        <w:tc>
          <w:tcPr>
            <w:tcW w:w="340" w:type="dxa"/>
            <w:vAlign w:val="bottom"/>
            <w:tcBorders>
              <w:bottom w:val="single" w:sz="8" w:color="2C6937"/>
            </w:tcBorders>
          </w:tcPr>
          <w:p>
            <w:pPr>
              <w:spacing w:after="0"/>
              <w:rPr>
                <w:sz w:val="16"/>
                <w:szCs w:val="16"/>
                <w:color w:val="auto"/>
              </w:rPr>
            </w:pPr>
          </w:p>
        </w:tc>
        <w:tc>
          <w:tcPr>
            <w:tcW w:w="1180" w:type="dxa"/>
            <w:vAlign w:val="bottom"/>
            <w:tcBorders>
              <w:bottom w:val="single" w:sz="8" w:color="2C6937"/>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00" w:type="dxa"/>
            <w:vAlign w:val="bottom"/>
            <w:gridSpan w:val="4"/>
          </w:tcPr>
          <w:p>
            <w:pPr>
              <w:jc w:val="right"/>
              <w:ind w:right="904"/>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500" w:type="dxa"/>
            <w:vAlign w:val="bottom"/>
          </w:tcPr>
          <w:p>
            <w:pPr>
              <w:ind w:left="20"/>
              <w:spacing w:after="0"/>
              <w:rPr>
                <w:sz w:val="20"/>
                <w:szCs w:val="20"/>
                <w:color w:val="auto"/>
              </w:rPr>
            </w:pPr>
            <w:r>
              <w:rPr>
                <w:rFonts w:ascii="Arial" w:cs="Arial" w:eastAsia="Arial" w:hAnsi="Arial"/>
                <w:sz w:val="15"/>
                <w:szCs w:val="15"/>
                <w:color w:val="auto"/>
              </w:rPr>
              <w:t>Single-family: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500" w:type="dxa"/>
            <w:vAlign w:val="bottom"/>
          </w:tcPr>
          <w:p>
            <w:pPr>
              <w:ind w:left="180"/>
              <w:spacing w:after="0"/>
              <w:rPr>
                <w:sz w:val="20"/>
                <w:szCs w:val="20"/>
                <w:color w:val="auto"/>
              </w:rPr>
            </w:pPr>
            <w:r>
              <w:rPr>
                <w:rFonts w:ascii="Arial" w:cs="Arial" w:eastAsia="Arial" w:hAnsi="Arial"/>
                <w:sz w:val="15"/>
                <w:szCs w:val="15"/>
                <w:color w:val="auto"/>
              </w:rPr>
              <w:t>20- and 30-year or more, amortizing fixed-rate</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492</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6"/>
              <w:spacing w:after="0"/>
              <w:rPr>
                <w:sz w:val="20"/>
                <w:szCs w:val="20"/>
                <w:color w:val="auto"/>
              </w:rPr>
            </w:pPr>
            <w:r>
              <w:rPr>
                <w:rFonts w:ascii="Arial" w:cs="Arial" w:eastAsia="Arial" w:hAnsi="Arial"/>
                <w:sz w:val="15"/>
                <w:szCs w:val="15"/>
                <w:color w:val="auto"/>
              </w:rPr>
              <w:t>62</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109</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663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500" w:type="dxa"/>
            <w:vAlign w:val="bottom"/>
          </w:tcPr>
          <w:p>
            <w:pPr>
              <w:ind w:left="180"/>
              <w:spacing w:after="0"/>
              <w:rPr>
                <w:sz w:val="20"/>
                <w:szCs w:val="20"/>
                <w:color w:val="auto"/>
              </w:rPr>
            </w:pPr>
            <w:r>
              <w:rPr>
                <w:rFonts w:ascii="Arial" w:cs="Arial" w:eastAsia="Arial" w:hAnsi="Arial"/>
                <w:sz w:val="15"/>
                <w:szCs w:val="15"/>
                <w:color w:val="auto"/>
              </w:rPr>
              <w:t>15-year or less, amortizing fixed-rate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21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6"/>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500" w:type="dxa"/>
            <w:vAlign w:val="bottom"/>
          </w:tcPr>
          <w:p>
            <w:pPr>
              <w:ind w:left="180"/>
              <w:spacing w:after="0"/>
              <w:rPr>
                <w:sz w:val="20"/>
                <w:szCs w:val="20"/>
                <w:color w:val="auto"/>
              </w:rPr>
            </w:pPr>
            <w:r>
              <w:rPr>
                <w:rFonts w:ascii="Arial" w:cs="Arial" w:eastAsia="Arial" w:hAnsi="Arial"/>
                <w:sz w:val="15"/>
                <w:szCs w:val="15"/>
                <w:color w:val="auto"/>
              </w:rPr>
              <w:t>Adjustable-rate</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1"/>
                <w:szCs w:val="21"/>
                <w:color w:val="auto"/>
              </w:rPr>
            </w:pPr>
          </w:p>
        </w:tc>
        <w:tc>
          <w:tcPr>
            <w:tcW w:w="100" w:type="dxa"/>
            <w:vAlign w:val="bottom"/>
            <w:tcBorders>
              <w:bottom w:val="single" w:sz="8" w:color="2C6937"/>
            </w:tcBorders>
          </w:tcPr>
          <w:p>
            <w:pPr>
              <w:spacing w:after="0"/>
              <w:rPr>
                <w:sz w:val="21"/>
                <w:szCs w:val="21"/>
                <w:color w:val="auto"/>
              </w:rPr>
            </w:pP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14</w:t>
            </w:r>
          </w:p>
        </w:tc>
        <w:tc>
          <w:tcPr>
            <w:tcW w:w="80" w:type="dxa"/>
            <w:vAlign w:val="bottom"/>
          </w:tcPr>
          <w:p>
            <w:pPr>
              <w:spacing w:after="0"/>
              <w:rPr>
                <w:sz w:val="21"/>
                <w:szCs w:val="21"/>
                <w:color w:val="auto"/>
              </w:rPr>
            </w:pPr>
          </w:p>
        </w:tc>
        <w:tc>
          <w:tcPr>
            <w:tcW w:w="140" w:type="dxa"/>
            <w:vAlign w:val="bottom"/>
            <w:tcBorders>
              <w:bottom w:val="single" w:sz="8" w:color="2C6937"/>
            </w:tcBorders>
          </w:tcPr>
          <w:p>
            <w:pPr>
              <w:spacing w:after="0"/>
              <w:rPr>
                <w:sz w:val="21"/>
                <w:szCs w:val="21"/>
                <w:color w:val="auto"/>
              </w:rPr>
            </w:pPr>
          </w:p>
        </w:tc>
        <w:tc>
          <w:tcPr>
            <w:tcW w:w="14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140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21"/>
                <w:szCs w:val="21"/>
                <w:color w:val="auto"/>
              </w:rPr>
            </w:pPr>
          </w:p>
        </w:tc>
        <w:tc>
          <w:tcPr>
            <w:tcW w:w="340" w:type="dxa"/>
            <w:vAlign w:val="bottom"/>
            <w:tcBorders>
              <w:bottom w:val="single" w:sz="8" w:color="2C6937"/>
            </w:tcBorders>
          </w:tcPr>
          <w:p>
            <w:pPr>
              <w:spacing w:after="0"/>
              <w:rPr>
                <w:sz w:val="21"/>
                <w:szCs w:val="21"/>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4500" w:type="dxa"/>
            <w:vAlign w:val="bottom"/>
          </w:tcPr>
          <w:p>
            <w:pPr>
              <w:ind w:left="20"/>
              <w:spacing w:after="0"/>
              <w:rPr>
                <w:sz w:val="20"/>
                <w:szCs w:val="20"/>
                <w:color w:val="auto"/>
              </w:rPr>
            </w:pPr>
            <w:r>
              <w:rPr>
                <w:rFonts w:ascii="Arial" w:cs="Arial" w:eastAsia="Arial" w:hAnsi="Arial"/>
                <w:sz w:val="15"/>
                <w:szCs w:val="15"/>
                <w:color w:val="auto"/>
              </w:rPr>
              <w:t>Total single-family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530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6"/>
              <w:spacing w:after="0"/>
              <w:rPr>
                <w:sz w:val="20"/>
                <w:szCs w:val="20"/>
                <w:color w:val="auto"/>
              </w:rPr>
            </w:pPr>
            <w:r>
              <w:rPr>
                <w:rFonts w:ascii="Arial" w:cs="Arial" w:eastAsia="Arial" w:hAnsi="Arial"/>
                <w:sz w:val="15"/>
                <w:szCs w:val="15"/>
                <w:color w:val="auto"/>
              </w:rPr>
              <w:t>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119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500" w:type="dxa"/>
            <w:vAlign w:val="bottom"/>
            <w:tcBorders>
              <w:bottom w:val="single" w:sz="8" w:color="2C6937"/>
            </w:tcBorders>
          </w:tcPr>
          <w:p>
            <w:pPr>
              <w:ind w:left="6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2"/>
                <w:szCs w:val="22"/>
                <w:color w:val="auto"/>
              </w:rPr>
            </w:pPr>
          </w:p>
        </w:tc>
        <w:tc>
          <w:tcPr>
            <w:tcW w:w="100" w:type="dxa"/>
            <w:vAlign w:val="bottom"/>
            <w:tcBorders>
              <w:bottom w:val="single" w:sz="8" w:color="2C6937"/>
            </w:tcBorders>
          </w:tcPr>
          <w:p>
            <w:pPr>
              <w:spacing w:after="0"/>
              <w:rPr>
                <w:sz w:val="22"/>
                <w:szCs w:val="22"/>
                <w:color w:val="auto"/>
              </w:rPr>
            </w:pP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2"/>
                <w:szCs w:val="22"/>
                <w:color w:val="auto"/>
              </w:rPr>
            </w:pPr>
          </w:p>
        </w:tc>
        <w:tc>
          <w:tcPr>
            <w:tcW w:w="140" w:type="dxa"/>
            <w:vAlign w:val="bottom"/>
            <w:tcBorders>
              <w:bottom w:val="single" w:sz="8" w:color="2C6937"/>
            </w:tcBorders>
          </w:tcPr>
          <w:p>
            <w:pPr>
              <w:spacing w:after="0"/>
              <w:rPr>
                <w:sz w:val="22"/>
                <w:szCs w:val="22"/>
                <w:color w:val="auto"/>
              </w:rPr>
            </w:pPr>
          </w:p>
        </w:tc>
        <w:tc>
          <w:tcPr>
            <w:tcW w:w="14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160" w:type="dxa"/>
            <w:vAlign w:val="bottom"/>
            <w:tcBorders>
              <w:bottom w:val="single" w:sz="8" w:color="2C6937"/>
            </w:tcBorders>
          </w:tcPr>
          <w:p>
            <w:pPr>
              <w:spacing w:after="0"/>
              <w:rPr>
                <w:sz w:val="22"/>
                <w:szCs w:val="22"/>
                <w:color w:val="auto"/>
              </w:rPr>
            </w:pPr>
          </w:p>
        </w:tc>
        <w:tc>
          <w:tcPr>
            <w:tcW w:w="140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340" w:type="dxa"/>
            <w:vAlign w:val="bottom"/>
            <w:tcBorders>
              <w:bottom w:val="single" w:sz="8" w:color="2C6937"/>
            </w:tcBorders>
          </w:tcPr>
          <w:p>
            <w:pPr>
              <w:spacing w:after="0"/>
              <w:rPr>
                <w:sz w:val="22"/>
                <w:szCs w:val="22"/>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500" w:type="dxa"/>
            <w:vAlign w:val="bottom"/>
          </w:tcPr>
          <w:p>
            <w:pPr>
              <w:ind w:left="180"/>
              <w:spacing w:after="0"/>
              <w:rPr>
                <w:sz w:val="20"/>
                <w:szCs w:val="20"/>
                <w:color w:val="auto"/>
              </w:rPr>
            </w:pPr>
            <w:r>
              <w:rPr>
                <w:rFonts w:ascii="Arial" w:cs="Arial" w:eastAsia="Arial" w:hAnsi="Arial"/>
                <w:sz w:val="15"/>
                <w:szCs w:val="15"/>
                <w:color w:val="auto"/>
              </w:rPr>
              <w:t>Total loans that subsequently defaulted</w:t>
            </w:r>
            <w:r>
              <w:rPr>
                <w:rFonts w:ascii="Arial" w:cs="Arial" w:eastAsia="Arial" w:hAnsi="Arial"/>
                <w:sz w:val="20"/>
                <w:szCs w:val="20"/>
                <w:color w:val="auto"/>
                <w:vertAlign w:val="superscript"/>
              </w:rPr>
              <w:t>(2)</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530</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6"/>
              <w:spacing w:after="0"/>
              <w:rPr>
                <w:sz w:val="20"/>
                <w:szCs w:val="20"/>
                <w:color w:val="auto"/>
              </w:rPr>
            </w:pPr>
            <w:r>
              <w:rPr>
                <w:rFonts w:ascii="Arial" w:cs="Arial" w:eastAsia="Arial" w:hAnsi="Arial"/>
                <w:sz w:val="15"/>
                <w:szCs w:val="15"/>
                <w:color w:val="auto"/>
              </w:rPr>
              <w:t>68</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119</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717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4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4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4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2C6937"/>
              <w:bottom w:val="single" w:sz="8" w:color="2C6937"/>
            </w:tcBorders>
          </w:tcPr>
          <w:p>
            <w:pPr>
              <w:spacing w:after="0" w:line="20" w:lineRule="exact"/>
              <w:rPr>
                <w:sz w:val="1"/>
                <w:szCs w:val="1"/>
                <w:color w:val="auto"/>
              </w:rPr>
            </w:pPr>
          </w:p>
        </w:tc>
        <w:tc>
          <w:tcPr>
            <w:tcW w:w="11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left="240" w:right="100" w:hanging="237"/>
        <w:spacing w:after="0" w:line="269" w:lineRule="auto"/>
        <w:tabs>
          <w:tab w:leader="none" w:pos="216" w:val="left"/>
        </w:tabs>
        <w:numPr>
          <w:ilvl w:val="0"/>
          <w:numId w:val="85"/>
        </w:numPr>
        <w:rPr>
          <w:rFonts w:ascii="Arial" w:cs="Arial" w:eastAsia="Arial" w:hAnsi="Arial"/>
          <w:sz w:val="9"/>
          <w:szCs w:val="9"/>
          <w:color w:val="auto"/>
        </w:rPr>
      </w:pPr>
      <w:r>
        <w:rPr>
          <w:rFonts w:ascii="Arial" w:cs="Arial" w:eastAsia="Arial" w:hAnsi="Arial"/>
          <w:sz w:val="14"/>
          <w:szCs w:val="14"/>
          <w:color w:val="auto"/>
        </w:rPr>
        <w:t>The substantial majority of loans that received a completed modification on or after the date we adopted ASU 2022-02 through June 30, 2022 defaulted during the second quarter of 2022; therefore we are not separately presenting a table for the three months ended June 30, 2022.</w:t>
      </w:r>
    </w:p>
    <w:p>
      <w:pPr>
        <w:ind w:left="220" w:hanging="217"/>
        <w:spacing w:after="0"/>
        <w:tabs>
          <w:tab w:leader="none" w:pos="220" w:val="left"/>
        </w:tabs>
        <w:numPr>
          <w:ilvl w:val="0"/>
          <w:numId w:val="85"/>
        </w:numPr>
        <w:rPr>
          <w:rFonts w:ascii="Arial" w:cs="Arial" w:eastAsia="Arial" w:hAnsi="Arial"/>
          <w:sz w:val="18"/>
          <w:szCs w:val="18"/>
          <w:color w:val="auto"/>
          <w:vertAlign w:val="superscript"/>
        </w:rPr>
      </w:pPr>
      <w:r>
        <w:rPr>
          <w:rFonts w:ascii="Arial" w:cs="Arial" w:eastAsia="Arial" w:hAnsi="Arial"/>
          <w:sz w:val="14"/>
          <w:szCs w:val="14"/>
          <w:color w:val="auto"/>
        </w:rPr>
        <w:t>Represents amortized cost as of period end. Excludes loans that liquidated either through foreclosure, deed-in-lieu of foreclosure, or a short sale.</w:t>
      </w:r>
    </w:p>
    <w:p>
      <w:pPr>
        <w:spacing w:after="0" w:line="57"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The following table displays an aging analysis of HFI mortgage loans that were restructured during the twelve months prior to June 30, 2023, presented by portfolio segment and class of financing receivable.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2520" w:type="dxa"/>
            <w:vAlign w:val="bottom"/>
            <w:tcBorders>
              <w:bottom w:val="single" w:sz="8" w:color="2C6937"/>
            </w:tcBorders>
            <w:gridSpan w:val="4"/>
          </w:tcPr>
          <w:p>
            <w:pPr>
              <w:jc w:val="right"/>
              <w:ind w:right="604"/>
              <w:spacing w:after="0"/>
              <w:rPr>
                <w:sz w:val="20"/>
                <w:szCs w:val="20"/>
                <w:color w:val="auto"/>
              </w:rPr>
            </w:pPr>
            <w:r>
              <w:rPr>
                <w:rFonts w:ascii="Arial" w:cs="Arial" w:eastAsia="Arial" w:hAnsi="Arial"/>
                <w:sz w:val="14"/>
                <w:szCs w:val="14"/>
                <w:b w:val="1"/>
                <w:bCs w:val="1"/>
                <w:color w:val="auto"/>
              </w:rPr>
              <w:t>As of June 30, 2023</w:t>
            </w:r>
            <w:r>
              <w:rPr>
                <w:rFonts w:ascii="Arial" w:cs="Arial" w:eastAsia="Arial" w:hAnsi="Arial"/>
                <w:sz w:val="17"/>
                <w:szCs w:val="17"/>
                <w:b w:val="1"/>
                <w:bCs w:val="1"/>
                <w:color w:val="auto"/>
                <w:vertAlign w:val="superscript"/>
              </w:rPr>
              <w:t>(1)</w:t>
            </w:r>
          </w:p>
        </w:tc>
        <w:tc>
          <w:tcPr>
            <w:tcW w:w="100" w:type="dxa"/>
            <w:vAlign w:val="bottom"/>
            <w:tcBorders>
              <w:bottom w:val="single" w:sz="8" w:color="2C6937"/>
            </w:tcBorders>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right"/>
              <w:ind w:right="225"/>
              <w:spacing w:after="0" w:line="135" w:lineRule="exact"/>
              <w:rPr>
                <w:sz w:val="20"/>
                <w:szCs w:val="20"/>
                <w:color w:val="auto"/>
              </w:rPr>
            </w:pPr>
            <w:r>
              <w:rPr>
                <w:rFonts w:ascii="Arial" w:cs="Arial" w:eastAsia="Arial" w:hAnsi="Arial"/>
                <w:sz w:val="14"/>
                <w:szCs w:val="14"/>
                <w:b w:val="1"/>
                <w:bCs w:val="1"/>
                <w:color w:val="auto"/>
              </w:rPr>
              <w:t>30-59 Days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jc w:val="right"/>
              <w:ind w:right="245"/>
              <w:spacing w:after="0" w:line="135" w:lineRule="exact"/>
              <w:rPr>
                <w:sz w:val="20"/>
                <w:szCs w:val="20"/>
                <w:color w:val="auto"/>
              </w:rPr>
            </w:pPr>
            <w:r>
              <w:rPr>
                <w:rFonts w:ascii="Arial" w:cs="Arial" w:eastAsia="Arial" w:hAnsi="Arial"/>
                <w:sz w:val="14"/>
                <w:szCs w:val="14"/>
                <w:b w:val="1"/>
                <w:bCs w:val="1"/>
                <w:color w:val="auto"/>
              </w:rPr>
              <w:t>60-89 Days</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right"/>
              <w:ind w:right="286"/>
              <w:spacing w:after="0" w:line="135" w:lineRule="exact"/>
              <w:rPr>
                <w:sz w:val="20"/>
                <w:szCs w:val="20"/>
                <w:color w:val="auto"/>
              </w:rPr>
            </w:pPr>
            <w:r>
              <w:rPr>
                <w:rFonts w:ascii="Arial" w:cs="Arial" w:eastAsia="Arial" w:hAnsi="Arial"/>
                <w:sz w:val="14"/>
                <w:szCs w:val="14"/>
                <w:b w:val="1"/>
                <w:bCs w:val="1"/>
                <w:color w:val="auto"/>
              </w:rPr>
              <w:t>Seriously</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vMerge w:val="restart"/>
          </w:tcPr>
          <w:p>
            <w:pPr>
              <w:jc w:val="right"/>
              <w:ind w:right="44"/>
              <w:spacing w:after="0"/>
              <w:rPr>
                <w:sz w:val="20"/>
                <w:szCs w:val="20"/>
                <w:color w:val="auto"/>
              </w:rPr>
            </w:pPr>
            <w:r>
              <w:rPr>
                <w:rFonts w:ascii="Arial" w:cs="Arial" w:eastAsia="Arial" w:hAnsi="Arial"/>
                <w:sz w:val="14"/>
                <w:szCs w:val="14"/>
                <w:b w:val="1"/>
                <w:bCs w:val="1"/>
                <w:color w:val="auto"/>
                <w:w w:val="96"/>
              </w:rPr>
              <w:t>Total Delinquent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vMerge w:val="restart"/>
          </w:tcPr>
          <w:p>
            <w:pPr>
              <w:jc w:val="right"/>
              <w:ind w:right="344"/>
              <w:spacing w:after="0"/>
              <w:rPr>
                <w:sz w:val="20"/>
                <w:szCs w:val="20"/>
                <w:color w:val="auto"/>
              </w:rPr>
            </w:pPr>
            <w:r>
              <w:rPr>
                <w:rFonts w:ascii="Arial" w:cs="Arial" w:eastAsia="Arial" w:hAnsi="Arial"/>
                <w:sz w:val="14"/>
                <w:szCs w:val="14"/>
                <w:b w:val="1"/>
                <w:bCs w:val="1"/>
                <w:color w:val="auto"/>
              </w:rPr>
              <w:t>Current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2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1120" w:type="dxa"/>
            <w:vAlign w:val="bottom"/>
            <w:tcBorders>
              <w:bottom w:val="single" w:sz="8" w:color="2C6937"/>
            </w:tcBorders>
          </w:tcPr>
          <w:p>
            <w:pPr>
              <w:jc w:val="right"/>
              <w:ind w:right="225"/>
              <w:spacing w:after="0"/>
              <w:rPr>
                <w:sz w:val="20"/>
                <w:szCs w:val="20"/>
                <w:color w:val="auto"/>
              </w:rPr>
            </w:pPr>
            <w:r>
              <w:rPr>
                <w:rFonts w:ascii="Arial" w:cs="Arial" w:eastAsia="Arial" w:hAnsi="Arial"/>
                <w:sz w:val="14"/>
                <w:szCs w:val="14"/>
                <w:b w:val="1"/>
                <w:bCs w:val="1"/>
                <w:color w:val="auto"/>
              </w:rPr>
              <w:t>Delinquent</w:t>
            </w:r>
          </w:p>
        </w:tc>
        <w:tc>
          <w:tcPr>
            <w:tcW w:w="100" w:type="dxa"/>
            <w:vAlign w:val="bottom"/>
            <w:tcBorders>
              <w:bottom w:val="single" w:sz="8" w:color="2C6937"/>
            </w:tcBorders>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1160" w:type="dxa"/>
            <w:vAlign w:val="bottom"/>
            <w:tcBorders>
              <w:bottom w:val="single" w:sz="8" w:color="2C6937"/>
            </w:tcBorders>
          </w:tcPr>
          <w:p>
            <w:pPr>
              <w:jc w:val="right"/>
              <w:ind w:right="185"/>
              <w:spacing w:after="0"/>
              <w:rPr>
                <w:sz w:val="20"/>
                <w:szCs w:val="20"/>
                <w:color w:val="auto"/>
              </w:rPr>
            </w:pPr>
            <w:r>
              <w:rPr>
                <w:rFonts w:ascii="Arial" w:cs="Arial" w:eastAsia="Arial" w:hAnsi="Arial"/>
                <w:sz w:val="14"/>
                <w:szCs w:val="14"/>
                <w:b w:val="1"/>
                <w:bCs w:val="1"/>
                <w:color w:val="auto"/>
              </w:rPr>
              <w:t>Delinquent</w:t>
            </w:r>
            <w:r>
              <w:rPr>
                <w:rFonts w:ascii="Arial" w:cs="Arial" w:eastAsia="Arial" w:hAnsi="Arial"/>
                <w:sz w:val="8"/>
                <w:szCs w:val="8"/>
                <w:color w:val="auto"/>
              </w:rPr>
              <w:t>(2)</w:t>
            </w:r>
          </w:p>
        </w:tc>
        <w:tc>
          <w:tcPr>
            <w:tcW w:w="80" w:type="dxa"/>
            <w:vAlign w:val="bottom"/>
            <w:tcBorders>
              <w:bottom w:val="single" w:sz="8" w:color="2C6937"/>
            </w:tcBorders>
          </w:tcPr>
          <w:p>
            <w:pPr>
              <w:spacing w:after="0"/>
              <w:rPr>
                <w:sz w:val="15"/>
                <w:szCs w:val="15"/>
                <w:color w:val="auto"/>
              </w:rPr>
            </w:pPr>
          </w:p>
        </w:tc>
        <w:tc>
          <w:tcPr>
            <w:tcW w:w="220" w:type="dxa"/>
            <w:vAlign w:val="bottom"/>
            <w:tcBorders>
              <w:bottom w:val="single" w:sz="8" w:color="2C6937"/>
            </w:tcBorders>
          </w:tcPr>
          <w:p>
            <w:pPr>
              <w:spacing w:after="0"/>
              <w:rPr>
                <w:sz w:val="15"/>
                <w:szCs w:val="15"/>
                <w:color w:val="auto"/>
              </w:rPr>
            </w:pPr>
          </w:p>
        </w:tc>
        <w:tc>
          <w:tcPr>
            <w:tcW w:w="1120" w:type="dxa"/>
            <w:vAlign w:val="bottom"/>
            <w:tcBorders>
              <w:bottom w:val="single" w:sz="8" w:color="2C6937"/>
            </w:tcBorders>
          </w:tcPr>
          <w:p>
            <w:pPr>
              <w:jc w:val="right"/>
              <w:ind w:right="246"/>
              <w:spacing w:after="0"/>
              <w:rPr>
                <w:sz w:val="20"/>
                <w:szCs w:val="20"/>
                <w:color w:val="auto"/>
              </w:rPr>
            </w:pPr>
            <w:r>
              <w:rPr>
                <w:rFonts w:ascii="Arial" w:cs="Arial" w:eastAsia="Arial" w:hAnsi="Arial"/>
                <w:sz w:val="14"/>
                <w:szCs w:val="14"/>
                <w:b w:val="1"/>
                <w:bCs w:val="1"/>
                <w:color w:val="auto"/>
              </w:rPr>
              <w:t>Delinquent</w:t>
            </w:r>
          </w:p>
        </w:tc>
        <w:tc>
          <w:tcPr>
            <w:tcW w:w="80" w:type="dxa"/>
            <w:vAlign w:val="bottom"/>
            <w:tcBorders>
              <w:bottom w:val="single" w:sz="8" w:color="2C6937"/>
            </w:tcBorders>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vMerge w:val="continue"/>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260" w:type="dxa"/>
            <w:vAlign w:val="bottom"/>
            <w:tcBorders>
              <w:bottom w:val="single" w:sz="8" w:color="2C6937"/>
            </w:tcBorders>
          </w:tcPr>
          <w:p>
            <w:pPr>
              <w:spacing w:after="0"/>
              <w:rPr>
                <w:sz w:val="15"/>
                <w:szCs w:val="15"/>
                <w:color w:val="auto"/>
              </w:rPr>
            </w:pPr>
          </w:p>
        </w:tc>
        <w:tc>
          <w:tcPr>
            <w:tcW w:w="1060" w:type="dxa"/>
            <w:vAlign w:val="bottom"/>
            <w:tcBorders>
              <w:bottom w:val="single" w:sz="8" w:color="2C6937"/>
            </w:tcBorders>
            <w:vMerge w:val="continue"/>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300" w:type="dxa"/>
            <w:vAlign w:val="bottom"/>
            <w:tcBorders>
              <w:bottom w:val="single" w:sz="8" w:color="2C6937"/>
            </w:tcBorders>
          </w:tcPr>
          <w:p>
            <w:pPr>
              <w:spacing w:after="0"/>
              <w:rPr>
                <w:sz w:val="15"/>
                <w:szCs w:val="15"/>
                <w:color w:val="auto"/>
              </w:rPr>
            </w:pPr>
          </w:p>
        </w:tc>
        <w:tc>
          <w:tcPr>
            <w:tcW w:w="102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gridSpan w:val="4"/>
          </w:tcPr>
          <w:p>
            <w:pPr>
              <w:jc w:val="right"/>
              <w:ind w:right="664"/>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84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4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840" w:type="dxa"/>
            <w:vAlign w:val="bottom"/>
            <w:gridSpan w:val="2"/>
          </w:tcPr>
          <w:p>
            <w:pPr>
              <w:ind w:left="320"/>
              <w:spacing w:after="0"/>
              <w:rPr>
                <w:sz w:val="20"/>
                <w:szCs w:val="20"/>
                <w:color w:val="auto"/>
              </w:rPr>
            </w:pPr>
            <w:r>
              <w:rPr>
                <w:rFonts w:ascii="Arial" w:cs="Arial" w:eastAsia="Arial" w:hAnsi="Arial"/>
                <w:sz w:val="15"/>
                <w:szCs w:val="15"/>
                <w:color w:val="auto"/>
              </w:rPr>
              <w:t>fixed-rate</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3,442</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2,227</w:t>
            </w:r>
          </w:p>
        </w:tc>
        <w:tc>
          <w:tcPr>
            <w:tcW w:w="3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12,035</w:t>
            </w: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17,704</w:t>
            </w:r>
          </w:p>
        </w:tc>
        <w:tc>
          <w:tcPr>
            <w:tcW w:w="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18,060</w:t>
            </w:r>
          </w:p>
        </w:tc>
        <w:tc>
          <w:tcPr>
            <w:tcW w:w="3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35,764</w:t>
            </w:r>
          </w:p>
        </w:tc>
        <w:tc>
          <w:tcPr>
            <w:tcW w:w="0" w:type="dxa"/>
            <w:vAlign w:val="bottom"/>
          </w:tcPr>
          <w:p>
            <w:pPr>
              <w:spacing w:after="0"/>
              <w:rPr>
                <w:sz w:val="1"/>
                <w:szCs w:val="1"/>
                <w:color w:val="auto"/>
              </w:rPr>
            </w:pPr>
          </w:p>
        </w:tc>
      </w:tr>
      <w:tr>
        <w:trPr>
          <w:trHeight w:val="232"/>
        </w:trPr>
        <w:tc>
          <w:tcPr>
            <w:tcW w:w="284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200" w:type="dxa"/>
            <w:vAlign w:val="bottom"/>
          </w:tcPr>
          <w:p>
            <w:pPr>
              <w:spacing w:after="0"/>
              <w:rPr>
                <w:sz w:val="20"/>
                <w:szCs w:val="20"/>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114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82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447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643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639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1,282</w:t>
            </w:r>
          </w:p>
        </w:tc>
        <w:tc>
          <w:tcPr>
            <w:tcW w:w="0" w:type="dxa"/>
            <w:vAlign w:val="bottom"/>
          </w:tcPr>
          <w:p>
            <w:pPr>
              <w:spacing w:after="0"/>
              <w:rPr>
                <w:sz w:val="1"/>
                <w:szCs w:val="1"/>
                <w:color w:val="auto"/>
              </w:rPr>
            </w:pPr>
          </w:p>
        </w:tc>
      </w:tr>
      <w:tr>
        <w:trPr>
          <w:trHeight w:val="245"/>
        </w:trPr>
        <w:tc>
          <w:tcPr>
            <w:tcW w:w="284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200" w:type="dxa"/>
            <w:vAlign w:val="bottom"/>
          </w:tcPr>
          <w:p>
            <w:pPr>
              <w:spacing w:after="0"/>
              <w:rPr>
                <w:sz w:val="21"/>
                <w:szCs w:val="21"/>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59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66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148</w:t>
            </w:r>
          </w:p>
        </w:tc>
        <w:tc>
          <w:tcPr>
            <w:tcW w:w="0" w:type="dxa"/>
            <w:vAlign w:val="bottom"/>
          </w:tcPr>
          <w:p>
            <w:pPr>
              <w:spacing w:after="0"/>
              <w:rPr>
                <w:sz w:val="1"/>
                <w:szCs w:val="1"/>
                <w:color w:val="auto"/>
              </w:rPr>
            </w:pPr>
          </w:p>
        </w:tc>
      </w:tr>
      <w:tr>
        <w:trPr>
          <w:trHeight w:val="232"/>
        </w:trPr>
        <w:tc>
          <w:tcPr>
            <w:tcW w:w="2840" w:type="dxa"/>
            <w:vAlign w:val="bottom"/>
            <w:gridSpan w:val="2"/>
          </w:tcPr>
          <w:p>
            <w:pPr>
              <w:ind w:left="180"/>
              <w:spacing w:after="0"/>
              <w:rPr>
                <w:sz w:val="20"/>
                <w:szCs w:val="20"/>
                <w:color w:val="auto"/>
              </w:rPr>
            </w:pPr>
            <w:r>
              <w:rPr>
                <w:rFonts w:ascii="Arial" w:cs="Arial" w:eastAsia="Arial" w:hAnsi="Arial"/>
                <w:sz w:val="15"/>
                <w:szCs w:val="15"/>
                <w:color w:val="auto"/>
              </w:rPr>
              <w:t>Other</w:t>
            </w:r>
          </w:p>
        </w:tc>
        <w:tc>
          <w:tcPr>
            <w:tcW w:w="200" w:type="dxa"/>
            <w:vAlign w:val="bottom"/>
          </w:tcPr>
          <w:p>
            <w:pPr>
              <w:spacing w:after="0"/>
              <w:rPr>
                <w:sz w:val="20"/>
                <w:szCs w:val="20"/>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82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43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251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376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400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776</w:t>
            </w:r>
          </w:p>
        </w:tc>
        <w:tc>
          <w:tcPr>
            <w:tcW w:w="0" w:type="dxa"/>
            <w:vAlign w:val="bottom"/>
          </w:tcPr>
          <w:p>
            <w:pPr>
              <w:spacing w:after="0"/>
              <w:rPr>
                <w:sz w:val="1"/>
                <w:szCs w:val="1"/>
                <w:color w:val="auto"/>
              </w:rPr>
            </w:pPr>
          </w:p>
        </w:tc>
      </w:tr>
      <w:tr>
        <w:trPr>
          <w:trHeight w:val="31"/>
        </w:trPr>
        <w:tc>
          <w:tcPr>
            <w:tcW w:w="27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11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116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2C6937"/>
            </w:tcBorders>
          </w:tcPr>
          <w:p>
            <w:pPr>
              <w:spacing w:after="0"/>
              <w:rPr>
                <w:sz w:val="2"/>
                <w:szCs w:val="2"/>
                <w:color w:val="auto"/>
              </w:rPr>
            </w:pPr>
          </w:p>
        </w:tc>
        <w:tc>
          <w:tcPr>
            <w:tcW w:w="112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12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2C6937"/>
            </w:tcBorders>
          </w:tcPr>
          <w:p>
            <w:pPr>
              <w:spacing w:after="0"/>
              <w:rPr>
                <w:sz w:val="2"/>
                <w:szCs w:val="2"/>
                <w:color w:val="auto"/>
              </w:rPr>
            </w:pPr>
          </w:p>
        </w:tc>
        <w:tc>
          <w:tcPr>
            <w:tcW w:w="102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40" w:type="dxa"/>
            <w:vAlign w:val="bottom"/>
            <w:gridSpan w:val="2"/>
          </w:tcPr>
          <w:p>
            <w:pPr>
              <w:ind w:left="20"/>
              <w:spacing w:after="0"/>
              <w:rPr>
                <w:sz w:val="20"/>
                <w:szCs w:val="20"/>
                <w:color w:val="auto"/>
              </w:rPr>
            </w:pPr>
            <w:r>
              <w:rPr>
                <w:rFonts w:ascii="Arial" w:cs="Arial" w:eastAsia="Arial" w:hAnsi="Arial"/>
                <w:sz w:val="15"/>
                <w:szCs w:val="15"/>
                <w:color w:val="auto"/>
              </w:rPr>
              <w:t>Total single-family loans modified</w:t>
            </w:r>
          </w:p>
        </w:tc>
        <w:tc>
          <w:tcPr>
            <w:tcW w:w="200" w:type="dxa"/>
            <w:vAlign w:val="bottom"/>
          </w:tcPr>
          <w:p>
            <w:pPr>
              <w:spacing w:after="0"/>
              <w:rPr>
                <w:sz w:val="17"/>
                <w:szCs w:val="17"/>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3,652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2,361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12,792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18,805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19,165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37,970</w:t>
            </w:r>
          </w:p>
        </w:tc>
        <w:tc>
          <w:tcPr>
            <w:tcW w:w="0" w:type="dxa"/>
            <w:vAlign w:val="bottom"/>
          </w:tcPr>
          <w:p>
            <w:pPr>
              <w:spacing w:after="0"/>
              <w:rPr>
                <w:sz w:val="1"/>
                <w:szCs w:val="1"/>
                <w:color w:val="auto"/>
              </w:rPr>
            </w:pPr>
          </w:p>
        </w:tc>
      </w:tr>
      <w:tr>
        <w:trPr>
          <w:trHeight w:val="243"/>
        </w:trPr>
        <w:tc>
          <w:tcPr>
            <w:tcW w:w="2740" w:type="dxa"/>
            <w:vAlign w:val="bottom"/>
            <w:tcBorders>
              <w:bottom w:val="single" w:sz="8" w:color="2C6937"/>
            </w:tcBorders>
          </w:tcPr>
          <w:p>
            <w:pPr>
              <w:ind w:left="6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1"/>
                <w:szCs w:val="21"/>
                <w:color w:val="auto"/>
              </w:rPr>
            </w:pPr>
          </w:p>
        </w:tc>
        <w:tc>
          <w:tcPr>
            <w:tcW w:w="200" w:type="dxa"/>
            <w:vAlign w:val="bottom"/>
            <w:tcBorders>
              <w:bottom w:val="single" w:sz="8" w:color="2C6937"/>
            </w:tcBorders>
          </w:tcPr>
          <w:p>
            <w:pPr>
              <w:spacing w:after="0"/>
              <w:rPr>
                <w:sz w:val="21"/>
                <w:szCs w:val="21"/>
                <w:color w:val="auto"/>
              </w:rPr>
            </w:pPr>
          </w:p>
        </w:tc>
        <w:tc>
          <w:tcPr>
            <w:tcW w:w="11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180" w:type="dxa"/>
            <w:vAlign w:val="bottom"/>
            <w:tcBorders>
              <w:bottom w:val="single" w:sz="8" w:color="2C6937"/>
            </w:tcBorders>
          </w:tcPr>
          <w:p>
            <w:pPr>
              <w:spacing w:after="0"/>
              <w:rPr>
                <w:sz w:val="21"/>
                <w:szCs w:val="21"/>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N/A</w:t>
            </w:r>
          </w:p>
        </w:tc>
        <w:tc>
          <w:tcPr>
            <w:tcW w:w="80" w:type="dxa"/>
            <w:vAlign w:val="bottom"/>
          </w:tcPr>
          <w:p>
            <w:pPr>
              <w:spacing w:after="0"/>
              <w:rPr>
                <w:sz w:val="21"/>
                <w:szCs w:val="21"/>
                <w:color w:val="auto"/>
              </w:rPr>
            </w:pPr>
          </w:p>
        </w:tc>
        <w:tc>
          <w:tcPr>
            <w:tcW w:w="220" w:type="dxa"/>
            <w:vAlign w:val="bottom"/>
            <w:tcBorders>
              <w:bottom w:val="single" w:sz="8" w:color="2C6937"/>
            </w:tcBorders>
          </w:tcPr>
          <w:p>
            <w:pPr>
              <w:spacing w:after="0"/>
              <w:rPr>
                <w:sz w:val="21"/>
                <w:szCs w:val="21"/>
                <w:color w:val="auto"/>
              </w:rPr>
            </w:pPr>
          </w:p>
        </w:tc>
        <w:tc>
          <w:tcPr>
            <w:tcW w:w="112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380</w:t>
            </w:r>
          </w:p>
        </w:tc>
        <w:tc>
          <w:tcPr>
            <w:tcW w:w="80" w:type="dxa"/>
            <w:vAlign w:val="bottom"/>
          </w:tcPr>
          <w:p>
            <w:pPr>
              <w:spacing w:after="0"/>
              <w:rPr>
                <w:sz w:val="21"/>
                <w:szCs w:val="21"/>
                <w:color w:val="auto"/>
              </w:rPr>
            </w:pPr>
          </w:p>
        </w:tc>
        <w:tc>
          <w:tcPr>
            <w:tcW w:w="120" w:type="dxa"/>
            <w:vAlign w:val="bottom"/>
            <w:tcBorders>
              <w:bottom w:val="single" w:sz="8" w:color="2C6937"/>
            </w:tcBorders>
          </w:tcPr>
          <w:p>
            <w:pPr>
              <w:spacing w:after="0"/>
              <w:rPr>
                <w:sz w:val="21"/>
                <w:szCs w:val="21"/>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380</w:t>
            </w:r>
          </w:p>
        </w:tc>
        <w:tc>
          <w:tcPr>
            <w:tcW w:w="100" w:type="dxa"/>
            <w:vAlign w:val="bottom"/>
          </w:tcPr>
          <w:p>
            <w:pPr>
              <w:spacing w:after="0"/>
              <w:rPr>
                <w:sz w:val="21"/>
                <w:szCs w:val="21"/>
                <w:color w:val="auto"/>
              </w:rPr>
            </w:pPr>
          </w:p>
        </w:tc>
        <w:tc>
          <w:tcPr>
            <w:tcW w:w="260" w:type="dxa"/>
            <w:vAlign w:val="bottom"/>
            <w:tcBorders>
              <w:bottom w:val="single" w:sz="8" w:color="2C6937"/>
            </w:tcBorders>
          </w:tcPr>
          <w:p>
            <w:pPr>
              <w:spacing w:after="0"/>
              <w:rPr>
                <w:sz w:val="21"/>
                <w:szCs w:val="21"/>
                <w:color w:val="auto"/>
              </w:rPr>
            </w:pPr>
          </w:p>
        </w:tc>
        <w:tc>
          <w:tcPr>
            <w:tcW w:w="106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969</w:t>
            </w:r>
          </w:p>
        </w:tc>
        <w:tc>
          <w:tcPr>
            <w:tcW w:w="80" w:type="dxa"/>
            <w:vAlign w:val="bottom"/>
          </w:tcPr>
          <w:p>
            <w:pPr>
              <w:spacing w:after="0"/>
              <w:rPr>
                <w:sz w:val="21"/>
                <w:szCs w:val="21"/>
                <w:color w:val="auto"/>
              </w:rPr>
            </w:pPr>
          </w:p>
        </w:tc>
        <w:tc>
          <w:tcPr>
            <w:tcW w:w="300" w:type="dxa"/>
            <w:vAlign w:val="bottom"/>
            <w:tcBorders>
              <w:bottom w:val="single" w:sz="8" w:color="2C6937"/>
            </w:tcBorders>
          </w:tcPr>
          <w:p>
            <w:pPr>
              <w:spacing w:after="0"/>
              <w:rPr>
                <w:sz w:val="21"/>
                <w:szCs w:val="21"/>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1,349</w:t>
            </w:r>
          </w:p>
        </w:tc>
        <w:tc>
          <w:tcPr>
            <w:tcW w:w="0" w:type="dxa"/>
            <w:vAlign w:val="bottom"/>
          </w:tcPr>
          <w:p>
            <w:pPr>
              <w:spacing w:after="0"/>
              <w:rPr>
                <w:sz w:val="1"/>
                <w:szCs w:val="1"/>
                <w:color w:val="auto"/>
              </w:rPr>
            </w:pPr>
          </w:p>
        </w:tc>
      </w:tr>
      <w:tr>
        <w:trPr>
          <w:trHeight w:val="245"/>
        </w:trPr>
        <w:tc>
          <w:tcPr>
            <w:tcW w:w="2840" w:type="dxa"/>
            <w:vAlign w:val="bottom"/>
            <w:gridSpan w:val="2"/>
          </w:tcPr>
          <w:p>
            <w:pPr>
              <w:ind w:left="180"/>
              <w:spacing w:after="0"/>
              <w:rPr>
                <w:sz w:val="20"/>
                <w:szCs w:val="20"/>
                <w:color w:val="auto"/>
              </w:rPr>
            </w:pPr>
            <w:r>
              <w:rPr>
                <w:rFonts w:ascii="Arial" w:cs="Arial" w:eastAsia="Arial" w:hAnsi="Arial"/>
                <w:sz w:val="15"/>
                <w:szCs w:val="15"/>
                <w:color w:val="auto"/>
              </w:rPr>
              <w:t>Total loans restructured</w:t>
            </w:r>
            <w:r>
              <w:rPr>
                <w:rFonts w:ascii="Arial" w:cs="Arial" w:eastAsia="Arial" w:hAnsi="Arial"/>
                <w:sz w:val="20"/>
                <w:szCs w:val="20"/>
                <w:color w:val="auto"/>
                <w:vertAlign w:val="superscript"/>
              </w:rPr>
              <w:t>(3)</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3,652</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2,361</w:t>
            </w:r>
          </w:p>
        </w:tc>
        <w:tc>
          <w:tcPr>
            <w:tcW w:w="3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13,172</w:t>
            </w: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19,185</w:t>
            </w:r>
          </w:p>
        </w:tc>
        <w:tc>
          <w:tcPr>
            <w:tcW w:w="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20,134</w:t>
            </w:r>
          </w:p>
        </w:tc>
        <w:tc>
          <w:tcPr>
            <w:tcW w:w="3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39,319</w:t>
            </w:r>
          </w:p>
        </w:tc>
        <w:tc>
          <w:tcPr>
            <w:tcW w:w="0" w:type="dxa"/>
            <w:vAlign w:val="bottom"/>
          </w:tcPr>
          <w:p>
            <w:pPr>
              <w:spacing w:after="0"/>
              <w:rPr>
                <w:sz w:val="1"/>
                <w:szCs w:val="1"/>
                <w:color w:val="auto"/>
              </w:rPr>
            </w:pPr>
          </w:p>
        </w:tc>
      </w:tr>
      <w:tr>
        <w:trPr>
          <w:trHeight w:val="20"/>
        </w:trPr>
        <w:tc>
          <w:tcPr>
            <w:tcW w:w="27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0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left="260" w:hanging="257"/>
        <w:spacing w:after="0"/>
        <w:tabs>
          <w:tab w:leader="none" w:pos="260" w:val="left"/>
        </w:tabs>
        <w:numPr>
          <w:ilvl w:val="0"/>
          <w:numId w:val="86"/>
        </w:numPr>
        <w:rPr>
          <w:rFonts w:ascii="Arial" w:cs="Arial" w:eastAsia="Arial" w:hAnsi="Arial"/>
          <w:sz w:val="9"/>
          <w:szCs w:val="9"/>
          <w:color w:val="auto"/>
        </w:rPr>
      </w:pPr>
      <w:r>
        <w:rPr>
          <w:rFonts w:ascii="Arial" w:cs="Arial" w:eastAsia="Arial" w:hAnsi="Arial"/>
          <w:sz w:val="14"/>
          <w:szCs w:val="14"/>
          <w:color w:val="auto"/>
        </w:rPr>
        <w:t>The substantial majority of loans that received a completed modification or a payment deferral during the second quarter of 2023 were not delinquent as of June 30, 2023.</w:t>
      </w:r>
    </w:p>
    <w:p>
      <w:pPr>
        <w:spacing w:after="0" w:line="45" w:lineRule="exact"/>
        <w:rPr>
          <w:rFonts w:ascii="Arial" w:cs="Arial" w:eastAsia="Arial" w:hAnsi="Arial"/>
          <w:sz w:val="9"/>
          <w:szCs w:val="9"/>
          <w:color w:val="auto"/>
        </w:rPr>
      </w:pPr>
    </w:p>
    <w:p>
      <w:pPr>
        <w:ind w:left="220" w:hanging="217"/>
        <w:spacing w:after="0"/>
        <w:tabs>
          <w:tab w:leader="none" w:pos="220" w:val="left"/>
        </w:tabs>
        <w:numPr>
          <w:ilvl w:val="0"/>
          <w:numId w:val="86"/>
        </w:numPr>
        <w:rPr>
          <w:rFonts w:ascii="Arial" w:cs="Arial" w:eastAsia="Arial" w:hAnsi="Arial"/>
          <w:sz w:val="9"/>
          <w:szCs w:val="9"/>
          <w:color w:val="auto"/>
        </w:rPr>
      </w:pPr>
      <w:r>
        <w:rPr>
          <w:rFonts w:ascii="Arial" w:cs="Arial" w:eastAsia="Arial" w:hAnsi="Arial"/>
          <w:sz w:val="14"/>
          <w:szCs w:val="14"/>
          <w:color w:val="auto"/>
        </w:rPr>
        <w:t>Multifamily loans 60-89 days delinquent are included in the seriously delinquent column.</w:t>
      </w:r>
    </w:p>
    <w:p>
      <w:pPr>
        <w:spacing w:after="0" w:line="13" w:lineRule="exact"/>
        <w:rPr>
          <w:rFonts w:ascii="Arial" w:cs="Arial" w:eastAsia="Arial" w:hAnsi="Arial"/>
          <w:sz w:val="9"/>
          <w:szCs w:val="9"/>
          <w:color w:val="auto"/>
        </w:rPr>
      </w:pPr>
    </w:p>
    <w:p>
      <w:pPr>
        <w:ind w:left="220" w:hanging="217"/>
        <w:spacing w:after="0"/>
        <w:tabs>
          <w:tab w:leader="none" w:pos="220" w:val="left"/>
        </w:tabs>
        <w:numPr>
          <w:ilvl w:val="0"/>
          <w:numId w:val="86"/>
        </w:numPr>
        <w:rPr>
          <w:rFonts w:ascii="Arial" w:cs="Arial" w:eastAsia="Arial" w:hAnsi="Arial"/>
          <w:sz w:val="18"/>
          <w:szCs w:val="18"/>
          <w:color w:val="auto"/>
          <w:vertAlign w:val="superscript"/>
        </w:rPr>
      </w:pPr>
      <w:r>
        <w:rPr>
          <w:rFonts w:ascii="Arial" w:cs="Arial" w:eastAsia="Arial" w:hAnsi="Arial"/>
          <w:sz w:val="14"/>
          <w:szCs w:val="14"/>
          <w:color w:val="auto"/>
        </w:rPr>
        <w:t>Represents the amortized cost basis of the loan as of period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375285</wp:posOffset>
            </wp:positionV>
            <wp:extent cx="681101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164070" cy="4191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87" w:name="page88"/>
    <w:bookmarkEnd w:id="87"/>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15875</wp:posOffset>
            </wp:positionV>
            <wp:extent cx="702373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2600"/>
        <w:spacing w:after="0" w:line="267" w:lineRule="auto"/>
        <w:rPr>
          <w:sz w:val="20"/>
          <w:szCs w:val="20"/>
          <w:color w:val="auto"/>
        </w:rPr>
      </w:pPr>
      <w:r>
        <w:rPr>
          <w:rFonts w:ascii="Arial" w:cs="Arial" w:eastAsia="Arial" w:hAnsi="Arial"/>
          <w:sz w:val="16"/>
          <w:szCs w:val="16"/>
          <w:color w:val="auto"/>
        </w:rPr>
        <w:t>The following table displays an aging analysis of HFI mortgage loans that were restructured on or after January 1, 2022, the date we adopted ASU 2022-02, through June 30, 2022, presented by portfolio segment and class of financing receivable.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2520" w:type="dxa"/>
            <w:vAlign w:val="bottom"/>
            <w:tcBorders>
              <w:bottom w:val="single" w:sz="8" w:color="2C6937"/>
            </w:tcBorders>
            <w:gridSpan w:val="4"/>
          </w:tcPr>
          <w:p>
            <w:pPr>
              <w:jc w:val="right"/>
              <w:ind w:right="604"/>
              <w:spacing w:after="0"/>
              <w:rPr>
                <w:sz w:val="20"/>
                <w:szCs w:val="20"/>
                <w:color w:val="auto"/>
              </w:rPr>
            </w:pPr>
            <w:r>
              <w:rPr>
                <w:rFonts w:ascii="Arial" w:cs="Arial" w:eastAsia="Arial" w:hAnsi="Arial"/>
                <w:sz w:val="14"/>
                <w:szCs w:val="14"/>
                <w:b w:val="1"/>
                <w:bCs w:val="1"/>
                <w:color w:val="auto"/>
              </w:rPr>
              <w:t>As of June 30, 2022</w:t>
            </w:r>
            <w:r>
              <w:rPr>
                <w:rFonts w:ascii="Arial" w:cs="Arial" w:eastAsia="Arial" w:hAnsi="Arial"/>
                <w:sz w:val="17"/>
                <w:szCs w:val="17"/>
                <w:b w:val="1"/>
                <w:bCs w:val="1"/>
                <w:color w:val="auto"/>
                <w:vertAlign w:val="superscript"/>
              </w:rPr>
              <w:t>(1)</w:t>
            </w:r>
          </w:p>
        </w:tc>
        <w:tc>
          <w:tcPr>
            <w:tcW w:w="100" w:type="dxa"/>
            <w:vAlign w:val="bottom"/>
            <w:tcBorders>
              <w:bottom w:val="single" w:sz="8" w:color="2C6937"/>
            </w:tcBorders>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225"/>
              <w:spacing w:after="0" w:line="148" w:lineRule="exact"/>
              <w:rPr>
                <w:sz w:val="20"/>
                <w:szCs w:val="20"/>
                <w:color w:val="auto"/>
              </w:rPr>
            </w:pPr>
            <w:r>
              <w:rPr>
                <w:rFonts w:ascii="Arial" w:cs="Arial" w:eastAsia="Arial" w:hAnsi="Arial"/>
                <w:sz w:val="14"/>
                <w:szCs w:val="14"/>
                <w:b w:val="1"/>
                <w:bCs w:val="1"/>
                <w:color w:val="auto"/>
              </w:rPr>
              <w:t>30-59 Days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right"/>
              <w:ind w:right="245"/>
              <w:spacing w:after="0" w:line="148" w:lineRule="exact"/>
              <w:rPr>
                <w:sz w:val="20"/>
                <w:szCs w:val="20"/>
                <w:color w:val="auto"/>
              </w:rPr>
            </w:pPr>
            <w:r>
              <w:rPr>
                <w:rFonts w:ascii="Arial" w:cs="Arial" w:eastAsia="Arial" w:hAnsi="Arial"/>
                <w:sz w:val="14"/>
                <w:szCs w:val="14"/>
                <w:b w:val="1"/>
                <w:bCs w:val="1"/>
                <w:color w:val="auto"/>
              </w:rPr>
              <w:t>60-89 Days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286"/>
              <w:spacing w:after="0" w:line="148" w:lineRule="exact"/>
              <w:rPr>
                <w:sz w:val="20"/>
                <w:szCs w:val="20"/>
                <w:color w:val="auto"/>
              </w:rPr>
            </w:pPr>
            <w:r>
              <w:rPr>
                <w:rFonts w:ascii="Arial" w:cs="Arial" w:eastAsia="Arial" w:hAnsi="Arial"/>
                <w:sz w:val="14"/>
                <w:szCs w:val="14"/>
                <w:b w:val="1"/>
                <w:bCs w:val="1"/>
                <w:color w:val="auto"/>
              </w:rPr>
              <w:t>Seriously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restart"/>
          </w:tcPr>
          <w:p>
            <w:pPr>
              <w:jc w:val="right"/>
              <w:ind w:right="44"/>
              <w:spacing w:after="0"/>
              <w:rPr>
                <w:sz w:val="20"/>
                <w:szCs w:val="20"/>
                <w:color w:val="auto"/>
              </w:rPr>
            </w:pPr>
            <w:r>
              <w:rPr>
                <w:rFonts w:ascii="Arial" w:cs="Arial" w:eastAsia="Arial" w:hAnsi="Arial"/>
                <w:sz w:val="14"/>
                <w:szCs w:val="14"/>
                <w:b w:val="1"/>
                <w:bCs w:val="1"/>
                <w:color w:val="auto"/>
                <w:w w:val="96"/>
              </w:rPr>
              <w:t>Total Delinquent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vMerge w:val="restart"/>
          </w:tcPr>
          <w:p>
            <w:pPr>
              <w:jc w:val="right"/>
              <w:ind w:right="344"/>
              <w:spacing w:after="0"/>
              <w:rPr>
                <w:sz w:val="20"/>
                <w:szCs w:val="20"/>
                <w:color w:val="auto"/>
              </w:rPr>
            </w:pPr>
            <w:r>
              <w:rPr>
                <w:rFonts w:ascii="Arial" w:cs="Arial" w:eastAsia="Arial" w:hAnsi="Arial"/>
                <w:sz w:val="14"/>
                <w:szCs w:val="14"/>
                <w:b w:val="1"/>
                <w:bCs w:val="1"/>
                <w:color w:val="auto"/>
              </w:rPr>
              <w:t>Current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restart"/>
          </w:tcPr>
          <w:p>
            <w:pPr>
              <w:jc w:val="right"/>
              <w:ind w:right="42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1120" w:type="dxa"/>
            <w:vAlign w:val="bottom"/>
            <w:tcBorders>
              <w:bottom w:val="single" w:sz="8" w:color="2C6937"/>
            </w:tcBorders>
          </w:tcPr>
          <w:p>
            <w:pPr>
              <w:jc w:val="right"/>
              <w:ind w:right="225"/>
              <w:spacing w:after="0"/>
              <w:rPr>
                <w:sz w:val="20"/>
                <w:szCs w:val="20"/>
                <w:color w:val="auto"/>
              </w:rPr>
            </w:pPr>
            <w:r>
              <w:rPr>
                <w:rFonts w:ascii="Arial" w:cs="Arial" w:eastAsia="Arial" w:hAnsi="Arial"/>
                <w:sz w:val="14"/>
                <w:szCs w:val="14"/>
                <w:b w:val="1"/>
                <w:bCs w:val="1"/>
                <w:color w:val="auto"/>
              </w:rPr>
              <w:t>Delinquent</w:t>
            </w:r>
          </w:p>
        </w:tc>
        <w:tc>
          <w:tcPr>
            <w:tcW w:w="100" w:type="dxa"/>
            <w:vAlign w:val="bottom"/>
            <w:tcBorders>
              <w:bottom w:val="single" w:sz="8" w:color="2C6937"/>
            </w:tcBorders>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1160" w:type="dxa"/>
            <w:vAlign w:val="bottom"/>
            <w:tcBorders>
              <w:bottom w:val="single" w:sz="8" w:color="2C6937"/>
            </w:tcBorders>
          </w:tcPr>
          <w:p>
            <w:pPr>
              <w:jc w:val="right"/>
              <w:ind w:right="185"/>
              <w:spacing w:after="0" w:line="180" w:lineRule="exact"/>
              <w:rPr>
                <w:sz w:val="20"/>
                <w:szCs w:val="20"/>
                <w:color w:val="auto"/>
              </w:rPr>
            </w:pPr>
            <w:r>
              <w:rPr>
                <w:rFonts w:ascii="Arial" w:cs="Arial" w:eastAsia="Arial" w:hAnsi="Arial"/>
                <w:sz w:val="14"/>
                <w:szCs w:val="14"/>
                <w:b w:val="1"/>
                <w:bCs w:val="1"/>
                <w:color w:val="auto"/>
              </w:rPr>
              <w:t>Delinquent</w:t>
            </w:r>
            <w:r>
              <w:rPr>
                <w:rFonts w:ascii="Arial" w:cs="Arial" w:eastAsia="Arial" w:hAnsi="Arial"/>
                <w:sz w:val="17"/>
                <w:szCs w:val="17"/>
                <w:color w:val="auto"/>
                <w:vertAlign w:val="superscript"/>
              </w:rPr>
              <w:t>(2)</w:t>
            </w:r>
          </w:p>
        </w:tc>
        <w:tc>
          <w:tcPr>
            <w:tcW w:w="80" w:type="dxa"/>
            <w:vAlign w:val="bottom"/>
            <w:tcBorders>
              <w:bottom w:val="single" w:sz="8" w:color="2C6937"/>
            </w:tcBorders>
          </w:tcPr>
          <w:p>
            <w:pPr>
              <w:spacing w:after="0"/>
              <w:rPr>
                <w:sz w:val="15"/>
                <w:szCs w:val="15"/>
                <w:color w:val="auto"/>
              </w:rPr>
            </w:pPr>
          </w:p>
        </w:tc>
        <w:tc>
          <w:tcPr>
            <w:tcW w:w="220" w:type="dxa"/>
            <w:vAlign w:val="bottom"/>
            <w:tcBorders>
              <w:bottom w:val="single" w:sz="8" w:color="2C6937"/>
            </w:tcBorders>
          </w:tcPr>
          <w:p>
            <w:pPr>
              <w:spacing w:after="0"/>
              <w:rPr>
                <w:sz w:val="15"/>
                <w:szCs w:val="15"/>
                <w:color w:val="auto"/>
              </w:rPr>
            </w:pPr>
          </w:p>
        </w:tc>
        <w:tc>
          <w:tcPr>
            <w:tcW w:w="1120" w:type="dxa"/>
            <w:vAlign w:val="bottom"/>
            <w:tcBorders>
              <w:bottom w:val="single" w:sz="8" w:color="2C6937"/>
            </w:tcBorders>
          </w:tcPr>
          <w:p>
            <w:pPr>
              <w:jc w:val="right"/>
              <w:ind w:right="246"/>
              <w:spacing w:after="0"/>
              <w:rPr>
                <w:sz w:val="20"/>
                <w:szCs w:val="20"/>
                <w:color w:val="auto"/>
              </w:rPr>
            </w:pPr>
            <w:r>
              <w:rPr>
                <w:rFonts w:ascii="Arial" w:cs="Arial" w:eastAsia="Arial" w:hAnsi="Arial"/>
                <w:sz w:val="14"/>
                <w:szCs w:val="14"/>
                <w:b w:val="1"/>
                <w:bCs w:val="1"/>
                <w:color w:val="auto"/>
              </w:rPr>
              <w:t>Delinquent</w:t>
            </w:r>
          </w:p>
        </w:tc>
        <w:tc>
          <w:tcPr>
            <w:tcW w:w="80" w:type="dxa"/>
            <w:vAlign w:val="bottom"/>
            <w:tcBorders>
              <w:bottom w:val="single" w:sz="8" w:color="2C6937"/>
            </w:tcBorders>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vMerge w:val="continue"/>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260" w:type="dxa"/>
            <w:vAlign w:val="bottom"/>
            <w:tcBorders>
              <w:bottom w:val="single" w:sz="8" w:color="2C6937"/>
            </w:tcBorders>
          </w:tcPr>
          <w:p>
            <w:pPr>
              <w:spacing w:after="0"/>
              <w:rPr>
                <w:sz w:val="15"/>
                <w:szCs w:val="15"/>
                <w:color w:val="auto"/>
              </w:rPr>
            </w:pPr>
          </w:p>
        </w:tc>
        <w:tc>
          <w:tcPr>
            <w:tcW w:w="1060" w:type="dxa"/>
            <w:vAlign w:val="bottom"/>
            <w:tcBorders>
              <w:bottom w:val="single" w:sz="8" w:color="2C6937"/>
            </w:tcBorders>
            <w:vMerge w:val="continue"/>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300" w:type="dxa"/>
            <w:vAlign w:val="bottom"/>
            <w:tcBorders>
              <w:bottom w:val="single" w:sz="8" w:color="2C6937"/>
            </w:tcBorders>
          </w:tcPr>
          <w:p>
            <w:pPr>
              <w:spacing w:after="0"/>
              <w:rPr>
                <w:sz w:val="15"/>
                <w:szCs w:val="15"/>
                <w:color w:val="auto"/>
              </w:rPr>
            </w:pPr>
          </w:p>
        </w:tc>
        <w:tc>
          <w:tcPr>
            <w:tcW w:w="102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gridSpan w:val="4"/>
          </w:tcPr>
          <w:p>
            <w:pPr>
              <w:jc w:val="right"/>
              <w:ind w:right="664"/>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84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4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840" w:type="dxa"/>
            <w:vAlign w:val="bottom"/>
            <w:gridSpan w:val="2"/>
          </w:tcPr>
          <w:p>
            <w:pPr>
              <w:ind w:left="320"/>
              <w:spacing w:after="0"/>
              <w:rPr>
                <w:sz w:val="20"/>
                <w:szCs w:val="20"/>
                <w:color w:val="auto"/>
              </w:rPr>
            </w:pPr>
            <w:r>
              <w:rPr>
                <w:rFonts w:ascii="Arial" w:cs="Arial" w:eastAsia="Arial" w:hAnsi="Arial"/>
                <w:sz w:val="15"/>
                <w:szCs w:val="15"/>
                <w:color w:val="auto"/>
              </w:rPr>
              <w:t>fixed-rate</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2,351</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1,680</w:t>
            </w:r>
          </w:p>
        </w:tc>
        <w:tc>
          <w:tcPr>
            <w:tcW w:w="3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15,203</w:t>
            </w: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19,234</w:t>
            </w:r>
          </w:p>
        </w:tc>
        <w:tc>
          <w:tcPr>
            <w:tcW w:w="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13,130</w:t>
            </w:r>
          </w:p>
        </w:tc>
        <w:tc>
          <w:tcPr>
            <w:tcW w:w="3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32,364</w:t>
            </w:r>
          </w:p>
        </w:tc>
        <w:tc>
          <w:tcPr>
            <w:tcW w:w="0" w:type="dxa"/>
            <w:vAlign w:val="bottom"/>
          </w:tcPr>
          <w:p>
            <w:pPr>
              <w:spacing w:after="0"/>
              <w:rPr>
                <w:sz w:val="1"/>
                <w:szCs w:val="1"/>
                <w:color w:val="auto"/>
              </w:rPr>
            </w:pPr>
          </w:p>
        </w:tc>
      </w:tr>
      <w:tr>
        <w:trPr>
          <w:trHeight w:val="232"/>
        </w:trPr>
        <w:tc>
          <w:tcPr>
            <w:tcW w:w="284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200" w:type="dxa"/>
            <w:vAlign w:val="bottom"/>
          </w:tcPr>
          <w:p>
            <w:pPr>
              <w:spacing w:after="0"/>
              <w:rPr>
                <w:sz w:val="20"/>
                <w:szCs w:val="20"/>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112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87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649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507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1,355</w:t>
            </w:r>
          </w:p>
        </w:tc>
        <w:tc>
          <w:tcPr>
            <w:tcW w:w="0" w:type="dxa"/>
            <w:vAlign w:val="bottom"/>
          </w:tcPr>
          <w:p>
            <w:pPr>
              <w:spacing w:after="0"/>
              <w:rPr>
                <w:sz w:val="1"/>
                <w:szCs w:val="1"/>
                <w:color w:val="auto"/>
              </w:rPr>
            </w:pPr>
          </w:p>
        </w:tc>
      </w:tr>
      <w:tr>
        <w:trPr>
          <w:trHeight w:val="232"/>
        </w:trPr>
        <w:tc>
          <w:tcPr>
            <w:tcW w:w="284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200" w:type="dxa"/>
            <w:vAlign w:val="bottom"/>
          </w:tcPr>
          <w:p>
            <w:pPr>
              <w:spacing w:after="0"/>
              <w:rPr>
                <w:sz w:val="20"/>
                <w:szCs w:val="20"/>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103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71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196</w:t>
            </w:r>
          </w:p>
        </w:tc>
        <w:tc>
          <w:tcPr>
            <w:tcW w:w="0" w:type="dxa"/>
            <w:vAlign w:val="bottom"/>
          </w:tcPr>
          <w:p>
            <w:pPr>
              <w:spacing w:after="0"/>
              <w:rPr>
                <w:sz w:val="1"/>
                <w:szCs w:val="1"/>
                <w:color w:val="auto"/>
              </w:rPr>
            </w:pPr>
          </w:p>
        </w:tc>
      </w:tr>
      <w:tr>
        <w:trPr>
          <w:trHeight w:val="256"/>
        </w:trPr>
        <w:tc>
          <w:tcPr>
            <w:tcW w:w="274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11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65</w:t>
            </w:r>
          </w:p>
        </w:tc>
        <w:tc>
          <w:tcPr>
            <w:tcW w:w="10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11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44</w:t>
            </w:r>
          </w:p>
        </w:tc>
        <w:tc>
          <w:tcPr>
            <w:tcW w:w="80" w:type="dxa"/>
            <w:vAlign w:val="bottom"/>
          </w:tcPr>
          <w:p>
            <w:pPr>
              <w:spacing w:after="0"/>
              <w:rPr>
                <w:sz w:val="22"/>
                <w:szCs w:val="22"/>
                <w:color w:val="auto"/>
              </w:rPr>
            </w:pPr>
          </w:p>
        </w:tc>
        <w:tc>
          <w:tcPr>
            <w:tcW w:w="220" w:type="dxa"/>
            <w:vAlign w:val="bottom"/>
            <w:tcBorders>
              <w:bottom w:val="single" w:sz="8" w:color="2C6937"/>
            </w:tcBorders>
          </w:tcPr>
          <w:p>
            <w:pPr>
              <w:spacing w:after="0"/>
              <w:rPr>
                <w:sz w:val="22"/>
                <w:szCs w:val="22"/>
                <w:color w:val="auto"/>
              </w:rPr>
            </w:pPr>
          </w:p>
        </w:tc>
        <w:tc>
          <w:tcPr>
            <w:tcW w:w="112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440</w:t>
            </w:r>
          </w:p>
        </w:tc>
        <w:tc>
          <w:tcPr>
            <w:tcW w:w="8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549</w:t>
            </w:r>
          </w:p>
        </w:tc>
        <w:tc>
          <w:tcPr>
            <w:tcW w:w="100" w:type="dxa"/>
            <w:vAlign w:val="bottom"/>
          </w:tcPr>
          <w:p>
            <w:pPr>
              <w:spacing w:after="0"/>
              <w:rPr>
                <w:sz w:val="22"/>
                <w:szCs w:val="22"/>
                <w:color w:val="auto"/>
              </w:rPr>
            </w:pPr>
          </w:p>
        </w:tc>
        <w:tc>
          <w:tcPr>
            <w:tcW w:w="260" w:type="dxa"/>
            <w:vAlign w:val="bottom"/>
            <w:tcBorders>
              <w:bottom w:val="single" w:sz="8" w:color="2C6937"/>
            </w:tcBorders>
          </w:tcPr>
          <w:p>
            <w:pPr>
              <w:spacing w:after="0"/>
              <w:rPr>
                <w:sz w:val="22"/>
                <w:szCs w:val="22"/>
                <w:color w:val="auto"/>
              </w:rPr>
            </w:pPr>
          </w:p>
        </w:tc>
        <w:tc>
          <w:tcPr>
            <w:tcW w:w="106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504</w:t>
            </w:r>
          </w:p>
        </w:tc>
        <w:tc>
          <w:tcPr>
            <w:tcW w:w="80" w:type="dxa"/>
            <w:vAlign w:val="bottom"/>
          </w:tcPr>
          <w:p>
            <w:pPr>
              <w:spacing w:after="0"/>
              <w:rPr>
                <w:sz w:val="22"/>
                <w:szCs w:val="22"/>
                <w:color w:val="auto"/>
              </w:rPr>
            </w:pPr>
          </w:p>
        </w:tc>
        <w:tc>
          <w:tcPr>
            <w:tcW w:w="300" w:type="dxa"/>
            <w:vAlign w:val="bottom"/>
            <w:tcBorders>
              <w:bottom w:val="single" w:sz="8" w:color="2C6937"/>
            </w:tcBorders>
          </w:tcPr>
          <w:p>
            <w:pPr>
              <w:spacing w:after="0"/>
              <w:rPr>
                <w:sz w:val="22"/>
                <w:szCs w:val="22"/>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1,053</w:t>
            </w:r>
          </w:p>
        </w:tc>
        <w:tc>
          <w:tcPr>
            <w:tcW w:w="0" w:type="dxa"/>
            <w:vAlign w:val="bottom"/>
          </w:tcPr>
          <w:p>
            <w:pPr>
              <w:spacing w:after="0"/>
              <w:rPr>
                <w:sz w:val="1"/>
                <w:szCs w:val="1"/>
                <w:color w:val="auto"/>
              </w:rPr>
            </w:pPr>
          </w:p>
        </w:tc>
      </w:tr>
      <w:tr>
        <w:trPr>
          <w:trHeight w:val="214"/>
        </w:trPr>
        <w:tc>
          <w:tcPr>
            <w:tcW w:w="2840" w:type="dxa"/>
            <w:vAlign w:val="bottom"/>
            <w:gridSpan w:val="2"/>
          </w:tcPr>
          <w:p>
            <w:pPr>
              <w:ind w:left="20"/>
              <w:spacing w:after="0"/>
              <w:rPr>
                <w:sz w:val="20"/>
                <w:szCs w:val="20"/>
                <w:color w:val="auto"/>
              </w:rPr>
            </w:pPr>
            <w:r>
              <w:rPr>
                <w:rFonts w:ascii="Arial" w:cs="Arial" w:eastAsia="Arial" w:hAnsi="Arial"/>
                <w:sz w:val="15"/>
                <w:szCs w:val="15"/>
                <w:color w:val="auto"/>
              </w:rPr>
              <w:t>Total single-family loans modified</w:t>
            </w:r>
          </w:p>
        </w:tc>
        <w:tc>
          <w:tcPr>
            <w:tcW w:w="200" w:type="dxa"/>
            <w:vAlign w:val="bottom"/>
          </w:tcPr>
          <w:p>
            <w:pPr>
              <w:spacing w:after="0"/>
              <w:rPr>
                <w:sz w:val="18"/>
                <w:szCs w:val="18"/>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2,542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1,819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16,395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20,756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14,212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34,968</w:t>
            </w:r>
          </w:p>
        </w:tc>
        <w:tc>
          <w:tcPr>
            <w:tcW w:w="0" w:type="dxa"/>
            <w:vAlign w:val="bottom"/>
          </w:tcPr>
          <w:p>
            <w:pPr>
              <w:spacing w:after="0"/>
              <w:rPr>
                <w:sz w:val="1"/>
                <w:szCs w:val="1"/>
                <w:color w:val="auto"/>
              </w:rPr>
            </w:pPr>
          </w:p>
        </w:tc>
      </w:tr>
      <w:tr>
        <w:trPr>
          <w:trHeight w:val="232"/>
        </w:trPr>
        <w:tc>
          <w:tcPr>
            <w:tcW w:w="2840" w:type="dxa"/>
            <w:vAlign w:val="bottom"/>
            <w:gridSpan w:val="2"/>
          </w:tcPr>
          <w:p>
            <w:pPr>
              <w:ind w:left="60"/>
              <w:spacing w:after="0"/>
              <w:rPr>
                <w:sz w:val="20"/>
                <w:szCs w:val="20"/>
                <w:color w:val="auto"/>
              </w:rPr>
            </w:pPr>
            <w:r>
              <w:rPr>
                <w:rFonts w:ascii="Arial" w:cs="Arial" w:eastAsia="Arial" w:hAnsi="Arial"/>
                <w:sz w:val="15"/>
                <w:szCs w:val="15"/>
                <w:color w:val="auto"/>
              </w:rPr>
              <w:t>Multifamily</w:t>
            </w:r>
          </w:p>
        </w:tc>
        <w:tc>
          <w:tcPr>
            <w:tcW w:w="200" w:type="dxa"/>
            <w:vAlign w:val="bottom"/>
          </w:tcPr>
          <w:p>
            <w:pPr>
              <w:spacing w:after="0"/>
              <w:rPr>
                <w:sz w:val="20"/>
                <w:szCs w:val="20"/>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N/A</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237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248</w:t>
            </w:r>
          </w:p>
        </w:tc>
        <w:tc>
          <w:tcPr>
            <w:tcW w:w="0" w:type="dxa"/>
            <w:vAlign w:val="bottom"/>
          </w:tcPr>
          <w:p>
            <w:pPr>
              <w:spacing w:after="0"/>
              <w:rPr>
                <w:sz w:val="1"/>
                <w:szCs w:val="1"/>
                <w:color w:val="auto"/>
              </w:rPr>
            </w:pPr>
          </w:p>
        </w:tc>
      </w:tr>
      <w:tr>
        <w:trPr>
          <w:trHeight w:val="31"/>
        </w:trPr>
        <w:tc>
          <w:tcPr>
            <w:tcW w:w="27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11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116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2C6937"/>
            </w:tcBorders>
          </w:tcPr>
          <w:p>
            <w:pPr>
              <w:spacing w:after="0"/>
              <w:rPr>
                <w:sz w:val="2"/>
                <w:szCs w:val="2"/>
                <w:color w:val="auto"/>
              </w:rPr>
            </w:pPr>
          </w:p>
        </w:tc>
        <w:tc>
          <w:tcPr>
            <w:tcW w:w="112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12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2C6937"/>
            </w:tcBorders>
          </w:tcPr>
          <w:p>
            <w:pPr>
              <w:spacing w:after="0"/>
              <w:rPr>
                <w:sz w:val="2"/>
                <w:szCs w:val="2"/>
                <w:color w:val="auto"/>
              </w:rPr>
            </w:pPr>
          </w:p>
        </w:tc>
        <w:tc>
          <w:tcPr>
            <w:tcW w:w="102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840" w:type="dxa"/>
            <w:vAlign w:val="bottom"/>
            <w:gridSpan w:val="2"/>
          </w:tcPr>
          <w:p>
            <w:pPr>
              <w:ind w:left="180"/>
              <w:spacing w:after="0" w:line="225" w:lineRule="exact"/>
              <w:rPr>
                <w:sz w:val="20"/>
                <w:szCs w:val="20"/>
                <w:color w:val="auto"/>
              </w:rPr>
            </w:pPr>
            <w:r>
              <w:rPr>
                <w:rFonts w:ascii="Arial" w:cs="Arial" w:eastAsia="Arial" w:hAnsi="Arial"/>
                <w:sz w:val="15"/>
                <w:szCs w:val="15"/>
                <w:color w:val="auto"/>
              </w:rPr>
              <w:t>Total loans restructured</w:t>
            </w:r>
            <w:r>
              <w:rPr>
                <w:rFonts w:ascii="Arial" w:cs="Arial" w:eastAsia="Arial" w:hAnsi="Arial"/>
                <w:sz w:val="20"/>
                <w:szCs w:val="20"/>
                <w:color w:val="auto"/>
                <w:vertAlign w:val="superscript"/>
              </w:rPr>
              <w:t>(3)</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2,542</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1,819</w:t>
            </w:r>
          </w:p>
        </w:tc>
        <w:tc>
          <w:tcPr>
            <w:tcW w:w="3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16,632</w:t>
            </w: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20,993</w:t>
            </w:r>
          </w:p>
        </w:tc>
        <w:tc>
          <w:tcPr>
            <w:tcW w:w="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14,223</w:t>
            </w:r>
          </w:p>
        </w:tc>
        <w:tc>
          <w:tcPr>
            <w:tcW w:w="3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35,216</w:t>
            </w:r>
          </w:p>
        </w:tc>
        <w:tc>
          <w:tcPr>
            <w:tcW w:w="0" w:type="dxa"/>
            <w:vAlign w:val="bottom"/>
          </w:tcPr>
          <w:p>
            <w:pPr>
              <w:spacing w:after="0"/>
              <w:rPr>
                <w:sz w:val="1"/>
                <w:szCs w:val="1"/>
                <w:color w:val="auto"/>
              </w:rPr>
            </w:pPr>
          </w:p>
        </w:tc>
      </w:tr>
      <w:tr>
        <w:trPr>
          <w:trHeight w:val="20"/>
        </w:trPr>
        <w:tc>
          <w:tcPr>
            <w:tcW w:w="27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0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220" w:hanging="217"/>
        <w:spacing w:after="0"/>
        <w:tabs>
          <w:tab w:leader="none" w:pos="220" w:val="left"/>
        </w:tabs>
        <w:numPr>
          <w:ilvl w:val="0"/>
          <w:numId w:val="87"/>
        </w:numPr>
        <w:rPr>
          <w:rFonts w:ascii="Arial" w:cs="Arial" w:eastAsia="Arial" w:hAnsi="Arial"/>
          <w:sz w:val="18"/>
          <w:szCs w:val="18"/>
          <w:color w:val="auto"/>
          <w:vertAlign w:val="superscript"/>
        </w:rPr>
      </w:pPr>
      <w:r>
        <w:rPr>
          <w:rFonts w:ascii="Arial" w:cs="Arial" w:eastAsia="Arial" w:hAnsi="Arial"/>
          <w:sz w:val="14"/>
          <w:szCs w:val="14"/>
          <w:color w:val="auto"/>
        </w:rPr>
        <w:t>The substantial majority of loans that received a completed modification or a payment deferral during the second quarter of 2022 were not delinquent as of June 30, 2022.</w:t>
      </w:r>
    </w:p>
    <w:p>
      <w:pPr>
        <w:spacing w:after="0" w:line="41" w:lineRule="exact"/>
        <w:rPr>
          <w:rFonts w:ascii="Arial" w:cs="Arial" w:eastAsia="Arial" w:hAnsi="Arial"/>
          <w:sz w:val="18"/>
          <w:szCs w:val="18"/>
          <w:color w:val="auto"/>
          <w:vertAlign w:val="superscript"/>
        </w:rPr>
      </w:pPr>
    </w:p>
    <w:p>
      <w:pPr>
        <w:ind w:left="240" w:hanging="237"/>
        <w:spacing w:after="0" w:line="190" w:lineRule="auto"/>
        <w:tabs>
          <w:tab w:leader="none" w:pos="240" w:val="left"/>
        </w:tabs>
        <w:numPr>
          <w:ilvl w:val="0"/>
          <w:numId w:val="87"/>
        </w:numPr>
        <w:rPr>
          <w:rFonts w:ascii="Arial" w:cs="Arial" w:eastAsia="Arial" w:hAnsi="Arial"/>
          <w:sz w:val="18"/>
          <w:szCs w:val="18"/>
          <w:color w:val="auto"/>
          <w:vertAlign w:val="superscript"/>
        </w:rPr>
      </w:pPr>
      <w:r>
        <w:rPr>
          <w:rFonts w:ascii="Arial" w:cs="Arial" w:eastAsia="Arial" w:hAnsi="Arial"/>
          <w:sz w:val="14"/>
          <w:szCs w:val="14"/>
          <w:color w:val="auto"/>
        </w:rPr>
        <w:t>Multifamily loans 60-89 days delinquent are included in the seriously delinquent column.</w:t>
      </w:r>
    </w:p>
    <w:p>
      <w:pPr>
        <w:spacing w:after="0" w:line="42" w:lineRule="exact"/>
        <w:rPr>
          <w:rFonts w:ascii="Arial" w:cs="Arial" w:eastAsia="Arial" w:hAnsi="Arial"/>
          <w:sz w:val="18"/>
          <w:szCs w:val="18"/>
          <w:color w:val="auto"/>
          <w:vertAlign w:val="superscript"/>
        </w:rPr>
      </w:pPr>
    </w:p>
    <w:p>
      <w:pPr>
        <w:ind w:left="220" w:hanging="217"/>
        <w:spacing w:after="0" w:line="190" w:lineRule="auto"/>
        <w:tabs>
          <w:tab w:leader="none" w:pos="220" w:val="left"/>
        </w:tabs>
        <w:numPr>
          <w:ilvl w:val="0"/>
          <w:numId w:val="87"/>
        </w:numPr>
        <w:rPr>
          <w:rFonts w:ascii="Arial" w:cs="Arial" w:eastAsia="Arial" w:hAnsi="Arial"/>
          <w:sz w:val="18"/>
          <w:szCs w:val="18"/>
          <w:color w:val="auto"/>
          <w:vertAlign w:val="superscript"/>
        </w:rPr>
      </w:pPr>
      <w:r>
        <w:rPr>
          <w:rFonts w:ascii="Arial" w:cs="Arial" w:eastAsia="Arial" w:hAnsi="Arial"/>
          <w:sz w:val="14"/>
          <w:szCs w:val="14"/>
          <w:color w:val="auto"/>
        </w:rPr>
        <w:t>Represents the amortized cost basis of the loan as of period end.</w:t>
      </w:r>
    </w:p>
    <w:p>
      <w:pPr>
        <w:spacing w:after="0" w:line="74"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Nonaccrual Loans</w:t>
      </w:r>
    </w:p>
    <w:p>
      <w:pPr>
        <w:spacing w:after="0" w:line="95"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We recognize interest income on an accrual basis except when we believe the collection of principal and interest is not reasonably assured. This generally occurs when a single-family loan is three or more months past due and a multifamily loan is two or more months past due according to its contractual terms. A loan is reported as past due if a full payment of principal and interest is not received within one month of its due date. When a loan is placed on nonaccrual status based on delinquency status, interest previously accrued but not collected on the loan is reversed through interest income.</w:t>
      </w:r>
    </w:p>
    <w:p>
      <w:pPr>
        <w:spacing w:after="0" w:line="6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have elected not to measure an allowance for credit losses on accrued interest receivable balances as we have a nonaccrual policy to ensure the timely reversal of unpaid accrued interest. See “Note 4, Allowance for Loan Losses” for additional information about our current-period provision for loan losses.</w:t>
      </w:r>
    </w:p>
    <w:p>
      <w:pPr>
        <w:spacing w:after="0" w:line="30"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color w:val="auto"/>
        </w:rPr>
        <w:t>For single-family loans, we recognize any contractual interest payments received on the loan while on nonaccrual status as interest income on a cash basis. For multifamily loans, we apply any payment received on a cost recovery basis to reduce the amortized cost of the mortgage loan. Thus, we do not recognize any interest income on a multifamily loan placed on nonaccrual status until the amortized cost of the loan has been reduced to zero. Cost basis adjustments on HFI loans are amortized into interest income over the contractual life of the loan using the effective interest method. No amortization is recognized during periods in which the loan is on nonaccrual status.</w:t>
      </w:r>
    </w:p>
    <w:p>
      <w:pPr>
        <w:spacing w:after="0" w:line="45"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A nonaccrual loan is returned to accrual status when the collectability of principal and interest in full is reasonably assured. We generally determine that collectability is reasonably assured when the loan returns to current payment status. If a loan is restructured for a borrower experiencing financial difficulty, we require a performance period of up to 6 months before we return the loan to accrual status. Upon a loan’s return to accrual status, we resume the recognition of interest income and the amortization of cost basis adjustments, if any, into interest income. If interest is capitalized pursuant to a restructuring, any capitalized interest that had not been previously recognized as interest income or that had been reversed through interest income when the loan was placed on nonaccrual status is recorded as a discount to the loan and amortized over the remaining contractual life of the loan.</w:t>
      </w:r>
    </w:p>
    <w:p>
      <w:pPr>
        <w:spacing w:after="0" w:line="50"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For single-family loans negatively impacted by the COVID-19 pandemic that were three or more months past due as of December 31, 2022, we continue to recognize interest income for up to six months of delinquency provided that the loan was either current as of March 1, 2020, or originated after March 1, 2020. We continue to accrue interest income beyond six months of delinquency provided that the collection of principal and interest continues to be reasonably assured. For multifamily loans that are in a COVID-19 forbearance arrangement on December 31, 2022, we continue to recognize interest income for up to six months of delinquency and then place them on nonaccrual status when the borrower is six months past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367665</wp:posOffset>
            </wp:positionV>
            <wp:extent cx="681101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164070" cy="4191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88" w:name="page89"/>
    <w:bookmarkEnd w:id="88"/>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15875</wp:posOffset>
            </wp:positionV>
            <wp:extent cx="70237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For loans that are subject to the COVID-19-related nonaccrual policy, we establish a valuation allowance for expected credit losses on the accrued interest receivable balance applying the process that we have established for both single-family and multifamily loans. The credit expense related to this valuation allowance is classified as a component of the provision for credit losses. Accrued interest receivable is written off when the amount is deemed to be uncollectible. Loans that are in active forbearance arrangements are not evaluated for write-off.</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displays the accrued interest receivable written off through the reversal of interest income for nonaccrual loans.</w:t>
      </w:r>
    </w:p>
    <w:p>
      <w:pPr>
        <w:spacing w:after="0" w:line="127" w:lineRule="exact"/>
        <w:rPr>
          <w:sz w:val="20"/>
          <w:szCs w:val="20"/>
          <w:color w:val="auto"/>
        </w:rPr>
      </w:pPr>
    </w:p>
    <w:p>
      <w:pPr>
        <w:ind w:left="7820"/>
        <w:spacing w:after="0"/>
        <w:rPr>
          <w:sz w:val="20"/>
          <w:szCs w:val="20"/>
          <w:color w:val="auto"/>
        </w:rPr>
      </w:pPr>
      <w:r>
        <w:rPr>
          <w:rFonts w:ascii="Arial" w:cs="Arial" w:eastAsia="Arial" w:hAnsi="Arial"/>
          <w:sz w:val="15"/>
          <w:szCs w:val="15"/>
          <w:b w:val="1"/>
          <w:bCs w:val="1"/>
          <w:color w:val="auto"/>
        </w:rPr>
        <w:t>For the Three Months Ended June 30,</w:t>
      </w:r>
    </w:p>
    <w:p>
      <w:pPr>
        <w:spacing w:after="0" w:line="37" w:lineRule="exact"/>
        <w:rPr>
          <w:sz w:val="20"/>
          <w:szCs w:val="20"/>
          <w:color w:val="auto"/>
        </w:rPr>
      </w:pPr>
    </w:p>
    <w:tbl>
      <w:tblPr>
        <w:tblLayout w:type="fixed"/>
        <w:tblInd w:w="7180" w:type="dxa"/>
        <w:tblCellMar>
          <w:top w:w="0" w:type="dxa"/>
          <w:left w:w="0" w:type="dxa"/>
          <w:bottom w:w="0" w:type="dxa"/>
          <w:right w:w="0" w:type="dxa"/>
        </w:tblCellMar>
      </w:tblPr>
      <w:tr>
        <w:trPr>
          <w:trHeight w:val="199"/>
        </w:trPr>
        <w:tc>
          <w:tcPr>
            <w:tcW w:w="1260" w:type="dxa"/>
            <w:vAlign w:val="bottom"/>
            <w:tcBorders>
              <w:top w:val="single" w:sz="8" w:color="2C6937"/>
              <w:bottom w:val="single" w:sz="8" w:color="2C6937"/>
            </w:tcBorders>
          </w:tcPr>
          <w:p>
            <w:pPr>
              <w:jc w:val="right"/>
              <w:ind w:right="23"/>
              <w:spacing w:after="0"/>
              <w:rPr>
                <w:sz w:val="20"/>
                <w:szCs w:val="20"/>
                <w:color w:val="auto"/>
              </w:rPr>
            </w:pPr>
            <w:r>
              <w:rPr>
                <w:rFonts w:ascii="Arial" w:cs="Arial" w:eastAsia="Arial" w:hAnsi="Arial"/>
                <w:sz w:val="15"/>
                <w:szCs w:val="15"/>
                <w:b w:val="1"/>
                <w:bCs w:val="1"/>
                <w:color w:val="auto"/>
              </w:rPr>
              <w:t>2023</w:t>
            </w:r>
          </w:p>
        </w:tc>
        <w:tc>
          <w:tcPr>
            <w:tcW w:w="720" w:type="dxa"/>
            <w:vAlign w:val="bottom"/>
            <w:tcBorders>
              <w:top w:val="single" w:sz="8" w:color="2C6937"/>
              <w:bottom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1980" w:type="dxa"/>
            <w:vAlign w:val="bottom"/>
            <w:tcBorders>
              <w:top w:val="single" w:sz="8" w:color="2C6937"/>
              <w:bottom w:val="single" w:sz="8" w:color="2C6937"/>
            </w:tcBorders>
          </w:tcPr>
          <w:p>
            <w:pPr>
              <w:jc w:val="right"/>
              <w:ind w:right="743"/>
              <w:spacing w:after="0"/>
              <w:rPr>
                <w:sz w:val="20"/>
                <w:szCs w:val="20"/>
                <w:color w:val="auto"/>
              </w:rPr>
            </w:pPr>
            <w:r>
              <w:rPr>
                <w:rFonts w:ascii="Arial" w:cs="Arial" w:eastAsia="Arial" w:hAnsi="Arial"/>
                <w:sz w:val="15"/>
                <w:szCs w:val="15"/>
                <w:b w:val="1"/>
                <w:bCs w:val="1"/>
                <w:color w:val="auto"/>
              </w:rPr>
              <w:t>2022</w:t>
            </w:r>
          </w:p>
        </w:tc>
      </w:tr>
      <w:tr>
        <w:trPr>
          <w:trHeight w:val="198"/>
        </w:trPr>
        <w:tc>
          <w:tcPr>
            <w:tcW w:w="1260" w:type="dxa"/>
            <w:vAlign w:val="bottom"/>
          </w:tcPr>
          <w:p>
            <w:pPr>
              <w:spacing w:after="0"/>
              <w:rPr>
                <w:sz w:val="17"/>
                <w:szCs w:val="17"/>
                <w:color w:val="auto"/>
              </w:rPr>
            </w:pPr>
          </w:p>
        </w:tc>
        <w:tc>
          <w:tcPr>
            <w:tcW w:w="2800" w:type="dxa"/>
            <w:vAlign w:val="bottom"/>
            <w:gridSpan w:val="3"/>
          </w:tcPr>
          <w:p>
            <w:pPr>
              <w:jc w:val="right"/>
              <w:ind w:right="1363"/>
              <w:spacing w:after="0"/>
              <w:rPr>
                <w:sz w:val="20"/>
                <w:szCs w:val="20"/>
                <w:color w:val="auto"/>
              </w:rPr>
            </w:pPr>
            <w:r>
              <w:rPr>
                <w:rFonts w:ascii="Arial" w:cs="Arial" w:eastAsia="Arial" w:hAnsi="Arial"/>
                <w:sz w:val="14"/>
                <w:szCs w:val="14"/>
                <w:b w:val="1"/>
                <w:bCs w:val="1"/>
                <w:color w:val="auto"/>
              </w:rPr>
              <w:t>(Dollars in millions)</w:t>
            </w:r>
          </w:p>
        </w:tc>
      </w:tr>
    </w:tbl>
    <w:p>
      <w:pPr>
        <w:spacing w:after="0" w:line="32" w:lineRule="exact"/>
        <w:rPr>
          <w:sz w:val="20"/>
          <w:szCs w:val="20"/>
          <w:color w:val="auto"/>
        </w:rPr>
      </w:pPr>
    </w:p>
    <w:p>
      <w:pPr>
        <w:sectPr>
          <w:pgSz w:w="11900" w:h="16838" w:orient="portrait"/>
          <w:cols w:equalWidth="0" w:num="1">
            <w:col w:w="11240"/>
          </w:cols>
          <w:pgMar w:left="320" w:top="250" w:right="339" w:bottom="1440" w:gutter="0" w:footer="0" w:header="0"/>
        </w:sectPr>
      </w:pPr>
    </w:p>
    <w:p>
      <w:pPr>
        <w:ind w:left="20"/>
        <w:spacing w:after="0"/>
        <w:rPr>
          <w:sz w:val="20"/>
          <w:szCs w:val="20"/>
          <w:color w:val="auto"/>
        </w:rPr>
      </w:pPr>
      <w:r>
        <w:rPr>
          <w:rFonts w:ascii="Arial" w:cs="Arial" w:eastAsia="Arial" w:hAnsi="Arial"/>
          <w:sz w:val="15"/>
          <w:szCs w:val="15"/>
          <w:color w:val="auto"/>
        </w:rPr>
        <w:t>Accrued interest receivable written off through the reversal of interest income:</w:t>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Single-family</w:t>
      </w:r>
    </w:p>
    <w:p>
      <w:pPr>
        <w:spacing w:after="0" w:line="7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Multifamily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Arial" w:cs="Arial" w:eastAsia="Arial" w:hAnsi="Arial"/>
          <w:sz w:val="15"/>
          <w:szCs w:val="15"/>
          <w:color w:val="auto"/>
        </w:rPr>
        <w:t>Accrued interest receivable written off through the reversal of interest income:</w:t>
      </w:r>
    </w:p>
    <w:p>
      <w:pPr>
        <w:spacing w:after="0" w:line="7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Single-family</w:t>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Multifamily</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jc w:val="right"/>
              <w:ind w:right="243"/>
              <w:spacing w:after="0"/>
              <w:rPr>
                <w:sz w:val="20"/>
                <w:szCs w:val="20"/>
                <w:color w:val="auto"/>
              </w:rPr>
            </w:pPr>
            <w:r>
              <w:rPr>
                <w:rFonts w:ascii="Arial" w:cs="Arial" w:eastAsia="Arial" w:hAnsi="Arial"/>
                <w:sz w:val="15"/>
                <w:szCs w:val="15"/>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5"/>
                <w:szCs w:val="15"/>
                <w:b w:val="1"/>
                <w:bCs w:val="1"/>
                <w:color w:val="auto"/>
              </w:rPr>
              <w:t>74</w:t>
            </w:r>
          </w:p>
        </w:tc>
        <w:tc>
          <w:tcPr>
            <w:tcW w:w="780" w:type="dxa"/>
            <w:vAlign w:val="bottom"/>
            <w:gridSpan w:val="2"/>
          </w:tcPr>
          <w:p>
            <w:pPr>
              <w:jc w:val="right"/>
              <w:ind w:right="560"/>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232"/>
        </w:trPr>
        <w:tc>
          <w:tcPr>
            <w:tcW w:w="4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5"/>
                <w:szCs w:val="15"/>
                <w:b w:val="1"/>
                <w:bCs w:val="1"/>
                <w:color w:val="auto"/>
              </w:rPr>
              <w:t>33</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393"/>
        </w:trPr>
        <w:tc>
          <w:tcPr>
            <w:tcW w:w="460" w:type="dxa"/>
            <w:vAlign w:val="bottom"/>
            <w:tcBorders>
              <w:bottom w:val="single" w:sz="8" w:color="2C6937"/>
            </w:tcBorders>
          </w:tcPr>
          <w:p>
            <w:pPr>
              <w:spacing w:after="0"/>
              <w:rPr>
                <w:sz w:val="24"/>
                <w:szCs w:val="24"/>
                <w:color w:val="auto"/>
              </w:rPr>
            </w:pPr>
          </w:p>
        </w:tc>
        <w:tc>
          <w:tcPr>
            <w:tcW w:w="3640" w:type="dxa"/>
            <w:vAlign w:val="bottom"/>
            <w:tcBorders>
              <w:bottom w:val="single" w:sz="8" w:color="2C6937"/>
            </w:tcBorders>
            <w:gridSpan w:val="4"/>
          </w:tcPr>
          <w:p>
            <w:pPr>
              <w:jc w:val="right"/>
              <w:ind w:right="683"/>
              <w:spacing w:after="0"/>
              <w:rPr>
                <w:sz w:val="20"/>
                <w:szCs w:val="20"/>
                <w:color w:val="auto"/>
              </w:rPr>
            </w:pPr>
            <w:r>
              <w:rPr>
                <w:rFonts w:ascii="Arial" w:cs="Arial" w:eastAsia="Arial" w:hAnsi="Arial"/>
                <w:sz w:val="15"/>
                <w:szCs w:val="15"/>
                <w:b w:val="1"/>
                <w:bCs w:val="1"/>
                <w:color w:val="auto"/>
              </w:rPr>
              <w:t>For the Six Months Ended June 30,</w:t>
            </w:r>
          </w:p>
        </w:tc>
      </w:tr>
      <w:tr>
        <w:trPr>
          <w:trHeight w:val="199"/>
        </w:trPr>
        <w:tc>
          <w:tcPr>
            <w:tcW w:w="460" w:type="dxa"/>
            <w:vAlign w:val="bottom"/>
            <w:tcBorders>
              <w:bottom w:val="single" w:sz="8" w:color="2C6937"/>
            </w:tcBorders>
          </w:tcPr>
          <w:p>
            <w:pPr>
              <w:spacing w:after="0"/>
              <w:rPr>
                <w:sz w:val="17"/>
                <w:szCs w:val="17"/>
                <w:color w:val="auto"/>
              </w:rPr>
            </w:pPr>
          </w:p>
        </w:tc>
        <w:tc>
          <w:tcPr>
            <w:tcW w:w="1540" w:type="dxa"/>
            <w:vAlign w:val="bottom"/>
            <w:tcBorders>
              <w:bottom w:val="single" w:sz="8" w:color="2C6937"/>
            </w:tcBorders>
          </w:tcPr>
          <w:p>
            <w:pPr>
              <w:jc w:val="right"/>
              <w:ind w:right="744"/>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680" w:type="dxa"/>
            <w:vAlign w:val="bottom"/>
            <w:tcBorders>
              <w:bottom w:val="single" w:sz="8" w:color="2C6937"/>
            </w:tcBorders>
          </w:tcPr>
          <w:p>
            <w:pPr>
              <w:spacing w:after="0"/>
              <w:rPr>
                <w:sz w:val="17"/>
                <w:szCs w:val="17"/>
                <w:color w:val="auto"/>
              </w:rPr>
            </w:pPr>
          </w:p>
        </w:tc>
        <w:tc>
          <w:tcPr>
            <w:tcW w:w="1320" w:type="dxa"/>
            <w:vAlign w:val="bottom"/>
            <w:tcBorders>
              <w:bottom w:val="single" w:sz="8" w:color="2C6937"/>
            </w:tcBorders>
          </w:tcPr>
          <w:p>
            <w:pPr>
              <w:jc w:val="right"/>
              <w:ind w:right="743"/>
              <w:spacing w:after="0"/>
              <w:rPr>
                <w:sz w:val="20"/>
                <w:szCs w:val="20"/>
                <w:color w:val="auto"/>
              </w:rPr>
            </w:pPr>
            <w:r>
              <w:rPr>
                <w:rFonts w:ascii="Arial" w:cs="Arial" w:eastAsia="Arial" w:hAnsi="Arial"/>
                <w:sz w:val="15"/>
                <w:szCs w:val="15"/>
                <w:b w:val="1"/>
                <w:bCs w:val="1"/>
                <w:color w:val="auto"/>
              </w:rPr>
              <w:t>2022</w:t>
            </w:r>
          </w:p>
        </w:tc>
      </w:tr>
      <w:tr>
        <w:trPr>
          <w:trHeight w:val="198"/>
        </w:trPr>
        <w:tc>
          <w:tcPr>
            <w:tcW w:w="460" w:type="dxa"/>
            <w:vAlign w:val="bottom"/>
          </w:tcPr>
          <w:p>
            <w:pPr>
              <w:spacing w:after="0"/>
              <w:rPr>
                <w:sz w:val="17"/>
                <w:szCs w:val="17"/>
                <w:color w:val="auto"/>
              </w:rPr>
            </w:pPr>
          </w:p>
        </w:tc>
        <w:tc>
          <w:tcPr>
            <w:tcW w:w="23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(Dollars in millions)</w:t>
            </w:r>
          </w:p>
        </w:tc>
        <w:tc>
          <w:tcPr>
            <w:tcW w:w="1320" w:type="dxa"/>
            <w:vAlign w:val="bottom"/>
          </w:tcPr>
          <w:p>
            <w:pPr>
              <w:spacing w:after="0"/>
              <w:rPr>
                <w:sz w:val="17"/>
                <w:szCs w:val="17"/>
                <w:color w:val="auto"/>
              </w:rPr>
            </w:pPr>
          </w:p>
        </w:tc>
      </w:tr>
      <w:tr>
        <w:trPr>
          <w:trHeight w:val="485"/>
        </w:trPr>
        <w:tc>
          <w:tcPr>
            <w:tcW w:w="460" w:type="dxa"/>
            <w:vAlign w:val="bottom"/>
          </w:tcPr>
          <w:p>
            <w:pPr>
              <w:jc w:val="right"/>
              <w:ind w:right="283"/>
              <w:spacing w:after="0"/>
              <w:rPr>
                <w:sz w:val="20"/>
                <w:szCs w:val="20"/>
                <w:color w:val="auto"/>
              </w:rPr>
            </w:pPr>
            <w:r>
              <w:rPr>
                <w:rFonts w:ascii="Arial" w:cs="Arial" w:eastAsia="Arial" w:hAnsi="Arial"/>
                <w:sz w:val="15"/>
                <w:szCs w:val="15"/>
                <w:b w:val="1"/>
                <w:bCs w:val="1"/>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b w:val="1"/>
                <w:bCs w:val="1"/>
                <w:color w:val="auto"/>
              </w:rPr>
              <w:t>153</w:t>
            </w:r>
          </w:p>
        </w:tc>
        <w:tc>
          <w:tcPr>
            <w:tcW w:w="780" w:type="dxa"/>
            <w:vAlign w:val="bottom"/>
            <w:gridSpan w:val="2"/>
          </w:tcPr>
          <w:p>
            <w:pPr>
              <w:jc w:val="right"/>
              <w:ind w:right="580"/>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32</w:t>
            </w:r>
          </w:p>
        </w:tc>
      </w:tr>
      <w:tr>
        <w:trPr>
          <w:trHeight w:val="245"/>
        </w:trPr>
        <w:tc>
          <w:tcPr>
            <w:tcW w:w="4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5"/>
                <w:szCs w:val="15"/>
                <w:b w:val="1"/>
                <w:bCs w:val="1"/>
                <w:color w:val="auto"/>
              </w:rPr>
              <w:t>35</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w:t>
            </w:r>
          </w:p>
        </w:tc>
      </w:tr>
    </w:tbl>
    <w:p>
      <w:pPr>
        <w:spacing w:after="0" w:line="130" w:lineRule="exact"/>
        <w:rPr>
          <w:sz w:val="20"/>
          <w:szCs w:val="20"/>
          <w:color w:val="auto"/>
        </w:rPr>
      </w:pPr>
    </w:p>
    <w:p>
      <w:pPr>
        <w:sectPr>
          <w:pgSz w:w="11900" w:h="16838" w:orient="portrait"/>
          <w:cols w:equalWidth="0" w:num="2">
            <w:col w:w="6420" w:space="720"/>
            <w:col w:w="4100"/>
          </w:cols>
          <w:pgMar w:left="320" w:top="250" w:right="339" w:bottom="1440" w:gutter="0" w:footer="0" w:header="0"/>
          <w:type w:val="continuous"/>
        </w:sectPr>
      </w:pPr>
    </w:p>
    <w:p>
      <w:pPr>
        <w:spacing w:after="0" w:line="283" w:lineRule="auto"/>
        <w:rPr>
          <w:sz w:val="20"/>
          <w:szCs w:val="20"/>
          <w:color w:val="auto"/>
        </w:rPr>
      </w:pPr>
      <w:r>
        <w:rPr>
          <w:rFonts w:ascii="Arial" w:cs="Arial" w:eastAsia="Arial" w:hAnsi="Arial"/>
          <w:sz w:val="16"/>
          <w:szCs w:val="16"/>
          <w:color w:val="auto"/>
        </w:rPr>
        <w:t>The tables below include the amortized cost of and interest income recognized on our HFI single-family and multifamily loans on nonaccrual status by class, excluding loans for which we have elected the fair value option.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100" w:type="dxa"/>
            <w:vAlign w:val="bottom"/>
            <w:tcBorders>
              <w:bottom w:val="single" w:sz="8" w:color="2C6937"/>
            </w:tcBorders>
          </w:tcPr>
          <w:p>
            <w:pPr>
              <w:jc w:val="right"/>
              <w:ind w:right="305"/>
              <w:spacing w:after="0"/>
              <w:rPr>
                <w:sz w:val="20"/>
                <w:szCs w:val="20"/>
                <w:color w:val="auto"/>
              </w:rPr>
            </w:pPr>
            <w:r>
              <w:rPr>
                <w:rFonts w:ascii="Arial" w:cs="Arial" w:eastAsia="Arial" w:hAnsi="Arial"/>
                <w:sz w:val="14"/>
                <w:szCs w:val="14"/>
                <w:b w:val="1"/>
                <w:bCs w:val="1"/>
                <w:color w:val="auto"/>
              </w:rPr>
              <w:t>As of</w:t>
            </w:r>
          </w:p>
        </w:tc>
        <w:tc>
          <w:tcPr>
            <w:tcW w:w="12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ind w:right="84"/>
              <w:spacing w:after="0"/>
              <w:rPr>
                <w:sz w:val="20"/>
                <w:szCs w:val="20"/>
                <w:color w:val="auto"/>
              </w:rPr>
            </w:pPr>
            <w:r>
              <w:rPr>
                <w:rFonts w:ascii="Arial" w:cs="Arial" w:eastAsia="Arial" w:hAnsi="Arial"/>
                <w:sz w:val="14"/>
                <w:szCs w:val="14"/>
                <w:b w:val="1"/>
                <w:bCs w:val="1"/>
                <w:color w:val="auto"/>
                <w:w w:val="98"/>
              </w:rPr>
              <w:t>June 30, 2023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restart"/>
          </w:tcPr>
          <w:p>
            <w:pPr>
              <w:jc w:val="right"/>
              <w:ind w:right="25"/>
              <w:spacing w:after="0"/>
              <w:rPr>
                <w:sz w:val="20"/>
                <w:szCs w:val="20"/>
                <w:color w:val="auto"/>
              </w:rPr>
            </w:pPr>
            <w:r>
              <w:rPr>
                <w:rFonts w:ascii="Arial" w:cs="Arial" w:eastAsia="Arial" w:hAnsi="Arial"/>
                <w:sz w:val="14"/>
                <w:szCs w:val="14"/>
                <w:b w:val="1"/>
                <w:bCs w:val="1"/>
                <w:color w:val="auto"/>
                <w:w w:val="98"/>
              </w:rPr>
              <w:t>March 31, 2023</w:t>
            </w:r>
          </w:p>
        </w:tc>
        <w:tc>
          <w:tcPr>
            <w:tcW w:w="120" w:type="dxa"/>
            <w:vAlign w:val="bottom"/>
          </w:tcPr>
          <w:p>
            <w:pPr>
              <w:spacing w:after="0"/>
              <w:rPr>
                <w:sz w:val="14"/>
                <w:szCs w:val="14"/>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December 31, 2022</w:t>
            </w:r>
          </w:p>
        </w:tc>
        <w:tc>
          <w:tcPr>
            <w:tcW w:w="12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For the Three Months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right"/>
              <w:ind w:right="44"/>
              <w:spacing w:after="0"/>
              <w:rPr>
                <w:sz w:val="20"/>
                <w:szCs w:val="20"/>
                <w:color w:val="auto"/>
              </w:rPr>
            </w:pPr>
            <w:r>
              <w:rPr>
                <w:rFonts w:ascii="Arial" w:cs="Arial" w:eastAsia="Arial" w:hAnsi="Arial"/>
                <w:sz w:val="14"/>
                <w:szCs w:val="14"/>
                <w:b w:val="1"/>
                <w:bCs w:val="1"/>
                <w:color w:val="auto"/>
                <w:w w:val="98"/>
              </w:rPr>
              <w:t>For the Six Months</w:t>
            </w:r>
          </w:p>
        </w:tc>
        <w:tc>
          <w:tcPr>
            <w:tcW w:w="0" w:type="dxa"/>
            <w:vAlign w:val="bottom"/>
          </w:tcPr>
          <w:p>
            <w:pPr>
              <w:spacing w:after="0"/>
              <w:rPr>
                <w:sz w:val="1"/>
                <w:szCs w:val="1"/>
                <w:color w:val="auto"/>
              </w:rPr>
            </w:pPr>
          </w:p>
        </w:tc>
      </w:tr>
      <w:tr>
        <w:trPr>
          <w:trHeight w:val="179"/>
        </w:trPr>
        <w:tc>
          <w:tcPr>
            <w:tcW w:w="4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080" w:type="dxa"/>
            <w:vAlign w:val="bottom"/>
            <w:tcBorders>
              <w:bottom w:val="single" w:sz="8" w:color="2C6937"/>
            </w:tcBorders>
            <w:vMerge w:val="continue"/>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100" w:type="dxa"/>
            <w:vAlign w:val="bottom"/>
            <w:tcBorders>
              <w:bottom w:val="single" w:sz="8" w:color="2C6937"/>
            </w:tcBorders>
            <w:vMerge w:val="continue"/>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280" w:type="dxa"/>
            <w:vAlign w:val="bottom"/>
            <w:tcBorders>
              <w:bottom w:val="single" w:sz="8" w:color="2C6937"/>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Borders>
              <w:bottom w:val="single" w:sz="8" w:color="2C6937"/>
            </w:tcBorders>
            <w:gridSpan w:val="2"/>
          </w:tcPr>
          <w:p>
            <w:pPr>
              <w:jc w:val="right"/>
              <w:ind w:right="4"/>
              <w:spacing w:after="0"/>
              <w:rPr>
                <w:sz w:val="20"/>
                <w:szCs w:val="20"/>
                <w:color w:val="auto"/>
              </w:rPr>
            </w:pPr>
            <w:r>
              <w:rPr>
                <w:rFonts w:ascii="Arial" w:cs="Arial" w:eastAsia="Arial" w:hAnsi="Arial"/>
                <w:sz w:val="14"/>
                <w:szCs w:val="14"/>
                <w:b w:val="1"/>
                <w:bCs w:val="1"/>
                <w:color w:val="auto"/>
              </w:rPr>
              <w:t>Ended June 30, 2023</w:t>
            </w:r>
          </w:p>
        </w:tc>
        <w:tc>
          <w:tcPr>
            <w:tcW w:w="100" w:type="dxa"/>
            <w:vAlign w:val="bottom"/>
            <w:tcBorders>
              <w:bottom w:val="single" w:sz="8" w:color="2C6937"/>
            </w:tcBorders>
          </w:tcPr>
          <w:p>
            <w:pPr>
              <w:spacing w:after="0"/>
              <w:rPr>
                <w:sz w:val="15"/>
                <w:szCs w:val="15"/>
                <w:color w:val="auto"/>
              </w:rPr>
            </w:pPr>
          </w:p>
        </w:tc>
        <w:tc>
          <w:tcPr>
            <w:tcW w:w="150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b w:val="1"/>
                <w:bCs w:val="1"/>
                <w:color w:val="auto"/>
              </w:rPr>
              <w:t>Ended June 30, 2023</w:t>
            </w:r>
          </w:p>
        </w:tc>
        <w:tc>
          <w:tcPr>
            <w:tcW w:w="0" w:type="dxa"/>
            <w:vAlign w:val="bottom"/>
          </w:tcPr>
          <w:p>
            <w:pPr>
              <w:spacing w:after="0"/>
              <w:rPr>
                <w:sz w:val="1"/>
                <w:szCs w:val="1"/>
                <w:color w:val="auto"/>
              </w:rPr>
            </w:pPr>
          </w:p>
        </w:tc>
      </w:tr>
      <w:tr>
        <w:trPr>
          <w:trHeight w:val="282"/>
        </w:trPr>
        <w:tc>
          <w:tcPr>
            <w:tcW w:w="4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Borders>
              <w:bottom w:val="single" w:sz="8" w:color="2C6937"/>
            </w:tcBorders>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2820" w:type="dxa"/>
            <w:vAlign w:val="bottom"/>
            <w:tcBorders>
              <w:bottom w:val="single" w:sz="8" w:color="2C6937"/>
            </w:tcBorders>
            <w:gridSpan w:val="4"/>
          </w:tcPr>
          <w:p>
            <w:pPr>
              <w:jc w:val="right"/>
              <w:ind w:right="324"/>
              <w:spacing w:after="0"/>
              <w:rPr>
                <w:sz w:val="20"/>
                <w:szCs w:val="20"/>
                <w:color w:val="auto"/>
              </w:rPr>
            </w:pPr>
            <w:r>
              <w:rPr>
                <w:rFonts w:ascii="Arial" w:cs="Arial" w:eastAsia="Arial" w:hAnsi="Arial"/>
                <w:sz w:val="14"/>
                <w:szCs w:val="14"/>
                <w:b w:val="1"/>
                <w:bCs w:val="1"/>
                <w:color w:val="auto"/>
              </w:rPr>
              <w:t>Total Interest Income Recognized</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95"/>
        </w:trPr>
        <w:tc>
          <w:tcPr>
            <w:tcW w:w="4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3"/>
          </w:tcPr>
          <w:p>
            <w:pPr>
              <w:jc w:val="right"/>
              <w:ind w:right="31"/>
              <w:spacing w:after="0"/>
              <w:rPr>
                <w:sz w:val="20"/>
                <w:szCs w:val="20"/>
                <w:color w:val="auto"/>
              </w:rPr>
            </w:pPr>
            <w:r>
              <w:rPr>
                <w:rFonts w:ascii="Arial" w:cs="Arial" w:eastAsia="Arial" w:hAnsi="Arial"/>
                <w:sz w:val="14"/>
                <w:szCs w:val="14"/>
                <w:b w:val="1"/>
                <w:bCs w:val="1"/>
                <w:color w:val="auto"/>
              </w:rPr>
              <w:t>(Dollars in millions)</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410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410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 fixed-rate</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17,051</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14,172</w:t>
            </w:r>
          </w:p>
        </w:tc>
        <w:tc>
          <w:tcPr>
            <w:tcW w:w="320" w:type="dxa"/>
            <w:vAlign w:val="bottom"/>
            <w:gridSpan w:val="2"/>
          </w:tcPr>
          <w:p>
            <w:pPr>
              <w:ind w:left="14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9,447</w:t>
            </w:r>
          </w:p>
        </w:tc>
        <w:tc>
          <w:tcPr>
            <w:tcW w:w="400" w:type="dxa"/>
            <w:vAlign w:val="bottom"/>
            <w:gridSpan w:val="2"/>
          </w:tcPr>
          <w:p>
            <w:pPr>
              <w:jc w:val="right"/>
              <w:ind w:right="111"/>
              <w:spacing w:after="0"/>
              <w:rPr>
                <w:sz w:val="20"/>
                <w:szCs w:val="20"/>
                <w:color w:val="auto"/>
              </w:rPr>
            </w:pPr>
            <w:r>
              <w:rPr>
                <w:rFonts w:ascii="Arial" w:cs="Arial" w:eastAsia="Arial" w:hAnsi="Arial"/>
                <w:sz w:val="15"/>
                <w:szCs w:val="15"/>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15</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322"/>
        </w:trPr>
        <w:tc>
          <w:tcPr>
            <w:tcW w:w="410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565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429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200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309"/>
        </w:trPr>
        <w:tc>
          <w:tcPr>
            <w:tcW w:w="410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85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16"/>
        </w:trPr>
        <w:tc>
          <w:tcPr>
            <w:tcW w:w="40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573</w:t>
            </w:r>
          </w:p>
        </w:tc>
        <w:tc>
          <w:tcPr>
            <w:tcW w:w="100" w:type="dxa"/>
            <w:vAlign w:val="bottom"/>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601</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617</w:t>
            </w:r>
          </w:p>
        </w:tc>
        <w:tc>
          <w:tcPr>
            <w:tcW w:w="120" w:type="dxa"/>
            <w:vAlign w:val="bottom"/>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12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w:t>
            </w:r>
          </w:p>
        </w:tc>
        <w:tc>
          <w:tcPr>
            <w:tcW w:w="100" w:type="dxa"/>
            <w:vAlign w:val="bottom"/>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3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309"/>
        </w:trPr>
        <w:tc>
          <w:tcPr>
            <w:tcW w:w="410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18,274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15,277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10,317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17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303"/>
        </w:trPr>
        <w:tc>
          <w:tcPr>
            <w:tcW w:w="40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1,448</w:t>
            </w:r>
          </w:p>
        </w:tc>
        <w:tc>
          <w:tcPr>
            <w:tcW w:w="100" w:type="dxa"/>
            <w:vAlign w:val="bottom"/>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1,541</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2,200</w:t>
            </w:r>
          </w:p>
        </w:tc>
        <w:tc>
          <w:tcPr>
            <w:tcW w:w="120" w:type="dxa"/>
            <w:vAlign w:val="bottom"/>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12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w:t>
            </w:r>
          </w:p>
        </w:tc>
        <w:tc>
          <w:tcPr>
            <w:tcW w:w="10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3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315"/>
        </w:trPr>
        <w:tc>
          <w:tcPr>
            <w:tcW w:w="4100" w:type="dxa"/>
            <w:vAlign w:val="bottom"/>
            <w:gridSpan w:val="2"/>
          </w:tcPr>
          <w:p>
            <w:pPr>
              <w:ind w:left="260"/>
              <w:spacing w:after="0"/>
              <w:rPr>
                <w:sz w:val="20"/>
                <w:szCs w:val="20"/>
                <w:color w:val="auto"/>
              </w:rPr>
            </w:pPr>
            <w:r>
              <w:rPr>
                <w:rFonts w:ascii="Arial" w:cs="Arial" w:eastAsia="Arial" w:hAnsi="Arial"/>
                <w:sz w:val="15"/>
                <w:szCs w:val="15"/>
                <w:color w:val="auto"/>
              </w:rPr>
              <w:t>Total nonaccrual loans</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19,722</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16,818</w:t>
            </w:r>
          </w:p>
        </w:tc>
        <w:tc>
          <w:tcPr>
            <w:tcW w:w="320" w:type="dxa"/>
            <w:vAlign w:val="bottom"/>
            <w:gridSpan w:val="2"/>
          </w:tcPr>
          <w:p>
            <w:pPr>
              <w:ind w:left="14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12,517</w:t>
            </w:r>
          </w:p>
        </w:tc>
        <w:tc>
          <w:tcPr>
            <w:tcW w:w="400" w:type="dxa"/>
            <w:vAlign w:val="bottom"/>
            <w:gridSpan w:val="2"/>
          </w:tcPr>
          <w:p>
            <w:pPr>
              <w:jc w:val="right"/>
              <w:ind w:right="111"/>
              <w:spacing w:after="0"/>
              <w:rPr>
                <w:sz w:val="20"/>
                <w:szCs w:val="20"/>
                <w:color w:val="auto"/>
              </w:rPr>
            </w:pPr>
            <w:r>
              <w:rPr>
                <w:rFonts w:ascii="Arial" w:cs="Arial" w:eastAsia="Arial" w:hAnsi="Arial"/>
                <w:sz w:val="15"/>
                <w:szCs w:val="15"/>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19</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20"/>
        </w:trPr>
        <w:tc>
          <w:tcPr>
            <w:tcW w:w="4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0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10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0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12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38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425450</wp:posOffset>
            </wp:positionV>
            <wp:extent cx="681101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164070" cy="4191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type w:val="continuous"/>
        </w:sectPr>
      </w:pPr>
    </w:p>
    <w:bookmarkStart w:id="89" w:name="page90"/>
    <w:bookmarkEnd w:id="89"/>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15875</wp:posOffset>
            </wp:positionV>
            <wp:extent cx="702373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100" w:type="dxa"/>
            <w:vAlign w:val="bottom"/>
            <w:tcBorders>
              <w:bottom w:val="single" w:sz="8" w:color="2C6937"/>
            </w:tcBorders>
          </w:tcPr>
          <w:p>
            <w:pPr>
              <w:jc w:val="right"/>
              <w:ind w:right="305"/>
              <w:spacing w:after="0"/>
              <w:rPr>
                <w:sz w:val="20"/>
                <w:szCs w:val="20"/>
                <w:color w:val="auto"/>
              </w:rPr>
            </w:pPr>
            <w:r>
              <w:rPr>
                <w:rFonts w:ascii="Arial" w:cs="Arial" w:eastAsia="Arial" w:hAnsi="Arial"/>
                <w:sz w:val="14"/>
                <w:szCs w:val="14"/>
                <w:b w:val="1"/>
                <w:bCs w:val="1"/>
                <w:color w:val="auto"/>
              </w:rPr>
              <w:t>As of</w:t>
            </w:r>
          </w:p>
        </w:tc>
        <w:tc>
          <w:tcPr>
            <w:tcW w:w="12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restart"/>
          </w:tcPr>
          <w:p>
            <w:pPr>
              <w:jc w:val="right"/>
              <w:ind w:right="84"/>
              <w:spacing w:after="0"/>
              <w:rPr>
                <w:sz w:val="20"/>
                <w:szCs w:val="20"/>
                <w:color w:val="auto"/>
              </w:rPr>
            </w:pPr>
            <w:r>
              <w:rPr>
                <w:rFonts w:ascii="Arial" w:cs="Arial" w:eastAsia="Arial" w:hAnsi="Arial"/>
                <w:sz w:val="14"/>
                <w:szCs w:val="14"/>
                <w:b w:val="1"/>
                <w:bCs w:val="1"/>
                <w:color w:val="auto"/>
                <w:w w:val="98"/>
              </w:rPr>
              <w:t>June 30, 2022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restart"/>
          </w:tcPr>
          <w:p>
            <w:pPr>
              <w:jc w:val="right"/>
              <w:ind w:right="25"/>
              <w:spacing w:after="0"/>
              <w:rPr>
                <w:sz w:val="20"/>
                <w:szCs w:val="20"/>
                <w:color w:val="auto"/>
              </w:rPr>
            </w:pPr>
            <w:r>
              <w:rPr>
                <w:rFonts w:ascii="Arial" w:cs="Arial" w:eastAsia="Arial" w:hAnsi="Arial"/>
                <w:sz w:val="14"/>
                <w:szCs w:val="14"/>
                <w:b w:val="1"/>
                <w:bCs w:val="1"/>
                <w:color w:val="auto"/>
                <w:w w:val="98"/>
              </w:rPr>
              <w:t>March 31, 2022</w:t>
            </w:r>
          </w:p>
        </w:tc>
        <w:tc>
          <w:tcPr>
            <w:tcW w:w="120" w:type="dxa"/>
            <w:vAlign w:val="bottom"/>
          </w:tcPr>
          <w:p>
            <w:pPr>
              <w:spacing w:after="0"/>
              <w:rPr>
                <w:sz w:val="13"/>
                <w:szCs w:val="13"/>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December 31, 2021</w:t>
            </w:r>
          </w:p>
        </w:tc>
        <w:tc>
          <w:tcPr>
            <w:tcW w:w="120" w:type="dxa"/>
            <w:vAlign w:val="bottom"/>
          </w:tcPr>
          <w:p>
            <w:pPr>
              <w:spacing w:after="0"/>
              <w:rPr>
                <w:sz w:val="13"/>
                <w:szCs w:val="13"/>
                <w:color w:val="auto"/>
              </w:rPr>
            </w:pPr>
          </w:p>
        </w:tc>
        <w:tc>
          <w:tcPr>
            <w:tcW w:w="150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For the Three Months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44"/>
              <w:spacing w:after="0" w:line="156" w:lineRule="exact"/>
              <w:rPr>
                <w:sz w:val="20"/>
                <w:szCs w:val="20"/>
                <w:color w:val="auto"/>
              </w:rPr>
            </w:pPr>
            <w:r>
              <w:rPr>
                <w:rFonts w:ascii="Arial" w:cs="Arial" w:eastAsia="Arial" w:hAnsi="Arial"/>
                <w:sz w:val="14"/>
                <w:szCs w:val="14"/>
                <w:b w:val="1"/>
                <w:bCs w:val="1"/>
                <w:color w:val="auto"/>
                <w:w w:val="96"/>
              </w:rPr>
              <w:t>For the Six Months</w:t>
            </w:r>
          </w:p>
        </w:tc>
        <w:tc>
          <w:tcPr>
            <w:tcW w:w="0" w:type="dxa"/>
            <w:vAlign w:val="bottom"/>
          </w:tcPr>
          <w:p>
            <w:pPr>
              <w:spacing w:after="0"/>
              <w:rPr>
                <w:sz w:val="1"/>
                <w:szCs w:val="1"/>
                <w:color w:val="auto"/>
              </w:rPr>
            </w:pPr>
          </w:p>
        </w:tc>
      </w:tr>
      <w:tr>
        <w:trPr>
          <w:trHeight w:val="191"/>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vMerge w:val="continue"/>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100" w:type="dxa"/>
            <w:vAlign w:val="bottom"/>
            <w:tcBorders>
              <w:bottom w:val="single" w:sz="8" w:color="2C6937"/>
            </w:tcBorders>
            <w:vMerge w:val="continue"/>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280" w:type="dxa"/>
            <w:vAlign w:val="bottom"/>
            <w:tcBorders>
              <w:bottom w:val="single" w:sz="8" w:color="2C6937"/>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Borders>
              <w:bottom w:val="single" w:sz="8" w:color="2C6937"/>
            </w:tcBorders>
            <w:gridSpan w:val="2"/>
          </w:tcPr>
          <w:p>
            <w:pPr>
              <w:jc w:val="right"/>
              <w:ind w:right="4"/>
              <w:spacing w:after="0"/>
              <w:rPr>
                <w:sz w:val="20"/>
                <w:szCs w:val="20"/>
                <w:color w:val="auto"/>
              </w:rPr>
            </w:pPr>
            <w:r>
              <w:rPr>
                <w:rFonts w:ascii="Arial" w:cs="Arial" w:eastAsia="Arial" w:hAnsi="Arial"/>
                <w:sz w:val="14"/>
                <w:szCs w:val="14"/>
                <w:b w:val="1"/>
                <w:bCs w:val="1"/>
                <w:color w:val="auto"/>
              </w:rPr>
              <w:t>Ended June 30, 2022</w:t>
            </w:r>
          </w:p>
        </w:tc>
        <w:tc>
          <w:tcPr>
            <w:tcW w:w="120" w:type="dxa"/>
            <w:vAlign w:val="bottom"/>
            <w:tcBorders>
              <w:bottom w:val="single" w:sz="8" w:color="2C6937"/>
            </w:tcBorders>
          </w:tcPr>
          <w:p>
            <w:pPr>
              <w:spacing w:after="0"/>
              <w:rPr>
                <w:sz w:val="16"/>
                <w:szCs w:val="16"/>
                <w:color w:val="auto"/>
              </w:rPr>
            </w:pPr>
          </w:p>
        </w:tc>
        <w:tc>
          <w:tcPr>
            <w:tcW w:w="148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b w:val="1"/>
                <w:bCs w:val="1"/>
                <w:color w:val="auto"/>
              </w:rPr>
              <w:t>Ended June 30, 2022</w:t>
            </w:r>
          </w:p>
        </w:tc>
        <w:tc>
          <w:tcPr>
            <w:tcW w:w="0" w:type="dxa"/>
            <w:vAlign w:val="bottom"/>
          </w:tcPr>
          <w:p>
            <w:pPr>
              <w:spacing w:after="0"/>
              <w:rPr>
                <w:sz w:val="1"/>
                <w:szCs w:val="1"/>
                <w:color w:val="auto"/>
              </w:rPr>
            </w:pPr>
          </w:p>
        </w:tc>
      </w:tr>
      <w:tr>
        <w:trPr>
          <w:trHeight w:val="290"/>
        </w:trPr>
        <w:tc>
          <w:tcPr>
            <w:tcW w:w="4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Borders>
              <w:bottom w:val="single" w:sz="8" w:color="2C6937"/>
            </w:tcBorders>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2820" w:type="dxa"/>
            <w:vAlign w:val="bottom"/>
            <w:tcBorders>
              <w:bottom w:val="single" w:sz="8" w:color="2C6937"/>
            </w:tcBorders>
            <w:gridSpan w:val="4"/>
          </w:tcPr>
          <w:p>
            <w:pPr>
              <w:jc w:val="right"/>
              <w:ind w:right="324"/>
              <w:spacing w:after="0"/>
              <w:rPr>
                <w:sz w:val="20"/>
                <w:szCs w:val="20"/>
                <w:color w:val="auto"/>
              </w:rPr>
            </w:pPr>
            <w:r>
              <w:rPr>
                <w:rFonts w:ascii="Arial" w:cs="Arial" w:eastAsia="Arial" w:hAnsi="Arial"/>
                <w:sz w:val="14"/>
                <w:szCs w:val="14"/>
                <w:b w:val="1"/>
                <w:bCs w:val="1"/>
                <w:color w:val="auto"/>
              </w:rPr>
              <w:t>Total Interest Income Recognized</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275"/>
        </w:trPr>
        <w:tc>
          <w:tcPr>
            <w:tcW w:w="4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gridSpan w:val="3"/>
          </w:tcPr>
          <w:p>
            <w:pPr>
              <w:jc w:val="right"/>
              <w:ind w:right="31"/>
              <w:spacing w:after="0"/>
              <w:rPr>
                <w:sz w:val="20"/>
                <w:szCs w:val="20"/>
                <w:color w:val="auto"/>
              </w:rPr>
            </w:pPr>
            <w:r>
              <w:rPr>
                <w:rFonts w:ascii="Arial" w:cs="Arial" w:eastAsia="Arial" w:hAnsi="Arial"/>
                <w:sz w:val="14"/>
                <w:szCs w:val="14"/>
                <w:b w:val="1"/>
                <w:bCs w:val="1"/>
                <w:color w:val="auto"/>
              </w:rPr>
              <w:t>(Dollars in millions)</w:t>
            </w: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5"/>
        </w:trPr>
        <w:tc>
          <w:tcPr>
            <w:tcW w:w="410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410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 fixed-rate</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10,241</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13,692</w:t>
            </w:r>
          </w:p>
        </w:tc>
        <w:tc>
          <w:tcPr>
            <w:tcW w:w="320" w:type="dxa"/>
            <w:vAlign w:val="bottom"/>
            <w:gridSpan w:val="2"/>
          </w:tcPr>
          <w:p>
            <w:pPr>
              <w:ind w:left="14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17,599</w:t>
            </w:r>
          </w:p>
        </w:tc>
        <w:tc>
          <w:tcPr>
            <w:tcW w:w="400" w:type="dxa"/>
            <w:vAlign w:val="bottom"/>
            <w:gridSpan w:val="2"/>
          </w:tcPr>
          <w:p>
            <w:pPr>
              <w:jc w:val="right"/>
              <w:ind w:right="111"/>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34</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309"/>
        </w:trPr>
        <w:tc>
          <w:tcPr>
            <w:tcW w:w="410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245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331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430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322"/>
        </w:trPr>
        <w:tc>
          <w:tcPr>
            <w:tcW w:w="410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107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12"/>
        </w:trPr>
        <w:tc>
          <w:tcPr>
            <w:tcW w:w="40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698</w:t>
            </w:r>
          </w:p>
        </w:tc>
        <w:tc>
          <w:tcPr>
            <w:tcW w:w="100" w:type="dxa"/>
            <w:vAlign w:val="bottom"/>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913</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1,101</w:t>
            </w:r>
          </w:p>
        </w:tc>
        <w:tc>
          <w:tcPr>
            <w:tcW w:w="120" w:type="dxa"/>
            <w:vAlign w:val="bottom"/>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12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3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300"/>
        </w:trPr>
        <w:tc>
          <w:tcPr>
            <w:tcW w:w="410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11,243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15,020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19,237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89</w:t>
            </w:r>
          </w:p>
        </w:tc>
        <w:tc>
          <w:tcPr>
            <w:tcW w:w="0" w:type="dxa"/>
            <w:vAlign w:val="bottom"/>
          </w:tcPr>
          <w:p>
            <w:pPr>
              <w:spacing w:after="0"/>
              <w:rPr>
                <w:sz w:val="1"/>
                <w:szCs w:val="1"/>
                <w:color w:val="auto"/>
              </w:rPr>
            </w:pPr>
          </w:p>
        </w:tc>
      </w:tr>
      <w:tr>
        <w:trPr>
          <w:trHeight w:val="325"/>
        </w:trPr>
        <w:tc>
          <w:tcPr>
            <w:tcW w:w="40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1,317</w:t>
            </w:r>
          </w:p>
        </w:tc>
        <w:tc>
          <w:tcPr>
            <w:tcW w:w="100" w:type="dxa"/>
            <w:vAlign w:val="bottom"/>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1,258</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1,259</w:t>
            </w:r>
          </w:p>
        </w:tc>
        <w:tc>
          <w:tcPr>
            <w:tcW w:w="120" w:type="dxa"/>
            <w:vAlign w:val="bottom"/>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12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w:t>
            </w:r>
          </w:p>
        </w:tc>
        <w:tc>
          <w:tcPr>
            <w:tcW w:w="120" w:type="dxa"/>
            <w:vAlign w:val="bottom"/>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3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302"/>
        </w:trPr>
        <w:tc>
          <w:tcPr>
            <w:tcW w:w="4100" w:type="dxa"/>
            <w:vAlign w:val="bottom"/>
            <w:gridSpan w:val="2"/>
          </w:tcPr>
          <w:p>
            <w:pPr>
              <w:ind w:left="260"/>
              <w:spacing w:after="0"/>
              <w:rPr>
                <w:sz w:val="20"/>
                <w:szCs w:val="20"/>
                <w:color w:val="auto"/>
              </w:rPr>
            </w:pPr>
            <w:r>
              <w:rPr>
                <w:rFonts w:ascii="Arial" w:cs="Arial" w:eastAsia="Arial" w:hAnsi="Arial"/>
                <w:sz w:val="15"/>
                <w:szCs w:val="15"/>
                <w:color w:val="auto"/>
              </w:rPr>
              <w:t>Total nonaccrual loans</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12,560</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16,278</w:t>
            </w:r>
          </w:p>
        </w:tc>
        <w:tc>
          <w:tcPr>
            <w:tcW w:w="320" w:type="dxa"/>
            <w:vAlign w:val="bottom"/>
            <w:gridSpan w:val="2"/>
          </w:tcPr>
          <w:p>
            <w:pPr>
              <w:ind w:left="14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20,496</w:t>
            </w:r>
          </w:p>
        </w:tc>
        <w:tc>
          <w:tcPr>
            <w:tcW w:w="400" w:type="dxa"/>
            <w:vAlign w:val="bottom"/>
            <w:gridSpan w:val="2"/>
          </w:tcPr>
          <w:p>
            <w:pPr>
              <w:jc w:val="right"/>
              <w:ind w:right="111"/>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45</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103</w:t>
            </w:r>
          </w:p>
        </w:tc>
        <w:tc>
          <w:tcPr>
            <w:tcW w:w="0" w:type="dxa"/>
            <w:vAlign w:val="bottom"/>
          </w:tcPr>
          <w:p>
            <w:pPr>
              <w:spacing w:after="0"/>
              <w:rPr>
                <w:sz w:val="1"/>
                <w:szCs w:val="1"/>
                <w:color w:val="auto"/>
              </w:rPr>
            </w:pPr>
          </w:p>
        </w:tc>
      </w:tr>
      <w:tr>
        <w:trPr>
          <w:trHeight w:val="21"/>
        </w:trPr>
        <w:tc>
          <w:tcPr>
            <w:tcW w:w="4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0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10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0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12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3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240" w:right="80" w:hanging="237"/>
        <w:spacing w:after="0" w:line="231" w:lineRule="auto"/>
        <w:tabs>
          <w:tab w:leader="none" w:pos="240" w:val="left"/>
        </w:tabs>
        <w:numPr>
          <w:ilvl w:val="0"/>
          <w:numId w:val="88"/>
        </w:numPr>
        <w:rPr>
          <w:rFonts w:ascii="Arial" w:cs="Arial" w:eastAsia="Arial" w:hAnsi="Arial"/>
          <w:sz w:val="18"/>
          <w:szCs w:val="18"/>
          <w:color w:val="auto"/>
          <w:vertAlign w:val="superscript"/>
        </w:rPr>
      </w:pPr>
      <w:r>
        <w:rPr>
          <w:rFonts w:ascii="Arial" w:cs="Arial" w:eastAsia="Arial" w:hAnsi="Arial"/>
          <w:sz w:val="14"/>
          <w:szCs w:val="14"/>
          <w:color w:val="auto"/>
        </w:rPr>
        <w:t>Interest income recognized includes amortization of any deferred cost basis adjustments while the loan is performing and that is not reversed when the loan is placed on nonaccrual status. For loans negatively impacted by the COVID-19 pandemic, also includes amounts accrued but not collected prior to the loan being placed on nonaccrual status. For single-family, interest income recognized includes payments received on nonaccrual loans held as of period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367665</wp:posOffset>
            </wp:positionV>
            <wp:extent cx="681101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164070" cy="4191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90" w:name="page91"/>
    <w:bookmarkEnd w:id="90"/>
    <w:p>
      <w:pPr>
        <w:ind w:left="5880"/>
        <w:spacing w:after="0"/>
        <w:rPr>
          <w:sz w:val="20"/>
          <w:szCs w:val="20"/>
          <w:color w:val="auto"/>
        </w:rPr>
      </w:pPr>
      <w:r>
        <w:rPr>
          <w:rFonts w:ascii="Arial" w:cs="Arial" w:eastAsia="Arial" w:hAnsi="Arial"/>
          <w:sz w:val="14"/>
          <w:szCs w:val="14"/>
          <w:color w:val="05314D"/>
        </w:rPr>
        <w:t>Notes to Condensed Consolidated Financial Statements | Allowance for Loan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02373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31"/>
          <w:szCs w:val="31"/>
          <w:b w:val="1"/>
          <w:bCs w:val="1"/>
          <w:color w:val="05314D"/>
        </w:rPr>
        <w:t>4. Allowance for Loan Losses</w:t>
      </w:r>
    </w:p>
    <w:p>
      <w:pPr>
        <w:spacing w:after="0" w:line="10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We maintain an allowance for loan losses for HFI loans held by Fannie Mae and by consolidated Fannie Mae MBS trusts, excluding loans for which we have elected the fair value option. When calculating our allowance for loan losses, we consider the unpaid principal balance, net of unamortized premiums and discounts, and other cost basis adjustments of HFI loans at the balance sheet date. We record write-offs as a reduction to our allowance for loan losses at the point of foreclosure, completion of a short sale, upon the redesignation of nonperforming and reperforming loans from HFI to HFS or when a loan is determined to be uncollectible.</w:t>
      </w:r>
    </w:p>
    <w:p>
      <w:pPr>
        <w:spacing w:after="0" w:line="45"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The following table displays changes in our allowance for single-family loans, multifamily loans and total allowance for loan losses. The benefit or provision for loan losses excludes provision for accrued interest receivable losses, guaranty loss reserves and credit losses on available-for-sale (“AFS”) debt securities. Cumulatively, these amounts are recognized as “Benefit (provision) for credit losses” in our condensed consolidated statements of operations and comprehensive income.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Borders>
              <w:bottom w:val="single" w:sz="8" w:color="2C6937"/>
            </w:tcBorders>
            <w:gridSpan w:val="5"/>
          </w:tcPr>
          <w:p>
            <w:pPr>
              <w:jc w:val="right"/>
              <w:ind w:right="403"/>
              <w:spacing w:after="0"/>
              <w:rPr>
                <w:sz w:val="20"/>
                <w:szCs w:val="20"/>
                <w:color w:val="auto"/>
              </w:rPr>
            </w:pPr>
            <w:r>
              <w:rPr>
                <w:rFonts w:ascii="Arial" w:cs="Arial" w:eastAsia="Arial" w:hAnsi="Arial"/>
                <w:sz w:val="15"/>
                <w:szCs w:val="15"/>
                <w:b w:val="1"/>
                <w:bCs w:val="1"/>
                <w:color w:val="auto"/>
              </w:rPr>
              <w:t>For the Three Months Ended June 30,</w:t>
            </w:r>
          </w:p>
        </w:tc>
        <w:tc>
          <w:tcPr>
            <w:tcW w:w="8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3340" w:type="dxa"/>
            <w:vAlign w:val="bottom"/>
            <w:tcBorders>
              <w:bottom w:val="single" w:sz="8" w:color="2C6937"/>
            </w:tcBorders>
            <w:gridSpan w:val="4"/>
          </w:tcPr>
          <w:p>
            <w:pPr>
              <w:jc w:val="right"/>
              <w:ind w:right="463"/>
              <w:spacing w:after="0"/>
              <w:rPr>
                <w:sz w:val="20"/>
                <w:szCs w:val="20"/>
                <w:color w:val="auto"/>
              </w:rPr>
            </w:pPr>
            <w:r>
              <w:rPr>
                <w:rFonts w:ascii="Arial" w:cs="Arial" w:eastAsia="Arial" w:hAnsi="Arial"/>
                <w:sz w:val="15"/>
                <w:szCs w:val="15"/>
                <w:b w:val="1"/>
                <w:bCs w:val="1"/>
                <w:color w:val="auto"/>
              </w:rPr>
              <w:t>For the Six Months Ended June 30,</w:t>
            </w:r>
          </w:p>
        </w:tc>
      </w:tr>
      <w:tr>
        <w:trPr>
          <w:trHeight w:val="231"/>
        </w:trPr>
        <w:tc>
          <w:tcPr>
            <w:tcW w:w="3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2023</w:t>
            </w:r>
          </w:p>
        </w:tc>
        <w:tc>
          <w:tcPr>
            <w:tcW w:w="680" w:type="dxa"/>
            <w:vAlign w:val="bottom"/>
            <w:tcBorders>
              <w:bottom w:val="single" w:sz="8" w:color="2C6937"/>
            </w:tcBorders>
          </w:tcPr>
          <w:p>
            <w:pPr>
              <w:spacing w:after="0"/>
              <w:rPr>
                <w:sz w:val="20"/>
                <w:szCs w:val="20"/>
                <w:color w:val="auto"/>
              </w:rPr>
            </w:pPr>
          </w:p>
        </w:tc>
        <w:tc>
          <w:tcPr>
            <w:tcW w:w="80" w:type="dxa"/>
            <w:vAlign w:val="bottom"/>
            <w:tcBorders>
              <w:bottom w:val="single" w:sz="8" w:color="2C6937"/>
            </w:tcBorders>
          </w:tcPr>
          <w:p>
            <w:pPr>
              <w:spacing w:after="0"/>
              <w:rPr>
                <w:sz w:val="20"/>
                <w:szCs w:val="20"/>
                <w:color w:val="auto"/>
              </w:rPr>
            </w:pPr>
          </w:p>
        </w:tc>
        <w:tc>
          <w:tcPr>
            <w:tcW w:w="420" w:type="dxa"/>
            <w:vAlign w:val="bottom"/>
            <w:tcBorders>
              <w:bottom w:val="single" w:sz="8" w:color="2C6937"/>
            </w:tcBorders>
          </w:tcPr>
          <w:p>
            <w:pPr>
              <w:spacing w:after="0"/>
              <w:rPr>
                <w:sz w:val="20"/>
                <w:szCs w:val="20"/>
                <w:color w:val="auto"/>
              </w:rPr>
            </w:pPr>
          </w:p>
        </w:tc>
        <w:tc>
          <w:tcPr>
            <w:tcW w:w="1400" w:type="dxa"/>
            <w:vAlign w:val="bottom"/>
            <w:tcBorders>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bottom w:val="single" w:sz="8" w:color="2C6937"/>
            </w:tcBorders>
          </w:tcPr>
          <w:p>
            <w:pPr>
              <w:spacing w:after="0"/>
              <w:rPr>
                <w:sz w:val="20"/>
                <w:szCs w:val="20"/>
                <w:color w:val="auto"/>
              </w:rPr>
            </w:pPr>
          </w:p>
        </w:tc>
        <w:tc>
          <w:tcPr>
            <w:tcW w:w="320" w:type="dxa"/>
            <w:vAlign w:val="bottom"/>
            <w:tcBorders>
              <w:bottom w:val="single" w:sz="8" w:color="2C6937"/>
            </w:tcBorders>
          </w:tcPr>
          <w:p>
            <w:pPr>
              <w:spacing w:after="0"/>
              <w:rPr>
                <w:sz w:val="20"/>
                <w:szCs w:val="20"/>
                <w:color w:val="auto"/>
              </w:rPr>
            </w:pPr>
          </w:p>
        </w:tc>
        <w:tc>
          <w:tcPr>
            <w:tcW w:w="1480" w:type="dxa"/>
            <w:vAlign w:val="bottom"/>
            <w:tcBorders>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bottom w:val="single" w:sz="8" w:color="2C6937"/>
            </w:tcBorders>
          </w:tcPr>
          <w:p>
            <w:pPr>
              <w:spacing w:after="0"/>
              <w:rPr>
                <w:sz w:val="20"/>
                <w:szCs w:val="20"/>
                <w:color w:val="auto"/>
              </w:rPr>
            </w:pPr>
          </w:p>
        </w:tc>
        <w:tc>
          <w:tcPr>
            <w:tcW w:w="420" w:type="dxa"/>
            <w:vAlign w:val="bottom"/>
            <w:tcBorders>
              <w:bottom w:val="single" w:sz="8" w:color="2C6937"/>
            </w:tcBorders>
          </w:tcPr>
          <w:p>
            <w:pPr>
              <w:spacing w:after="0"/>
              <w:rPr>
                <w:sz w:val="20"/>
                <w:szCs w:val="20"/>
                <w:color w:val="auto"/>
              </w:rPr>
            </w:pPr>
          </w:p>
        </w:tc>
        <w:tc>
          <w:tcPr>
            <w:tcW w:w="1360" w:type="dxa"/>
            <w:vAlign w:val="bottom"/>
            <w:tcBorders>
              <w:bottom w:val="single" w:sz="8" w:color="2C6937"/>
            </w:tcBorders>
          </w:tcPr>
          <w:p>
            <w:pPr>
              <w:jc w:val="right"/>
              <w:ind w:right="643"/>
              <w:spacing w:after="0"/>
              <w:rPr>
                <w:sz w:val="20"/>
                <w:szCs w:val="20"/>
                <w:color w:val="auto"/>
              </w:rPr>
            </w:pPr>
            <w:r>
              <w:rPr>
                <w:rFonts w:ascii="Arial" w:cs="Arial" w:eastAsia="Arial" w:hAnsi="Arial"/>
                <w:sz w:val="15"/>
                <w:szCs w:val="15"/>
                <w:b w:val="1"/>
                <w:bCs w:val="1"/>
                <w:color w:val="auto"/>
              </w:rPr>
              <w:t>2022</w:t>
            </w:r>
          </w:p>
        </w:tc>
      </w:tr>
      <w:tr>
        <w:trPr>
          <w:trHeight w:val="303"/>
        </w:trPr>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80" w:type="dxa"/>
            <w:vAlign w:val="bottom"/>
            <w:gridSpan w:val="4"/>
          </w:tcPr>
          <w:p>
            <w:pPr>
              <w:jc w:val="right"/>
              <w:ind w:right="1063"/>
              <w:spacing w:after="0"/>
              <w:rPr>
                <w:sz w:val="20"/>
                <w:szCs w:val="20"/>
                <w:color w:val="auto"/>
              </w:rPr>
            </w:pPr>
            <w:r>
              <w:rPr>
                <w:rFonts w:ascii="Arial" w:cs="Arial" w:eastAsia="Arial" w:hAnsi="Arial"/>
                <w:sz w:val="15"/>
                <w:szCs w:val="15"/>
                <w:b w:val="1"/>
                <w:bCs w:val="1"/>
                <w:color w:val="auto"/>
              </w:rPr>
              <w:t>(Dollars in millions)</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7"/>
        </w:trPr>
        <w:tc>
          <w:tcPr>
            <w:tcW w:w="3700" w:type="dxa"/>
            <w:vAlign w:val="bottom"/>
            <w:gridSpan w:val="2"/>
          </w:tcPr>
          <w:p>
            <w:pPr>
              <w:ind w:left="20"/>
              <w:spacing w:after="0"/>
              <w:rPr>
                <w:sz w:val="20"/>
                <w:szCs w:val="20"/>
                <w:color w:val="auto"/>
              </w:rPr>
            </w:pPr>
            <w:r>
              <w:rPr>
                <w:rFonts w:ascii="Arial" w:cs="Arial" w:eastAsia="Arial" w:hAnsi="Arial"/>
                <w:sz w:val="15"/>
                <w:szCs w:val="15"/>
                <w:color w:val="auto"/>
              </w:rPr>
              <w:t>Single-family allowance for loan losses:</w:t>
            </w: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47"/>
        </w:trPr>
        <w:tc>
          <w:tcPr>
            <w:tcW w:w="3700" w:type="dxa"/>
            <w:vAlign w:val="bottom"/>
            <w:gridSpan w:val="2"/>
          </w:tcPr>
          <w:p>
            <w:pPr>
              <w:ind w:left="180"/>
              <w:spacing w:after="0"/>
              <w:rPr>
                <w:sz w:val="20"/>
                <w:szCs w:val="20"/>
                <w:color w:val="auto"/>
              </w:rPr>
            </w:pPr>
            <w:r>
              <w:rPr>
                <w:rFonts w:ascii="Arial" w:cs="Arial" w:eastAsia="Arial" w:hAnsi="Arial"/>
                <w:sz w:val="15"/>
                <w:szCs w:val="15"/>
                <w:color w:val="auto"/>
              </w:rPr>
              <w:t>Beginning balance</w:t>
            </w:r>
          </w:p>
        </w:tc>
        <w:tc>
          <w:tcPr>
            <w:tcW w:w="1120" w:type="dxa"/>
            <w:vAlign w:val="bottom"/>
          </w:tcPr>
          <w:p>
            <w:pPr>
              <w:jc w:val="right"/>
              <w:ind w:right="963"/>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(9,479)</w:t>
            </w:r>
          </w:p>
        </w:tc>
        <w:tc>
          <w:tcPr>
            <w:tcW w:w="500" w:type="dxa"/>
            <w:vAlign w:val="bottom"/>
            <w:gridSpan w:val="2"/>
          </w:tcPr>
          <w:p>
            <w:pPr>
              <w:jc w:val="right"/>
              <w:ind w:right="243"/>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(5,241)</w:t>
            </w:r>
          </w:p>
        </w:tc>
        <w:tc>
          <w:tcPr>
            <w:tcW w:w="400" w:type="dxa"/>
            <w:vAlign w:val="bottom"/>
            <w:gridSpan w:val="2"/>
          </w:tcPr>
          <w:p>
            <w:pPr>
              <w:jc w:val="right"/>
              <w:ind w:right="143"/>
              <w:spacing w:after="0"/>
              <w:rPr>
                <w:sz w:val="20"/>
                <w:szCs w:val="20"/>
                <w:color w:val="auto"/>
              </w:rPr>
            </w:pPr>
            <w:r>
              <w:rPr>
                <w:rFonts w:ascii="Arial" w:cs="Arial" w:eastAsia="Arial" w:hAnsi="Arial"/>
                <w:sz w:val="15"/>
                <w:szCs w:val="15"/>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(9,443)</w:t>
            </w:r>
          </w:p>
        </w:tc>
        <w:tc>
          <w:tcPr>
            <w:tcW w:w="500" w:type="dxa"/>
            <w:vAlign w:val="bottom"/>
            <w:gridSpan w:val="2"/>
          </w:tcPr>
          <w:p>
            <w:pPr>
              <w:jc w:val="right"/>
              <w:ind w:right="243"/>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(4,950)</w:t>
            </w:r>
          </w:p>
        </w:tc>
      </w:tr>
      <w:tr>
        <w:trPr>
          <w:trHeight w:val="309"/>
        </w:trPr>
        <w:tc>
          <w:tcPr>
            <w:tcW w:w="3700" w:type="dxa"/>
            <w:vAlign w:val="bottom"/>
            <w:gridSpan w:val="2"/>
          </w:tcPr>
          <w:p>
            <w:pPr>
              <w:ind w:left="320"/>
              <w:spacing w:after="0"/>
              <w:rPr>
                <w:sz w:val="20"/>
                <w:szCs w:val="20"/>
                <w:color w:val="auto"/>
              </w:rPr>
            </w:pPr>
            <w:r>
              <w:rPr>
                <w:rFonts w:ascii="Arial" w:cs="Arial" w:eastAsia="Arial" w:hAnsi="Arial"/>
                <w:sz w:val="15"/>
                <w:szCs w:val="15"/>
                <w:color w:val="auto"/>
              </w:rPr>
              <w:t>Benefit (provision) for loan losses</w:t>
            </w:r>
          </w:p>
        </w:tc>
        <w:tc>
          <w:tcPr>
            <w:tcW w:w="1120" w:type="dxa"/>
            <w:vAlign w:val="bottom"/>
          </w:tcPr>
          <w:p>
            <w:pPr>
              <w:spacing w:after="0"/>
              <w:rPr>
                <w:sz w:val="24"/>
                <w:szCs w:val="24"/>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b w:val="1"/>
                <w:bCs w:val="1"/>
                <w:color w:val="auto"/>
              </w:rPr>
              <w:t>1,399</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(248)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b w:val="1"/>
                <w:bCs w:val="1"/>
                <w:color w:val="auto"/>
              </w:rPr>
              <w:t>1,403</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(530)</w:t>
            </w:r>
          </w:p>
        </w:tc>
      </w:tr>
      <w:tr>
        <w:trPr>
          <w:trHeight w:val="322"/>
        </w:trPr>
        <w:tc>
          <w:tcPr>
            <w:tcW w:w="3700" w:type="dxa"/>
            <w:vAlign w:val="bottom"/>
            <w:gridSpan w:val="2"/>
          </w:tcPr>
          <w:p>
            <w:pPr>
              <w:ind w:left="320"/>
              <w:spacing w:after="0"/>
              <w:rPr>
                <w:sz w:val="20"/>
                <w:szCs w:val="20"/>
                <w:color w:val="auto"/>
              </w:rPr>
            </w:pPr>
            <w:r>
              <w:rPr>
                <w:rFonts w:ascii="Arial" w:cs="Arial" w:eastAsia="Arial" w:hAnsi="Arial"/>
                <w:sz w:val="15"/>
                <w:szCs w:val="15"/>
                <w:color w:val="auto"/>
              </w:rPr>
              <w:t>Write-offs</w:t>
            </w:r>
          </w:p>
        </w:tc>
        <w:tc>
          <w:tcPr>
            <w:tcW w:w="1120" w:type="dxa"/>
            <w:vAlign w:val="bottom"/>
          </w:tcPr>
          <w:p>
            <w:pPr>
              <w:spacing w:after="0"/>
              <w:rPr>
                <w:sz w:val="24"/>
                <w:szCs w:val="24"/>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b w:val="1"/>
                <w:bCs w:val="1"/>
                <w:color w:val="auto"/>
              </w:rPr>
              <w:t>53</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248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b w:val="1"/>
                <w:bCs w:val="1"/>
                <w:color w:val="auto"/>
              </w:rPr>
              <w:t>95</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275</w:t>
            </w:r>
          </w:p>
        </w:tc>
      </w:tr>
      <w:tr>
        <w:trPr>
          <w:trHeight w:val="309"/>
        </w:trPr>
        <w:tc>
          <w:tcPr>
            <w:tcW w:w="3700" w:type="dxa"/>
            <w:vAlign w:val="bottom"/>
            <w:gridSpan w:val="2"/>
          </w:tcPr>
          <w:p>
            <w:pPr>
              <w:ind w:left="320"/>
              <w:spacing w:after="0"/>
              <w:rPr>
                <w:sz w:val="20"/>
                <w:szCs w:val="20"/>
                <w:color w:val="auto"/>
              </w:rPr>
            </w:pPr>
            <w:r>
              <w:rPr>
                <w:rFonts w:ascii="Arial" w:cs="Arial" w:eastAsia="Arial" w:hAnsi="Arial"/>
                <w:sz w:val="15"/>
                <w:szCs w:val="15"/>
                <w:color w:val="auto"/>
              </w:rPr>
              <w:t>Recoveries</w:t>
            </w:r>
          </w:p>
        </w:tc>
        <w:tc>
          <w:tcPr>
            <w:tcW w:w="1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(27)</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(84)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(103)</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(117)</w:t>
            </w:r>
          </w:p>
        </w:tc>
      </w:tr>
      <w:tr>
        <w:trPr>
          <w:trHeight w:val="316"/>
        </w:trPr>
        <w:tc>
          <w:tcPr>
            <w:tcW w:w="358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Other</w:t>
            </w:r>
          </w:p>
        </w:tc>
        <w:tc>
          <w:tcPr>
            <w:tcW w:w="120" w:type="dxa"/>
            <w:vAlign w:val="bottom"/>
          </w:tcPr>
          <w:p>
            <w:pPr>
              <w:spacing w:after="0"/>
              <w:rPr>
                <w:sz w:val="24"/>
                <w:szCs w:val="24"/>
                <w:color w:val="auto"/>
              </w:rPr>
            </w:pPr>
          </w:p>
        </w:tc>
        <w:tc>
          <w:tcPr>
            <w:tcW w:w="1120" w:type="dxa"/>
            <w:vAlign w:val="bottom"/>
            <w:tcBorders>
              <w:bottom w:val="single" w:sz="8" w:color="2C6937"/>
            </w:tcBorders>
          </w:tcPr>
          <w:p>
            <w:pPr>
              <w:spacing w:after="0"/>
              <w:rPr>
                <w:sz w:val="24"/>
                <w:szCs w:val="24"/>
                <w:color w:val="auto"/>
              </w:rPr>
            </w:pPr>
          </w:p>
        </w:tc>
        <w:tc>
          <w:tcPr>
            <w:tcW w:w="6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64</w:t>
            </w:r>
          </w:p>
        </w:tc>
        <w:tc>
          <w:tcPr>
            <w:tcW w:w="80" w:type="dxa"/>
            <w:vAlign w:val="bottom"/>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1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(64)</w:t>
            </w:r>
          </w:p>
        </w:tc>
        <w:tc>
          <w:tcPr>
            <w:tcW w:w="80" w:type="dxa"/>
            <w:vAlign w:val="bottom"/>
          </w:tcPr>
          <w:p>
            <w:pPr>
              <w:spacing w:after="0"/>
              <w:rPr>
                <w:sz w:val="24"/>
                <w:szCs w:val="24"/>
                <w:color w:val="auto"/>
              </w:rPr>
            </w:pPr>
          </w:p>
        </w:tc>
        <w:tc>
          <w:tcPr>
            <w:tcW w:w="320" w:type="dxa"/>
            <w:vAlign w:val="bottom"/>
            <w:tcBorders>
              <w:bottom w:val="single" w:sz="8" w:color="2C6937"/>
            </w:tcBorders>
          </w:tcPr>
          <w:p>
            <w:pPr>
              <w:spacing w:after="0"/>
              <w:rPr>
                <w:sz w:val="24"/>
                <w:szCs w:val="24"/>
                <w:color w:val="auto"/>
              </w:rPr>
            </w:pPr>
          </w:p>
        </w:tc>
        <w:tc>
          <w:tcPr>
            <w:tcW w:w="14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58</w:t>
            </w:r>
          </w:p>
        </w:tc>
        <w:tc>
          <w:tcPr>
            <w:tcW w:w="80" w:type="dxa"/>
            <w:vAlign w:val="bottom"/>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13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(67)</w:t>
            </w:r>
          </w:p>
        </w:tc>
      </w:tr>
      <w:tr>
        <w:trPr>
          <w:trHeight w:val="295"/>
        </w:trPr>
        <w:tc>
          <w:tcPr>
            <w:tcW w:w="358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Ending balance</w:t>
            </w:r>
          </w:p>
        </w:tc>
        <w:tc>
          <w:tcPr>
            <w:tcW w:w="120" w:type="dxa"/>
            <w:vAlign w:val="bottom"/>
          </w:tcPr>
          <w:p>
            <w:pPr>
              <w:spacing w:after="0"/>
              <w:rPr>
                <w:sz w:val="24"/>
                <w:szCs w:val="24"/>
                <w:color w:val="auto"/>
              </w:rPr>
            </w:pPr>
          </w:p>
        </w:tc>
        <w:tc>
          <w:tcPr>
            <w:tcW w:w="1120" w:type="dxa"/>
            <w:vAlign w:val="bottom"/>
            <w:tcBorders>
              <w:bottom w:val="single" w:sz="8" w:color="2C6937"/>
            </w:tcBorders>
          </w:tcPr>
          <w:p>
            <w:pPr>
              <w:jc w:val="right"/>
              <w:ind w:right="963"/>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(7,990)</w:t>
            </w:r>
          </w:p>
        </w:tc>
        <w:tc>
          <w:tcPr>
            <w:tcW w:w="80" w:type="dxa"/>
            <w:vAlign w:val="bottom"/>
          </w:tcPr>
          <w:p>
            <w:pPr>
              <w:spacing w:after="0"/>
              <w:rPr>
                <w:sz w:val="24"/>
                <w:szCs w:val="24"/>
                <w:color w:val="auto"/>
              </w:rPr>
            </w:pPr>
          </w:p>
        </w:tc>
        <w:tc>
          <w:tcPr>
            <w:tcW w:w="420" w:type="dxa"/>
            <w:vAlign w:val="bottom"/>
            <w:tcBorders>
              <w:bottom w:val="single" w:sz="8" w:color="2C6937"/>
            </w:tcBorders>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(5,389)</w:t>
            </w:r>
          </w:p>
        </w:tc>
        <w:tc>
          <w:tcPr>
            <w:tcW w:w="80" w:type="dxa"/>
            <w:vAlign w:val="bottom"/>
          </w:tcPr>
          <w:p>
            <w:pPr>
              <w:spacing w:after="0"/>
              <w:rPr>
                <w:sz w:val="24"/>
                <w:szCs w:val="24"/>
                <w:color w:val="auto"/>
              </w:rPr>
            </w:pPr>
          </w:p>
        </w:tc>
        <w:tc>
          <w:tcPr>
            <w:tcW w:w="320" w:type="dxa"/>
            <w:vAlign w:val="bottom"/>
            <w:tcBorders>
              <w:bottom w:val="single" w:sz="8" w:color="2C6937"/>
            </w:tcBorders>
          </w:tcPr>
          <w:p>
            <w:pPr>
              <w:jc w:val="right"/>
              <w:ind w:right="143"/>
              <w:spacing w:after="0"/>
              <w:rPr>
                <w:sz w:val="20"/>
                <w:szCs w:val="20"/>
                <w:color w:val="auto"/>
              </w:rPr>
            </w:pPr>
            <w:r>
              <w:rPr>
                <w:rFonts w:ascii="Arial" w:cs="Arial" w:eastAsia="Arial" w:hAnsi="Arial"/>
                <w:sz w:val="15"/>
                <w:szCs w:val="15"/>
                <w:b w:val="1"/>
                <w:bCs w:val="1"/>
                <w:color w:val="auto"/>
                <w:w w:val="95"/>
              </w:rPr>
              <w:t>$</w:t>
            </w:r>
          </w:p>
        </w:tc>
        <w:tc>
          <w:tcPr>
            <w:tcW w:w="14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(7,990)</w:t>
            </w:r>
          </w:p>
        </w:tc>
        <w:tc>
          <w:tcPr>
            <w:tcW w:w="80" w:type="dxa"/>
            <w:vAlign w:val="bottom"/>
          </w:tcPr>
          <w:p>
            <w:pPr>
              <w:spacing w:after="0"/>
              <w:rPr>
                <w:sz w:val="24"/>
                <w:szCs w:val="24"/>
                <w:color w:val="auto"/>
              </w:rPr>
            </w:pPr>
          </w:p>
        </w:tc>
        <w:tc>
          <w:tcPr>
            <w:tcW w:w="420" w:type="dxa"/>
            <w:vAlign w:val="bottom"/>
            <w:tcBorders>
              <w:bottom w:val="single" w:sz="8" w:color="2C6937"/>
            </w:tcBorders>
          </w:tcPr>
          <w:p>
            <w:pPr>
              <w:jc w:val="right"/>
              <w:ind w:right="24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(5,389)</w:t>
            </w:r>
          </w:p>
        </w:tc>
      </w:tr>
      <w:tr>
        <w:trPr>
          <w:trHeight w:val="26"/>
        </w:trPr>
        <w:tc>
          <w:tcPr>
            <w:tcW w:w="358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2C6937"/>
            </w:tcBorders>
          </w:tcPr>
          <w:p>
            <w:pPr>
              <w:spacing w:after="0"/>
              <w:rPr>
                <w:sz w:val="2"/>
                <w:szCs w:val="2"/>
                <w:color w:val="auto"/>
              </w:rPr>
            </w:pPr>
          </w:p>
        </w:tc>
        <w:tc>
          <w:tcPr>
            <w:tcW w:w="68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2C6937"/>
            </w:tcBorders>
          </w:tcPr>
          <w:p>
            <w:pPr>
              <w:spacing w:after="0"/>
              <w:rPr>
                <w:sz w:val="2"/>
                <w:szCs w:val="2"/>
                <w:color w:val="auto"/>
              </w:rPr>
            </w:pPr>
          </w:p>
        </w:tc>
        <w:tc>
          <w:tcPr>
            <w:tcW w:w="140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2C6937"/>
            </w:tcBorders>
          </w:tcPr>
          <w:p>
            <w:pPr>
              <w:spacing w:after="0"/>
              <w:rPr>
                <w:sz w:val="2"/>
                <w:szCs w:val="2"/>
                <w:color w:val="auto"/>
              </w:rPr>
            </w:pPr>
          </w:p>
        </w:tc>
        <w:tc>
          <w:tcPr>
            <w:tcW w:w="148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2C6937"/>
            </w:tcBorders>
          </w:tcPr>
          <w:p>
            <w:pPr>
              <w:spacing w:after="0"/>
              <w:rPr>
                <w:sz w:val="2"/>
                <w:szCs w:val="2"/>
                <w:color w:val="auto"/>
              </w:rPr>
            </w:pPr>
          </w:p>
        </w:tc>
        <w:tc>
          <w:tcPr>
            <w:tcW w:w="1360" w:type="dxa"/>
            <w:vAlign w:val="bottom"/>
            <w:tcBorders>
              <w:bottom w:val="single" w:sz="8" w:color="2C6937"/>
            </w:tcBorders>
          </w:tcPr>
          <w:p>
            <w:pPr>
              <w:spacing w:after="0"/>
              <w:rPr>
                <w:sz w:val="2"/>
                <w:szCs w:val="2"/>
                <w:color w:val="auto"/>
              </w:rPr>
            </w:pPr>
          </w:p>
        </w:tc>
      </w:tr>
      <w:tr>
        <w:trPr>
          <w:trHeight w:val="284"/>
        </w:trPr>
        <w:tc>
          <w:tcPr>
            <w:tcW w:w="3700" w:type="dxa"/>
            <w:vAlign w:val="bottom"/>
            <w:gridSpan w:val="2"/>
          </w:tcPr>
          <w:p>
            <w:pPr>
              <w:ind w:left="20"/>
              <w:spacing w:after="0"/>
              <w:rPr>
                <w:sz w:val="20"/>
                <w:szCs w:val="20"/>
                <w:color w:val="auto"/>
              </w:rPr>
            </w:pPr>
            <w:r>
              <w:rPr>
                <w:rFonts w:ascii="Arial" w:cs="Arial" w:eastAsia="Arial" w:hAnsi="Arial"/>
                <w:sz w:val="15"/>
                <w:szCs w:val="15"/>
                <w:color w:val="auto"/>
              </w:rPr>
              <w:t>Multifamily allowance for loan losses:</w:t>
            </w: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47"/>
        </w:trPr>
        <w:tc>
          <w:tcPr>
            <w:tcW w:w="3700" w:type="dxa"/>
            <w:vAlign w:val="bottom"/>
            <w:gridSpan w:val="2"/>
          </w:tcPr>
          <w:p>
            <w:pPr>
              <w:ind w:left="180"/>
              <w:spacing w:after="0"/>
              <w:rPr>
                <w:sz w:val="20"/>
                <w:szCs w:val="20"/>
                <w:color w:val="auto"/>
              </w:rPr>
            </w:pPr>
            <w:r>
              <w:rPr>
                <w:rFonts w:ascii="Arial" w:cs="Arial" w:eastAsia="Arial" w:hAnsi="Arial"/>
                <w:sz w:val="15"/>
                <w:szCs w:val="15"/>
                <w:color w:val="auto"/>
              </w:rPr>
              <w:t>Beginning balance</w:t>
            </w:r>
          </w:p>
        </w:tc>
        <w:tc>
          <w:tcPr>
            <w:tcW w:w="1120" w:type="dxa"/>
            <w:vAlign w:val="bottom"/>
          </w:tcPr>
          <w:p>
            <w:pPr>
              <w:jc w:val="right"/>
              <w:ind w:right="963"/>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(1,856)</w:t>
            </w:r>
          </w:p>
        </w:tc>
        <w:tc>
          <w:tcPr>
            <w:tcW w:w="500" w:type="dxa"/>
            <w:vAlign w:val="bottom"/>
            <w:gridSpan w:val="2"/>
          </w:tcPr>
          <w:p>
            <w:pPr>
              <w:jc w:val="right"/>
              <w:ind w:right="243"/>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(658)</w:t>
            </w:r>
          </w:p>
        </w:tc>
        <w:tc>
          <w:tcPr>
            <w:tcW w:w="400" w:type="dxa"/>
            <w:vAlign w:val="bottom"/>
            <w:gridSpan w:val="2"/>
          </w:tcPr>
          <w:p>
            <w:pPr>
              <w:jc w:val="right"/>
              <w:ind w:right="143"/>
              <w:spacing w:after="0"/>
              <w:rPr>
                <w:sz w:val="20"/>
                <w:szCs w:val="20"/>
                <w:color w:val="auto"/>
              </w:rPr>
            </w:pPr>
            <w:r>
              <w:rPr>
                <w:rFonts w:ascii="Arial" w:cs="Arial" w:eastAsia="Arial" w:hAnsi="Arial"/>
                <w:sz w:val="15"/>
                <w:szCs w:val="15"/>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(1,904)</w:t>
            </w:r>
          </w:p>
        </w:tc>
        <w:tc>
          <w:tcPr>
            <w:tcW w:w="500" w:type="dxa"/>
            <w:vAlign w:val="bottom"/>
            <w:gridSpan w:val="2"/>
          </w:tcPr>
          <w:p>
            <w:pPr>
              <w:jc w:val="right"/>
              <w:ind w:right="243"/>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(679)</w:t>
            </w:r>
          </w:p>
        </w:tc>
      </w:tr>
      <w:tr>
        <w:trPr>
          <w:trHeight w:val="309"/>
        </w:trPr>
        <w:tc>
          <w:tcPr>
            <w:tcW w:w="3700" w:type="dxa"/>
            <w:vAlign w:val="bottom"/>
            <w:gridSpan w:val="2"/>
          </w:tcPr>
          <w:p>
            <w:pPr>
              <w:ind w:left="320"/>
              <w:spacing w:after="0"/>
              <w:rPr>
                <w:sz w:val="20"/>
                <w:szCs w:val="20"/>
                <w:color w:val="auto"/>
              </w:rPr>
            </w:pPr>
            <w:r>
              <w:rPr>
                <w:rFonts w:ascii="Arial" w:cs="Arial" w:eastAsia="Arial" w:hAnsi="Arial"/>
                <w:sz w:val="15"/>
                <w:szCs w:val="15"/>
                <w:color w:val="auto"/>
              </w:rPr>
              <w:t>Benefit (provision) for loan losses</w:t>
            </w:r>
          </w:p>
        </w:tc>
        <w:tc>
          <w:tcPr>
            <w:tcW w:w="1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(152)</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(332)</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322"/>
        </w:trPr>
        <w:tc>
          <w:tcPr>
            <w:tcW w:w="3700" w:type="dxa"/>
            <w:vAlign w:val="bottom"/>
            <w:gridSpan w:val="2"/>
          </w:tcPr>
          <w:p>
            <w:pPr>
              <w:ind w:left="320"/>
              <w:spacing w:after="0"/>
              <w:rPr>
                <w:sz w:val="20"/>
                <w:szCs w:val="20"/>
                <w:color w:val="auto"/>
              </w:rPr>
            </w:pPr>
            <w:r>
              <w:rPr>
                <w:rFonts w:ascii="Arial" w:cs="Arial" w:eastAsia="Arial" w:hAnsi="Arial"/>
                <w:sz w:val="15"/>
                <w:szCs w:val="15"/>
                <w:color w:val="auto"/>
              </w:rPr>
              <w:t>Write-offs</w:t>
            </w:r>
          </w:p>
        </w:tc>
        <w:tc>
          <w:tcPr>
            <w:tcW w:w="1120" w:type="dxa"/>
            <w:vAlign w:val="bottom"/>
          </w:tcPr>
          <w:p>
            <w:pPr>
              <w:spacing w:after="0"/>
              <w:rPr>
                <w:sz w:val="24"/>
                <w:szCs w:val="24"/>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b w:val="1"/>
                <w:bCs w:val="1"/>
                <w:color w:val="auto"/>
              </w:rPr>
              <w:t>17</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b w:val="1"/>
                <w:bCs w:val="1"/>
                <w:color w:val="auto"/>
              </w:rPr>
              <w:t>254</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90"/>
        </w:trPr>
        <w:tc>
          <w:tcPr>
            <w:tcW w:w="358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Recoveries</w:t>
            </w:r>
          </w:p>
        </w:tc>
        <w:tc>
          <w:tcPr>
            <w:tcW w:w="120" w:type="dxa"/>
            <w:vAlign w:val="bottom"/>
          </w:tcPr>
          <w:p>
            <w:pPr>
              <w:spacing w:after="0"/>
              <w:rPr>
                <w:sz w:val="24"/>
                <w:szCs w:val="24"/>
                <w:color w:val="auto"/>
              </w:rPr>
            </w:pPr>
          </w:p>
        </w:tc>
        <w:tc>
          <w:tcPr>
            <w:tcW w:w="1120" w:type="dxa"/>
            <w:vAlign w:val="bottom"/>
            <w:tcBorders>
              <w:bottom w:val="single" w:sz="8" w:color="2C6937"/>
            </w:tcBorders>
          </w:tcPr>
          <w:p>
            <w:pPr>
              <w:spacing w:after="0"/>
              <w:rPr>
                <w:sz w:val="24"/>
                <w:szCs w:val="24"/>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w:t>
            </w:r>
          </w:p>
        </w:tc>
        <w:tc>
          <w:tcPr>
            <w:tcW w:w="80" w:type="dxa"/>
            <w:vAlign w:val="bottom"/>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1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w:t>
            </w:r>
          </w:p>
        </w:tc>
        <w:tc>
          <w:tcPr>
            <w:tcW w:w="80" w:type="dxa"/>
            <w:vAlign w:val="bottom"/>
          </w:tcPr>
          <w:p>
            <w:pPr>
              <w:spacing w:after="0"/>
              <w:rPr>
                <w:sz w:val="24"/>
                <w:szCs w:val="24"/>
                <w:color w:val="auto"/>
              </w:rPr>
            </w:pPr>
          </w:p>
        </w:tc>
        <w:tc>
          <w:tcPr>
            <w:tcW w:w="320" w:type="dxa"/>
            <w:vAlign w:val="bottom"/>
            <w:tcBorders>
              <w:bottom w:val="single" w:sz="8" w:color="2C6937"/>
            </w:tcBorders>
          </w:tcPr>
          <w:p>
            <w:pPr>
              <w:spacing w:after="0"/>
              <w:rPr>
                <w:sz w:val="24"/>
                <w:szCs w:val="24"/>
                <w:color w:val="auto"/>
              </w:rPr>
            </w:pPr>
          </w:p>
        </w:tc>
        <w:tc>
          <w:tcPr>
            <w:tcW w:w="14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(10)</w:t>
            </w:r>
          </w:p>
        </w:tc>
        <w:tc>
          <w:tcPr>
            <w:tcW w:w="80" w:type="dxa"/>
            <w:vAlign w:val="bottom"/>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13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(17)</w:t>
            </w:r>
          </w:p>
        </w:tc>
      </w:tr>
      <w:tr>
        <w:trPr>
          <w:trHeight w:val="315"/>
        </w:trPr>
        <w:tc>
          <w:tcPr>
            <w:tcW w:w="358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Ending balance</w:t>
            </w:r>
          </w:p>
        </w:tc>
        <w:tc>
          <w:tcPr>
            <w:tcW w:w="120" w:type="dxa"/>
            <w:vAlign w:val="bottom"/>
          </w:tcPr>
          <w:p>
            <w:pPr>
              <w:spacing w:after="0"/>
              <w:rPr>
                <w:sz w:val="24"/>
                <w:szCs w:val="24"/>
                <w:color w:val="auto"/>
              </w:rPr>
            </w:pPr>
          </w:p>
        </w:tc>
        <w:tc>
          <w:tcPr>
            <w:tcW w:w="1120" w:type="dxa"/>
            <w:vAlign w:val="bottom"/>
            <w:tcBorders>
              <w:bottom w:val="single" w:sz="8" w:color="2C6937"/>
            </w:tcBorders>
          </w:tcPr>
          <w:p>
            <w:pPr>
              <w:jc w:val="right"/>
              <w:ind w:right="963"/>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(1,992)</w:t>
            </w:r>
          </w:p>
        </w:tc>
        <w:tc>
          <w:tcPr>
            <w:tcW w:w="80" w:type="dxa"/>
            <w:vAlign w:val="bottom"/>
          </w:tcPr>
          <w:p>
            <w:pPr>
              <w:spacing w:after="0"/>
              <w:rPr>
                <w:sz w:val="24"/>
                <w:szCs w:val="24"/>
                <w:color w:val="auto"/>
              </w:rPr>
            </w:pPr>
          </w:p>
        </w:tc>
        <w:tc>
          <w:tcPr>
            <w:tcW w:w="420" w:type="dxa"/>
            <w:vAlign w:val="bottom"/>
            <w:tcBorders>
              <w:bottom w:val="single" w:sz="8" w:color="2C6937"/>
            </w:tcBorders>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(680)</w:t>
            </w:r>
          </w:p>
        </w:tc>
        <w:tc>
          <w:tcPr>
            <w:tcW w:w="80" w:type="dxa"/>
            <w:vAlign w:val="bottom"/>
          </w:tcPr>
          <w:p>
            <w:pPr>
              <w:spacing w:after="0"/>
              <w:rPr>
                <w:sz w:val="24"/>
                <w:szCs w:val="24"/>
                <w:color w:val="auto"/>
              </w:rPr>
            </w:pPr>
          </w:p>
        </w:tc>
        <w:tc>
          <w:tcPr>
            <w:tcW w:w="320" w:type="dxa"/>
            <w:vAlign w:val="bottom"/>
            <w:tcBorders>
              <w:bottom w:val="single" w:sz="8" w:color="2C6937"/>
            </w:tcBorders>
          </w:tcPr>
          <w:p>
            <w:pPr>
              <w:jc w:val="right"/>
              <w:ind w:right="143"/>
              <w:spacing w:after="0"/>
              <w:rPr>
                <w:sz w:val="20"/>
                <w:szCs w:val="20"/>
                <w:color w:val="auto"/>
              </w:rPr>
            </w:pPr>
            <w:r>
              <w:rPr>
                <w:rFonts w:ascii="Arial" w:cs="Arial" w:eastAsia="Arial" w:hAnsi="Arial"/>
                <w:sz w:val="15"/>
                <w:szCs w:val="15"/>
                <w:b w:val="1"/>
                <w:bCs w:val="1"/>
                <w:color w:val="auto"/>
                <w:w w:val="95"/>
              </w:rPr>
              <w:t>$</w:t>
            </w:r>
          </w:p>
        </w:tc>
        <w:tc>
          <w:tcPr>
            <w:tcW w:w="14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(1,992)</w:t>
            </w:r>
          </w:p>
        </w:tc>
        <w:tc>
          <w:tcPr>
            <w:tcW w:w="80" w:type="dxa"/>
            <w:vAlign w:val="bottom"/>
          </w:tcPr>
          <w:p>
            <w:pPr>
              <w:spacing w:after="0"/>
              <w:rPr>
                <w:sz w:val="24"/>
                <w:szCs w:val="24"/>
                <w:color w:val="auto"/>
              </w:rPr>
            </w:pPr>
          </w:p>
        </w:tc>
        <w:tc>
          <w:tcPr>
            <w:tcW w:w="420" w:type="dxa"/>
            <w:vAlign w:val="bottom"/>
            <w:tcBorders>
              <w:bottom w:val="single" w:sz="8" w:color="2C6937"/>
            </w:tcBorders>
          </w:tcPr>
          <w:p>
            <w:pPr>
              <w:jc w:val="right"/>
              <w:ind w:right="24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(680)</w:t>
            </w:r>
          </w:p>
        </w:tc>
      </w:tr>
      <w:tr>
        <w:trPr>
          <w:trHeight w:val="20"/>
        </w:trPr>
        <w:tc>
          <w:tcPr>
            <w:tcW w:w="358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2C6937"/>
            </w:tcBorders>
          </w:tcPr>
          <w:p>
            <w:pPr>
              <w:spacing w:after="0" w:line="20" w:lineRule="exact"/>
              <w:rPr>
                <w:sz w:val="1"/>
                <w:szCs w:val="1"/>
                <w:color w:val="auto"/>
              </w:rPr>
            </w:pPr>
          </w:p>
        </w:tc>
        <w:tc>
          <w:tcPr>
            <w:tcW w:w="140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148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2C6937"/>
            </w:tcBorders>
          </w:tcPr>
          <w:p>
            <w:pPr>
              <w:spacing w:after="0" w:line="20" w:lineRule="exact"/>
              <w:rPr>
                <w:sz w:val="1"/>
                <w:szCs w:val="1"/>
                <w:color w:val="auto"/>
              </w:rPr>
            </w:pPr>
          </w:p>
        </w:tc>
        <w:tc>
          <w:tcPr>
            <w:tcW w:w="1360" w:type="dxa"/>
            <w:vAlign w:val="bottom"/>
            <w:tcBorders>
              <w:bottom w:val="single" w:sz="8" w:color="2C6937"/>
            </w:tcBorders>
          </w:tcPr>
          <w:p>
            <w:pPr>
              <w:spacing w:after="0" w:line="20" w:lineRule="exact"/>
              <w:rPr>
                <w:sz w:val="1"/>
                <w:szCs w:val="1"/>
                <w:color w:val="auto"/>
              </w:rPr>
            </w:pPr>
          </w:p>
        </w:tc>
      </w:tr>
      <w:tr>
        <w:trPr>
          <w:trHeight w:val="283"/>
        </w:trPr>
        <w:tc>
          <w:tcPr>
            <w:tcW w:w="3700" w:type="dxa"/>
            <w:vAlign w:val="bottom"/>
            <w:gridSpan w:val="2"/>
          </w:tcPr>
          <w:p>
            <w:pPr>
              <w:ind w:left="20"/>
              <w:spacing w:after="0"/>
              <w:rPr>
                <w:sz w:val="20"/>
                <w:szCs w:val="20"/>
                <w:color w:val="auto"/>
              </w:rPr>
            </w:pPr>
            <w:r>
              <w:rPr>
                <w:rFonts w:ascii="Arial" w:cs="Arial" w:eastAsia="Arial" w:hAnsi="Arial"/>
                <w:sz w:val="15"/>
                <w:szCs w:val="15"/>
                <w:color w:val="auto"/>
              </w:rPr>
              <w:t>Total allowance for loan losses:</w:t>
            </w: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47"/>
        </w:trPr>
        <w:tc>
          <w:tcPr>
            <w:tcW w:w="3700" w:type="dxa"/>
            <w:vAlign w:val="bottom"/>
            <w:gridSpan w:val="2"/>
          </w:tcPr>
          <w:p>
            <w:pPr>
              <w:ind w:left="180"/>
              <w:spacing w:after="0"/>
              <w:rPr>
                <w:sz w:val="20"/>
                <w:szCs w:val="20"/>
                <w:color w:val="auto"/>
              </w:rPr>
            </w:pPr>
            <w:r>
              <w:rPr>
                <w:rFonts w:ascii="Arial" w:cs="Arial" w:eastAsia="Arial" w:hAnsi="Arial"/>
                <w:sz w:val="15"/>
                <w:szCs w:val="15"/>
                <w:color w:val="auto"/>
              </w:rPr>
              <w:t>Beginning balance</w:t>
            </w:r>
          </w:p>
        </w:tc>
        <w:tc>
          <w:tcPr>
            <w:tcW w:w="1120" w:type="dxa"/>
            <w:vAlign w:val="bottom"/>
          </w:tcPr>
          <w:p>
            <w:pPr>
              <w:jc w:val="right"/>
              <w:ind w:right="963"/>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(11,335)</w:t>
            </w:r>
          </w:p>
        </w:tc>
        <w:tc>
          <w:tcPr>
            <w:tcW w:w="500" w:type="dxa"/>
            <w:vAlign w:val="bottom"/>
            <w:gridSpan w:val="2"/>
          </w:tcPr>
          <w:p>
            <w:pPr>
              <w:jc w:val="right"/>
              <w:ind w:right="243"/>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(5,899)</w:t>
            </w:r>
          </w:p>
        </w:tc>
        <w:tc>
          <w:tcPr>
            <w:tcW w:w="400" w:type="dxa"/>
            <w:vAlign w:val="bottom"/>
            <w:gridSpan w:val="2"/>
          </w:tcPr>
          <w:p>
            <w:pPr>
              <w:jc w:val="right"/>
              <w:ind w:right="143"/>
              <w:spacing w:after="0"/>
              <w:rPr>
                <w:sz w:val="20"/>
                <w:szCs w:val="20"/>
                <w:color w:val="auto"/>
              </w:rPr>
            </w:pPr>
            <w:r>
              <w:rPr>
                <w:rFonts w:ascii="Arial" w:cs="Arial" w:eastAsia="Arial" w:hAnsi="Arial"/>
                <w:sz w:val="15"/>
                <w:szCs w:val="15"/>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(11,347)</w:t>
            </w:r>
          </w:p>
        </w:tc>
        <w:tc>
          <w:tcPr>
            <w:tcW w:w="500" w:type="dxa"/>
            <w:vAlign w:val="bottom"/>
            <w:gridSpan w:val="2"/>
          </w:tcPr>
          <w:p>
            <w:pPr>
              <w:jc w:val="right"/>
              <w:ind w:right="243"/>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(5,629)</w:t>
            </w:r>
          </w:p>
        </w:tc>
      </w:tr>
      <w:tr>
        <w:trPr>
          <w:trHeight w:val="309"/>
        </w:trPr>
        <w:tc>
          <w:tcPr>
            <w:tcW w:w="3700" w:type="dxa"/>
            <w:vAlign w:val="bottom"/>
            <w:gridSpan w:val="2"/>
          </w:tcPr>
          <w:p>
            <w:pPr>
              <w:ind w:left="320"/>
              <w:spacing w:after="0"/>
              <w:rPr>
                <w:sz w:val="20"/>
                <w:szCs w:val="20"/>
                <w:color w:val="auto"/>
              </w:rPr>
            </w:pPr>
            <w:r>
              <w:rPr>
                <w:rFonts w:ascii="Arial" w:cs="Arial" w:eastAsia="Arial" w:hAnsi="Arial"/>
                <w:sz w:val="15"/>
                <w:szCs w:val="15"/>
                <w:color w:val="auto"/>
              </w:rPr>
              <w:t>Benefit (provision) for loan losses</w:t>
            </w:r>
          </w:p>
        </w:tc>
        <w:tc>
          <w:tcPr>
            <w:tcW w:w="1120" w:type="dxa"/>
            <w:vAlign w:val="bottom"/>
          </w:tcPr>
          <w:p>
            <w:pPr>
              <w:spacing w:after="0"/>
              <w:rPr>
                <w:sz w:val="24"/>
                <w:szCs w:val="24"/>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b w:val="1"/>
                <w:bCs w:val="1"/>
                <w:color w:val="auto"/>
              </w:rPr>
              <w:t>1,247</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(260)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b w:val="1"/>
                <w:bCs w:val="1"/>
                <w:color w:val="auto"/>
              </w:rPr>
              <w:t>1,071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(514)</w:t>
            </w:r>
          </w:p>
        </w:tc>
      </w:tr>
      <w:tr>
        <w:trPr>
          <w:trHeight w:val="309"/>
        </w:trPr>
        <w:tc>
          <w:tcPr>
            <w:tcW w:w="3700" w:type="dxa"/>
            <w:vAlign w:val="bottom"/>
            <w:gridSpan w:val="2"/>
          </w:tcPr>
          <w:p>
            <w:pPr>
              <w:ind w:left="320"/>
              <w:spacing w:after="0"/>
              <w:rPr>
                <w:sz w:val="20"/>
                <w:szCs w:val="20"/>
                <w:color w:val="auto"/>
              </w:rPr>
            </w:pPr>
            <w:r>
              <w:rPr>
                <w:rFonts w:ascii="Arial" w:cs="Arial" w:eastAsia="Arial" w:hAnsi="Arial"/>
                <w:sz w:val="15"/>
                <w:szCs w:val="15"/>
                <w:color w:val="auto"/>
              </w:rPr>
              <w:t>Write-offs</w:t>
            </w:r>
          </w:p>
        </w:tc>
        <w:tc>
          <w:tcPr>
            <w:tcW w:w="1120" w:type="dxa"/>
            <w:vAlign w:val="bottom"/>
          </w:tcPr>
          <w:p>
            <w:pPr>
              <w:spacing w:after="0"/>
              <w:rPr>
                <w:sz w:val="24"/>
                <w:szCs w:val="24"/>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b w:val="1"/>
                <w:bCs w:val="1"/>
                <w:color w:val="auto"/>
              </w:rPr>
              <w:t>70</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248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b w:val="1"/>
                <w:bCs w:val="1"/>
                <w:color w:val="auto"/>
              </w:rPr>
              <w:t>349</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275</w:t>
            </w:r>
          </w:p>
        </w:tc>
      </w:tr>
      <w:tr>
        <w:trPr>
          <w:trHeight w:val="322"/>
        </w:trPr>
        <w:tc>
          <w:tcPr>
            <w:tcW w:w="3700" w:type="dxa"/>
            <w:vAlign w:val="bottom"/>
            <w:gridSpan w:val="2"/>
          </w:tcPr>
          <w:p>
            <w:pPr>
              <w:ind w:left="320"/>
              <w:spacing w:after="0"/>
              <w:rPr>
                <w:sz w:val="20"/>
                <w:szCs w:val="20"/>
                <w:color w:val="auto"/>
              </w:rPr>
            </w:pPr>
            <w:r>
              <w:rPr>
                <w:rFonts w:ascii="Arial" w:cs="Arial" w:eastAsia="Arial" w:hAnsi="Arial"/>
                <w:sz w:val="15"/>
                <w:szCs w:val="15"/>
                <w:color w:val="auto"/>
              </w:rPr>
              <w:t>Recoveries</w:t>
            </w:r>
          </w:p>
        </w:tc>
        <w:tc>
          <w:tcPr>
            <w:tcW w:w="1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(28)</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(94)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(113)</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(134)</w:t>
            </w:r>
          </w:p>
        </w:tc>
      </w:tr>
      <w:tr>
        <w:trPr>
          <w:trHeight w:val="303"/>
        </w:trPr>
        <w:tc>
          <w:tcPr>
            <w:tcW w:w="358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Other</w:t>
            </w:r>
          </w:p>
        </w:tc>
        <w:tc>
          <w:tcPr>
            <w:tcW w:w="120" w:type="dxa"/>
            <w:vAlign w:val="bottom"/>
          </w:tcPr>
          <w:p>
            <w:pPr>
              <w:spacing w:after="0"/>
              <w:rPr>
                <w:sz w:val="24"/>
                <w:szCs w:val="24"/>
                <w:color w:val="auto"/>
              </w:rPr>
            </w:pPr>
          </w:p>
        </w:tc>
        <w:tc>
          <w:tcPr>
            <w:tcW w:w="1120" w:type="dxa"/>
            <w:vAlign w:val="bottom"/>
            <w:tcBorders>
              <w:bottom w:val="single" w:sz="8" w:color="2C6937"/>
            </w:tcBorders>
          </w:tcPr>
          <w:p>
            <w:pPr>
              <w:spacing w:after="0"/>
              <w:rPr>
                <w:sz w:val="24"/>
                <w:szCs w:val="24"/>
                <w:color w:val="auto"/>
              </w:rPr>
            </w:pPr>
          </w:p>
        </w:tc>
        <w:tc>
          <w:tcPr>
            <w:tcW w:w="6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64</w:t>
            </w:r>
          </w:p>
        </w:tc>
        <w:tc>
          <w:tcPr>
            <w:tcW w:w="80" w:type="dxa"/>
            <w:vAlign w:val="bottom"/>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1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(64)</w:t>
            </w:r>
          </w:p>
        </w:tc>
        <w:tc>
          <w:tcPr>
            <w:tcW w:w="80" w:type="dxa"/>
            <w:vAlign w:val="bottom"/>
          </w:tcPr>
          <w:p>
            <w:pPr>
              <w:spacing w:after="0"/>
              <w:rPr>
                <w:sz w:val="24"/>
                <w:szCs w:val="24"/>
                <w:color w:val="auto"/>
              </w:rPr>
            </w:pPr>
          </w:p>
        </w:tc>
        <w:tc>
          <w:tcPr>
            <w:tcW w:w="320" w:type="dxa"/>
            <w:vAlign w:val="bottom"/>
            <w:tcBorders>
              <w:bottom w:val="single" w:sz="8" w:color="2C6937"/>
            </w:tcBorders>
          </w:tcPr>
          <w:p>
            <w:pPr>
              <w:spacing w:after="0"/>
              <w:rPr>
                <w:sz w:val="24"/>
                <w:szCs w:val="24"/>
                <w:color w:val="auto"/>
              </w:rPr>
            </w:pPr>
          </w:p>
        </w:tc>
        <w:tc>
          <w:tcPr>
            <w:tcW w:w="14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58</w:t>
            </w:r>
          </w:p>
        </w:tc>
        <w:tc>
          <w:tcPr>
            <w:tcW w:w="80" w:type="dxa"/>
            <w:vAlign w:val="bottom"/>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13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(67)</w:t>
            </w:r>
          </w:p>
        </w:tc>
      </w:tr>
      <w:tr>
        <w:trPr>
          <w:trHeight w:val="315"/>
        </w:trPr>
        <w:tc>
          <w:tcPr>
            <w:tcW w:w="3700" w:type="dxa"/>
            <w:vAlign w:val="bottom"/>
            <w:gridSpan w:val="2"/>
          </w:tcPr>
          <w:p>
            <w:pPr>
              <w:ind w:left="180"/>
              <w:spacing w:after="0"/>
              <w:rPr>
                <w:sz w:val="20"/>
                <w:szCs w:val="20"/>
                <w:color w:val="auto"/>
              </w:rPr>
            </w:pPr>
            <w:r>
              <w:rPr>
                <w:rFonts w:ascii="Arial" w:cs="Arial" w:eastAsia="Arial" w:hAnsi="Arial"/>
                <w:sz w:val="15"/>
                <w:szCs w:val="15"/>
                <w:color w:val="auto"/>
              </w:rPr>
              <w:t>Ending balance</w:t>
            </w:r>
          </w:p>
        </w:tc>
        <w:tc>
          <w:tcPr>
            <w:tcW w:w="1120" w:type="dxa"/>
            <w:vAlign w:val="bottom"/>
          </w:tcPr>
          <w:p>
            <w:pPr>
              <w:jc w:val="right"/>
              <w:ind w:right="963"/>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(9,982)</w:t>
            </w:r>
          </w:p>
        </w:tc>
        <w:tc>
          <w:tcPr>
            <w:tcW w:w="500" w:type="dxa"/>
            <w:vAlign w:val="bottom"/>
            <w:gridSpan w:val="2"/>
          </w:tcPr>
          <w:p>
            <w:pPr>
              <w:jc w:val="right"/>
              <w:ind w:right="243"/>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(6,069)</w:t>
            </w:r>
          </w:p>
        </w:tc>
        <w:tc>
          <w:tcPr>
            <w:tcW w:w="400" w:type="dxa"/>
            <w:vAlign w:val="bottom"/>
            <w:gridSpan w:val="2"/>
          </w:tcPr>
          <w:p>
            <w:pPr>
              <w:jc w:val="right"/>
              <w:ind w:right="143"/>
              <w:spacing w:after="0"/>
              <w:rPr>
                <w:sz w:val="20"/>
                <w:szCs w:val="20"/>
                <w:color w:val="auto"/>
              </w:rPr>
            </w:pPr>
            <w:r>
              <w:rPr>
                <w:rFonts w:ascii="Arial" w:cs="Arial" w:eastAsia="Arial" w:hAnsi="Arial"/>
                <w:sz w:val="15"/>
                <w:szCs w:val="15"/>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(9,982)</w:t>
            </w:r>
          </w:p>
        </w:tc>
        <w:tc>
          <w:tcPr>
            <w:tcW w:w="500" w:type="dxa"/>
            <w:vAlign w:val="bottom"/>
            <w:gridSpan w:val="2"/>
          </w:tcPr>
          <w:p>
            <w:pPr>
              <w:jc w:val="right"/>
              <w:ind w:right="243"/>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(6,069)</w:t>
            </w:r>
          </w:p>
        </w:tc>
      </w:tr>
      <w:tr>
        <w:trPr>
          <w:trHeight w:val="20"/>
        </w:trPr>
        <w:tc>
          <w:tcPr>
            <w:tcW w:w="35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2C6937"/>
              <w:bottom w:val="single" w:sz="8" w:color="2C6937"/>
            </w:tcBorders>
          </w:tcPr>
          <w:p>
            <w:pPr>
              <w:spacing w:after="0" w:line="20" w:lineRule="exact"/>
              <w:rPr>
                <w:sz w:val="1"/>
                <w:szCs w:val="1"/>
                <w:color w:val="auto"/>
              </w:rPr>
            </w:pPr>
          </w:p>
        </w:tc>
        <w:tc>
          <w:tcPr>
            <w:tcW w:w="14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14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2C6937"/>
              <w:bottom w:val="single" w:sz="8" w:color="2C6937"/>
            </w:tcBorders>
          </w:tcPr>
          <w:p>
            <w:pPr>
              <w:spacing w:after="0" w:line="20" w:lineRule="exact"/>
              <w:rPr>
                <w:sz w:val="1"/>
                <w:szCs w:val="1"/>
                <w:color w:val="auto"/>
              </w:rPr>
            </w:pPr>
          </w:p>
        </w:tc>
        <w:tc>
          <w:tcPr>
            <w:tcW w:w="1360" w:type="dxa"/>
            <w:vAlign w:val="bottom"/>
            <w:tcBorders>
              <w:top w:val="single" w:sz="8" w:color="2C6937"/>
              <w:bottom w:val="single" w:sz="8" w:color="2C6937"/>
            </w:tcBorders>
          </w:tcPr>
          <w:p>
            <w:pPr>
              <w:spacing w:after="0" w:line="20" w:lineRule="exact"/>
              <w:rPr>
                <w:sz w:val="1"/>
                <w:szCs w:val="1"/>
                <w:color w:val="auto"/>
              </w:rPr>
            </w:pPr>
          </w:p>
        </w:tc>
      </w:tr>
    </w:tbl>
    <w:p>
      <w:pPr>
        <w:spacing w:after="0" w:line="137"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Our benefit or provision for loan losses can vary substantially from period to period based on a number of factors, such as changes in actual and forecasted home prices or property valuations, fluctuations in actual and forecasted interest rates, borrower payment behavior, events such as natural disasters or pandemics, the type, volume and effectiveness of our loss mitigation activities, including forbearances and loan modifications, the volume of foreclosures completed, and the volume and pricing of loans redesignated from HFI to HFS. Our benefit or provision can also be impacted by updates to the models, assumptions, and data used in determining our allowance for loan losses.</w:t>
      </w:r>
    </w:p>
    <w:p>
      <w:pPr>
        <w:spacing w:after="0" w:line="45" w:lineRule="exact"/>
        <w:rPr>
          <w:sz w:val="20"/>
          <w:szCs w:val="20"/>
          <w:color w:val="auto"/>
        </w:rPr>
      </w:pPr>
    </w:p>
    <w:p>
      <w:pPr>
        <w:ind w:right="380"/>
        <w:spacing w:after="0" w:line="283" w:lineRule="auto"/>
        <w:rPr>
          <w:sz w:val="20"/>
          <w:szCs w:val="20"/>
          <w:color w:val="auto"/>
        </w:rPr>
      </w:pPr>
      <w:r>
        <w:rPr>
          <w:rFonts w:ascii="Arial" w:cs="Arial" w:eastAsia="Arial" w:hAnsi="Arial"/>
          <w:sz w:val="16"/>
          <w:szCs w:val="16"/>
          <w:color w:val="auto"/>
        </w:rPr>
        <w:t>Our single-family benefit for loan losses for the three and six months ended June 30, 2023 was primarily driven by a benefit from actual and forecasted home price growth, partially offset by a provision from changes in loan activity, as described in more detail below:</w:t>
      </w:r>
    </w:p>
    <w:p>
      <w:pPr>
        <w:spacing w:after="0" w:line="43" w:lineRule="exact"/>
        <w:rPr>
          <w:sz w:val="20"/>
          <w:szCs w:val="20"/>
          <w:color w:val="auto"/>
        </w:rPr>
      </w:pPr>
    </w:p>
    <w:p>
      <w:pPr>
        <w:ind w:left="620" w:right="280" w:hanging="307"/>
        <w:spacing w:after="0" w:line="262" w:lineRule="auto"/>
        <w:tabs>
          <w:tab w:leader="none" w:pos="6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Benefit from actual and forecasted home price growth. During the three and six months ended June 30, 2023, we observed strong actual home price appreciation. In addition, our updated 2023 home price forecast changed from our prior estimate, resulting in a shift to positive home price appreciation for the year. Higher home prices decrease the likelihood that loans will default and reduce the amount of losses on loans that do default, which impacts our estimate of losses and ultimately reduces our loss reserves and provision for loan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368935</wp:posOffset>
            </wp:positionV>
            <wp:extent cx="681101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157480</wp:posOffset>
            </wp:positionV>
            <wp:extent cx="7164070" cy="4191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type w:val="continuous"/>
        </w:sectPr>
      </w:pPr>
    </w:p>
    <w:bookmarkStart w:id="91" w:name="page92"/>
    <w:bookmarkEnd w:id="91"/>
    <w:p>
      <w:pPr>
        <w:ind w:left="5880"/>
        <w:spacing w:after="0"/>
        <w:rPr>
          <w:sz w:val="20"/>
          <w:szCs w:val="20"/>
          <w:color w:val="auto"/>
        </w:rPr>
      </w:pPr>
      <w:r>
        <w:rPr>
          <w:rFonts w:ascii="Arial" w:cs="Arial" w:eastAsia="Arial" w:hAnsi="Arial"/>
          <w:sz w:val="14"/>
          <w:szCs w:val="14"/>
          <w:color w:val="05314D"/>
        </w:rPr>
        <w:t>Notes to Condensed Consolidated Financial Statements | Allowance for Loan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0237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20" w:hanging="307"/>
        <w:spacing w:after="0" w:line="264" w:lineRule="auto"/>
        <w:tabs>
          <w:tab w:leader="none" w:pos="620" w:val="left"/>
        </w:tabs>
        <w:numPr>
          <w:ilvl w:val="0"/>
          <w:numId w:val="90"/>
        </w:numPr>
        <w:rPr>
          <w:rFonts w:ascii="Arial" w:cs="Arial" w:eastAsia="Arial" w:hAnsi="Arial"/>
          <w:sz w:val="15"/>
          <w:szCs w:val="15"/>
          <w:color w:val="auto"/>
        </w:rPr>
      </w:pPr>
      <w:r>
        <w:rPr>
          <w:rFonts w:ascii="Arial" w:cs="Arial" w:eastAsia="Arial" w:hAnsi="Arial"/>
          <w:sz w:val="16"/>
          <w:szCs w:val="16"/>
          <w:color w:val="auto"/>
        </w:rPr>
        <w:t>Provision from changes in loan activity, which includes provision on newly acquired loans. The portion of our single-family acquisitions consisting of purchase loans increased in the three and six months ended June 30, 2023 compared with the three and six months ended June 30, 2022. As our acquisitions consisted of a greater percentage of purchase loans, which generally have higher origination loan to value (“LTV”) ratios than refinance loans, the credit profile of our acquisitions weakened. This factor drove a higher estimated risk of default and loss severity in the allowance and therefore a higher credit loss provision for those loans at the time of acquisition.</w:t>
      </w:r>
    </w:p>
    <w:p>
      <w:pPr>
        <w:spacing w:after="0" w:line="45"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The largest driver of our single-family provision for loan losses for the three and six months ended June 30, 2022 was an increase in actual and projected interest rates as of June 30, 2022 compared with March 31, 2022 and December 31, 2021. As mortgage rates increased, we expected a decrease in future prepayments on single-family loans, including modified loans accounted for as TDRs. Lower expected prepayments extended the expected lives of these TDR loans, which increased the expected impairment relating to economic concessions provided on them, resulting in a provision for loan losses.</w:t>
      </w:r>
    </w:p>
    <w:p>
      <w:pPr>
        <w:spacing w:after="0" w:line="42" w:lineRule="exact"/>
        <w:rPr>
          <w:sz w:val="20"/>
          <w:szCs w:val="20"/>
          <w:color w:val="auto"/>
        </w:rPr>
      </w:pPr>
    </w:p>
    <w:p>
      <w:pPr>
        <w:ind w:right="280"/>
        <w:spacing w:after="0" w:line="262" w:lineRule="auto"/>
        <w:rPr>
          <w:sz w:val="20"/>
          <w:szCs w:val="20"/>
          <w:color w:val="auto"/>
        </w:rPr>
      </w:pPr>
      <w:r>
        <w:rPr>
          <w:rFonts w:ascii="Arial" w:cs="Arial" w:eastAsia="Arial" w:hAnsi="Arial"/>
          <w:sz w:val="16"/>
          <w:szCs w:val="16"/>
          <w:color w:val="auto"/>
        </w:rPr>
        <w:t>Some of the provision from increased actual and projected interest rates in the first half of 2022 was offset by a benefit from actual and forecasted home price growth. While home price growth was strong in the second quarter and first half of 2022, some market indicators at that time suggested that home price growth may have been moderating at a faster pace than indicated by our home price forecast, which reduced the benefit from home price growth recognized in the second quarter and first half of 2022.</w:t>
      </w:r>
    </w:p>
    <w:p>
      <w:pPr>
        <w:spacing w:after="0" w:line="47" w:lineRule="exact"/>
        <w:rPr>
          <w:sz w:val="20"/>
          <w:szCs w:val="20"/>
          <w:color w:val="auto"/>
        </w:rPr>
      </w:pPr>
    </w:p>
    <w:p>
      <w:pPr>
        <w:ind w:right="360"/>
        <w:spacing w:after="0" w:line="276" w:lineRule="auto"/>
        <w:rPr>
          <w:sz w:val="20"/>
          <w:szCs w:val="20"/>
          <w:color w:val="auto"/>
        </w:rPr>
      </w:pPr>
      <w:r>
        <w:rPr>
          <w:rFonts w:ascii="Arial" w:cs="Arial" w:eastAsia="Arial" w:hAnsi="Arial"/>
          <w:sz w:val="16"/>
          <w:szCs w:val="16"/>
          <w:color w:val="auto"/>
        </w:rPr>
        <w:t>Our multifamily provision for loan losses for the three and six months ended June 30, 2023 was primarily driven by decreases in estimated multifamily property values. This resulted in higher estimated LTV ratios on the loans in our multifamily guaranty book of business, which increased our estimate of expected credit losses on these loans.</w:t>
      </w:r>
    </w:p>
    <w:p>
      <w:pPr>
        <w:spacing w:after="0" w:line="36"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Multifamily write-offs for the six months ended June 30, 2023 were due to the write-off of a seniors housing portfolio in the first quarter of 2023. The seniors housing loans in our multifamily book have been disproportionately affected by the COVID-19 pandemic and ongoing economic trends, higher operating costs exacerbated by the increase in inflation, and higher short-term interest rates for adjustable-rate mortgages, resulting in increased costs for these borrowers.</w:t>
      </w:r>
    </w:p>
    <w:p>
      <w:pPr>
        <w:spacing w:after="0" w:line="241"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The primary factor that contributed to our multifamily provision for loan losses for the three months ended June 30, 2022, was a provision expense from higher actual and projected interest rates. This provision was partially offset by a benefit from actual and projected economic data, including strong property value growth, driven by continued demand for multifamily housing.</w:t>
      </w:r>
    </w:p>
    <w:p>
      <w:pPr>
        <w:spacing w:after="0" w:line="43" w:lineRule="exact"/>
        <w:rPr>
          <w:sz w:val="20"/>
          <w:szCs w:val="20"/>
          <w:color w:val="auto"/>
        </w:rPr>
      </w:pPr>
    </w:p>
    <w:p>
      <w:pPr>
        <w:ind w:right="40"/>
        <w:spacing w:after="0" w:line="300" w:lineRule="auto"/>
        <w:rPr>
          <w:sz w:val="20"/>
          <w:szCs w:val="20"/>
          <w:color w:val="auto"/>
        </w:rPr>
      </w:pPr>
      <w:r>
        <w:rPr>
          <w:rFonts w:ascii="Arial" w:cs="Arial" w:eastAsia="Arial" w:hAnsi="Arial"/>
          <w:sz w:val="16"/>
          <w:szCs w:val="16"/>
          <w:color w:val="auto"/>
        </w:rPr>
        <w:t>The primary factor that contributed to our multifamily benefit for loan losses in the six months ended June 30, 2022, was a benefit from actual and projected economic data. This benefit was partially offset by a provision from higher actual and projected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341630</wp:posOffset>
            </wp:positionV>
            <wp:extent cx="681101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92" w:name="page93"/>
    <w:bookmarkEnd w:id="92"/>
    <w:p>
      <w:pPr>
        <w:ind w:left="6120"/>
        <w:spacing w:after="0"/>
        <w:rPr>
          <w:sz w:val="20"/>
          <w:szCs w:val="20"/>
          <w:color w:val="auto"/>
        </w:rPr>
      </w:pPr>
      <w:r>
        <w:rPr>
          <w:rFonts w:ascii="Arial" w:cs="Arial" w:eastAsia="Arial" w:hAnsi="Arial"/>
          <w:sz w:val="14"/>
          <w:szCs w:val="14"/>
          <w:color w:val="05314D"/>
        </w:rPr>
        <w:t>Notes to Condensed Consolidated Financial Statements | Investments in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15875</wp:posOffset>
            </wp:positionV>
            <wp:extent cx="702373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
        <w:spacing w:after="0"/>
        <w:rPr>
          <w:sz w:val="20"/>
          <w:szCs w:val="20"/>
          <w:color w:val="auto"/>
        </w:rPr>
      </w:pPr>
      <w:r>
        <w:rPr>
          <w:rFonts w:ascii="Arial" w:cs="Arial" w:eastAsia="Arial" w:hAnsi="Arial"/>
          <w:sz w:val="31"/>
          <w:szCs w:val="31"/>
          <w:b w:val="1"/>
          <w:bCs w:val="1"/>
          <w:color w:val="05314D"/>
        </w:rPr>
        <w:t>5. Investments in Securities</w:t>
      </w:r>
    </w:p>
    <w:p>
      <w:pPr>
        <w:spacing w:after="0" w:line="133" w:lineRule="exact"/>
        <w:rPr>
          <w:sz w:val="20"/>
          <w:szCs w:val="20"/>
          <w:color w:val="auto"/>
        </w:rPr>
      </w:pPr>
    </w:p>
    <w:p>
      <w:pPr>
        <w:ind w:left="40"/>
        <w:spacing w:after="0"/>
        <w:rPr>
          <w:sz w:val="20"/>
          <w:szCs w:val="20"/>
          <w:color w:val="auto"/>
        </w:rPr>
      </w:pPr>
      <w:r>
        <w:rPr>
          <w:rFonts w:ascii="Arial" w:cs="Arial" w:eastAsia="Arial" w:hAnsi="Arial"/>
          <w:sz w:val="24"/>
          <w:szCs w:val="24"/>
          <w:b w:val="1"/>
          <w:bCs w:val="1"/>
          <w:i w:val="1"/>
          <w:iCs w:val="1"/>
          <w:color w:val="05314D"/>
        </w:rPr>
        <w:t>Trading Securities</w:t>
      </w:r>
    </w:p>
    <w:p>
      <w:pPr>
        <w:spacing w:after="0" w:line="82" w:lineRule="exact"/>
        <w:rPr>
          <w:sz w:val="20"/>
          <w:szCs w:val="20"/>
          <w:color w:val="auto"/>
        </w:rPr>
      </w:pPr>
    </w:p>
    <w:p>
      <w:pPr>
        <w:ind w:left="40" w:right="540"/>
        <w:spacing w:after="0" w:line="283" w:lineRule="auto"/>
        <w:rPr>
          <w:sz w:val="20"/>
          <w:szCs w:val="20"/>
          <w:color w:val="auto"/>
        </w:rPr>
      </w:pPr>
      <w:r>
        <w:rPr>
          <w:rFonts w:ascii="Arial" w:cs="Arial" w:eastAsia="Arial" w:hAnsi="Arial"/>
          <w:sz w:val="16"/>
          <w:szCs w:val="16"/>
          <w:color w:val="auto"/>
        </w:rPr>
        <w:t>Trading securities are recorded at fair value with subsequent changes in fair value recorded as “Fair value gains, net” in our condensed consolidated statements of operations and comprehensive income. The following table displays our investments in trading securities.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bottom w:val="single" w:sz="8" w:color="2C6937"/>
            </w:tcBorders>
          </w:tcPr>
          <w:p>
            <w:pPr>
              <w:spacing w:after="0"/>
              <w:rPr>
                <w:sz w:val="15"/>
                <w:szCs w:val="15"/>
                <w:color w:val="auto"/>
              </w:rPr>
            </w:pPr>
          </w:p>
        </w:tc>
        <w:tc>
          <w:tcPr>
            <w:tcW w:w="20" w:type="dxa"/>
            <w:vAlign w:val="bottom"/>
            <w:tcBorders>
              <w:bottom w:val="single" w:sz="8" w:color="2C6937"/>
            </w:tcBorders>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280" w:type="dxa"/>
            <w:vAlign w:val="bottom"/>
            <w:tcBorders>
              <w:bottom w:val="single" w:sz="8" w:color="2C6937"/>
            </w:tcBorders>
          </w:tcPr>
          <w:p>
            <w:pPr>
              <w:spacing w:after="0"/>
              <w:rPr>
                <w:sz w:val="15"/>
                <w:szCs w:val="15"/>
                <w:color w:val="auto"/>
              </w:rPr>
            </w:pPr>
          </w:p>
        </w:tc>
        <w:tc>
          <w:tcPr>
            <w:tcW w:w="740" w:type="dxa"/>
            <w:vAlign w:val="bottom"/>
            <w:tcBorders>
              <w:bottom w:val="single" w:sz="8" w:color="2C6937"/>
            </w:tcBorders>
          </w:tcPr>
          <w:p>
            <w:pPr>
              <w:spacing w:after="0"/>
              <w:rPr>
                <w:sz w:val="15"/>
                <w:szCs w:val="15"/>
                <w:color w:val="auto"/>
              </w:rPr>
            </w:pPr>
          </w:p>
        </w:tc>
        <w:tc>
          <w:tcPr>
            <w:tcW w:w="520" w:type="dxa"/>
            <w:vAlign w:val="bottom"/>
            <w:tcBorders>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680" w:type="dxa"/>
            <w:vAlign w:val="bottom"/>
            <w:tcBorders>
              <w:bottom w:val="single" w:sz="8" w:color="2C6937"/>
            </w:tcBorders>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240" w:type="dxa"/>
            <w:vAlign w:val="bottom"/>
            <w:tcBorders>
              <w:bottom w:val="single" w:sz="8" w:color="2C6937"/>
            </w:tcBorders>
          </w:tcPr>
          <w:p>
            <w:pPr>
              <w:spacing w:after="0"/>
              <w:rPr>
                <w:sz w:val="15"/>
                <w:szCs w:val="15"/>
                <w:color w:val="auto"/>
              </w:rPr>
            </w:pPr>
          </w:p>
        </w:tc>
        <w:tc>
          <w:tcPr>
            <w:tcW w:w="800" w:type="dxa"/>
            <w:vAlign w:val="bottom"/>
            <w:tcBorders>
              <w:bottom w:val="single" w:sz="8" w:color="2C6937"/>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2C6937"/>
            </w:tcBorders>
          </w:tcPr>
          <w:p>
            <w:pPr>
              <w:spacing w:after="0"/>
              <w:rPr>
                <w:sz w:val="16"/>
                <w:szCs w:val="16"/>
                <w:color w:val="auto"/>
              </w:rPr>
            </w:pPr>
          </w:p>
        </w:tc>
        <w:tc>
          <w:tcPr>
            <w:tcW w:w="1400" w:type="dxa"/>
            <w:vAlign w:val="bottom"/>
            <w:tcBorders>
              <w:bottom w:val="single" w:sz="8" w:color="2C6937"/>
            </w:tcBorders>
            <w:gridSpan w:val="5"/>
          </w:tcPr>
          <w:p>
            <w:pPr>
              <w:jc w:val="right"/>
              <w:ind w:right="431"/>
              <w:spacing w:after="0"/>
              <w:rPr>
                <w:sz w:val="20"/>
                <w:szCs w:val="20"/>
                <w:color w:val="auto"/>
              </w:rPr>
            </w:pPr>
            <w:r>
              <w:rPr>
                <w:rFonts w:ascii="Arial" w:cs="Arial" w:eastAsia="Arial" w:hAnsi="Arial"/>
                <w:sz w:val="14"/>
                <w:szCs w:val="14"/>
                <w:b w:val="1"/>
                <w:bCs w:val="1"/>
                <w:color w:val="auto"/>
                <w:w w:val="96"/>
              </w:rPr>
              <w:t>June 30, 2023</w:t>
            </w:r>
          </w:p>
        </w:tc>
        <w:tc>
          <w:tcPr>
            <w:tcW w:w="60" w:type="dxa"/>
            <w:vAlign w:val="bottom"/>
            <w:tcBorders>
              <w:bottom w:val="single" w:sz="8" w:color="2C6937"/>
            </w:tcBorders>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tcBorders>
              <w:bottom w:val="single" w:sz="8" w:color="2C6937"/>
            </w:tcBorders>
            <w:gridSpan w:val="4"/>
          </w:tcPr>
          <w:p>
            <w:pPr>
              <w:jc w:val="right"/>
              <w:ind w:right="264"/>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gridSpan w:val="5"/>
          </w:tcPr>
          <w:p>
            <w:pPr>
              <w:ind w:left="38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6580" w:type="dxa"/>
            <w:vAlign w:val="bottom"/>
          </w:tcPr>
          <w:p>
            <w:pPr>
              <w:ind w:left="20"/>
              <w:spacing w:after="0"/>
              <w:rPr>
                <w:sz w:val="20"/>
                <w:szCs w:val="20"/>
                <w:color w:val="auto"/>
              </w:rPr>
            </w:pPr>
            <w:r>
              <w:rPr>
                <w:rFonts w:ascii="Arial" w:cs="Arial" w:eastAsia="Arial" w:hAnsi="Arial"/>
                <w:sz w:val="15"/>
                <w:szCs w:val="15"/>
                <w:color w:val="auto"/>
              </w:rPr>
              <w:t>Mortgage-related securities (includes $391 million and $427 million, respectively, related to</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6580" w:type="dxa"/>
            <w:vAlign w:val="bottom"/>
          </w:tcPr>
          <w:p>
            <w:pPr>
              <w:ind w:left="120"/>
              <w:spacing w:after="0"/>
              <w:rPr>
                <w:sz w:val="20"/>
                <w:szCs w:val="20"/>
                <w:color w:val="auto"/>
              </w:rPr>
            </w:pPr>
            <w:r>
              <w:rPr>
                <w:rFonts w:ascii="Arial" w:cs="Arial" w:eastAsia="Arial" w:hAnsi="Arial"/>
                <w:sz w:val="15"/>
                <w:szCs w:val="15"/>
                <w:color w:val="auto"/>
              </w:rPr>
              <w:t>consolidated trusts)</w:t>
            </w:r>
          </w:p>
        </w:tc>
        <w:tc>
          <w:tcPr>
            <w:tcW w:w="140" w:type="dxa"/>
            <w:vAlign w:val="bottom"/>
          </w:tcPr>
          <w:p>
            <w:pPr>
              <w:spacing w:after="0"/>
              <w:rPr>
                <w:sz w:val="20"/>
                <w:szCs w:val="20"/>
                <w:color w:val="auto"/>
              </w:rPr>
            </w:pPr>
          </w:p>
        </w:tc>
        <w:tc>
          <w:tcPr>
            <w:tcW w:w="860" w:type="dxa"/>
            <w:vAlign w:val="bottom"/>
            <w:gridSpan w:val="3"/>
          </w:tcPr>
          <w:p>
            <w:pPr>
              <w:jc w:val="center"/>
              <w:ind w:right="87"/>
              <w:spacing w:after="0"/>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5"/>
                <w:szCs w:val="15"/>
                <w:b w:val="1"/>
                <w:bCs w:val="1"/>
                <w:color w:val="auto"/>
              </w:rPr>
              <w:t>2,358</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3,211</w:t>
            </w:r>
          </w:p>
        </w:tc>
        <w:tc>
          <w:tcPr>
            <w:tcW w:w="0" w:type="dxa"/>
            <w:vAlign w:val="bottom"/>
          </w:tcPr>
          <w:p>
            <w:pPr>
              <w:spacing w:after="0"/>
              <w:rPr>
                <w:sz w:val="1"/>
                <w:szCs w:val="1"/>
                <w:color w:val="auto"/>
              </w:rPr>
            </w:pPr>
          </w:p>
        </w:tc>
      </w:tr>
      <w:tr>
        <w:trPr>
          <w:trHeight w:val="155"/>
        </w:trPr>
        <w:tc>
          <w:tcPr>
            <w:tcW w:w="6620" w:type="dxa"/>
            <w:vAlign w:val="bottom"/>
            <w:gridSpan w:val="2"/>
          </w:tcPr>
          <w:p>
            <w:pPr>
              <w:spacing w:after="0" w:line="155" w:lineRule="exact"/>
              <w:rPr>
                <w:sz w:val="20"/>
                <w:szCs w:val="20"/>
                <w:color w:val="auto"/>
              </w:rPr>
            </w:pPr>
            <w:r>
              <w:rPr>
                <w:rFonts w:ascii="Arial" w:cs="Arial" w:eastAsia="Arial" w:hAnsi="Arial"/>
                <w:sz w:val="15"/>
                <w:szCs w:val="15"/>
                <w:color w:val="auto"/>
              </w:rPr>
              <w:t>Non-mortgage-related securities (includes $4.9 billion and $3.9 billion, respectively, pledged as</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48,227</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46,918</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6580" w:type="dxa"/>
            <w:vAlign w:val="bottom"/>
            <w:tcBorders>
              <w:bottom w:val="single" w:sz="8" w:color="2C6937"/>
            </w:tcBorders>
          </w:tcPr>
          <w:p>
            <w:pPr>
              <w:ind w:left="120"/>
              <w:spacing w:after="0" w:line="202" w:lineRule="exact"/>
              <w:rPr>
                <w:sz w:val="20"/>
                <w:szCs w:val="20"/>
                <w:color w:val="auto"/>
              </w:rPr>
            </w:pPr>
            <w:r>
              <w:rPr>
                <w:rFonts w:ascii="Arial" w:cs="Arial" w:eastAsia="Arial" w:hAnsi="Arial"/>
                <w:sz w:val="15"/>
                <w:szCs w:val="15"/>
                <w:color w:val="auto"/>
              </w:rPr>
              <w:t>collateral)</w:t>
            </w:r>
            <w:r>
              <w:rPr>
                <w:rFonts w:ascii="Arial" w:cs="Arial" w:eastAsia="Arial" w:hAnsi="Arial"/>
                <w:sz w:val="20"/>
                <w:szCs w:val="20"/>
                <w:color w:val="auto"/>
                <w:vertAlign w:val="superscript"/>
              </w:rPr>
              <w:t>(1)</w:t>
            </w:r>
          </w:p>
        </w:tc>
        <w:tc>
          <w:tcPr>
            <w:tcW w:w="14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920" w:type="dxa"/>
            <w:vAlign w:val="bottom"/>
            <w:tcBorders>
              <w:bottom w:val="single" w:sz="8" w:color="2C6937"/>
            </w:tcBorders>
            <w:gridSpan w:val="2"/>
            <w:vMerge w:val="continue"/>
          </w:tcPr>
          <w:p>
            <w:pPr>
              <w:spacing w:after="0"/>
              <w:rPr>
                <w:sz w:val="17"/>
                <w:szCs w:val="17"/>
                <w:color w:val="auto"/>
              </w:rPr>
            </w:pPr>
          </w:p>
        </w:tc>
        <w:tc>
          <w:tcPr>
            <w:tcW w:w="60" w:type="dxa"/>
            <w:vAlign w:val="bottom"/>
            <w:tcBorders>
              <w:bottom w:val="single" w:sz="8" w:color="2C6937"/>
            </w:tcBorders>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800" w:type="dxa"/>
            <w:vAlign w:val="bottom"/>
            <w:tcBorders>
              <w:bottom w:val="single" w:sz="8" w:color="2C6937"/>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6580" w:type="dxa"/>
            <w:vAlign w:val="bottom"/>
            <w:tcBorders>
              <w:bottom w:val="single" w:sz="8" w:color="2C6937"/>
            </w:tcBorders>
          </w:tcPr>
          <w:p>
            <w:pPr>
              <w:ind w:left="120"/>
              <w:spacing w:after="0"/>
              <w:rPr>
                <w:sz w:val="20"/>
                <w:szCs w:val="20"/>
                <w:color w:val="auto"/>
              </w:rPr>
            </w:pPr>
            <w:r>
              <w:rPr>
                <w:rFonts w:ascii="Arial" w:cs="Arial" w:eastAsia="Arial" w:hAnsi="Arial"/>
                <w:sz w:val="15"/>
                <w:szCs w:val="15"/>
                <w:color w:val="auto"/>
              </w:rPr>
              <w:t>Total trading securities</w:t>
            </w:r>
          </w:p>
        </w:tc>
        <w:tc>
          <w:tcPr>
            <w:tcW w:w="14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2C6937"/>
            </w:tcBorders>
          </w:tcPr>
          <w:p>
            <w:pPr>
              <w:jc w:val="center"/>
              <w:ind w:right="387"/>
              <w:spacing w:after="0"/>
              <w:rPr>
                <w:sz w:val="20"/>
                <w:szCs w:val="20"/>
                <w:color w:val="auto"/>
              </w:rPr>
            </w:pPr>
            <w:r>
              <w:rPr>
                <w:rFonts w:ascii="Arial" w:cs="Arial" w:eastAsia="Arial" w:hAnsi="Arial"/>
                <w:sz w:val="15"/>
                <w:szCs w:val="15"/>
                <w:b w:val="1"/>
                <w:bCs w:val="1"/>
                <w:color w:val="auto"/>
              </w:rPr>
              <w:t>$</w:t>
            </w:r>
          </w:p>
        </w:tc>
        <w:tc>
          <w:tcPr>
            <w:tcW w:w="2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920" w:type="dxa"/>
            <w:vAlign w:val="bottom"/>
            <w:tcBorders>
              <w:bottom w:val="single" w:sz="8" w:color="2C6937"/>
            </w:tcBorders>
            <w:gridSpan w:val="2"/>
          </w:tcPr>
          <w:p>
            <w:pPr>
              <w:jc w:val="right"/>
              <w:spacing w:after="0"/>
              <w:rPr>
                <w:sz w:val="20"/>
                <w:szCs w:val="20"/>
                <w:color w:val="auto"/>
              </w:rPr>
            </w:pPr>
            <w:r>
              <w:rPr>
                <w:rFonts w:ascii="Arial" w:cs="Arial" w:eastAsia="Arial" w:hAnsi="Arial"/>
                <w:sz w:val="15"/>
                <w:szCs w:val="15"/>
                <w:b w:val="1"/>
                <w:bCs w:val="1"/>
                <w:color w:val="auto"/>
              </w:rPr>
              <w:t>50,585</w:t>
            </w:r>
          </w:p>
        </w:tc>
        <w:tc>
          <w:tcPr>
            <w:tcW w:w="60" w:type="dxa"/>
            <w:vAlign w:val="bottom"/>
            <w:tcBorders>
              <w:bottom w:val="single" w:sz="8" w:color="2C6937"/>
            </w:tcBorders>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2C6937"/>
            </w:tcBorders>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50,129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580" w:type="dxa"/>
            <w:vAlign w:val="bottom"/>
            <w:tcBorders>
              <w:bottom w:val="single" w:sz="8" w:color="2C6937"/>
            </w:tcBorders>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80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0" w:type="dxa"/>
            <w:vAlign w:val="bottom"/>
          </w:tcPr>
          <w:p>
            <w:pPr>
              <w:spacing w:after="0"/>
              <w:rPr>
                <w:sz w:val="24"/>
                <w:szCs w:val="24"/>
                <w:color w:val="auto"/>
              </w:rPr>
            </w:pPr>
          </w:p>
        </w:tc>
        <w:tc>
          <w:tcPr>
            <w:tcW w:w="6580" w:type="dxa"/>
            <w:vAlign w:val="bottom"/>
          </w:tcPr>
          <w:p>
            <w:pPr>
              <w:spacing w:after="0"/>
              <w:rPr>
                <w:sz w:val="20"/>
                <w:szCs w:val="20"/>
                <w:color w:val="auto"/>
              </w:rPr>
            </w:pPr>
            <w:r>
              <w:rPr>
                <w:rFonts w:ascii="Arial" w:cs="Arial" w:eastAsia="Arial" w:hAnsi="Arial"/>
                <w:sz w:val="17"/>
                <w:szCs w:val="17"/>
                <w:color w:val="auto"/>
                <w:vertAlign w:val="superscript"/>
              </w:rPr>
              <w:t>(1)</w:t>
            </w:r>
            <w:r>
              <w:rPr>
                <w:rFonts w:ascii="Arial" w:cs="Arial" w:eastAsia="Arial" w:hAnsi="Arial"/>
                <w:sz w:val="14"/>
                <w:szCs w:val="14"/>
                <w:color w:val="auto"/>
              </w:rPr>
              <w:t xml:space="preserve">   Primarily includes U.S. Treasury securities.</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6"/>
                <w:szCs w:val="16"/>
                <w:color w:val="auto"/>
              </w:rPr>
              <w:t>The following table displays information about our net trading gains (losses).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8"/>
          </w:tcPr>
          <w:p>
            <w:pPr>
              <w:jc w:val="center"/>
              <w:ind w:right="251"/>
              <w:spacing w:after="0"/>
              <w:rPr>
                <w:sz w:val="20"/>
                <w:szCs w:val="20"/>
                <w:color w:val="auto"/>
              </w:rPr>
            </w:pPr>
            <w:r>
              <w:rPr>
                <w:rFonts w:ascii="Arial" w:cs="Arial" w:eastAsia="Arial" w:hAnsi="Arial"/>
                <w:sz w:val="14"/>
                <w:szCs w:val="14"/>
                <w:b w:val="1"/>
                <w:bCs w:val="1"/>
                <w:color w:val="auto"/>
                <w:w w:val="97"/>
              </w:rPr>
              <w:t>For the Three Months Ended</w:t>
            </w:r>
          </w:p>
        </w:tc>
        <w:tc>
          <w:tcPr>
            <w:tcW w:w="60" w:type="dxa"/>
            <w:vAlign w:val="bottom"/>
          </w:tcPr>
          <w:p>
            <w:pPr>
              <w:spacing w:after="0"/>
              <w:rPr>
                <w:sz w:val="16"/>
                <w:szCs w:val="16"/>
                <w:color w:val="auto"/>
              </w:rPr>
            </w:pPr>
          </w:p>
        </w:tc>
        <w:tc>
          <w:tcPr>
            <w:tcW w:w="22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8"/>
              </w:rPr>
              <w:t>For the Six Months Ended June</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040" w:type="dxa"/>
            <w:vAlign w:val="bottom"/>
            <w:tcBorders>
              <w:bottom w:val="single" w:sz="8" w:color="2C6937"/>
            </w:tcBorders>
            <w:gridSpan w:val="4"/>
          </w:tcPr>
          <w:p>
            <w:pPr>
              <w:jc w:val="center"/>
              <w:ind w:left="227"/>
              <w:spacing w:after="0"/>
              <w:rPr>
                <w:sz w:val="20"/>
                <w:szCs w:val="20"/>
                <w:color w:val="auto"/>
              </w:rPr>
            </w:pPr>
            <w:r>
              <w:rPr>
                <w:rFonts w:ascii="Arial" w:cs="Arial" w:eastAsia="Arial" w:hAnsi="Arial"/>
                <w:sz w:val="14"/>
                <w:szCs w:val="14"/>
                <w:b w:val="1"/>
                <w:bCs w:val="1"/>
                <w:color w:val="auto"/>
                <w:w w:val="96"/>
              </w:rPr>
              <w:t>June 30,</w:t>
            </w:r>
          </w:p>
        </w:tc>
        <w:tc>
          <w:tcPr>
            <w:tcW w:w="740" w:type="dxa"/>
            <w:vAlign w:val="bottom"/>
            <w:tcBorders>
              <w:bottom w:val="single" w:sz="8" w:color="2C6937"/>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Borders>
              <w:bottom w:val="single" w:sz="8" w:color="2C6937"/>
            </w:tcBorders>
          </w:tcPr>
          <w:p>
            <w:pPr>
              <w:spacing w:after="0"/>
              <w:rPr>
                <w:sz w:val="15"/>
                <w:szCs w:val="15"/>
                <w:color w:val="auto"/>
              </w:rPr>
            </w:pPr>
          </w:p>
        </w:tc>
        <w:tc>
          <w:tcPr>
            <w:tcW w:w="280" w:type="dxa"/>
            <w:vAlign w:val="bottom"/>
            <w:tcBorders>
              <w:bottom w:val="single" w:sz="8" w:color="2C6937"/>
            </w:tcBorders>
          </w:tcPr>
          <w:p>
            <w:pPr>
              <w:spacing w:after="0"/>
              <w:rPr>
                <w:sz w:val="15"/>
                <w:szCs w:val="15"/>
                <w:color w:val="auto"/>
              </w:rPr>
            </w:pPr>
          </w:p>
        </w:tc>
        <w:tc>
          <w:tcPr>
            <w:tcW w:w="680" w:type="dxa"/>
            <w:vAlign w:val="bottom"/>
            <w:tcBorders>
              <w:bottom w:val="single" w:sz="8" w:color="2C6937"/>
            </w:tcBorders>
          </w:tcPr>
          <w:p>
            <w:pPr>
              <w:spacing w:after="0"/>
              <w:rPr>
                <w:sz w:val="15"/>
                <w:szCs w:val="15"/>
                <w:color w:val="auto"/>
              </w:rPr>
            </w:pPr>
          </w:p>
        </w:tc>
        <w:tc>
          <w:tcPr>
            <w:tcW w:w="440" w:type="dxa"/>
            <w:vAlign w:val="bottom"/>
            <w:tcBorders>
              <w:bottom w:val="single" w:sz="8" w:color="2C6937"/>
            </w:tcBorders>
            <w:gridSpan w:val="2"/>
          </w:tcPr>
          <w:p>
            <w:pPr>
              <w:jc w:val="right"/>
              <w:ind w:right="240"/>
              <w:spacing w:after="0"/>
              <w:rPr>
                <w:sz w:val="20"/>
                <w:szCs w:val="20"/>
                <w:color w:val="auto"/>
              </w:rPr>
            </w:pPr>
            <w:r>
              <w:rPr>
                <w:rFonts w:ascii="Arial" w:cs="Arial" w:eastAsia="Arial" w:hAnsi="Arial"/>
                <w:sz w:val="14"/>
                <w:szCs w:val="14"/>
                <w:b w:val="1"/>
                <w:bCs w:val="1"/>
                <w:color w:val="auto"/>
                <w:w w:val="92"/>
              </w:rPr>
              <w:t>30,</w:t>
            </w:r>
          </w:p>
        </w:tc>
        <w:tc>
          <w:tcPr>
            <w:tcW w:w="800" w:type="dxa"/>
            <w:vAlign w:val="bottom"/>
            <w:tcBorders>
              <w:bottom w:val="single" w:sz="8" w:color="2C6937"/>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860" w:type="dxa"/>
            <w:vAlign w:val="bottom"/>
            <w:tcBorders>
              <w:bottom w:val="single" w:sz="8" w:color="2C6937"/>
            </w:tcBorders>
            <w:gridSpan w:val="3"/>
          </w:tcPr>
          <w:p>
            <w:pPr>
              <w:jc w:val="center"/>
              <w:ind w:right="47"/>
              <w:spacing w:after="0"/>
              <w:rPr>
                <w:sz w:val="20"/>
                <w:szCs w:val="20"/>
                <w:color w:val="auto"/>
              </w:rPr>
            </w:pPr>
            <w:r>
              <w:rPr>
                <w:rFonts w:ascii="Arial" w:cs="Arial" w:eastAsia="Arial" w:hAnsi="Arial"/>
                <w:sz w:val="14"/>
                <w:szCs w:val="14"/>
                <w:b w:val="1"/>
                <w:bCs w:val="1"/>
                <w:color w:val="auto"/>
                <w:w w:val="96"/>
              </w:rPr>
              <w:t>2023</w:t>
            </w:r>
          </w:p>
        </w:tc>
        <w:tc>
          <w:tcPr>
            <w:tcW w:w="20" w:type="dxa"/>
            <w:vAlign w:val="bottom"/>
            <w:tcBorders>
              <w:bottom w:val="single" w:sz="8" w:color="2C6937"/>
            </w:tcBorders>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bottom w:val="single" w:sz="8" w:color="2C6937"/>
            </w:tcBorders>
          </w:tcPr>
          <w:p>
            <w:pPr>
              <w:spacing w:after="0"/>
              <w:rPr>
                <w:sz w:val="15"/>
                <w:szCs w:val="15"/>
                <w:color w:val="auto"/>
              </w:rPr>
            </w:pPr>
          </w:p>
        </w:tc>
        <w:tc>
          <w:tcPr>
            <w:tcW w:w="740" w:type="dxa"/>
            <w:vAlign w:val="bottom"/>
            <w:tcBorders>
              <w:bottom w:val="single" w:sz="8" w:color="2C6937"/>
            </w:tcBorders>
          </w:tcPr>
          <w:p>
            <w:pPr>
              <w:jc w:val="right"/>
              <w:ind w:right="265"/>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5"/>
                <w:szCs w:val="15"/>
                <w:color w:val="auto"/>
              </w:rPr>
            </w:pPr>
          </w:p>
        </w:tc>
        <w:tc>
          <w:tcPr>
            <w:tcW w:w="60" w:type="dxa"/>
            <w:vAlign w:val="bottom"/>
            <w:tcBorders>
              <w:bottom w:val="single" w:sz="8" w:color="2C6937"/>
            </w:tcBorders>
          </w:tcPr>
          <w:p>
            <w:pPr>
              <w:spacing w:after="0"/>
              <w:rPr>
                <w:sz w:val="15"/>
                <w:szCs w:val="15"/>
                <w:color w:val="auto"/>
              </w:rPr>
            </w:pPr>
          </w:p>
        </w:tc>
        <w:tc>
          <w:tcPr>
            <w:tcW w:w="280" w:type="dxa"/>
            <w:vAlign w:val="bottom"/>
            <w:tcBorders>
              <w:bottom w:val="single" w:sz="8" w:color="2C6937"/>
            </w:tcBorders>
          </w:tcPr>
          <w:p>
            <w:pPr>
              <w:spacing w:after="0"/>
              <w:rPr>
                <w:sz w:val="15"/>
                <w:szCs w:val="15"/>
                <w:color w:val="auto"/>
              </w:rPr>
            </w:pPr>
          </w:p>
        </w:tc>
        <w:tc>
          <w:tcPr>
            <w:tcW w:w="680" w:type="dxa"/>
            <w:vAlign w:val="bottom"/>
            <w:tcBorders>
              <w:bottom w:val="single" w:sz="8" w:color="2C6937"/>
            </w:tcBorders>
          </w:tcPr>
          <w:p>
            <w:pPr>
              <w:ind w:left="20"/>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5"/>
                <w:szCs w:val="15"/>
                <w:color w:val="auto"/>
              </w:rPr>
            </w:pPr>
          </w:p>
        </w:tc>
        <w:tc>
          <w:tcPr>
            <w:tcW w:w="240" w:type="dxa"/>
            <w:vAlign w:val="bottom"/>
            <w:tcBorders>
              <w:bottom w:val="single" w:sz="8" w:color="2C6937"/>
            </w:tcBorders>
          </w:tcPr>
          <w:p>
            <w:pPr>
              <w:spacing w:after="0"/>
              <w:rPr>
                <w:sz w:val="15"/>
                <w:szCs w:val="15"/>
                <w:color w:val="auto"/>
              </w:rPr>
            </w:pPr>
          </w:p>
        </w:tc>
        <w:tc>
          <w:tcPr>
            <w:tcW w:w="800" w:type="dxa"/>
            <w:vAlign w:val="bottom"/>
            <w:tcBorders>
              <w:bottom w:val="single" w:sz="8" w:color="2C6937"/>
            </w:tcBorders>
          </w:tcPr>
          <w:p>
            <w:pPr>
              <w:jc w:val="right"/>
              <w:ind w:right="30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463"/>
        </w:trPr>
        <w:tc>
          <w:tcPr>
            <w:tcW w:w="40" w:type="dxa"/>
            <w:vAlign w:val="bottom"/>
          </w:tcPr>
          <w:p>
            <w:pPr>
              <w:spacing w:after="0"/>
              <w:rPr>
                <w:sz w:val="24"/>
                <w:szCs w:val="24"/>
                <w:color w:val="auto"/>
              </w:rPr>
            </w:pPr>
          </w:p>
        </w:tc>
        <w:tc>
          <w:tcPr>
            <w:tcW w:w="6580" w:type="dxa"/>
            <w:vAlign w:val="bottom"/>
          </w:tcPr>
          <w:p>
            <w:pPr>
              <w:ind w:left="20"/>
              <w:spacing w:after="0"/>
              <w:rPr>
                <w:sz w:val="20"/>
                <w:szCs w:val="20"/>
                <w:color w:val="auto"/>
              </w:rPr>
            </w:pPr>
            <w:r>
              <w:rPr>
                <w:rFonts w:ascii="Arial" w:cs="Arial" w:eastAsia="Arial" w:hAnsi="Arial"/>
                <w:sz w:val="15"/>
                <w:szCs w:val="15"/>
                <w:color w:val="auto"/>
              </w:rPr>
              <w:t>Net trading gains (losses)</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60" w:type="dxa"/>
            <w:vAlign w:val="bottom"/>
            <w:gridSpan w:val="3"/>
          </w:tcPr>
          <w:p>
            <w:pPr>
              <w:jc w:val="right"/>
              <w:spacing w:after="0"/>
              <w:rPr>
                <w:sz w:val="20"/>
                <w:szCs w:val="20"/>
                <w:color w:val="auto"/>
              </w:rPr>
            </w:pPr>
            <w:r>
              <w:rPr>
                <w:rFonts w:ascii="Arial" w:cs="Arial" w:eastAsia="Arial" w:hAnsi="Arial"/>
                <w:sz w:val="15"/>
                <w:szCs w:val="15"/>
                <w:b w:val="1"/>
                <w:bCs w:val="1"/>
                <w:color w:val="auto"/>
              </w:rPr>
              <w:t>(723)</w:t>
            </w:r>
          </w:p>
        </w:tc>
        <w:tc>
          <w:tcPr>
            <w:tcW w:w="48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740" w:type="dxa"/>
            <w:vAlign w:val="bottom"/>
          </w:tcPr>
          <w:p>
            <w:pPr>
              <w:ind w:left="360"/>
              <w:spacing w:after="0"/>
              <w:rPr>
                <w:sz w:val="20"/>
                <w:szCs w:val="20"/>
                <w:color w:val="auto"/>
              </w:rPr>
            </w:pPr>
            <w:r>
              <w:rPr>
                <w:rFonts w:ascii="Arial" w:cs="Arial" w:eastAsia="Arial" w:hAnsi="Arial"/>
                <w:sz w:val="15"/>
                <w:szCs w:val="15"/>
                <w:color w:val="auto"/>
              </w:rPr>
              <w:t>(665)</w:t>
            </w:r>
          </w:p>
        </w:tc>
        <w:tc>
          <w:tcPr>
            <w:tcW w:w="180" w:type="dxa"/>
            <w:vAlign w:val="bottom"/>
          </w:tcPr>
          <w:p>
            <w:pPr>
              <w:spacing w:after="0"/>
              <w:rPr>
                <w:sz w:val="24"/>
                <w:szCs w:val="24"/>
                <w:color w:val="auto"/>
              </w:rPr>
            </w:pPr>
          </w:p>
        </w:tc>
        <w:tc>
          <w:tcPr>
            <w:tcW w:w="340" w:type="dxa"/>
            <w:vAlign w:val="bottom"/>
            <w:gridSpan w:val="2"/>
          </w:tcPr>
          <w:p>
            <w:pPr>
              <w:jc w:val="right"/>
              <w:ind w:right="151"/>
              <w:spacing w:after="0"/>
              <w:rPr>
                <w:sz w:val="20"/>
                <w:szCs w:val="20"/>
                <w:color w:val="auto"/>
              </w:rPr>
            </w:pPr>
            <w:r>
              <w:rPr>
                <w:rFonts w:ascii="Arial" w:cs="Arial" w:eastAsia="Arial" w:hAnsi="Arial"/>
                <w:sz w:val="15"/>
                <w:szCs w:val="15"/>
                <w:b w:val="1"/>
                <w:bCs w:val="1"/>
                <w:color w:val="auto"/>
              </w:rPr>
              <w: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23</w:t>
            </w:r>
          </w:p>
        </w:tc>
        <w:tc>
          <w:tcPr>
            <w:tcW w:w="4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(2,435)</w:t>
            </w: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6580" w:type="dxa"/>
            <w:vAlign w:val="bottom"/>
          </w:tcPr>
          <w:p>
            <w:pPr>
              <w:ind w:left="20"/>
              <w:spacing w:after="0"/>
              <w:rPr>
                <w:sz w:val="20"/>
                <w:szCs w:val="20"/>
                <w:color w:val="auto"/>
              </w:rPr>
            </w:pPr>
            <w:r>
              <w:rPr>
                <w:rFonts w:ascii="Arial" w:cs="Arial" w:eastAsia="Arial" w:hAnsi="Arial"/>
                <w:sz w:val="15"/>
                <w:szCs w:val="15"/>
                <w:color w:val="auto"/>
              </w:rPr>
              <w:t>Net trading gains (losses) recognized in the period related to securities still held at period end</w:t>
            </w:r>
          </w:p>
        </w:tc>
        <w:tc>
          <w:tcPr>
            <w:tcW w:w="14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5"/>
                <w:szCs w:val="15"/>
                <w:b w:val="1"/>
                <w:bCs w:val="1"/>
                <w:color w:val="auto"/>
              </w:rPr>
              <w:t>(731)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ind w:left="360"/>
              <w:spacing w:after="0"/>
              <w:rPr>
                <w:sz w:val="20"/>
                <w:szCs w:val="20"/>
                <w:color w:val="auto"/>
              </w:rPr>
            </w:pPr>
            <w:r>
              <w:rPr>
                <w:rFonts w:ascii="Arial" w:cs="Arial" w:eastAsia="Arial" w:hAnsi="Arial"/>
                <w:sz w:val="15"/>
                <w:szCs w:val="15"/>
                <w:color w:val="auto"/>
              </w:rPr>
              <w:t>(546)</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60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(2,173)</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40"/>
        <w:spacing w:after="0"/>
        <w:rPr>
          <w:sz w:val="20"/>
          <w:szCs w:val="20"/>
          <w:color w:val="auto"/>
        </w:rPr>
      </w:pPr>
      <w:r>
        <w:rPr>
          <w:rFonts w:ascii="Arial" w:cs="Arial" w:eastAsia="Arial" w:hAnsi="Arial"/>
          <w:sz w:val="24"/>
          <w:szCs w:val="24"/>
          <w:b w:val="1"/>
          <w:bCs w:val="1"/>
          <w:i w:val="1"/>
          <w:iCs w:val="1"/>
          <w:color w:val="05314D"/>
        </w:rPr>
        <w:t>Available-for-Sale Securities</w:t>
      </w:r>
    </w:p>
    <w:p>
      <w:pPr>
        <w:spacing w:after="0" w:line="82" w:lineRule="exact"/>
        <w:rPr>
          <w:sz w:val="20"/>
          <w:szCs w:val="20"/>
          <w:color w:val="auto"/>
        </w:rPr>
      </w:pPr>
    </w:p>
    <w:p>
      <w:pPr>
        <w:ind w:left="40" w:right="20"/>
        <w:spacing w:after="0" w:line="261" w:lineRule="auto"/>
        <w:rPr>
          <w:sz w:val="20"/>
          <w:szCs w:val="20"/>
          <w:color w:val="auto"/>
        </w:rPr>
      </w:pPr>
      <w:r>
        <w:rPr>
          <w:rFonts w:ascii="Arial" w:cs="Arial" w:eastAsia="Arial" w:hAnsi="Arial"/>
          <w:sz w:val="16"/>
          <w:szCs w:val="16"/>
          <w:color w:val="auto"/>
        </w:rPr>
        <w:t>We record AFS securities at fair value with unrealized gains and losses, recorded net of tax, as a component of “Other comprehensive income (loss)” and we recognize realized gains and losses from the sale of AFS securities in “Investment gains (losses), net” in our condensed consolidated statements of operations and comprehensive income. We define the amortized cost basis of our AFS securities as unpaid principal balance, net of unamortized premiums and discounts, and other cost basis adjustments. We record an allowance for credit losses for AFS securities that reflects the impairment for credit losses, which are limited to the amount that fair value is less than the amortized cost. Impairment due to non-credit losses are recorded as unrealized losses within “Other comprehensive income (loss).”</w:t>
      </w:r>
    </w:p>
    <w:p>
      <w:pPr>
        <w:spacing w:after="0" w:line="63" w:lineRule="exact"/>
        <w:rPr>
          <w:sz w:val="20"/>
          <w:szCs w:val="20"/>
          <w:color w:val="auto"/>
        </w:rPr>
      </w:pPr>
    </w:p>
    <w:p>
      <w:pPr>
        <w:ind w:left="40" w:right="20"/>
        <w:spacing w:after="0" w:line="283" w:lineRule="auto"/>
        <w:rPr>
          <w:sz w:val="20"/>
          <w:szCs w:val="20"/>
          <w:color w:val="auto"/>
        </w:rPr>
      </w:pPr>
      <w:r>
        <w:rPr>
          <w:rFonts w:ascii="Arial" w:cs="Arial" w:eastAsia="Arial" w:hAnsi="Arial"/>
          <w:sz w:val="16"/>
          <w:szCs w:val="16"/>
          <w:color w:val="auto"/>
        </w:rPr>
        <w:t>The following tables display the amortized cost, allowance for credit losses, gross unrealized gains and losses in accumulated other comprehensive income (loss) (“AOCI”), and fair value by major security type for AFS securities.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191"/>
        </w:trPr>
        <w:tc>
          <w:tcPr>
            <w:tcW w:w="428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40" w:type="dxa"/>
            <w:vAlign w:val="bottom"/>
            <w:tcBorders>
              <w:bottom w:val="single" w:sz="8" w:color="2C6937"/>
            </w:tcBorders>
          </w:tcPr>
          <w:p>
            <w:pPr>
              <w:spacing w:after="0"/>
              <w:rPr>
                <w:sz w:val="16"/>
                <w:szCs w:val="16"/>
                <w:color w:val="auto"/>
              </w:rPr>
            </w:pPr>
          </w:p>
        </w:tc>
        <w:tc>
          <w:tcPr>
            <w:tcW w:w="1440" w:type="dxa"/>
            <w:vAlign w:val="bottom"/>
            <w:tcBorders>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As of June 30, 2023</w:t>
            </w:r>
          </w:p>
        </w:tc>
        <w:tc>
          <w:tcPr>
            <w:tcW w:w="30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44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r>
      <w:tr>
        <w:trPr>
          <w:trHeight w:val="163"/>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286"/>
              <w:spacing w:after="0"/>
              <w:rPr>
                <w:sz w:val="20"/>
                <w:szCs w:val="20"/>
                <w:color w:val="auto"/>
              </w:rPr>
            </w:pPr>
            <w:r>
              <w:rPr>
                <w:rFonts w:ascii="Arial" w:cs="Arial" w:eastAsia="Arial" w:hAnsi="Arial"/>
                <w:sz w:val="14"/>
                <w:szCs w:val="14"/>
                <w:b w:val="1"/>
                <w:bCs w:val="1"/>
                <w:color w:val="auto"/>
              </w:rPr>
              <w:t>Gross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86"/>
              <w:spacing w:after="0"/>
              <w:rPr>
                <w:sz w:val="20"/>
                <w:szCs w:val="20"/>
                <w:color w:val="auto"/>
              </w:rPr>
            </w:pPr>
            <w:r>
              <w:rPr>
                <w:rFonts w:ascii="Arial" w:cs="Arial" w:eastAsia="Arial" w:hAnsi="Arial"/>
                <w:sz w:val="14"/>
                <w:szCs w:val="14"/>
                <w:b w:val="1"/>
                <w:bCs w:val="1"/>
                <w:color w:val="auto"/>
                <w:w w:val="98"/>
              </w:rPr>
              <w:t>Gross</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280" w:type="dxa"/>
            <w:vAlign w:val="bottom"/>
          </w:tcPr>
          <w:p>
            <w:pPr>
              <w:spacing w:after="0"/>
              <w:rPr>
                <w:sz w:val="14"/>
                <w:szCs w:val="14"/>
                <w:color w:val="auto"/>
              </w:rPr>
            </w:pPr>
          </w:p>
        </w:tc>
        <w:tc>
          <w:tcPr>
            <w:tcW w:w="1240" w:type="dxa"/>
            <w:vAlign w:val="bottom"/>
            <w:gridSpan w:val="3"/>
          </w:tcPr>
          <w:p>
            <w:pPr>
              <w:ind w:left="120"/>
              <w:spacing w:after="0"/>
              <w:rPr>
                <w:sz w:val="20"/>
                <w:szCs w:val="20"/>
                <w:color w:val="auto"/>
              </w:rPr>
            </w:pPr>
            <w:r>
              <w:rPr>
                <w:rFonts w:ascii="Arial" w:cs="Arial" w:eastAsia="Arial" w:hAnsi="Arial"/>
                <w:sz w:val="14"/>
                <w:szCs w:val="14"/>
                <w:b w:val="1"/>
                <w:bCs w:val="1"/>
                <w:color w:val="auto"/>
              </w:rPr>
              <w:t>Total Amortized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b w:val="1"/>
                <w:bCs w:val="1"/>
                <w:color w:val="auto"/>
              </w:rPr>
              <w:t>Allowance for</w:t>
            </w:r>
          </w:p>
        </w:tc>
        <w:tc>
          <w:tcPr>
            <w:tcW w:w="28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Unrealized Gains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106"/>
              <w:spacing w:after="0"/>
              <w:rPr>
                <w:sz w:val="20"/>
                <w:szCs w:val="20"/>
                <w:color w:val="auto"/>
              </w:rPr>
            </w:pPr>
            <w:r>
              <w:rPr>
                <w:rFonts w:ascii="Arial" w:cs="Arial" w:eastAsia="Arial" w:hAnsi="Arial"/>
                <w:sz w:val="14"/>
                <w:szCs w:val="14"/>
                <w:b w:val="1"/>
                <w:bCs w:val="1"/>
                <w:color w:val="auto"/>
                <w:w w:val="98"/>
              </w:rPr>
              <w:t>Unrealized</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8"/>
        </w:trPr>
        <w:tc>
          <w:tcPr>
            <w:tcW w:w="428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tcPr>
          <w:p>
            <w:pPr>
              <w:jc w:val="right"/>
              <w:ind w:right="385"/>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040" w:type="dxa"/>
            <w:vAlign w:val="bottom"/>
            <w:tcBorders>
              <w:bottom w:val="single" w:sz="8" w:color="2C6937"/>
            </w:tcBorders>
          </w:tcPr>
          <w:p>
            <w:pPr>
              <w:ind w:left="20"/>
              <w:spacing w:after="0"/>
              <w:rPr>
                <w:sz w:val="20"/>
                <w:szCs w:val="20"/>
                <w:color w:val="auto"/>
              </w:rPr>
            </w:pPr>
            <w:r>
              <w:rPr>
                <w:rFonts w:ascii="Arial" w:cs="Arial" w:eastAsia="Arial" w:hAnsi="Arial"/>
                <w:sz w:val="14"/>
                <w:szCs w:val="14"/>
                <w:b w:val="1"/>
                <w:bCs w:val="1"/>
                <w:color w:val="auto"/>
              </w:rPr>
              <w:t>Credit Losses</w:t>
            </w:r>
          </w:p>
        </w:tc>
        <w:tc>
          <w:tcPr>
            <w:tcW w:w="280" w:type="dxa"/>
            <w:vAlign w:val="bottom"/>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920" w:type="dxa"/>
            <w:vAlign w:val="bottom"/>
            <w:tcBorders>
              <w:bottom w:val="single" w:sz="8" w:color="2C6937"/>
            </w:tcBorders>
          </w:tcPr>
          <w:p>
            <w:pPr>
              <w:jc w:val="right"/>
              <w:ind w:right="246"/>
              <w:spacing w:after="0"/>
              <w:rPr>
                <w:sz w:val="20"/>
                <w:szCs w:val="20"/>
                <w:color w:val="auto"/>
              </w:rPr>
            </w:pPr>
            <w:r>
              <w:rPr>
                <w:rFonts w:ascii="Arial" w:cs="Arial" w:eastAsia="Arial" w:hAnsi="Arial"/>
                <w:sz w:val="14"/>
                <w:szCs w:val="14"/>
                <w:b w:val="1"/>
                <w:bCs w:val="1"/>
                <w:color w:val="auto"/>
              </w:rPr>
              <w:t>in AOCI</w:t>
            </w:r>
          </w:p>
        </w:tc>
        <w:tc>
          <w:tcPr>
            <w:tcW w:w="300" w:type="dxa"/>
            <w:vAlign w:val="bottom"/>
          </w:tcPr>
          <w:p>
            <w:pPr>
              <w:spacing w:after="0"/>
              <w:rPr>
                <w:sz w:val="17"/>
                <w:szCs w:val="17"/>
                <w:color w:val="auto"/>
              </w:rPr>
            </w:pPr>
          </w:p>
        </w:tc>
        <w:tc>
          <w:tcPr>
            <w:tcW w:w="1160" w:type="dxa"/>
            <w:vAlign w:val="bottom"/>
            <w:tcBorders>
              <w:bottom w:val="single" w:sz="8" w:color="2C6937"/>
            </w:tcBorders>
            <w:gridSpan w:val="2"/>
          </w:tcPr>
          <w:p>
            <w:pPr>
              <w:jc w:val="center"/>
              <w:spacing w:after="0"/>
              <w:rPr>
                <w:sz w:val="20"/>
                <w:szCs w:val="20"/>
                <w:color w:val="auto"/>
              </w:rPr>
            </w:pPr>
            <w:r>
              <w:rPr>
                <w:rFonts w:ascii="Arial" w:cs="Arial" w:eastAsia="Arial" w:hAnsi="Arial"/>
                <w:sz w:val="14"/>
                <w:szCs w:val="14"/>
                <w:b w:val="1"/>
                <w:bCs w:val="1"/>
                <w:color w:val="auto"/>
                <w:w w:val="98"/>
              </w:rPr>
              <w:t>Losses in AOCI</w:t>
            </w:r>
          </w:p>
        </w:tc>
        <w:tc>
          <w:tcPr>
            <w:tcW w:w="280" w:type="dxa"/>
            <w:vAlign w:val="bottom"/>
          </w:tcPr>
          <w:p>
            <w:pPr>
              <w:spacing w:after="0"/>
              <w:rPr>
                <w:sz w:val="17"/>
                <w:szCs w:val="17"/>
                <w:color w:val="auto"/>
              </w:rPr>
            </w:pPr>
          </w:p>
        </w:tc>
        <w:tc>
          <w:tcPr>
            <w:tcW w:w="110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b w:val="1"/>
                <w:bCs w:val="1"/>
                <w:color w:val="auto"/>
                <w:w w:val="99"/>
              </w:rPr>
              <w:t>Total Fair Value</w:t>
            </w:r>
          </w:p>
        </w:tc>
      </w:tr>
      <w:tr>
        <w:trPr>
          <w:trHeight w:val="230"/>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02"/>
        </w:trPr>
        <w:tc>
          <w:tcPr>
            <w:tcW w:w="4280" w:type="dxa"/>
            <w:vAlign w:val="bottom"/>
          </w:tcPr>
          <w:p>
            <w:pPr>
              <w:ind w:left="20"/>
              <w:spacing w:after="0"/>
              <w:rPr>
                <w:sz w:val="20"/>
                <w:szCs w:val="20"/>
                <w:color w:val="auto"/>
              </w:rPr>
            </w:pPr>
            <w:r>
              <w:rPr>
                <w:rFonts w:ascii="Arial" w:cs="Arial" w:eastAsia="Arial" w:hAnsi="Arial"/>
                <w:sz w:val="15"/>
                <w:szCs w:val="15"/>
                <w:color w:val="auto"/>
              </w:rPr>
              <w:t>Agency securities</w:t>
            </w:r>
          </w:p>
        </w:tc>
        <w:tc>
          <w:tcPr>
            <w:tcW w:w="340" w:type="dxa"/>
            <w:vAlign w:val="bottom"/>
            <w:gridSpan w:val="2"/>
          </w:tcPr>
          <w:p>
            <w:pPr>
              <w:ind w:left="14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424</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40" w:type="dxa"/>
            <w:vAlign w:val="bottom"/>
          </w:tcPr>
          <w:p>
            <w:pPr>
              <w:ind w:left="820"/>
              <w:spacing w:after="0"/>
              <w:rPr>
                <w:sz w:val="20"/>
                <w:szCs w:val="20"/>
                <w:color w:val="auto"/>
              </w:rPr>
            </w:pPr>
            <w:r>
              <w:rPr>
                <w:rFonts w:ascii="Arial" w:cs="Arial" w:eastAsia="Arial" w:hAnsi="Arial"/>
                <w:sz w:val="15"/>
                <w:szCs w:val="15"/>
                <w:color w:val="auto"/>
              </w:rPr>
              <w:t>—</w:t>
            </w:r>
          </w:p>
        </w:tc>
        <w:tc>
          <w:tcPr>
            <w:tcW w:w="52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center"/>
              <w:ind w:left="566"/>
              <w:spacing w:after="0"/>
              <w:rPr>
                <w:sz w:val="20"/>
                <w:szCs w:val="20"/>
                <w:color w:val="auto"/>
              </w:rPr>
            </w:pPr>
            <w:r>
              <w:rPr>
                <w:rFonts w:ascii="Arial" w:cs="Arial" w:eastAsia="Arial" w:hAnsi="Arial"/>
                <w:sz w:val="15"/>
                <w:szCs w:val="15"/>
                <w:color w:val="auto"/>
              </w:rPr>
              <w:t>(21)</w:t>
            </w:r>
          </w:p>
        </w:tc>
        <w:tc>
          <w:tcPr>
            <w:tcW w:w="720" w:type="dxa"/>
            <w:vAlign w:val="bottom"/>
            <w:gridSpan w:val="2"/>
          </w:tcPr>
          <w:p>
            <w:pPr>
              <w:jc w:val="right"/>
              <w:ind w:right="271"/>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405</w:t>
            </w:r>
          </w:p>
        </w:tc>
      </w:tr>
      <w:tr>
        <w:trPr>
          <w:trHeight w:val="209"/>
        </w:trPr>
        <w:tc>
          <w:tcPr>
            <w:tcW w:w="42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Other mortgage-related securities</w:t>
            </w:r>
          </w:p>
        </w:tc>
        <w:tc>
          <w:tcPr>
            <w:tcW w:w="12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235</w:t>
            </w:r>
          </w:p>
        </w:tc>
        <w:tc>
          <w:tcPr>
            <w:tcW w:w="28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040" w:type="dxa"/>
            <w:vAlign w:val="bottom"/>
            <w:tcBorders>
              <w:bottom w:val="single" w:sz="8" w:color="2C6937"/>
            </w:tcBorders>
          </w:tcPr>
          <w:p>
            <w:pPr>
              <w:ind w:left="840"/>
              <w:spacing w:after="0"/>
              <w:rPr>
                <w:sz w:val="20"/>
                <w:szCs w:val="20"/>
                <w:color w:val="auto"/>
              </w:rPr>
            </w:pPr>
            <w:r>
              <w:rPr>
                <w:rFonts w:ascii="Arial" w:cs="Arial" w:eastAsia="Arial" w:hAnsi="Arial"/>
                <w:sz w:val="15"/>
                <w:szCs w:val="15"/>
                <w:color w:val="auto"/>
                <w:w w:val="97"/>
              </w:rPr>
              <w:t>(2)</w:t>
            </w:r>
          </w:p>
        </w:tc>
        <w:tc>
          <w:tcPr>
            <w:tcW w:w="28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w:t>
            </w:r>
          </w:p>
        </w:tc>
        <w:tc>
          <w:tcPr>
            <w:tcW w:w="3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000" w:type="dxa"/>
            <w:vAlign w:val="bottom"/>
            <w:tcBorders>
              <w:bottom w:val="single" w:sz="8" w:color="2C6937"/>
            </w:tcBorders>
          </w:tcPr>
          <w:p>
            <w:pPr>
              <w:jc w:val="center"/>
              <w:ind w:left="606"/>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440" w:type="dxa"/>
            <w:vAlign w:val="bottom"/>
            <w:tcBorders>
              <w:bottom w:val="single" w:sz="8" w:color="2C6937"/>
            </w:tcBorders>
          </w:tcPr>
          <w:p>
            <w:pPr>
              <w:spacing w:after="0"/>
              <w:rPr>
                <w:sz w:val="18"/>
                <w:szCs w:val="18"/>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241</w:t>
            </w:r>
          </w:p>
        </w:tc>
      </w:tr>
      <w:tr>
        <w:trPr>
          <w:trHeight w:val="199"/>
        </w:trPr>
        <w:tc>
          <w:tcPr>
            <w:tcW w:w="4280" w:type="dxa"/>
            <w:vAlign w:val="bottom"/>
          </w:tcPr>
          <w:p>
            <w:pPr>
              <w:ind w:left="140"/>
              <w:spacing w:after="0"/>
              <w:rPr>
                <w:sz w:val="20"/>
                <w:szCs w:val="20"/>
                <w:color w:val="auto"/>
              </w:rPr>
            </w:pPr>
            <w:r>
              <w:rPr>
                <w:rFonts w:ascii="Arial" w:cs="Arial" w:eastAsia="Arial" w:hAnsi="Arial"/>
                <w:sz w:val="15"/>
                <w:szCs w:val="15"/>
                <w:color w:val="auto"/>
              </w:rPr>
              <w:t>Total</w:t>
            </w:r>
          </w:p>
        </w:tc>
        <w:tc>
          <w:tcPr>
            <w:tcW w:w="340" w:type="dxa"/>
            <w:vAlign w:val="bottom"/>
            <w:gridSpan w:val="2"/>
          </w:tcPr>
          <w:p>
            <w:pPr>
              <w:ind w:left="14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659</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40" w:type="dxa"/>
            <w:vAlign w:val="bottom"/>
          </w:tcPr>
          <w:p>
            <w:pPr>
              <w:ind w:left="840"/>
              <w:spacing w:after="0"/>
              <w:rPr>
                <w:sz w:val="20"/>
                <w:szCs w:val="20"/>
                <w:color w:val="auto"/>
              </w:rPr>
            </w:pPr>
            <w:r>
              <w:rPr>
                <w:rFonts w:ascii="Arial" w:cs="Arial" w:eastAsia="Arial" w:hAnsi="Arial"/>
                <w:sz w:val="15"/>
                <w:szCs w:val="15"/>
                <w:color w:val="auto"/>
                <w:w w:val="97"/>
              </w:rPr>
              <w:t>(2)</w:t>
            </w:r>
          </w:p>
        </w:tc>
        <w:tc>
          <w:tcPr>
            <w:tcW w:w="52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10</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center"/>
              <w:ind w:left="566"/>
              <w:spacing w:after="0"/>
              <w:rPr>
                <w:sz w:val="20"/>
                <w:szCs w:val="20"/>
                <w:color w:val="auto"/>
              </w:rPr>
            </w:pPr>
            <w:r>
              <w:rPr>
                <w:rFonts w:ascii="Arial" w:cs="Arial" w:eastAsia="Arial" w:hAnsi="Arial"/>
                <w:sz w:val="15"/>
                <w:szCs w:val="15"/>
                <w:color w:val="auto"/>
              </w:rPr>
              <w:t>(21)</w:t>
            </w:r>
          </w:p>
        </w:tc>
        <w:tc>
          <w:tcPr>
            <w:tcW w:w="720" w:type="dxa"/>
            <w:vAlign w:val="bottom"/>
            <w:gridSpan w:val="2"/>
          </w:tcPr>
          <w:p>
            <w:pPr>
              <w:jc w:val="right"/>
              <w:ind w:right="271"/>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646</w:t>
            </w:r>
          </w:p>
        </w:tc>
      </w:tr>
      <w:tr>
        <w:trPr>
          <w:trHeight w:val="21"/>
        </w:trPr>
        <w:tc>
          <w:tcPr>
            <w:tcW w:w="42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040" w:type="dxa"/>
            <w:vAlign w:val="bottom"/>
            <w:tcBorders>
              <w:top w:val="single" w:sz="8" w:color="2C6937"/>
              <w:bottom w:val="single" w:sz="8" w:color="2C6937"/>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000" w:type="dxa"/>
            <w:vAlign w:val="bottom"/>
            <w:tcBorders>
              <w:top w:val="single" w:sz="8" w:color="2C6937"/>
              <w:bottom w:val="single" w:sz="8" w:color="2C6937"/>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441960</wp:posOffset>
            </wp:positionV>
            <wp:extent cx="681101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8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150495</wp:posOffset>
            </wp:positionV>
            <wp:extent cx="7164070" cy="4191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80"/>
          </w:cols>
          <w:pgMar w:left="280" w:top="250" w:right="339" w:bottom="1440" w:gutter="0" w:footer="0" w:header="0"/>
        </w:sectPr>
      </w:pPr>
    </w:p>
    <w:bookmarkStart w:id="93" w:name="page94"/>
    <w:bookmarkEnd w:id="93"/>
    <w:p>
      <w:pPr>
        <w:ind w:left="6080"/>
        <w:spacing w:after="0"/>
        <w:rPr>
          <w:sz w:val="20"/>
          <w:szCs w:val="20"/>
          <w:color w:val="auto"/>
        </w:rPr>
      </w:pPr>
      <w:r>
        <w:rPr>
          <w:rFonts w:ascii="Arial" w:cs="Arial" w:eastAsia="Arial" w:hAnsi="Arial"/>
          <w:sz w:val="14"/>
          <w:szCs w:val="14"/>
          <w:color w:val="05314D"/>
        </w:rPr>
        <w:t>Notes to Condensed Consolidated Financial Statements | Investments in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15875</wp:posOffset>
            </wp:positionV>
            <wp:extent cx="702373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3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spacing w:after="0"/>
              <w:rPr>
                <w:sz w:val="16"/>
                <w:szCs w:val="16"/>
                <w:color w:val="auto"/>
              </w:rPr>
            </w:pPr>
          </w:p>
        </w:tc>
        <w:tc>
          <w:tcPr>
            <w:tcW w:w="1760" w:type="dxa"/>
            <w:vAlign w:val="bottom"/>
            <w:tcBorders>
              <w:bottom w:val="single" w:sz="8" w:color="2C6937"/>
            </w:tcBorders>
            <w:gridSpan w:val="5"/>
          </w:tcPr>
          <w:p>
            <w:pPr>
              <w:jc w:val="center"/>
              <w:ind w:right="140"/>
              <w:spacing w:after="0"/>
              <w:rPr>
                <w:sz w:val="20"/>
                <w:szCs w:val="20"/>
                <w:color w:val="auto"/>
              </w:rPr>
            </w:pPr>
            <w:r>
              <w:rPr>
                <w:rFonts w:ascii="Arial" w:cs="Arial" w:eastAsia="Arial" w:hAnsi="Arial"/>
                <w:sz w:val="14"/>
                <w:szCs w:val="14"/>
                <w:b w:val="1"/>
                <w:bCs w:val="1"/>
                <w:color w:val="auto"/>
                <w:w w:val="98"/>
              </w:rPr>
              <w:t>As of December 31, 2022</w:t>
            </w:r>
          </w:p>
        </w:tc>
        <w:tc>
          <w:tcPr>
            <w:tcW w:w="16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44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r>
      <w:tr>
        <w:trPr>
          <w:trHeight w:val="176"/>
        </w:trPr>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66"/>
              <w:spacing w:after="0"/>
              <w:rPr>
                <w:sz w:val="20"/>
                <w:szCs w:val="20"/>
                <w:color w:val="auto"/>
              </w:rPr>
            </w:pPr>
            <w:r>
              <w:rPr>
                <w:rFonts w:ascii="Arial" w:cs="Arial" w:eastAsia="Arial" w:hAnsi="Arial"/>
                <w:sz w:val="14"/>
                <w:szCs w:val="14"/>
                <w:b w:val="1"/>
                <w:bCs w:val="1"/>
                <w:color w:val="auto"/>
                <w:w w:val="98"/>
              </w:rPr>
              <w:t>Gross</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68"/>
        </w:trPr>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Total Amortized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4"/>
                <w:szCs w:val="14"/>
                <w:b w:val="1"/>
                <w:bCs w:val="1"/>
                <w:color w:val="auto"/>
              </w:rPr>
              <w:t>Allowance for</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Gross Unrealized</w:t>
            </w:r>
          </w:p>
        </w:tc>
        <w:tc>
          <w:tcPr>
            <w:tcW w:w="160" w:type="dxa"/>
            <w:vAlign w:val="bottom"/>
          </w:tcPr>
          <w:p>
            <w:pPr>
              <w:spacing w:after="0"/>
              <w:rPr>
                <w:sz w:val="14"/>
                <w:szCs w:val="14"/>
                <w:color w:val="auto"/>
              </w:rPr>
            </w:pPr>
          </w:p>
        </w:tc>
        <w:tc>
          <w:tcPr>
            <w:tcW w:w="980" w:type="dxa"/>
            <w:vAlign w:val="bottom"/>
          </w:tcPr>
          <w:p>
            <w:pPr>
              <w:jc w:val="center"/>
              <w:ind w:right="86"/>
              <w:spacing w:after="0"/>
              <w:rPr>
                <w:sz w:val="20"/>
                <w:szCs w:val="20"/>
                <w:color w:val="auto"/>
              </w:rPr>
            </w:pPr>
            <w:r>
              <w:rPr>
                <w:rFonts w:ascii="Arial" w:cs="Arial" w:eastAsia="Arial" w:hAnsi="Arial"/>
                <w:sz w:val="14"/>
                <w:szCs w:val="14"/>
                <w:b w:val="1"/>
                <w:bCs w:val="1"/>
                <w:color w:val="auto"/>
                <w:w w:val="98"/>
              </w:rPr>
              <w:t>Unrealized</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1"/>
        </w:trPr>
        <w:tc>
          <w:tcPr>
            <w:tcW w:w="43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tcPr>
          <w:p>
            <w:pPr>
              <w:jc w:val="right"/>
              <w:ind w:right="405"/>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spacing w:after="0"/>
              <w:rPr>
                <w:sz w:val="20"/>
                <w:szCs w:val="20"/>
                <w:color w:val="auto"/>
              </w:rPr>
            </w:pPr>
            <w:r>
              <w:rPr>
                <w:rFonts w:ascii="Arial" w:cs="Arial" w:eastAsia="Arial" w:hAnsi="Arial"/>
                <w:sz w:val="14"/>
                <w:szCs w:val="14"/>
                <w:b w:val="1"/>
                <w:bCs w:val="1"/>
                <w:color w:val="auto"/>
              </w:rPr>
              <w:t>Credit Losses</w:t>
            </w:r>
          </w:p>
        </w:tc>
        <w:tc>
          <w:tcPr>
            <w:tcW w:w="20" w:type="dxa"/>
            <w:vAlign w:val="bottom"/>
            <w:tcBorders>
              <w:bottom w:val="single" w:sz="8" w:color="2C6937"/>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right"/>
              <w:ind w:right="65"/>
              <w:spacing w:after="0"/>
              <w:rPr>
                <w:sz w:val="20"/>
                <w:szCs w:val="20"/>
                <w:color w:val="auto"/>
              </w:rPr>
            </w:pPr>
            <w:r>
              <w:rPr>
                <w:rFonts w:ascii="Arial" w:cs="Arial" w:eastAsia="Arial" w:hAnsi="Arial"/>
                <w:sz w:val="14"/>
                <w:szCs w:val="14"/>
                <w:b w:val="1"/>
                <w:bCs w:val="1"/>
                <w:color w:val="auto"/>
                <w:w w:val="95"/>
              </w:rPr>
              <w:t>Gains in AOCI</w:t>
            </w:r>
          </w:p>
        </w:tc>
        <w:tc>
          <w:tcPr>
            <w:tcW w:w="280" w:type="dxa"/>
            <w:vAlign w:val="bottom"/>
          </w:tcPr>
          <w:p>
            <w:pPr>
              <w:spacing w:after="0"/>
              <w:rPr>
                <w:sz w:val="16"/>
                <w:szCs w:val="16"/>
                <w:color w:val="auto"/>
              </w:rPr>
            </w:pPr>
          </w:p>
        </w:tc>
        <w:tc>
          <w:tcPr>
            <w:tcW w:w="1140" w:type="dxa"/>
            <w:vAlign w:val="bottom"/>
            <w:tcBorders>
              <w:bottom w:val="single" w:sz="8" w:color="2C6937"/>
            </w:tcBorders>
            <w:gridSpan w:val="2"/>
          </w:tcPr>
          <w:p>
            <w:pPr>
              <w:jc w:val="center"/>
              <w:spacing w:after="0"/>
              <w:rPr>
                <w:sz w:val="20"/>
                <w:szCs w:val="20"/>
                <w:color w:val="auto"/>
              </w:rPr>
            </w:pPr>
            <w:r>
              <w:rPr>
                <w:rFonts w:ascii="Arial" w:cs="Arial" w:eastAsia="Arial" w:hAnsi="Arial"/>
                <w:sz w:val="14"/>
                <w:szCs w:val="14"/>
                <w:b w:val="1"/>
                <w:bCs w:val="1"/>
                <w:color w:val="auto"/>
                <w:w w:val="98"/>
              </w:rPr>
              <w:t>Losses in AOCI</w:t>
            </w:r>
          </w:p>
        </w:tc>
        <w:tc>
          <w:tcPr>
            <w:tcW w:w="280" w:type="dxa"/>
            <w:vAlign w:val="bottom"/>
          </w:tcPr>
          <w:p>
            <w:pPr>
              <w:spacing w:after="0"/>
              <w:rPr>
                <w:sz w:val="16"/>
                <w:szCs w:val="16"/>
                <w:color w:val="auto"/>
              </w:rPr>
            </w:pPr>
          </w:p>
        </w:tc>
        <w:tc>
          <w:tcPr>
            <w:tcW w:w="110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b w:val="1"/>
                <w:bCs w:val="1"/>
                <w:color w:val="auto"/>
                <w:w w:val="99"/>
              </w:rPr>
              <w:t>Total Fair Value</w:t>
            </w:r>
          </w:p>
        </w:tc>
      </w:tr>
      <w:tr>
        <w:trPr>
          <w:trHeight w:val="237"/>
        </w:trPr>
        <w:tc>
          <w:tcPr>
            <w:tcW w:w="4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6"/>
              </w:rPr>
              <w:t>(Dollars in millions)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02"/>
        </w:trPr>
        <w:tc>
          <w:tcPr>
            <w:tcW w:w="4300" w:type="dxa"/>
            <w:vAlign w:val="bottom"/>
          </w:tcPr>
          <w:p>
            <w:pPr>
              <w:ind w:left="20"/>
              <w:spacing w:after="0"/>
              <w:rPr>
                <w:sz w:val="20"/>
                <w:szCs w:val="20"/>
                <w:color w:val="auto"/>
              </w:rPr>
            </w:pPr>
            <w:r>
              <w:rPr>
                <w:rFonts w:ascii="Arial" w:cs="Arial" w:eastAsia="Arial" w:hAnsi="Arial"/>
                <w:sz w:val="15"/>
                <w:szCs w:val="15"/>
                <w:color w:val="auto"/>
              </w:rPr>
              <w:t>Agency securities</w:t>
            </w:r>
          </w:p>
        </w:tc>
        <w:tc>
          <w:tcPr>
            <w:tcW w:w="34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5"/>
              <w:spacing w:after="0"/>
              <w:rPr>
                <w:sz w:val="20"/>
                <w:szCs w:val="20"/>
                <w:color w:val="auto"/>
              </w:rPr>
            </w:pPr>
            <w:r>
              <w:rPr>
                <w:rFonts w:ascii="Arial" w:cs="Arial" w:eastAsia="Arial" w:hAnsi="Arial"/>
                <w:sz w:val="15"/>
                <w:szCs w:val="15"/>
                <w:color w:val="auto"/>
              </w:rPr>
              <w:t>445</w:t>
            </w:r>
          </w:p>
        </w:tc>
        <w:tc>
          <w:tcPr>
            <w:tcW w:w="4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020" w:type="dxa"/>
            <w:vAlign w:val="bottom"/>
          </w:tcPr>
          <w:p>
            <w:pPr>
              <w:ind w:left="820"/>
              <w:spacing w:after="0"/>
              <w:rPr>
                <w:sz w:val="20"/>
                <w:szCs w:val="20"/>
                <w:color w:val="auto"/>
              </w:rPr>
            </w:pPr>
            <w:r>
              <w:rPr>
                <w:rFonts w:ascii="Arial" w:cs="Arial" w:eastAsia="Arial" w:hAnsi="Arial"/>
                <w:sz w:val="15"/>
                <w:szCs w:val="15"/>
                <w:color w:val="auto"/>
              </w:rPr>
              <w:t>—</w:t>
            </w:r>
          </w:p>
        </w:tc>
        <w:tc>
          <w:tcPr>
            <w:tcW w:w="420" w:type="dxa"/>
            <w:vAlign w:val="bottom"/>
            <w:gridSpan w:val="3"/>
          </w:tcPr>
          <w:p>
            <w:pPr>
              <w:ind w:left="320"/>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5"/>
              <w:spacing w:after="0"/>
              <w:rPr>
                <w:sz w:val="20"/>
                <w:szCs w:val="20"/>
                <w:color w:val="auto"/>
              </w:rPr>
            </w:pPr>
            <w:r>
              <w:rPr>
                <w:rFonts w:ascii="Arial" w:cs="Arial" w:eastAsia="Arial" w:hAnsi="Arial"/>
                <w:sz w:val="15"/>
                <w:szCs w:val="15"/>
                <w:color w:val="auto"/>
              </w:rPr>
              <w:t>3</w:t>
            </w:r>
          </w:p>
        </w:tc>
        <w:tc>
          <w:tcPr>
            <w:tcW w:w="2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(22)</w:t>
            </w:r>
          </w:p>
        </w:tc>
        <w:tc>
          <w:tcPr>
            <w:tcW w:w="720" w:type="dxa"/>
            <w:vAlign w:val="bottom"/>
            <w:gridSpan w:val="2"/>
          </w:tcPr>
          <w:p>
            <w:pPr>
              <w:jc w:val="right"/>
              <w:ind w:right="251"/>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426</w:t>
            </w:r>
          </w:p>
        </w:tc>
      </w:tr>
      <w:tr>
        <w:trPr>
          <w:trHeight w:val="209"/>
        </w:trPr>
        <w:tc>
          <w:tcPr>
            <w:tcW w:w="4300" w:type="dxa"/>
            <w:vAlign w:val="bottom"/>
            <w:tcBorders>
              <w:bottom w:val="single" w:sz="8" w:color="2C6937"/>
            </w:tcBorders>
          </w:tcPr>
          <w:p>
            <w:pPr>
              <w:ind w:left="40"/>
              <w:spacing w:after="0"/>
              <w:rPr>
                <w:sz w:val="20"/>
                <w:szCs w:val="20"/>
                <w:color w:val="auto"/>
              </w:rPr>
            </w:pPr>
            <w:r>
              <w:rPr>
                <w:rFonts w:ascii="Arial" w:cs="Arial" w:eastAsia="Arial" w:hAnsi="Arial"/>
                <w:sz w:val="15"/>
                <w:szCs w:val="15"/>
                <w:color w:val="auto"/>
              </w:rPr>
              <w:t>Other mortgage-related securities</w:t>
            </w:r>
          </w:p>
        </w:tc>
        <w:tc>
          <w:tcPr>
            <w:tcW w:w="10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269</w:t>
            </w:r>
          </w:p>
        </w:tc>
        <w:tc>
          <w:tcPr>
            <w:tcW w:w="28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ind w:left="820"/>
              <w:spacing w:after="0"/>
              <w:rPr>
                <w:sz w:val="20"/>
                <w:szCs w:val="20"/>
                <w:color w:val="auto"/>
              </w:rPr>
            </w:pPr>
            <w:r>
              <w:rPr>
                <w:rFonts w:ascii="Arial" w:cs="Arial" w:eastAsia="Arial" w:hAnsi="Arial"/>
                <w:sz w:val="15"/>
                <w:szCs w:val="15"/>
                <w:color w:val="auto"/>
                <w:w w:val="97"/>
              </w:rPr>
              <w:t>(3)</w:t>
            </w:r>
          </w:p>
        </w:tc>
        <w:tc>
          <w:tcPr>
            <w:tcW w:w="20" w:type="dxa"/>
            <w:vAlign w:val="bottom"/>
            <w:tcBorders>
              <w:bottom w:val="single" w:sz="8" w:color="2C6937"/>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0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5</w:t>
            </w:r>
          </w:p>
        </w:tc>
        <w:tc>
          <w:tcPr>
            <w:tcW w:w="28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w:t>
            </w:r>
          </w:p>
        </w:tc>
        <w:tc>
          <w:tcPr>
            <w:tcW w:w="280" w:type="dxa"/>
            <w:vAlign w:val="bottom"/>
          </w:tcPr>
          <w:p>
            <w:pPr>
              <w:spacing w:after="0"/>
              <w:rPr>
                <w:sz w:val="18"/>
                <w:szCs w:val="18"/>
                <w:color w:val="auto"/>
              </w:rPr>
            </w:pPr>
          </w:p>
        </w:tc>
        <w:tc>
          <w:tcPr>
            <w:tcW w:w="440" w:type="dxa"/>
            <w:vAlign w:val="bottom"/>
            <w:tcBorders>
              <w:bottom w:val="single" w:sz="8" w:color="2C6937"/>
            </w:tcBorders>
          </w:tcPr>
          <w:p>
            <w:pPr>
              <w:spacing w:after="0"/>
              <w:rPr>
                <w:sz w:val="18"/>
                <w:szCs w:val="18"/>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270</w:t>
            </w:r>
          </w:p>
        </w:tc>
      </w:tr>
      <w:tr>
        <w:trPr>
          <w:trHeight w:val="199"/>
        </w:trPr>
        <w:tc>
          <w:tcPr>
            <w:tcW w:w="4300" w:type="dxa"/>
            <w:vAlign w:val="bottom"/>
          </w:tcPr>
          <w:p>
            <w:pPr>
              <w:ind w:left="140"/>
              <w:spacing w:after="0"/>
              <w:rPr>
                <w:sz w:val="20"/>
                <w:szCs w:val="20"/>
                <w:color w:val="auto"/>
              </w:rPr>
            </w:pPr>
            <w:r>
              <w:rPr>
                <w:rFonts w:ascii="Arial" w:cs="Arial" w:eastAsia="Arial" w:hAnsi="Arial"/>
                <w:sz w:val="15"/>
                <w:szCs w:val="15"/>
                <w:color w:val="auto"/>
              </w:rPr>
              <w:t>Total</w:t>
            </w:r>
          </w:p>
        </w:tc>
        <w:tc>
          <w:tcPr>
            <w:tcW w:w="34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5"/>
              <w:spacing w:after="0"/>
              <w:rPr>
                <w:sz w:val="20"/>
                <w:szCs w:val="20"/>
                <w:color w:val="auto"/>
              </w:rPr>
            </w:pPr>
            <w:r>
              <w:rPr>
                <w:rFonts w:ascii="Arial" w:cs="Arial" w:eastAsia="Arial" w:hAnsi="Arial"/>
                <w:sz w:val="15"/>
                <w:szCs w:val="15"/>
                <w:color w:val="auto"/>
              </w:rPr>
              <w:t>714</w:t>
            </w:r>
          </w:p>
        </w:tc>
        <w:tc>
          <w:tcPr>
            <w:tcW w:w="4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020" w:type="dxa"/>
            <w:vAlign w:val="bottom"/>
          </w:tcPr>
          <w:p>
            <w:pPr>
              <w:ind w:left="820"/>
              <w:spacing w:after="0"/>
              <w:rPr>
                <w:sz w:val="20"/>
                <w:szCs w:val="20"/>
                <w:color w:val="auto"/>
              </w:rPr>
            </w:pPr>
            <w:r>
              <w:rPr>
                <w:rFonts w:ascii="Arial" w:cs="Arial" w:eastAsia="Arial" w:hAnsi="Arial"/>
                <w:sz w:val="15"/>
                <w:szCs w:val="15"/>
                <w:color w:val="auto"/>
                <w:w w:val="97"/>
              </w:rPr>
              <w:t>(3)</w:t>
            </w:r>
          </w:p>
        </w:tc>
        <w:tc>
          <w:tcPr>
            <w:tcW w:w="420" w:type="dxa"/>
            <w:vAlign w:val="bottom"/>
            <w:gridSpan w:val="3"/>
          </w:tcPr>
          <w:p>
            <w:pPr>
              <w:ind w:left="320"/>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5"/>
              <w:spacing w:after="0"/>
              <w:rPr>
                <w:sz w:val="20"/>
                <w:szCs w:val="20"/>
                <w:color w:val="auto"/>
              </w:rPr>
            </w:pPr>
            <w:r>
              <w:rPr>
                <w:rFonts w:ascii="Arial" w:cs="Arial" w:eastAsia="Arial" w:hAnsi="Arial"/>
                <w:sz w:val="15"/>
                <w:szCs w:val="15"/>
                <w:color w:val="auto"/>
              </w:rPr>
              <w:t>8</w:t>
            </w:r>
          </w:p>
        </w:tc>
        <w:tc>
          <w:tcPr>
            <w:tcW w:w="2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(23)</w:t>
            </w:r>
          </w:p>
        </w:tc>
        <w:tc>
          <w:tcPr>
            <w:tcW w:w="720" w:type="dxa"/>
            <w:vAlign w:val="bottom"/>
            <w:gridSpan w:val="2"/>
          </w:tcPr>
          <w:p>
            <w:pPr>
              <w:jc w:val="right"/>
              <w:ind w:right="251"/>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696</w:t>
            </w:r>
          </w:p>
        </w:tc>
      </w:tr>
      <w:tr>
        <w:trPr>
          <w:trHeight w:val="21"/>
        </w:trPr>
        <w:tc>
          <w:tcPr>
            <w:tcW w:w="43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060" w:type="dxa"/>
            <w:vAlign w:val="bottom"/>
            <w:tcBorders>
              <w:top w:val="single" w:sz="8" w:color="2C6937"/>
              <w:bottom w:val="single" w:sz="8" w:color="2C6937"/>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r>
    </w:tbl>
    <w:p>
      <w:pPr>
        <w:spacing w:after="0" w:line="137"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Agency AFS securities consist of securities issued by us, Freddie Mac, or Ginnie Mae. The principal and interest on these securities are guaranteed by the issuing agency. We believe that the guaranty provided by the issuing agency, the support provided to the agencies by the U.S. government, the importance of the agencies to the liquidity and stability in the secondary mortgage market, and the long history of zero credit losses on agency mortgage-related securities are all indicators that there are currently no credit losses on these securities, even if the security is in an unrealized loss position. In addition, we generally hold these securities that are in an unrealized loss position to recovery. As a result, unless we intend to sell the security, we do not recognize an allowance for credit losses on agency mortgage-related securities.</w:t>
      </w:r>
    </w:p>
    <w:p>
      <w:pPr>
        <w:spacing w:after="0" w:line="76" w:lineRule="exact"/>
        <w:rPr>
          <w:sz w:val="20"/>
          <w:szCs w:val="20"/>
          <w:color w:val="auto"/>
        </w:rPr>
      </w:pPr>
    </w:p>
    <w:p>
      <w:pPr>
        <w:ind w:right="780"/>
        <w:spacing w:after="0" w:line="300" w:lineRule="auto"/>
        <w:rPr>
          <w:sz w:val="20"/>
          <w:szCs w:val="20"/>
          <w:color w:val="auto"/>
        </w:rPr>
      </w:pPr>
      <w:r>
        <w:rPr>
          <w:rFonts w:ascii="Arial" w:cs="Arial" w:eastAsia="Arial" w:hAnsi="Arial"/>
          <w:sz w:val="16"/>
          <w:szCs w:val="16"/>
          <w:color w:val="auto"/>
        </w:rPr>
        <w:t>The following table displays additional information regarding gross unrealized losses and fair value by major security type for AFS securities in an unrealized loss position, excluding allowance for credit losses.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18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640" w:type="dxa"/>
            <w:vAlign w:val="bottom"/>
            <w:tcBorders>
              <w:bottom w:val="single" w:sz="8" w:color="2C6937"/>
            </w:tcBorders>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240" w:type="dxa"/>
            <w:vAlign w:val="bottom"/>
            <w:tcBorders>
              <w:bottom w:val="single" w:sz="8" w:color="2C6937"/>
            </w:tcBorders>
          </w:tcPr>
          <w:p>
            <w:pPr>
              <w:spacing w:after="0"/>
              <w:rPr>
                <w:sz w:val="15"/>
                <w:szCs w:val="15"/>
                <w:color w:val="auto"/>
              </w:rPr>
            </w:pPr>
          </w:p>
        </w:tc>
        <w:tc>
          <w:tcPr>
            <w:tcW w:w="520" w:type="dxa"/>
            <w:vAlign w:val="bottom"/>
            <w:tcBorders>
              <w:bottom w:val="single" w:sz="8" w:color="2C6937"/>
            </w:tcBorders>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640" w:type="dxa"/>
            <w:vAlign w:val="bottom"/>
            <w:tcBorders>
              <w:bottom w:val="single" w:sz="8" w:color="2C6937"/>
            </w:tcBorders>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20" w:type="dxa"/>
            <w:vAlign w:val="bottom"/>
            <w:tcBorders>
              <w:bottom w:val="single" w:sz="8" w:color="2C6937"/>
            </w:tcBorders>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020" w:type="dxa"/>
            <w:vAlign w:val="bottom"/>
            <w:tcBorders>
              <w:bottom w:val="single" w:sz="8" w:color="2C6937"/>
            </w:tcBorders>
            <w:gridSpan w:val="4"/>
          </w:tcPr>
          <w:p>
            <w:pPr>
              <w:jc w:val="center"/>
              <w:ind w:left="206"/>
              <w:spacing w:after="0"/>
              <w:rPr>
                <w:sz w:val="20"/>
                <w:szCs w:val="20"/>
                <w:color w:val="auto"/>
              </w:rPr>
            </w:pPr>
            <w:r>
              <w:rPr>
                <w:rFonts w:ascii="Arial" w:cs="Arial" w:eastAsia="Arial" w:hAnsi="Arial"/>
                <w:sz w:val="14"/>
                <w:szCs w:val="14"/>
                <w:b w:val="1"/>
                <w:bCs w:val="1"/>
                <w:color w:val="auto"/>
                <w:w w:val="97"/>
              </w:rPr>
              <w:t>As of</w:t>
            </w:r>
          </w:p>
        </w:tc>
        <w:tc>
          <w:tcPr>
            <w:tcW w:w="640" w:type="dxa"/>
            <w:vAlign w:val="bottom"/>
            <w:tcBorders>
              <w:bottom w:val="single" w:sz="8" w:color="2C6937"/>
            </w:tcBorders>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600" w:type="dxa"/>
            <w:vAlign w:val="bottom"/>
            <w:tcBorders>
              <w:bottom w:val="single" w:sz="8" w:color="2C6937"/>
            </w:tcBorders>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620" w:type="dxa"/>
            <w:vAlign w:val="bottom"/>
            <w:tcBorders>
              <w:bottom w:val="single" w:sz="8" w:color="2C6937"/>
            </w:tcBorders>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260" w:type="dxa"/>
            <w:vAlign w:val="bottom"/>
            <w:tcBorders>
              <w:bottom w:val="single" w:sz="8" w:color="2C6937"/>
            </w:tcBorders>
          </w:tcPr>
          <w:p>
            <w:pPr>
              <w:spacing w:after="0"/>
              <w:rPr>
                <w:sz w:val="15"/>
                <w:szCs w:val="15"/>
                <w:color w:val="auto"/>
              </w:rPr>
            </w:pPr>
          </w:p>
        </w:tc>
        <w:tc>
          <w:tcPr>
            <w:tcW w:w="500" w:type="dxa"/>
            <w:vAlign w:val="bottom"/>
            <w:tcBorders>
              <w:bottom w:val="single" w:sz="8" w:color="2C6937"/>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18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1840" w:type="dxa"/>
            <w:vAlign w:val="bottom"/>
            <w:tcBorders>
              <w:bottom w:val="single" w:sz="8" w:color="2C6937"/>
            </w:tcBorders>
            <w:gridSpan w:val="8"/>
          </w:tcPr>
          <w:p>
            <w:pPr>
              <w:ind w:left="140"/>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Borders>
              <w:bottom w:val="single" w:sz="8" w:color="2C6937"/>
            </w:tcBorders>
          </w:tcPr>
          <w:p>
            <w:pPr>
              <w:spacing w:after="0"/>
              <w:rPr>
                <w:sz w:val="16"/>
                <w:szCs w:val="16"/>
                <w:color w:val="auto"/>
              </w:rPr>
            </w:pPr>
          </w:p>
        </w:tc>
        <w:tc>
          <w:tcPr>
            <w:tcW w:w="62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800" w:type="dxa"/>
            <w:vAlign w:val="bottom"/>
            <w:tcBorders>
              <w:bottom w:val="single" w:sz="8" w:color="2C6937"/>
            </w:tcBorders>
            <w:gridSpan w:val="6"/>
          </w:tcPr>
          <w:p>
            <w:pPr>
              <w:ind w:left="40"/>
              <w:spacing w:after="0"/>
              <w:rPr>
                <w:sz w:val="20"/>
                <w:szCs w:val="20"/>
                <w:color w:val="auto"/>
              </w:rPr>
            </w:pPr>
            <w:r>
              <w:rPr>
                <w:rFonts w:ascii="Arial" w:cs="Arial" w:eastAsia="Arial" w:hAnsi="Arial"/>
                <w:sz w:val="14"/>
                <w:szCs w:val="14"/>
                <w:b w:val="1"/>
                <w:bCs w:val="1"/>
                <w:color w:val="auto"/>
              </w:rPr>
              <w:t>December 31, 2022</w:t>
            </w:r>
          </w:p>
        </w:tc>
        <w:tc>
          <w:tcPr>
            <w:tcW w:w="80" w:type="dxa"/>
            <w:vAlign w:val="bottom"/>
            <w:tcBorders>
              <w:bottom w:val="single" w:sz="8" w:color="2C6937"/>
            </w:tcBorders>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50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80" w:type="dxa"/>
            <w:vAlign w:val="bottom"/>
          </w:tcPr>
          <w:p>
            <w:pPr>
              <w:spacing w:after="0"/>
              <w:rPr>
                <w:sz w:val="15"/>
                <w:szCs w:val="15"/>
                <w:color w:val="auto"/>
              </w:rPr>
            </w:pPr>
          </w:p>
        </w:tc>
        <w:tc>
          <w:tcPr>
            <w:tcW w:w="1940" w:type="dxa"/>
            <w:vAlign w:val="bottom"/>
            <w:gridSpan w:val="7"/>
          </w:tcPr>
          <w:p>
            <w:pPr>
              <w:jc w:val="right"/>
              <w:ind w:right="25"/>
              <w:spacing w:after="0"/>
              <w:rPr>
                <w:sz w:val="20"/>
                <w:szCs w:val="20"/>
                <w:color w:val="auto"/>
              </w:rPr>
            </w:pPr>
            <w:r>
              <w:rPr>
                <w:rFonts w:ascii="Arial" w:cs="Arial" w:eastAsia="Arial" w:hAnsi="Arial"/>
                <w:sz w:val="14"/>
                <w:szCs w:val="14"/>
                <w:b w:val="1"/>
                <w:bCs w:val="1"/>
                <w:color w:val="auto"/>
              </w:rPr>
              <w:t>Less Than 12 Consecutive</w:t>
            </w:r>
          </w:p>
        </w:tc>
        <w:tc>
          <w:tcPr>
            <w:tcW w:w="120" w:type="dxa"/>
            <w:vAlign w:val="bottom"/>
          </w:tcPr>
          <w:p>
            <w:pPr>
              <w:spacing w:after="0"/>
              <w:rPr>
                <w:sz w:val="15"/>
                <w:szCs w:val="15"/>
                <w:color w:val="auto"/>
              </w:rPr>
            </w:pPr>
          </w:p>
        </w:tc>
        <w:tc>
          <w:tcPr>
            <w:tcW w:w="1940" w:type="dxa"/>
            <w:vAlign w:val="bottom"/>
            <w:gridSpan w:val="8"/>
          </w:tcPr>
          <w:p>
            <w:pPr>
              <w:jc w:val="center"/>
              <w:spacing w:after="0"/>
              <w:rPr>
                <w:sz w:val="20"/>
                <w:szCs w:val="20"/>
                <w:color w:val="auto"/>
              </w:rPr>
            </w:pPr>
            <w:r>
              <w:rPr>
                <w:rFonts w:ascii="Arial" w:cs="Arial" w:eastAsia="Arial" w:hAnsi="Arial"/>
                <w:sz w:val="14"/>
                <w:szCs w:val="14"/>
                <w:b w:val="1"/>
                <w:bCs w:val="1"/>
                <w:color w:val="auto"/>
                <w:w w:val="97"/>
              </w:rPr>
              <w:t>12 Consecutive Months or</w:t>
            </w:r>
          </w:p>
        </w:tc>
        <w:tc>
          <w:tcPr>
            <w:tcW w:w="100" w:type="dxa"/>
            <w:vAlign w:val="bottom"/>
          </w:tcPr>
          <w:p>
            <w:pPr>
              <w:spacing w:after="0"/>
              <w:rPr>
                <w:sz w:val="15"/>
                <w:szCs w:val="15"/>
                <w:color w:val="auto"/>
              </w:rPr>
            </w:pPr>
          </w:p>
        </w:tc>
        <w:tc>
          <w:tcPr>
            <w:tcW w:w="1920" w:type="dxa"/>
            <w:vAlign w:val="bottom"/>
            <w:gridSpan w:val="7"/>
          </w:tcPr>
          <w:p>
            <w:pPr>
              <w:jc w:val="right"/>
              <w:ind w:right="5"/>
              <w:spacing w:after="0"/>
              <w:rPr>
                <w:sz w:val="20"/>
                <w:szCs w:val="20"/>
                <w:color w:val="auto"/>
              </w:rPr>
            </w:pPr>
            <w:r>
              <w:rPr>
                <w:rFonts w:ascii="Arial" w:cs="Arial" w:eastAsia="Arial" w:hAnsi="Arial"/>
                <w:sz w:val="14"/>
                <w:szCs w:val="14"/>
                <w:b w:val="1"/>
                <w:bCs w:val="1"/>
                <w:color w:val="auto"/>
              </w:rPr>
              <w:t>Less Than 12 Consecutive</w:t>
            </w:r>
          </w:p>
        </w:tc>
        <w:tc>
          <w:tcPr>
            <w:tcW w:w="120" w:type="dxa"/>
            <w:vAlign w:val="bottom"/>
          </w:tcPr>
          <w:p>
            <w:pPr>
              <w:spacing w:after="0"/>
              <w:rPr>
                <w:sz w:val="15"/>
                <w:szCs w:val="15"/>
                <w:color w:val="auto"/>
              </w:rPr>
            </w:pPr>
          </w:p>
        </w:tc>
        <w:tc>
          <w:tcPr>
            <w:tcW w:w="1920" w:type="dxa"/>
            <w:vAlign w:val="bottom"/>
            <w:gridSpan w:val="7"/>
          </w:tcPr>
          <w:p>
            <w:pPr>
              <w:jc w:val="right"/>
              <w:ind w:right="23"/>
              <w:spacing w:after="0"/>
              <w:rPr>
                <w:sz w:val="20"/>
                <w:szCs w:val="20"/>
                <w:color w:val="auto"/>
              </w:rPr>
            </w:pPr>
            <w:r>
              <w:rPr>
                <w:rFonts w:ascii="Arial" w:cs="Arial" w:eastAsia="Arial" w:hAnsi="Arial"/>
                <w:sz w:val="14"/>
                <w:szCs w:val="14"/>
                <w:b w:val="1"/>
                <w:bCs w:val="1"/>
                <w:color w:val="auto"/>
              </w:rPr>
              <w:t>12 Consecutive Months or</w:t>
            </w:r>
          </w:p>
        </w:tc>
        <w:tc>
          <w:tcPr>
            <w:tcW w:w="0" w:type="dxa"/>
            <w:vAlign w:val="bottom"/>
          </w:tcPr>
          <w:p>
            <w:pPr>
              <w:spacing w:after="0"/>
              <w:rPr>
                <w:sz w:val="1"/>
                <w:szCs w:val="1"/>
                <w:color w:val="auto"/>
              </w:rPr>
            </w:pPr>
          </w:p>
        </w:tc>
      </w:tr>
      <w:tr>
        <w:trPr>
          <w:trHeight w:val="198"/>
        </w:trPr>
        <w:tc>
          <w:tcPr>
            <w:tcW w:w="318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gridSpan w:val="4"/>
          </w:tcPr>
          <w:p>
            <w:pPr>
              <w:jc w:val="right"/>
              <w:ind w:right="127"/>
              <w:spacing w:after="0"/>
              <w:rPr>
                <w:sz w:val="20"/>
                <w:szCs w:val="20"/>
                <w:color w:val="auto"/>
              </w:rPr>
            </w:pPr>
            <w:r>
              <w:rPr>
                <w:rFonts w:ascii="Arial" w:cs="Arial" w:eastAsia="Arial" w:hAnsi="Arial"/>
                <w:sz w:val="14"/>
                <w:szCs w:val="14"/>
                <w:b w:val="1"/>
                <w:bCs w:val="1"/>
                <w:color w:val="auto"/>
              </w:rPr>
              <w:t>Months</w:t>
            </w:r>
          </w:p>
        </w:tc>
        <w:tc>
          <w:tcPr>
            <w:tcW w:w="520" w:type="dxa"/>
            <w:vAlign w:val="bottom"/>
            <w:tcBorders>
              <w:bottom w:val="single" w:sz="8" w:color="2C6937"/>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20" w:type="dxa"/>
            <w:vAlign w:val="bottom"/>
            <w:tcBorders>
              <w:bottom w:val="single" w:sz="8" w:color="2C6937"/>
            </w:tcBorders>
            <w:gridSpan w:val="4"/>
          </w:tcPr>
          <w:p>
            <w:pPr>
              <w:jc w:val="center"/>
              <w:ind w:left="386"/>
              <w:spacing w:after="0"/>
              <w:rPr>
                <w:sz w:val="20"/>
                <w:szCs w:val="20"/>
                <w:color w:val="auto"/>
              </w:rPr>
            </w:pPr>
            <w:r>
              <w:rPr>
                <w:rFonts w:ascii="Arial" w:cs="Arial" w:eastAsia="Arial" w:hAnsi="Arial"/>
                <w:sz w:val="14"/>
                <w:szCs w:val="14"/>
                <w:b w:val="1"/>
                <w:bCs w:val="1"/>
                <w:color w:val="auto"/>
                <w:w w:val="96"/>
              </w:rPr>
              <w:t>Longer</w:t>
            </w:r>
          </w:p>
        </w:tc>
        <w:tc>
          <w:tcPr>
            <w:tcW w:w="120" w:type="dxa"/>
            <w:vAlign w:val="bottom"/>
            <w:tcBorders>
              <w:bottom w:val="single" w:sz="8" w:color="2C6937"/>
            </w:tcBorders>
          </w:tcPr>
          <w:p>
            <w:pPr>
              <w:spacing w:after="0"/>
              <w:rPr>
                <w:sz w:val="17"/>
                <w:szCs w:val="17"/>
                <w:color w:val="auto"/>
              </w:rPr>
            </w:pPr>
          </w:p>
        </w:tc>
        <w:tc>
          <w:tcPr>
            <w:tcW w:w="62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gridSpan w:val="4"/>
          </w:tcPr>
          <w:p>
            <w:pPr>
              <w:jc w:val="right"/>
              <w:ind w:right="31"/>
              <w:spacing w:after="0"/>
              <w:rPr>
                <w:sz w:val="20"/>
                <w:szCs w:val="20"/>
                <w:color w:val="auto"/>
              </w:rPr>
            </w:pPr>
            <w:r>
              <w:rPr>
                <w:rFonts w:ascii="Arial" w:cs="Arial" w:eastAsia="Arial" w:hAnsi="Arial"/>
                <w:sz w:val="14"/>
                <w:szCs w:val="14"/>
                <w:b w:val="1"/>
                <w:bCs w:val="1"/>
                <w:color w:val="auto"/>
              </w:rPr>
              <w:t>Months</w:t>
            </w:r>
          </w:p>
        </w:tc>
        <w:tc>
          <w:tcPr>
            <w:tcW w:w="600" w:type="dxa"/>
            <w:vAlign w:val="bottom"/>
            <w:tcBorders>
              <w:bottom w:val="single" w:sz="8" w:color="2C6937"/>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gridSpan w:val="4"/>
          </w:tcPr>
          <w:p>
            <w:pPr>
              <w:jc w:val="right"/>
              <w:ind w:right="151"/>
              <w:spacing w:after="0"/>
              <w:rPr>
                <w:sz w:val="20"/>
                <w:szCs w:val="20"/>
                <w:color w:val="auto"/>
              </w:rPr>
            </w:pPr>
            <w:r>
              <w:rPr>
                <w:rFonts w:ascii="Arial" w:cs="Arial" w:eastAsia="Arial" w:hAnsi="Arial"/>
                <w:sz w:val="14"/>
                <w:szCs w:val="14"/>
                <w:b w:val="1"/>
                <w:bCs w:val="1"/>
                <w:color w:val="auto"/>
              </w:rPr>
              <w:t>Longer</w:t>
            </w:r>
          </w:p>
        </w:tc>
        <w:tc>
          <w:tcPr>
            <w:tcW w:w="50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Gross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8"/>
              </w:rPr>
              <w:t>Gross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Gross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Gross</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gridSpan w:val="5"/>
            <w:vMerge w:val="restart"/>
          </w:tcPr>
          <w:p>
            <w:pPr>
              <w:jc w:val="center"/>
              <w:ind w:right="280"/>
              <w:spacing w:after="0"/>
              <w:rPr>
                <w:sz w:val="20"/>
                <w:szCs w:val="20"/>
                <w:color w:val="auto"/>
              </w:rPr>
            </w:pPr>
            <w:r>
              <w:rPr>
                <w:rFonts w:ascii="Arial" w:cs="Arial" w:eastAsia="Arial" w:hAnsi="Arial"/>
                <w:sz w:val="14"/>
                <w:szCs w:val="14"/>
                <w:b w:val="1"/>
                <w:bCs w:val="1"/>
                <w:color w:val="auto"/>
                <w:w w:val="98"/>
              </w:rPr>
              <w:t>Unrealized</w:t>
            </w: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8"/>
              </w:rPr>
              <w:t>Unrealized</w:t>
            </w: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5"/>
            <w:vMerge w:val="continue"/>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center"/>
              <w:ind w:right="160"/>
              <w:spacing w:after="0" w:line="141" w:lineRule="exact"/>
              <w:rPr>
                <w:sz w:val="20"/>
                <w:szCs w:val="20"/>
                <w:color w:val="auto"/>
              </w:rPr>
            </w:pPr>
            <w:r>
              <w:rPr>
                <w:rFonts w:ascii="Arial" w:cs="Arial" w:eastAsia="Arial" w:hAnsi="Arial"/>
                <w:sz w:val="14"/>
                <w:szCs w:val="14"/>
                <w:b w:val="1"/>
                <w:bCs w:val="1"/>
                <w:color w:val="auto"/>
                <w:w w:val="98"/>
              </w:rPr>
              <w:t>Unrealized</w:t>
            </w:r>
          </w:p>
        </w:tc>
        <w:tc>
          <w:tcPr>
            <w:tcW w:w="8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0"/>
        </w:trPr>
        <w:tc>
          <w:tcPr>
            <w:tcW w:w="3180" w:type="dxa"/>
            <w:vAlign w:val="bottom"/>
          </w:tcPr>
          <w:p>
            <w:pPr>
              <w:spacing w:after="0"/>
              <w:rPr>
                <w:sz w:val="15"/>
                <w:szCs w:val="15"/>
                <w:color w:val="auto"/>
              </w:rPr>
            </w:pPr>
          </w:p>
        </w:tc>
        <w:tc>
          <w:tcPr>
            <w:tcW w:w="1080" w:type="dxa"/>
            <w:vAlign w:val="bottom"/>
            <w:tcBorders>
              <w:bottom w:val="single" w:sz="8" w:color="2C6937"/>
            </w:tcBorders>
            <w:gridSpan w:val="4"/>
          </w:tcPr>
          <w:p>
            <w:pPr>
              <w:jc w:val="center"/>
              <w:spacing w:after="0"/>
              <w:rPr>
                <w:sz w:val="20"/>
                <w:szCs w:val="20"/>
                <w:color w:val="auto"/>
              </w:rPr>
            </w:pPr>
            <w:r>
              <w:rPr>
                <w:rFonts w:ascii="Arial" w:cs="Arial" w:eastAsia="Arial" w:hAnsi="Arial"/>
                <w:sz w:val="14"/>
                <w:szCs w:val="14"/>
                <w:b w:val="1"/>
                <w:bCs w:val="1"/>
                <w:color w:val="auto"/>
                <w:w w:val="96"/>
              </w:rPr>
              <w:t>Losses in AOCI</w:t>
            </w:r>
          </w:p>
        </w:tc>
        <w:tc>
          <w:tcPr>
            <w:tcW w:w="100" w:type="dxa"/>
            <w:vAlign w:val="bottom"/>
          </w:tcPr>
          <w:p>
            <w:pPr>
              <w:spacing w:after="0"/>
              <w:rPr>
                <w:sz w:val="15"/>
                <w:szCs w:val="15"/>
                <w:color w:val="auto"/>
              </w:rPr>
            </w:pPr>
          </w:p>
        </w:tc>
        <w:tc>
          <w:tcPr>
            <w:tcW w:w="760" w:type="dxa"/>
            <w:vAlign w:val="bottom"/>
            <w:tcBorders>
              <w:bottom w:val="single" w:sz="8" w:color="2C6937"/>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Borders>
              <w:bottom w:val="single" w:sz="8" w:color="2C6937"/>
            </w:tcBorders>
            <w:gridSpan w:val="4"/>
          </w:tcPr>
          <w:p>
            <w:pPr>
              <w:jc w:val="center"/>
              <w:spacing w:after="0"/>
              <w:rPr>
                <w:sz w:val="20"/>
                <w:szCs w:val="20"/>
                <w:color w:val="auto"/>
              </w:rPr>
            </w:pPr>
            <w:r>
              <w:rPr>
                <w:rFonts w:ascii="Arial" w:cs="Arial" w:eastAsia="Arial" w:hAnsi="Arial"/>
                <w:sz w:val="14"/>
                <w:szCs w:val="14"/>
                <w:b w:val="1"/>
                <w:bCs w:val="1"/>
                <w:color w:val="auto"/>
                <w:w w:val="98"/>
              </w:rPr>
              <w:t>Losses in AOCI</w:t>
            </w:r>
          </w:p>
        </w:tc>
        <w:tc>
          <w:tcPr>
            <w:tcW w:w="120" w:type="dxa"/>
            <w:vAlign w:val="bottom"/>
          </w:tcPr>
          <w:p>
            <w:pPr>
              <w:spacing w:after="0"/>
              <w:rPr>
                <w:sz w:val="15"/>
                <w:szCs w:val="15"/>
                <w:color w:val="auto"/>
              </w:rPr>
            </w:pPr>
          </w:p>
        </w:tc>
        <w:tc>
          <w:tcPr>
            <w:tcW w:w="20" w:type="dxa"/>
            <w:vAlign w:val="bottom"/>
            <w:tcBorders>
              <w:bottom w:val="single" w:sz="8" w:color="2C6937"/>
            </w:tcBorders>
          </w:tcPr>
          <w:p>
            <w:pPr>
              <w:spacing w:after="0"/>
              <w:rPr>
                <w:sz w:val="15"/>
                <w:szCs w:val="15"/>
                <w:color w:val="auto"/>
              </w:rPr>
            </w:pPr>
          </w:p>
        </w:tc>
        <w:tc>
          <w:tcPr>
            <w:tcW w:w="740" w:type="dxa"/>
            <w:vAlign w:val="bottom"/>
            <w:tcBorders>
              <w:bottom w:val="single" w:sz="8" w:color="2C6937"/>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bottom w:val="single" w:sz="8" w:color="2C6937"/>
            </w:tcBorders>
            <w:gridSpan w:val="4"/>
          </w:tcPr>
          <w:p>
            <w:pPr>
              <w:jc w:val="center"/>
              <w:spacing w:after="0"/>
              <w:rPr>
                <w:sz w:val="20"/>
                <w:szCs w:val="20"/>
                <w:color w:val="auto"/>
              </w:rPr>
            </w:pPr>
            <w:r>
              <w:rPr>
                <w:rFonts w:ascii="Arial" w:cs="Arial" w:eastAsia="Arial" w:hAnsi="Arial"/>
                <w:sz w:val="14"/>
                <w:szCs w:val="14"/>
                <w:b w:val="1"/>
                <w:bCs w:val="1"/>
                <w:color w:val="auto"/>
                <w:w w:val="96"/>
              </w:rPr>
              <w:t>Losses in AOCI</w:t>
            </w:r>
          </w:p>
        </w:tc>
        <w:tc>
          <w:tcPr>
            <w:tcW w:w="80" w:type="dxa"/>
            <w:vAlign w:val="bottom"/>
          </w:tcPr>
          <w:p>
            <w:pPr>
              <w:spacing w:after="0"/>
              <w:rPr>
                <w:sz w:val="15"/>
                <w:szCs w:val="15"/>
                <w:color w:val="auto"/>
              </w:rPr>
            </w:pPr>
          </w:p>
        </w:tc>
        <w:tc>
          <w:tcPr>
            <w:tcW w:w="760" w:type="dxa"/>
            <w:vAlign w:val="bottom"/>
            <w:tcBorders>
              <w:bottom w:val="single" w:sz="8" w:color="2C6937"/>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Borders>
              <w:bottom w:val="single" w:sz="8" w:color="2C6937"/>
            </w:tcBorders>
            <w:gridSpan w:val="4"/>
          </w:tcPr>
          <w:p>
            <w:pPr>
              <w:jc w:val="center"/>
              <w:ind w:right="20"/>
              <w:spacing w:after="0"/>
              <w:rPr>
                <w:sz w:val="20"/>
                <w:szCs w:val="20"/>
                <w:color w:val="auto"/>
              </w:rPr>
            </w:pPr>
            <w:r>
              <w:rPr>
                <w:rFonts w:ascii="Arial" w:cs="Arial" w:eastAsia="Arial" w:hAnsi="Arial"/>
                <w:sz w:val="14"/>
                <w:szCs w:val="14"/>
                <w:b w:val="1"/>
                <w:bCs w:val="1"/>
                <w:color w:val="auto"/>
                <w:w w:val="98"/>
              </w:rPr>
              <w:t>Losses in AOCI</w:t>
            </w:r>
          </w:p>
        </w:tc>
        <w:tc>
          <w:tcPr>
            <w:tcW w:w="80" w:type="dxa"/>
            <w:vAlign w:val="bottom"/>
          </w:tcPr>
          <w:p>
            <w:pPr>
              <w:spacing w:after="0"/>
              <w:rPr>
                <w:sz w:val="15"/>
                <w:szCs w:val="15"/>
                <w:color w:val="auto"/>
              </w:rPr>
            </w:pPr>
          </w:p>
        </w:tc>
        <w:tc>
          <w:tcPr>
            <w:tcW w:w="760" w:type="dxa"/>
            <w:vAlign w:val="bottom"/>
            <w:tcBorders>
              <w:bottom w:val="single" w:sz="8" w:color="2C6937"/>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98"/>
              </w:rPr>
              <w:t>(Dollars in millions)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80" w:type="dxa"/>
            <w:vAlign w:val="bottom"/>
          </w:tcPr>
          <w:p>
            <w:pPr>
              <w:ind w:left="20"/>
              <w:spacing w:after="0"/>
              <w:rPr>
                <w:sz w:val="20"/>
                <w:szCs w:val="20"/>
                <w:color w:val="auto"/>
              </w:rPr>
            </w:pPr>
            <w:r>
              <w:rPr>
                <w:rFonts w:ascii="Arial" w:cs="Arial" w:eastAsia="Arial" w:hAnsi="Arial"/>
                <w:sz w:val="15"/>
                <w:szCs w:val="15"/>
                <w:color w:val="auto"/>
              </w:rPr>
              <w:t>Agency securities</w:t>
            </w:r>
          </w:p>
        </w:tc>
        <w:tc>
          <w:tcPr>
            <w:tcW w:w="30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jc w:val="center"/>
              <w:ind w:left="206"/>
              <w:spacing w:after="0"/>
              <w:rPr>
                <w:sz w:val="20"/>
                <w:szCs w:val="20"/>
                <w:color w:val="auto"/>
              </w:rPr>
            </w:pPr>
            <w:r>
              <w:rPr>
                <w:rFonts w:ascii="Arial" w:cs="Arial" w:eastAsia="Arial" w:hAnsi="Arial"/>
                <w:sz w:val="15"/>
                <w:szCs w:val="15"/>
                <w:b w:val="1"/>
                <w:bCs w:val="1"/>
                <w:color w:val="auto"/>
              </w:rPr>
              <w:t>(14)</w:t>
            </w:r>
          </w:p>
        </w:tc>
        <w:tc>
          <w:tcPr>
            <w:tcW w:w="140" w:type="dxa"/>
            <w:vAlign w:val="bottom"/>
          </w:tcPr>
          <w:p>
            <w:pPr>
              <w:spacing w:after="0"/>
              <w:rPr>
                <w:sz w:val="17"/>
                <w:szCs w:val="17"/>
                <w:color w:val="auto"/>
              </w:rPr>
            </w:pPr>
          </w:p>
        </w:tc>
        <w:tc>
          <w:tcPr>
            <w:tcW w:w="340" w:type="dxa"/>
            <w:vAlign w:val="bottom"/>
            <w:gridSpan w:val="2"/>
          </w:tcPr>
          <w:p>
            <w:pPr>
              <w:jc w:val="right"/>
              <w:ind w:right="67"/>
              <w:spacing w:after="0"/>
              <w:rPr>
                <w:sz w:val="20"/>
                <w:szCs w:val="20"/>
                <w:color w:val="auto"/>
              </w:rPr>
            </w:pPr>
            <w:r>
              <w:rPr>
                <w:rFonts w:ascii="Arial" w:cs="Arial" w:eastAsia="Arial" w:hAnsi="Arial"/>
                <w:sz w:val="15"/>
                <w:szCs w:val="15"/>
                <w:b w:val="1"/>
                <w:bCs w:val="1"/>
                <w:color w:val="auto"/>
              </w:rPr>
              <w:t>$</w:t>
            </w:r>
          </w:p>
        </w:tc>
        <w:tc>
          <w:tcPr>
            <w:tcW w:w="520" w:type="dxa"/>
            <w:vAlign w:val="bottom"/>
          </w:tcPr>
          <w:p>
            <w:pPr>
              <w:jc w:val="right"/>
              <w:spacing w:after="0"/>
              <w:rPr>
                <w:sz w:val="20"/>
                <w:szCs w:val="20"/>
                <w:color w:val="auto"/>
              </w:rPr>
            </w:pPr>
            <w:r>
              <w:rPr>
                <w:rFonts w:ascii="Arial" w:cs="Arial" w:eastAsia="Arial" w:hAnsi="Arial"/>
                <w:sz w:val="15"/>
                <w:szCs w:val="15"/>
                <w:b w:val="1"/>
                <w:bCs w:val="1"/>
                <w:color w:val="auto"/>
              </w:rPr>
              <w:t>157</w:t>
            </w:r>
          </w:p>
        </w:tc>
        <w:tc>
          <w:tcPr>
            <w:tcW w:w="400" w:type="dxa"/>
            <w:vAlign w:val="bottom"/>
            <w:gridSpan w:val="3"/>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ind w:left="420"/>
              <w:spacing w:after="0"/>
              <w:rPr>
                <w:sz w:val="20"/>
                <w:szCs w:val="20"/>
                <w:color w:val="auto"/>
              </w:rPr>
            </w:pPr>
            <w:r>
              <w:rPr>
                <w:rFonts w:ascii="Arial" w:cs="Arial" w:eastAsia="Arial" w:hAnsi="Arial"/>
                <w:sz w:val="15"/>
                <w:szCs w:val="15"/>
                <w:b w:val="1"/>
                <w:bCs w:val="1"/>
                <w:color w:val="auto"/>
              </w:rPr>
              <w:t>(7)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159</w:t>
            </w:r>
          </w:p>
        </w:tc>
        <w:tc>
          <w:tcPr>
            <w:tcW w:w="4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(12)</w:t>
            </w:r>
          </w:p>
        </w:tc>
        <w:tc>
          <w:tcPr>
            <w:tcW w:w="14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161</w:t>
            </w:r>
          </w:p>
        </w:tc>
        <w:tc>
          <w:tcPr>
            <w:tcW w:w="4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center"/>
              <w:ind w:left="226"/>
              <w:spacing w:after="0"/>
              <w:rPr>
                <w:sz w:val="20"/>
                <w:szCs w:val="20"/>
                <w:color w:val="auto"/>
              </w:rPr>
            </w:pPr>
            <w:r>
              <w:rPr>
                <w:rFonts w:ascii="Arial" w:cs="Arial" w:eastAsia="Arial" w:hAnsi="Arial"/>
                <w:sz w:val="15"/>
                <w:szCs w:val="15"/>
                <w:color w:val="auto"/>
              </w:rPr>
              <w:t>(10)</w:t>
            </w:r>
          </w:p>
        </w:tc>
        <w:tc>
          <w:tcPr>
            <w:tcW w:w="160" w:type="dxa"/>
            <w:vAlign w:val="bottom"/>
          </w:tcPr>
          <w:p>
            <w:pPr>
              <w:spacing w:after="0"/>
              <w:rPr>
                <w:sz w:val="17"/>
                <w:szCs w:val="17"/>
                <w:color w:val="auto"/>
              </w:rPr>
            </w:pPr>
          </w:p>
        </w:tc>
        <w:tc>
          <w:tcPr>
            <w:tcW w:w="340" w:type="dxa"/>
            <w:vAlign w:val="bottom"/>
            <w:gridSpan w:val="2"/>
          </w:tcPr>
          <w:p>
            <w:pPr>
              <w:jc w:val="right"/>
              <w:ind w:right="91"/>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159</w:t>
            </w:r>
          </w:p>
        </w:tc>
        <w:tc>
          <w:tcPr>
            <w:tcW w:w="0" w:type="dxa"/>
            <w:vAlign w:val="bottom"/>
          </w:tcPr>
          <w:p>
            <w:pPr>
              <w:spacing w:after="0"/>
              <w:rPr>
                <w:sz w:val="1"/>
                <w:szCs w:val="1"/>
                <w:color w:val="auto"/>
              </w:rPr>
            </w:pPr>
          </w:p>
        </w:tc>
      </w:tr>
      <w:tr>
        <w:trPr>
          <w:trHeight w:val="210"/>
        </w:trPr>
        <w:tc>
          <w:tcPr>
            <w:tcW w:w="31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Other mortgage-related securities</w:t>
            </w:r>
          </w:p>
        </w:tc>
        <w:tc>
          <w:tcPr>
            <w:tcW w:w="14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center"/>
              <w:ind w:left="246"/>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ind w:left="420"/>
              <w:spacing w:after="0"/>
              <w:rPr>
                <w:sz w:val="20"/>
                <w:szCs w:val="20"/>
                <w:color w:val="auto"/>
              </w:rPr>
            </w:pPr>
            <w:r>
              <w:rPr>
                <w:rFonts w:ascii="Arial" w:cs="Arial" w:eastAsia="Arial" w:hAnsi="Arial"/>
                <w:sz w:val="15"/>
                <w:szCs w:val="15"/>
                <w:b w:val="1"/>
                <w:bCs w:val="1"/>
                <w:color w:val="auto"/>
              </w:rPr>
              <w:t>—</w:t>
            </w:r>
          </w:p>
        </w:tc>
        <w:tc>
          <w:tcPr>
            <w:tcW w:w="260" w:type="dxa"/>
            <w:vAlign w:val="bottom"/>
            <w:gridSpan w:val="2"/>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620" w:type="dxa"/>
            <w:vAlign w:val="bottom"/>
            <w:tcBorders>
              <w:bottom w:val="single" w:sz="8" w:color="2C6937"/>
            </w:tcBorders>
          </w:tcPr>
          <w:p>
            <w:pPr>
              <w:jc w:val="center"/>
              <w:ind w:left="266"/>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3180" w:type="dxa"/>
            <w:vAlign w:val="bottom"/>
          </w:tcPr>
          <w:p>
            <w:pPr>
              <w:ind w:left="100"/>
              <w:spacing w:after="0"/>
              <w:rPr>
                <w:sz w:val="20"/>
                <w:szCs w:val="20"/>
                <w:color w:val="auto"/>
              </w:rPr>
            </w:pPr>
            <w:r>
              <w:rPr>
                <w:rFonts w:ascii="Arial" w:cs="Arial" w:eastAsia="Arial" w:hAnsi="Arial"/>
                <w:sz w:val="15"/>
                <w:szCs w:val="15"/>
                <w:color w:val="auto"/>
              </w:rPr>
              <w:t>Total</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jc w:val="center"/>
              <w:ind w:left="206"/>
              <w:spacing w:after="0"/>
              <w:rPr>
                <w:sz w:val="20"/>
                <w:szCs w:val="20"/>
                <w:color w:val="auto"/>
              </w:rPr>
            </w:pPr>
            <w:r>
              <w:rPr>
                <w:rFonts w:ascii="Arial" w:cs="Arial" w:eastAsia="Arial" w:hAnsi="Arial"/>
                <w:sz w:val="15"/>
                <w:szCs w:val="15"/>
                <w:b w:val="1"/>
                <w:bCs w:val="1"/>
                <w:color w:val="auto"/>
              </w:rPr>
              <w:t>(14)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520" w:type="dxa"/>
            <w:vAlign w:val="bottom"/>
          </w:tcPr>
          <w:p>
            <w:pPr>
              <w:jc w:val="right"/>
              <w:spacing w:after="0"/>
              <w:rPr>
                <w:sz w:val="20"/>
                <w:szCs w:val="20"/>
                <w:color w:val="auto"/>
              </w:rPr>
            </w:pPr>
            <w:r>
              <w:rPr>
                <w:rFonts w:ascii="Arial" w:cs="Arial" w:eastAsia="Arial" w:hAnsi="Arial"/>
                <w:sz w:val="15"/>
                <w:szCs w:val="15"/>
                <w:b w:val="1"/>
                <w:bCs w:val="1"/>
                <w:color w:val="auto"/>
              </w:rPr>
              <w:t>157</w:t>
            </w:r>
          </w:p>
        </w:tc>
        <w:tc>
          <w:tcPr>
            <w:tcW w:w="260" w:type="dxa"/>
            <w:vAlign w:val="bottom"/>
            <w:gridSpan w:val="2"/>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640" w:type="dxa"/>
            <w:vAlign w:val="bottom"/>
          </w:tcPr>
          <w:p>
            <w:pPr>
              <w:ind w:left="420"/>
              <w:spacing w:after="0"/>
              <w:rPr>
                <w:sz w:val="20"/>
                <w:szCs w:val="20"/>
                <w:color w:val="auto"/>
              </w:rPr>
            </w:pPr>
            <w:r>
              <w:rPr>
                <w:rFonts w:ascii="Arial" w:cs="Arial" w:eastAsia="Arial" w:hAnsi="Arial"/>
                <w:sz w:val="15"/>
                <w:szCs w:val="15"/>
                <w:b w:val="1"/>
                <w:bCs w:val="1"/>
                <w:color w:val="auto"/>
              </w:rPr>
              <w:t>(7)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159</w:t>
            </w:r>
          </w:p>
        </w:tc>
        <w:tc>
          <w:tcPr>
            <w:tcW w:w="4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(13)</w:t>
            </w:r>
          </w:p>
        </w:tc>
        <w:tc>
          <w:tcPr>
            <w:tcW w:w="14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169</w:t>
            </w:r>
          </w:p>
        </w:tc>
        <w:tc>
          <w:tcPr>
            <w:tcW w:w="4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center"/>
              <w:ind w:left="226"/>
              <w:spacing w:after="0"/>
              <w:rPr>
                <w:sz w:val="20"/>
                <w:szCs w:val="20"/>
                <w:color w:val="auto"/>
              </w:rPr>
            </w:pPr>
            <w:r>
              <w:rPr>
                <w:rFonts w:ascii="Arial" w:cs="Arial" w:eastAsia="Arial" w:hAnsi="Arial"/>
                <w:sz w:val="15"/>
                <w:szCs w:val="15"/>
                <w:color w:val="auto"/>
              </w:rPr>
              <w:t>(10)</w:t>
            </w:r>
          </w:p>
        </w:tc>
        <w:tc>
          <w:tcPr>
            <w:tcW w:w="160" w:type="dxa"/>
            <w:vAlign w:val="bottom"/>
          </w:tcPr>
          <w:p>
            <w:pPr>
              <w:spacing w:after="0"/>
              <w:rPr>
                <w:sz w:val="17"/>
                <w:szCs w:val="17"/>
                <w:color w:val="auto"/>
              </w:rPr>
            </w:pPr>
          </w:p>
        </w:tc>
        <w:tc>
          <w:tcPr>
            <w:tcW w:w="340" w:type="dxa"/>
            <w:vAlign w:val="bottom"/>
            <w:gridSpan w:val="2"/>
          </w:tcPr>
          <w:p>
            <w:pPr>
              <w:jc w:val="right"/>
              <w:ind w:right="91"/>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159</w:t>
            </w:r>
          </w:p>
        </w:tc>
        <w:tc>
          <w:tcPr>
            <w:tcW w:w="0" w:type="dxa"/>
            <w:vAlign w:val="bottom"/>
          </w:tcPr>
          <w:p>
            <w:pPr>
              <w:spacing w:after="0"/>
              <w:rPr>
                <w:sz w:val="1"/>
                <w:szCs w:val="1"/>
                <w:color w:val="auto"/>
              </w:rPr>
            </w:pPr>
          </w:p>
        </w:tc>
      </w:tr>
      <w:tr>
        <w:trPr>
          <w:trHeight w:val="20"/>
        </w:trPr>
        <w:tc>
          <w:tcPr>
            <w:tcW w:w="318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5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60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50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ind w:right="220"/>
        <w:spacing w:after="0" w:line="283" w:lineRule="auto"/>
        <w:rPr>
          <w:sz w:val="20"/>
          <w:szCs w:val="20"/>
          <w:color w:val="auto"/>
        </w:rPr>
      </w:pPr>
      <w:r>
        <w:rPr>
          <w:rFonts w:ascii="Arial" w:cs="Arial" w:eastAsia="Arial" w:hAnsi="Arial"/>
          <w:sz w:val="16"/>
          <w:szCs w:val="16"/>
          <w:color w:val="auto"/>
        </w:rPr>
        <w:t>There were no sales of AFS securities in the first half of 2023 or the first half of 2022. As a result, no gross realized gains (losses) or proceeds from sales were recognized in either period.</w:t>
      </w:r>
    </w:p>
    <w:p>
      <w:pPr>
        <w:spacing w:after="0" w:line="43" w:lineRule="exact"/>
        <w:rPr>
          <w:sz w:val="20"/>
          <w:szCs w:val="20"/>
          <w:color w:val="auto"/>
        </w:rPr>
      </w:pPr>
    </w:p>
    <w:p>
      <w:pPr>
        <w:ind w:right="220"/>
        <w:spacing w:after="0" w:line="283" w:lineRule="auto"/>
        <w:rPr>
          <w:sz w:val="20"/>
          <w:szCs w:val="20"/>
          <w:color w:val="auto"/>
        </w:rPr>
      </w:pPr>
      <w:r>
        <w:rPr>
          <w:rFonts w:ascii="Arial" w:cs="Arial" w:eastAsia="Arial" w:hAnsi="Arial"/>
          <w:sz w:val="16"/>
          <w:szCs w:val="16"/>
          <w:color w:val="auto"/>
        </w:rPr>
        <w:t>The following table displays net unrealized gains and losses on AFS securities and other amounts recorded within our accumulated other comprehensive income, net of tax.</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gridSpan w:val="3"/>
          </w:tcPr>
          <w:p>
            <w:pPr>
              <w:jc w:val="right"/>
              <w:ind w:right="80"/>
              <w:spacing w:after="0"/>
              <w:rPr>
                <w:sz w:val="20"/>
                <w:szCs w:val="20"/>
                <w:color w:val="auto"/>
              </w:rPr>
            </w:pPr>
            <w:r>
              <w:rPr>
                <w:rFonts w:ascii="Arial" w:cs="Arial" w:eastAsia="Arial" w:hAnsi="Arial"/>
                <w:sz w:val="14"/>
                <w:szCs w:val="14"/>
                <w:b w:val="1"/>
                <w:bCs w:val="1"/>
                <w:color w:val="auto"/>
              </w:rPr>
              <w:t>As of</w:t>
            </w:r>
          </w:p>
        </w:tc>
        <w:tc>
          <w:tcPr>
            <w:tcW w:w="1620" w:type="dxa"/>
            <w:vAlign w:val="bottom"/>
            <w:tcBorders>
              <w:bottom w:val="single" w:sz="8" w:color="2C6937"/>
            </w:tcBorders>
          </w:tcPr>
          <w:p>
            <w:pPr>
              <w:spacing w:after="0"/>
              <w:rPr>
                <w:sz w:val="16"/>
                <w:szCs w:val="16"/>
                <w:color w:val="auto"/>
              </w:rPr>
            </w:pPr>
          </w:p>
        </w:tc>
      </w:tr>
      <w:tr>
        <w:trPr>
          <w:trHeight w:val="200"/>
        </w:trPr>
        <w:tc>
          <w:tcPr>
            <w:tcW w:w="7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Borders>
              <w:bottom w:val="single" w:sz="8" w:color="2C6937"/>
            </w:tcBorders>
          </w:tcPr>
          <w:p>
            <w:pPr>
              <w:jc w:val="right"/>
              <w:ind w:right="47"/>
              <w:spacing w:after="0"/>
              <w:rPr>
                <w:sz w:val="20"/>
                <w:szCs w:val="20"/>
                <w:color w:val="auto"/>
              </w:rPr>
            </w:pPr>
            <w:r>
              <w:rPr>
                <w:rFonts w:ascii="Arial" w:cs="Arial" w:eastAsia="Arial" w:hAnsi="Arial"/>
                <w:sz w:val="14"/>
                <w:szCs w:val="14"/>
                <w:b w:val="1"/>
                <w:bCs w:val="1"/>
                <w:color w:val="auto"/>
              </w:rPr>
              <w:t>June 30, 2023</w:t>
            </w:r>
          </w:p>
        </w:tc>
        <w:tc>
          <w:tcPr>
            <w:tcW w:w="36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620" w:type="dxa"/>
            <w:vAlign w:val="bottom"/>
            <w:tcBorders>
              <w:bottom w:val="single" w:sz="8" w:color="2C6937"/>
            </w:tcBorders>
          </w:tcPr>
          <w:p>
            <w:pPr>
              <w:ind w:left="100"/>
              <w:spacing w:after="0"/>
              <w:rPr>
                <w:sz w:val="20"/>
                <w:szCs w:val="20"/>
                <w:color w:val="auto"/>
              </w:rPr>
            </w:pPr>
            <w:r>
              <w:rPr>
                <w:rFonts w:ascii="Arial" w:cs="Arial" w:eastAsia="Arial" w:hAnsi="Arial"/>
                <w:sz w:val="14"/>
                <w:szCs w:val="14"/>
                <w:b w:val="1"/>
                <w:bCs w:val="1"/>
                <w:color w:val="auto"/>
              </w:rPr>
              <w:t>December 31, 2022</w:t>
            </w:r>
          </w:p>
        </w:tc>
      </w:tr>
      <w:tr>
        <w:trPr>
          <w:trHeight w:val="236"/>
        </w:trPr>
        <w:tc>
          <w:tcPr>
            <w:tcW w:w="7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60" w:type="dxa"/>
            <w:vAlign w:val="bottom"/>
            <w:gridSpan w:val="5"/>
          </w:tcPr>
          <w:p>
            <w:pPr>
              <w:ind w:left="1240"/>
              <w:spacing w:after="0"/>
              <w:rPr>
                <w:sz w:val="20"/>
                <w:szCs w:val="20"/>
                <w:color w:val="auto"/>
              </w:rPr>
            </w:pPr>
            <w:r>
              <w:rPr>
                <w:rFonts w:ascii="Arial" w:cs="Arial" w:eastAsia="Arial" w:hAnsi="Arial"/>
                <w:sz w:val="14"/>
                <w:szCs w:val="14"/>
                <w:b w:val="1"/>
                <w:bCs w:val="1"/>
                <w:color w:val="auto"/>
              </w:rPr>
              <w:t>(Dollars in millions)</w:t>
            </w:r>
          </w:p>
        </w:tc>
      </w:tr>
      <w:tr>
        <w:trPr>
          <w:trHeight w:val="174"/>
        </w:trPr>
        <w:tc>
          <w:tcPr>
            <w:tcW w:w="7480" w:type="dxa"/>
            <w:vAlign w:val="bottom"/>
            <w:gridSpan w:val="2"/>
          </w:tcPr>
          <w:p>
            <w:pPr>
              <w:ind w:left="20"/>
              <w:spacing w:after="0"/>
              <w:rPr>
                <w:sz w:val="20"/>
                <w:szCs w:val="20"/>
                <w:color w:val="auto"/>
              </w:rPr>
            </w:pPr>
            <w:r>
              <w:rPr>
                <w:rFonts w:ascii="Arial" w:cs="Arial" w:eastAsia="Arial" w:hAnsi="Arial"/>
                <w:sz w:val="15"/>
                <w:szCs w:val="15"/>
                <w:color w:val="auto"/>
              </w:rPr>
              <w:t>Net unrealized gains (losses) on AFS securities for which we have not recorded an allowance for credit</w:t>
            </w:r>
          </w:p>
        </w:tc>
        <w:tc>
          <w:tcPr>
            <w:tcW w:w="1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24"/>
        </w:trPr>
        <w:tc>
          <w:tcPr>
            <w:tcW w:w="7480" w:type="dxa"/>
            <w:vAlign w:val="bottom"/>
            <w:gridSpan w:val="2"/>
          </w:tcPr>
          <w:p>
            <w:pPr>
              <w:ind w:left="180"/>
              <w:spacing w:after="0"/>
              <w:rPr>
                <w:sz w:val="20"/>
                <w:szCs w:val="20"/>
                <w:color w:val="auto"/>
              </w:rPr>
            </w:pPr>
            <w:r>
              <w:rPr>
                <w:rFonts w:ascii="Arial" w:cs="Arial" w:eastAsia="Arial" w:hAnsi="Arial"/>
                <w:sz w:val="15"/>
                <w:szCs w:val="15"/>
                <w:color w:val="auto"/>
              </w:rPr>
              <w:t>losses</w:t>
            </w:r>
          </w:p>
        </w:tc>
        <w:tc>
          <w:tcPr>
            <w:tcW w:w="1480" w:type="dxa"/>
            <w:vAlign w:val="bottom"/>
          </w:tcPr>
          <w:p>
            <w:pPr>
              <w:jc w:val="right"/>
              <w:ind w:right="1307"/>
              <w:spacing w:after="0"/>
              <w:rPr>
                <w:sz w:val="20"/>
                <w:szCs w:val="20"/>
                <w:color w:val="auto"/>
              </w:rPr>
            </w:pPr>
            <w:r>
              <w:rPr>
                <w:rFonts w:ascii="Arial" w:cs="Arial" w:eastAsia="Arial" w:hAnsi="Arial"/>
                <w:sz w:val="15"/>
                <w:szCs w:val="15"/>
                <w:b w:val="1"/>
                <w:bCs w:val="1"/>
                <w:color w:val="auto"/>
                <w:w w:val="95"/>
              </w:rPr>
              <w:t>$</w:t>
            </w:r>
          </w:p>
        </w:tc>
        <w:tc>
          <w:tcPr>
            <w:tcW w:w="360" w:type="dxa"/>
            <w:vAlign w:val="bottom"/>
          </w:tcPr>
          <w:p>
            <w:pPr>
              <w:jc w:val="right"/>
              <w:spacing w:after="0"/>
              <w:rPr>
                <w:sz w:val="20"/>
                <w:szCs w:val="20"/>
                <w:color w:val="auto"/>
              </w:rPr>
            </w:pPr>
            <w:r>
              <w:rPr>
                <w:rFonts w:ascii="Arial" w:cs="Arial" w:eastAsia="Arial" w:hAnsi="Arial"/>
                <w:sz w:val="15"/>
                <w:szCs w:val="15"/>
                <w:b w:val="1"/>
                <w:bCs w:val="1"/>
                <w:color w:val="auto"/>
              </w:rPr>
              <w:t>(9)</w:t>
            </w:r>
          </w:p>
        </w:tc>
        <w:tc>
          <w:tcPr>
            <w:tcW w:w="3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620" w:type="dxa"/>
            <w:vAlign w:val="bottom"/>
          </w:tcPr>
          <w:p>
            <w:pPr>
              <w:jc w:val="center"/>
              <w:ind w:left="1225"/>
              <w:spacing w:after="0"/>
              <w:rPr>
                <w:sz w:val="20"/>
                <w:szCs w:val="20"/>
                <w:color w:val="auto"/>
              </w:rPr>
            </w:pPr>
            <w:r>
              <w:rPr>
                <w:rFonts w:ascii="Arial" w:cs="Arial" w:eastAsia="Arial" w:hAnsi="Arial"/>
                <w:sz w:val="15"/>
                <w:szCs w:val="15"/>
                <w:color w:val="auto"/>
              </w:rPr>
              <w:t>(13)</w:t>
            </w:r>
          </w:p>
        </w:tc>
      </w:tr>
      <w:tr>
        <w:trPr>
          <w:trHeight w:val="210"/>
        </w:trPr>
        <w:tc>
          <w:tcPr>
            <w:tcW w:w="73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Other</w:t>
            </w:r>
          </w:p>
        </w:tc>
        <w:tc>
          <w:tcPr>
            <w:tcW w:w="160" w:type="dxa"/>
            <w:vAlign w:val="bottom"/>
          </w:tcPr>
          <w:p>
            <w:pPr>
              <w:spacing w:after="0"/>
              <w:rPr>
                <w:sz w:val="18"/>
                <w:szCs w:val="18"/>
                <w:color w:val="auto"/>
              </w:rPr>
            </w:pPr>
          </w:p>
        </w:tc>
        <w:tc>
          <w:tcPr>
            <w:tcW w:w="1480" w:type="dxa"/>
            <w:vAlign w:val="bottom"/>
            <w:tcBorders>
              <w:bottom w:val="single" w:sz="8" w:color="2C6937"/>
            </w:tcBorders>
          </w:tcPr>
          <w:p>
            <w:pPr>
              <w:spacing w:after="0"/>
              <w:rPr>
                <w:sz w:val="18"/>
                <w:szCs w:val="18"/>
                <w:color w:val="auto"/>
              </w:rPr>
            </w:pPr>
          </w:p>
        </w:tc>
        <w:tc>
          <w:tcPr>
            <w:tcW w:w="3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b w:val="1"/>
                <w:bCs w:val="1"/>
                <w:color w:val="auto"/>
              </w:rPr>
              <w:t>45</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620" w:type="dxa"/>
            <w:vAlign w:val="bottom"/>
            <w:tcBorders>
              <w:bottom w:val="single" w:sz="8" w:color="2C6937"/>
            </w:tcBorders>
          </w:tcPr>
          <w:p>
            <w:pPr>
              <w:jc w:val="center"/>
              <w:ind w:left="1245"/>
              <w:spacing w:after="0"/>
              <w:rPr>
                <w:sz w:val="20"/>
                <w:szCs w:val="20"/>
                <w:color w:val="auto"/>
              </w:rPr>
            </w:pPr>
            <w:r>
              <w:rPr>
                <w:rFonts w:ascii="Arial" w:cs="Arial" w:eastAsia="Arial" w:hAnsi="Arial"/>
                <w:sz w:val="15"/>
                <w:szCs w:val="15"/>
                <w:color w:val="auto"/>
              </w:rPr>
              <w:t>48</w:t>
            </w:r>
          </w:p>
        </w:tc>
      </w:tr>
      <w:tr>
        <w:trPr>
          <w:trHeight w:val="225"/>
        </w:trPr>
        <w:tc>
          <w:tcPr>
            <w:tcW w:w="7480" w:type="dxa"/>
            <w:vAlign w:val="bottom"/>
            <w:gridSpan w:val="2"/>
          </w:tcPr>
          <w:p>
            <w:pPr>
              <w:ind w:left="140"/>
              <w:spacing w:after="0"/>
              <w:rPr>
                <w:sz w:val="20"/>
                <w:szCs w:val="20"/>
                <w:color w:val="auto"/>
              </w:rPr>
            </w:pPr>
            <w:r>
              <w:rPr>
                <w:rFonts w:ascii="Arial" w:cs="Arial" w:eastAsia="Arial" w:hAnsi="Arial"/>
                <w:sz w:val="15"/>
                <w:szCs w:val="15"/>
                <w:color w:val="auto"/>
              </w:rPr>
              <w:t>Accumulated other comprehensive income</w:t>
            </w:r>
          </w:p>
        </w:tc>
        <w:tc>
          <w:tcPr>
            <w:tcW w:w="1480" w:type="dxa"/>
            <w:vAlign w:val="bottom"/>
          </w:tcPr>
          <w:p>
            <w:pPr>
              <w:jc w:val="right"/>
              <w:ind w:right="1307"/>
              <w:spacing w:after="0"/>
              <w:rPr>
                <w:sz w:val="20"/>
                <w:szCs w:val="20"/>
                <w:color w:val="auto"/>
              </w:rPr>
            </w:pPr>
            <w:r>
              <w:rPr>
                <w:rFonts w:ascii="Arial" w:cs="Arial" w:eastAsia="Arial" w:hAnsi="Arial"/>
                <w:sz w:val="15"/>
                <w:szCs w:val="15"/>
                <w:b w:val="1"/>
                <w:bCs w:val="1"/>
                <w:color w:val="auto"/>
                <w:w w:val="95"/>
              </w:rPr>
              <w:t>$</w:t>
            </w:r>
          </w:p>
        </w:tc>
        <w:tc>
          <w:tcPr>
            <w:tcW w:w="360" w:type="dxa"/>
            <w:vAlign w:val="bottom"/>
          </w:tcPr>
          <w:p>
            <w:pPr>
              <w:jc w:val="right"/>
              <w:ind w:right="5"/>
              <w:spacing w:after="0"/>
              <w:rPr>
                <w:sz w:val="20"/>
                <w:szCs w:val="20"/>
                <w:color w:val="auto"/>
              </w:rPr>
            </w:pPr>
            <w:r>
              <w:rPr>
                <w:rFonts w:ascii="Arial" w:cs="Arial" w:eastAsia="Arial" w:hAnsi="Arial"/>
                <w:sz w:val="15"/>
                <w:szCs w:val="15"/>
                <w:b w:val="1"/>
                <w:bCs w:val="1"/>
                <w:color w:val="auto"/>
              </w:rPr>
              <w:t>36</w:t>
            </w:r>
          </w:p>
        </w:tc>
        <w:tc>
          <w:tcPr>
            <w:tcW w:w="3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620" w:type="dxa"/>
            <w:vAlign w:val="bottom"/>
          </w:tcPr>
          <w:p>
            <w:pPr>
              <w:jc w:val="center"/>
              <w:ind w:left="1245"/>
              <w:spacing w:after="0"/>
              <w:rPr>
                <w:sz w:val="20"/>
                <w:szCs w:val="20"/>
                <w:color w:val="auto"/>
              </w:rPr>
            </w:pPr>
            <w:r>
              <w:rPr>
                <w:rFonts w:ascii="Arial" w:cs="Arial" w:eastAsia="Arial" w:hAnsi="Arial"/>
                <w:sz w:val="15"/>
                <w:szCs w:val="15"/>
                <w:color w:val="auto"/>
              </w:rPr>
              <w:t>35</w:t>
            </w:r>
          </w:p>
        </w:tc>
      </w:tr>
      <w:tr>
        <w:trPr>
          <w:trHeight w:val="20"/>
        </w:trPr>
        <w:tc>
          <w:tcPr>
            <w:tcW w:w="7320" w:type="dxa"/>
            <w:vAlign w:val="bottom"/>
            <w:tcBorders>
              <w:top w:val="single" w:sz="8" w:color="2C6937"/>
              <w:bottom w:val="single" w:sz="8" w:color="2C6937"/>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top w:val="single" w:sz="8" w:color="2C6937"/>
              <w:bottom w:val="single" w:sz="8" w:color="2C6937"/>
            </w:tcBorders>
          </w:tcPr>
          <w:p>
            <w:pPr>
              <w:spacing w:after="0" w:line="20" w:lineRule="exact"/>
              <w:rPr>
                <w:sz w:val="1"/>
                <w:szCs w:val="1"/>
                <w:color w:val="auto"/>
              </w:rPr>
            </w:pPr>
          </w:p>
        </w:tc>
        <w:tc>
          <w:tcPr>
            <w:tcW w:w="3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620" w:type="dxa"/>
            <w:vAlign w:val="bottom"/>
            <w:tcBorders>
              <w:top w:val="single" w:sz="8" w:color="2C6937"/>
              <w:bottom w:val="single" w:sz="8" w:color="2C6937"/>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425450</wp:posOffset>
            </wp:positionV>
            <wp:extent cx="681101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94" w:name="page95"/>
    <w:bookmarkEnd w:id="94"/>
    <w:p>
      <w:pPr>
        <w:ind w:left="6080"/>
        <w:spacing w:after="0"/>
        <w:rPr>
          <w:sz w:val="20"/>
          <w:szCs w:val="20"/>
          <w:color w:val="auto"/>
        </w:rPr>
      </w:pPr>
      <w:r>
        <w:rPr>
          <w:rFonts w:ascii="Arial" w:cs="Arial" w:eastAsia="Arial" w:hAnsi="Arial"/>
          <w:sz w:val="14"/>
          <w:szCs w:val="14"/>
          <w:color w:val="05314D"/>
        </w:rPr>
        <w:t>Notes to Condensed Consolidated Financial Statements | Investments in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15875</wp:posOffset>
            </wp:positionV>
            <wp:extent cx="70237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Maturity Information</w:t>
      </w:r>
    </w:p>
    <w:p>
      <w:pPr>
        <w:spacing w:after="0" w:line="82" w:lineRule="exact"/>
        <w:rPr>
          <w:sz w:val="20"/>
          <w:szCs w:val="20"/>
          <w:color w:val="auto"/>
        </w:rPr>
      </w:pPr>
    </w:p>
    <w:p>
      <w:pPr>
        <w:jc w:val="both"/>
        <w:ind w:right="100"/>
        <w:spacing w:after="0" w:line="276" w:lineRule="auto"/>
        <w:rPr>
          <w:sz w:val="20"/>
          <w:szCs w:val="20"/>
          <w:color w:val="auto"/>
        </w:rPr>
      </w:pPr>
      <w:r>
        <w:rPr>
          <w:rFonts w:ascii="Arial" w:cs="Arial" w:eastAsia="Arial" w:hAnsi="Arial"/>
          <w:sz w:val="16"/>
          <w:szCs w:val="16"/>
          <w:color w:val="auto"/>
        </w:rPr>
        <w:t>The following table displays the amortized cost and fair value of our AFS securities by major security type and remaining contractual maturity, assuming no principal prepayments. The contractual maturity of mortgage-backed securities is not a reliable indicator of their expected life because borrowers generally have the right to prepay their obligations at any time.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120" w:type="dxa"/>
            <w:vAlign w:val="bottom"/>
            <w:tcBorders>
              <w:bottom w:val="single" w:sz="8" w:color="2C6937"/>
            </w:tcBorders>
          </w:tcPr>
          <w:p>
            <w:pPr>
              <w:spacing w:after="0"/>
              <w:rPr>
                <w:sz w:val="14"/>
                <w:szCs w:val="14"/>
                <w:color w:val="auto"/>
              </w:rPr>
            </w:pPr>
          </w:p>
        </w:tc>
        <w:tc>
          <w:tcPr>
            <w:tcW w:w="72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120" w:type="dxa"/>
            <w:vAlign w:val="bottom"/>
            <w:tcBorders>
              <w:bottom w:val="single" w:sz="8" w:color="2C6937"/>
            </w:tcBorders>
          </w:tcPr>
          <w:p>
            <w:pPr>
              <w:spacing w:after="0"/>
              <w:rPr>
                <w:sz w:val="14"/>
                <w:szCs w:val="14"/>
                <w:color w:val="auto"/>
              </w:rPr>
            </w:pPr>
          </w:p>
        </w:tc>
        <w:tc>
          <w:tcPr>
            <w:tcW w:w="140" w:type="dxa"/>
            <w:vAlign w:val="bottom"/>
            <w:tcBorders>
              <w:bottom w:val="single" w:sz="8" w:color="2C6937"/>
            </w:tcBorders>
          </w:tcPr>
          <w:p>
            <w:pPr>
              <w:spacing w:after="0"/>
              <w:rPr>
                <w:sz w:val="14"/>
                <w:szCs w:val="14"/>
                <w:color w:val="auto"/>
              </w:rPr>
            </w:pPr>
          </w:p>
        </w:tc>
        <w:tc>
          <w:tcPr>
            <w:tcW w:w="560" w:type="dxa"/>
            <w:vAlign w:val="bottom"/>
            <w:tcBorders>
              <w:bottom w:val="single" w:sz="8" w:color="2C6937"/>
            </w:tcBorders>
          </w:tcPr>
          <w:p>
            <w:pPr>
              <w:spacing w:after="0"/>
              <w:rPr>
                <w:sz w:val="14"/>
                <w:szCs w:val="14"/>
                <w:color w:val="auto"/>
              </w:rPr>
            </w:pPr>
          </w:p>
        </w:tc>
        <w:tc>
          <w:tcPr>
            <w:tcW w:w="12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640" w:type="dxa"/>
            <w:vAlign w:val="bottom"/>
            <w:tcBorders>
              <w:bottom w:val="single" w:sz="8" w:color="2C6937"/>
            </w:tcBorders>
          </w:tcPr>
          <w:p>
            <w:pPr>
              <w:spacing w:after="0"/>
              <w:rPr>
                <w:sz w:val="14"/>
                <w:szCs w:val="14"/>
                <w:color w:val="auto"/>
              </w:rPr>
            </w:pPr>
          </w:p>
        </w:tc>
        <w:tc>
          <w:tcPr>
            <w:tcW w:w="120" w:type="dxa"/>
            <w:vAlign w:val="bottom"/>
            <w:tcBorders>
              <w:bottom w:val="single" w:sz="8" w:color="2C6937"/>
            </w:tcBorders>
          </w:tcPr>
          <w:p>
            <w:pPr>
              <w:spacing w:after="0"/>
              <w:rPr>
                <w:sz w:val="14"/>
                <w:szCs w:val="14"/>
                <w:color w:val="auto"/>
              </w:rPr>
            </w:pPr>
          </w:p>
        </w:tc>
        <w:tc>
          <w:tcPr>
            <w:tcW w:w="12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48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120" w:type="dxa"/>
            <w:vAlign w:val="bottom"/>
            <w:tcBorders>
              <w:bottom w:val="single" w:sz="8" w:color="2C6937"/>
            </w:tcBorders>
          </w:tcPr>
          <w:p>
            <w:pPr>
              <w:spacing w:after="0"/>
              <w:rPr>
                <w:sz w:val="14"/>
                <w:szCs w:val="14"/>
                <w:color w:val="auto"/>
              </w:rPr>
            </w:pPr>
          </w:p>
        </w:tc>
        <w:tc>
          <w:tcPr>
            <w:tcW w:w="1540" w:type="dxa"/>
            <w:vAlign w:val="bottom"/>
            <w:tcBorders>
              <w:bottom w:val="single" w:sz="8" w:color="2C6937"/>
            </w:tcBorders>
            <w:gridSpan w:val="6"/>
          </w:tcPr>
          <w:p>
            <w:pPr>
              <w:ind w:left="80"/>
              <w:spacing w:after="0"/>
              <w:rPr>
                <w:sz w:val="20"/>
                <w:szCs w:val="20"/>
                <w:color w:val="auto"/>
              </w:rPr>
            </w:pPr>
            <w:r>
              <w:rPr>
                <w:rFonts w:ascii="Arial" w:cs="Arial" w:eastAsia="Arial" w:hAnsi="Arial"/>
                <w:sz w:val="12"/>
                <w:szCs w:val="12"/>
                <w:b w:val="1"/>
                <w:bCs w:val="1"/>
                <w:color w:val="auto"/>
              </w:rPr>
              <w:t>As of June 30, 2023</w:t>
            </w:r>
          </w:p>
        </w:tc>
        <w:tc>
          <w:tcPr>
            <w:tcW w:w="10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280" w:type="dxa"/>
            <w:vAlign w:val="bottom"/>
            <w:tcBorders>
              <w:bottom w:val="single" w:sz="8" w:color="2C6937"/>
            </w:tcBorders>
          </w:tcPr>
          <w:p>
            <w:pPr>
              <w:spacing w:after="0"/>
              <w:rPr>
                <w:sz w:val="14"/>
                <w:szCs w:val="14"/>
                <w:color w:val="auto"/>
              </w:rPr>
            </w:pPr>
          </w:p>
        </w:tc>
        <w:tc>
          <w:tcPr>
            <w:tcW w:w="440" w:type="dxa"/>
            <w:vAlign w:val="bottom"/>
            <w:tcBorders>
              <w:bottom w:val="single" w:sz="8" w:color="2C6937"/>
            </w:tcBorders>
          </w:tcPr>
          <w:p>
            <w:pPr>
              <w:spacing w:after="0"/>
              <w:rPr>
                <w:sz w:val="14"/>
                <w:szCs w:val="14"/>
                <w:color w:val="auto"/>
              </w:rPr>
            </w:pPr>
          </w:p>
        </w:tc>
        <w:tc>
          <w:tcPr>
            <w:tcW w:w="120" w:type="dxa"/>
            <w:vAlign w:val="bottom"/>
            <w:tcBorders>
              <w:bottom w:val="single" w:sz="8" w:color="2C6937"/>
            </w:tcBorders>
          </w:tcPr>
          <w:p>
            <w:pPr>
              <w:spacing w:after="0"/>
              <w:rPr>
                <w:sz w:val="14"/>
                <w:szCs w:val="14"/>
                <w:color w:val="auto"/>
              </w:rPr>
            </w:pPr>
          </w:p>
        </w:tc>
        <w:tc>
          <w:tcPr>
            <w:tcW w:w="120" w:type="dxa"/>
            <w:vAlign w:val="bottom"/>
            <w:tcBorders>
              <w:bottom w:val="single" w:sz="8" w:color="2C6937"/>
            </w:tcBorders>
          </w:tcPr>
          <w:p>
            <w:pPr>
              <w:spacing w:after="0"/>
              <w:rPr>
                <w:sz w:val="14"/>
                <w:szCs w:val="14"/>
                <w:color w:val="auto"/>
              </w:rPr>
            </w:pPr>
          </w:p>
        </w:tc>
        <w:tc>
          <w:tcPr>
            <w:tcW w:w="120" w:type="dxa"/>
            <w:vAlign w:val="bottom"/>
            <w:tcBorders>
              <w:bottom w:val="single" w:sz="8" w:color="2C6937"/>
            </w:tcBorders>
          </w:tcPr>
          <w:p>
            <w:pPr>
              <w:spacing w:after="0"/>
              <w:rPr>
                <w:sz w:val="14"/>
                <w:szCs w:val="14"/>
                <w:color w:val="auto"/>
              </w:rPr>
            </w:pPr>
          </w:p>
        </w:tc>
        <w:tc>
          <w:tcPr>
            <w:tcW w:w="460" w:type="dxa"/>
            <w:vAlign w:val="bottom"/>
            <w:tcBorders>
              <w:bottom w:val="single" w:sz="8" w:color="2C6937"/>
            </w:tcBorders>
          </w:tcPr>
          <w:p>
            <w:pPr>
              <w:spacing w:after="0"/>
              <w:rPr>
                <w:sz w:val="14"/>
                <w:szCs w:val="14"/>
                <w:color w:val="auto"/>
              </w:rPr>
            </w:pPr>
          </w:p>
        </w:tc>
        <w:tc>
          <w:tcPr>
            <w:tcW w:w="12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220" w:type="dxa"/>
            <w:vAlign w:val="bottom"/>
            <w:tcBorders>
              <w:bottom w:val="single" w:sz="8" w:color="2C6937"/>
            </w:tcBorders>
          </w:tcPr>
          <w:p>
            <w:pPr>
              <w:spacing w:after="0"/>
              <w:rPr>
                <w:sz w:val="14"/>
                <w:szCs w:val="14"/>
                <w:color w:val="auto"/>
              </w:rPr>
            </w:pPr>
          </w:p>
        </w:tc>
        <w:tc>
          <w:tcPr>
            <w:tcW w:w="50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120" w:type="dxa"/>
            <w:vAlign w:val="bottom"/>
            <w:tcBorders>
              <w:bottom w:val="single" w:sz="8" w:color="2C6937"/>
            </w:tcBorders>
          </w:tcPr>
          <w:p>
            <w:pPr>
              <w:spacing w:after="0"/>
              <w:rPr>
                <w:sz w:val="14"/>
                <w:szCs w:val="14"/>
                <w:color w:val="auto"/>
              </w:rPr>
            </w:pPr>
          </w:p>
        </w:tc>
        <w:tc>
          <w:tcPr>
            <w:tcW w:w="340" w:type="dxa"/>
            <w:vAlign w:val="bottom"/>
            <w:tcBorders>
              <w:bottom w:val="single" w:sz="8" w:color="2C6937"/>
            </w:tcBorders>
          </w:tcPr>
          <w:p>
            <w:pPr>
              <w:spacing w:after="0"/>
              <w:rPr>
                <w:sz w:val="14"/>
                <w:szCs w:val="14"/>
                <w:color w:val="auto"/>
              </w:rPr>
            </w:pPr>
          </w:p>
        </w:tc>
        <w:tc>
          <w:tcPr>
            <w:tcW w:w="360" w:type="dxa"/>
            <w:vAlign w:val="bottom"/>
            <w:tcBorders>
              <w:bottom w:val="single" w:sz="8" w:color="2C6937"/>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5"/>
            <w:vMerge w:val="restart"/>
          </w:tcPr>
          <w:p>
            <w:pPr>
              <w:jc w:val="right"/>
              <w:ind w:right="275"/>
              <w:spacing w:after="0"/>
              <w:rPr>
                <w:sz w:val="20"/>
                <w:szCs w:val="20"/>
                <w:color w:val="auto"/>
              </w:rPr>
            </w:pPr>
            <w:r>
              <w:rPr>
                <w:rFonts w:ascii="Arial" w:cs="Arial" w:eastAsia="Arial" w:hAnsi="Arial"/>
                <w:sz w:val="12"/>
                <w:szCs w:val="12"/>
                <w:b w:val="1"/>
                <w:bCs w:val="1"/>
                <w:color w:val="auto"/>
              </w:rPr>
              <w:t>One Year or Less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6"/>
          </w:tcPr>
          <w:p>
            <w:pPr>
              <w:ind w:left="20"/>
              <w:spacing w:after="0"/>
              <w:rPr>
                <w:sz w:val="20"/>
                <w:szCs w:val="20"/>
                <w:color w:val="auto"/>
              </w:rPr>
            </w:pPr>
            <w:r>
              <w:rPr>
                <w:rFonts w:ascii="Arial" w:cs="Arial" w:eastAsia="Arial" w:hAnsi="Arial"/>
                <w:sz w:val="12"/>
                <w:szCs w:val="12"/>
                <w:b w:val="1"/>
                <w:bCs w:val="1"/>
                <w:color w:val="auto"/>
              </w:rPr>
              <w:t>After One Year Through</w:t>
            </w:r>
          </w:p>
        </w:tc>
        <w:tc>
          <w:tcPr>
            <w:tcW w:w="100" w:type="dxa"/>
            <w:vAlign w:val="bottom"/>
          </w:tcPr>
          <w:p>
            <w:pPr>
              <w:spacing w:after="0"/>
              <w:rPr>
                <w:sz w:val="13"/>
                <w:szCs w:val="13"/>
                <w:color w:val="auto"/>
              </w:rPr>
            </w:pPr>
          </w:p>
        </w:tc>
        <w:tc>
          <w:tcPr>
            <w:tcW w:w="1640" w:type="dxa"/>
            <w:vAlign w:val="bottom"/>
            <w:gridSpan w:val="7"/>
          </w:tcPr>
          <w:p>
            <w:pPr>
              <w:ind w:left="100"/>
              <w:spacing w:after="0"/>
              <w:rPr>
                <w:sz w:val="20"/>
                <w:szCs w:val="20"/>
                <w:color w:val="auto"/>
              </w:rPr>
            </w:pPr>
            <w:r>
              <w:rPr>
                <w:rFonts w:ascii="Arial" w:cs="Arial" w:eastAsia="Arial" w:hAnsi="Arial"/>
                <w:sz w:val="12"/>
                <w:szCs w:val="12"/>
                <w:b w:val="1"/>
                <w:bCs w:val="1"/>
                <w:color w:val="auto"/>
              </w:rPr>
              <w:t>After Five Years Through</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4"/>
            <w:vMerge w:val="restart"/>
          </w:tcPr>
          <w:p>
            <w:pPr>
              <w:jc w:val="right"/>
              <w:ind w:right="20"/>
              <w:spacing w:after="0"/>
              <w:rPr>
                <w:sz w:val="20"/>
                <w:szCs w:val="20"/>
                <w:color w:val="auto"/>
              </w:rPr>
            </w:pPr>
            <w:r>
              <w:rPr>
                <w:rFonts w:ascii="Arial" w:cs="Arial" w:eastAsia="Arial" w:hAnsi="Arial"/>
                <w:sz w:val="12"/>
                <w:szCs w:val="12"/>
                <w:b w:val="1"/>
                <w:bCs w:val="1"/>
                <w:color w:val="auto"/>
              </w:rPr>
              <w:t>After Ten Years</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1460" w:type="dxa"/>
            <w:vAlign w:val="bottom"/>
            <w:tcBorders>
              <w:bottom w:val="single" w:sz="8" w:color="2C6937"/>
            </w:tcBorders>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2C6937"/>
            </w:tcBorders>
          </w:tcPr>
          <w:p>
            <w:pPr>
              <w:spacing w:after="0"/>
              <w:rPr>
                <w:sz w:val="14"/>
                <w:szCs w:val="14"/>
                <w:color w:val="auto"/>
              </w:rPr>
            </w:pPr>
          </w:p>
        </w:tc>
        <w:tc>
          <w:tcPr>
            <w:tcW w:w="240" w:type="dxa"/>
            <w:vAlign w:val="bottom"/>
            <w:tcBorders>
              <w:bottom w:val="single" w:sz="8" w:color="2C6937"/>
            </w:tcBorders>
          </w:tcPr>
          <w:p>
            <w:pPr>
              <w:spacing w:after="0"/>
              <w:rPr>
                <w:sz w:val="14"/>
                <w:szCs w:val="14"/>
                <w:color w:val="auto"/>
              </w:rPr>
            </w:pPr>
          </w:p>
        </w:tc>
        <w:tc>
          <w:tcPr>
            <w:tcW w:w="820" w:type="dxa"/>
            <w:vAlign w:val="bottom"/>
            <w:tcBorders>
              <w:bottom w:val="single" w:sz="8" w:color="2C6937"/>
            </w:tcBorders>
            <w:gridSpan w:val="4"/>
          </w:tcPr>
          <w:p>
            <w:pPr>
              <w:jc w:val="right"/>
              <w:ind w:right="60"/>
              <w:spacing w:after="0"/>
              <w:rPr>
                <w:sz w:val="20"/>
                <w:szCs w:val="20"/>
                <w:color w:val="auto"/>
              </w:rPr>
            </w:pPr>
            <w:r>
              <w:rPr>
                <w:rFonts w:ascii="Arial" w:cs="Arial" w:eastAsia="Arial" w:hAnsi="Arial"/>
                <w:sz w:val="12"/>
                <w:szCs w:val="12"/>
                <w:b w:val="1"/>
                <w:bCs w:val="1"/>
                <w:color w:val="auto"/>
              </w:rPr>
              <w:t>Five Years</w:t>
            </w:r>
          </w:p>
        </w:tc>
        <w:tc>
          <w:tcPr>
            <w:tcW w:w="480" w:type="dxa"/>
            <w:vAlign w:val="bottom"/>
            <w:tcBorders>
              <w:bottom w:val="single" w:sz="8" w:color="2C6937"/>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280" w:type="dxa"/>
            <w:vAlign w:val="bottom"/>
            <w:tcBorders>
              <w:bottom w:val="single" w:sz="8" w:color="2C6937"/>
            </w:tcBorders>
          </w:tcPr>
          <w:p>
            <w:pPr>
              <w:spacing w:after="0"/>
              <w:rPr>
                <w:sz w:val="14"/>
                <w:szCs w:val="14"/>
                <w:color w:val="auto"/>
              </w:rPr>
            </w:pPr>
          </w:p>
        </w:tc>
        <w:tc>
          <w:tcPr>
            <w:tcW w:w="800" w:type="dxa"/>
            <w:vAlign w:val="bottom"/>
            <w:tcBorders>
              <w:bottom w:val="single" w:sz="8" w:color="2C6937"/>
            </w:tcBorders>
            <w:gridSpan w:val="4"/>
          </w:tcPr>
          <w:p>
            <w:pPr>
              <w:jc w:val="right"/>
              <w:ind w:right="80"/>
              <w:spacing w:after="0"/>
              <w:rPr>
                <w:sz w:val="20"/>
                <w:szCs w:val="20"/>
                <w:color w:val="auto"/>
              </w:rPr>
            </w:pPr>
            <w:r>
              <w:rPr>
                <w:rFonts w:ascii="Arial" w:cs="Arial" w:eastAsia="Arial" w:hAnsi="Arial"/>
                <w:sz w:val="12"/>
                <w:szCs w:val="12"/>
                <w:b w:val="1"/>
                <w:bCs w:val="1"/>
                <w:color w:val="auto"/>
              </w:rPr>
              <w:t>Ten Years</w:t>
            </w:r>
          </w:p>
        </w:tc>
        <w:tc>
          <w:tcPr>
            <w:tcW w:w="460" w:type="dxa"/>
            <w:vAlign w:val="bottom"/>
            <w:tcBorders>
              <w:bottom w:val="single" w:sz="8" w:color="2C6937"/>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220" w:type="dxa"/>
            <w:vAlign w:val="bottom"/>
            <w:tcBorders>
              <w:bottom w:val="single" w:sz="8" w:color="2C6937"/>
            </w:tcBorders>
          </w:tcPr>
          <w:p>
            <w:pPr>
              <w:spacing w:after="0"/>
              <w:rPr>
                <w:sz w:val="14"/>
                <w:szCs w:val="14"/>
                <w:color w:val="auto"/>
              </w:rPr>
            </w:pPr>
          </w:p>
        </w:tc>
        <w:tc>
          <w:tcPr>
            <w:tcW w:w="1060" w:type="dxa"/>
            <w:vAlign w:val="bottom"/>
            <w:tcBorders>
              <w:bottom w:val="single" w:sz="8" w:color="2C6937"/>
            </w:tcBorders>
            <w:gridSpan w:val="4"/>
            <w:vMerge w:val="continue"/>
          </w:tcPr>
          <w:p>
            <w:pPr>
              <w:spacing w:after="0"/>
              <w:rPr>
                <w:sz w:val="14"/>
                <w:szCs w:val="14"/>
                <w:color w:val="auto"/>
              </w:rPr>
            </w:pPr>
          </w:p>
        </w:tc>
        <w:tc>
          <w:tcPr>
            <w:tcW w:w="360" w:type="dxa"/>
            <w:vAlign w:val="bottom"/>
            <w:tcBorders>
              <w:bottom w:val="single" w:sz="8" w:color="2C6937"/>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Total Carrying</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7"/>
              </w:rPr>
              <w:t>Total</w:t>
            </w:r>
          </w:p>
        </w:tc>
        <w:tc>
          <w:tcPr>
            <w:tcW w:w="100" w:type="dxa"/>
            <w:vAlign w:val="bottom"/>
          </w:tcPr>
          <w:p>
            <w:pPr>
              <w:spacing w:after="0"/>
              <w:rPr>
                <w:sz w:val="16"/>
                <w:szCs w:val="16"/>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Net Carrying</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vMerge w:val="restart"/>
          </w:tcPr>
          <w:p>
            <w:pPr>
              <w:jc w:val="right"/>
              <w:ind w:right="115"/>
              <w:spacing w:after="0"/>
              <w:rPr>
                <w:sz w:val="20"/>
                <w:szCs w:val="20"/>
                <w:color w:val="auto"/>
              </w:rPr>
            </w:pPr>
            <w:r>
              <w:rPr>
                <w:rFonts w:ascii="Arial" w:cs="Arial" w:eastAsia="Arial" w:hAnsi="Arial"/>
                <w:sz w:val="12"/>
                <w:szCs w:val="12"/>
                <w:b w:val="1"/>
                <w:bCs w:val="1"/>
                <w:color w:val="auto"/>
              </w:rPr>
              <w:t>Fair</w:t>
            </w:r>
          </w:p>
        </w:tc>
        <w:tc>
          <w:tcPr>
            <w:tcW w:w="100" w:type="dxa"/>
            <w:vAlign w:val="bottom"/>
          </w:tcPr>
          <w:p>
            <w:pPr>
              <w:spacing w:after="0"/>
              <w:rPr>
                <w:sz w:val="16"/>
                <w:szCs w:val="16"/>
                <w:color w:val="auto"/>
              </w:rPr>
            </w:pPr>
          </w:p>
        </w:tc>
        <w:tc>
          <w:tcPr>
            <w:tcW w:w="920" w:type="dxa"/>
            <w:vAlign w:val="bottom"/>
            <w:gridSpan w:val="4"/>
            <w:vMerge w:val="restart"/>
          </w:tcPr>
          <w:p>
            <w:pPr>
              <w:ind w:left="100"/>
              <w:spacing w:after="0"/>
              <w:rPr>
                <w:sz w:val="20"/>
                <w:szCs w:val="20"/>
                <w:color w:val="auto"/>
              </w:rPr>
            </w:pPr>
            <w:r>
              <w:rPr>
                <w:rFonts w:ascii="Arial" w:cs="Arial" w:eastAsia="Arial" w:hAnsi="Arial"/>
                <w:sz w:val="12"/>
                <w:szCs w:val="12"/>
                <w:b w:val="1"/>
                <w:bCs w:val="1"/>
                <w:color w:val="auto"/>
              </w:rPr>
              <w:t>Net Carrying</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vMerge w:val="restart"/>
          </w:tcPr>
          <w:p>
            <w:pPr>
              <w:jc w:val="right"/>
              <w:ind w:right="115"/>
              <w:spacing w:after="0"/>
              <w:rPr>
                <w:sz w:val="20"/>
                <w:szCs w:val="20"/>
                <w:color w:val="auto"/>
              </w:rPr>
            </w:pPr>
            <w:r>
              <w:rPr>
                <w:rFonts w:ascii="Arial" w:cs="Arial" w:eastAsia="Arial" w:hAnsi="Arial"/>
                <w:sz w:val="12"/>
                <w:szCs w:val="12"/>
                <w:b w:val="1"/>
                <w:bCs w:val="1"/>
                <w:color w:val="auto"/>
              </w:rPr>
              <w:t>Fair</w:t>
            </w:r>
          </w:p>
        </w:tc>
        <w:tc>
          <w:tcPr>
            <w:tcW w:w="100" w:type="dxa"/>
            <w:vAlign w:val="bottom"/>
          </w:tcPr>
          <w:p>
            <w:pPr>
              <w:spacing w:after="0"/>
              <w:rPr>
                <w:sz w:val="16"/>
                <w:szCs w:val="16"/>
                <w:color w:val="auto"/>
              </w:rPr>
            </w:pPr>
          </w:p>
        </w:tc>
        <w:tc>
          <w:tcPr>
            <w:tcW w:w="940" w:type="dxa"/>
            <w:vAlign w:val="bottom"/>
            <w:gridSpan w:val="4"/>
            <w:vMerge w:val="restart"/>
          </w:tcPr>
          <w:p>
            <w:pPr>
              <w:ind w:left="100"/>
              <w:spacing w:after="0"/>
              <w:rPr>
                <w:sz w:val="20"/>
                <w:szCs w:val="20"/>
                <w:color w:val="auto"/>
              </w:rPr>
            </w:pPr>
            <w:r>
              <w:rPr>
                <w:rFonts w:ascii="Arial" w:cs="Arial" w:eastAsia="Arial" w:hAnsi="Arial"/>
                <w:sz w:val="12"/>
                <w:szCs w:val="12"/>
                <w:b w:val="1"/>
                <w:bCs w:val="1"/>
                <w:color w:val="auto"/>
              </w:rPr>
              <w:t>Net Carrying</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vMerge w:val="restart"/>
          </w:tcPr>
          <w:p>
            <w:pPr>
              <w:jc w:val="right"/>
              <w:ind w:right="115"/>
              <w:spacing w:after="0"/>
              <w:rPr>
                <w:sz w:val="20"/>
                <w:szCs w:val="20"/>
                <w:color w:val="auto"/>
              </w:rPr>
            </w:pPr>
            <w:r>
              <w:rPr>
                <w:rFonts w:ascii="Arial" w:cs="Arial" w:eastAsia="Arial" w:hAnsi="Arial"/>
                <w:sz w:val="12"/>
                <w:szCs w:val="12"/>
                <w:b w:val="1"/>
                <w:bCs w:val="1"/>
                <w:color w:val="auto"/>
              </w:rPr>
              <w:t>Fair</w:t>
            </w:r>
          </w:p>
        </w:tc>
        <w:tc>
          <w:tcPr>
            <w:tcW w:w="120" w:type="dxa"/>
            <w:vAlign w:val="bottom"/>
          </w:tcPr>
          <w:p>
            <w:pPr>
              <w:spacing w:after="0"/>
              <w:rPr>
                <w:sz w:val="16"/>
                <w:szCs w:val="16"/>
                <w:color w:val="auto"/>
              </w:rPr>
            </w:pPr>
          </w:p>
        </w:tc>
        <w:tc>
          <w:tcPr>
            <w:tcW w:w="92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w w:val="99"/>
              </w:rPr>
              <w:t>Net Carrying</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center"/>
              <w:ind w:right="260"/>
              <w:spacing w:after="0" w:line="116" w:lineRule="exact"/>
              <w:rPr>
                <w:sz w:val="20"/>
                <w:szCs w:val="20"/>
                <w:color w:val="auto"/>
              </w:rPr>
            </w:pPr>
            <w:r>
              <w:rPr>
                <w:rFonts w:ascii="Arial" w:cs="Arial" w:eastAsia="Arial" w:hAnsi="Arial"/>
                <w:sz w:val="12"/>
                <w:szCs w:val="12"/>
                <w:b w:val="1"/>
                <w:bCs w:val="1"/>
                <w:color w:val="auto"/>
                <w:w w:val="99"/>
              </w:rPr>
              <w:t>Fair</w:t>
            </w:r>
          </w:p>
        </w:tc>
        <w:tc>
          <w:tcPr>
            <w:tcW w:w="10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jc w:val="right"/>
              <w:ind w:right="11"/>
              <w:spacing w:after="0"/>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180"/>
        </w:trPr>
        <w:tc>
          <w:tcPr>
            <w:tcW w:w="218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820" w:type="dxa"/>
            <w:vAlign w:val="bottom"/>
            <w:tcBorders>
              <w:bottom w:val="single" w:sz="8" w:color="2C6937"/>
            </w:tcBorders>
            <w:gridSpan w:val="2"/>
          </w:tcPr>
          <w:p>
            <w:pPr>
              <w:ind w:left="20"/>
              <w:spacing w:after="0"/>
              <w:rPr>
                <w:sz w:val="20"/>
                <w:szCs w:val="20"/>
                <w:color w:val="auto"/>
              </w:rPr>
            </w:pPr>
            <w:r>
              <w:rPr>
                <w:rFonts w:ascii="Arial" w:cs="Arial" w:eastAsia="Arial" w:hAnsi="Arial"/>
                <w:sz w:val="12"/>
                <w:szCs w:val="12"/>
                <w:b w:val="1"/>
                <w:bCs w:val="1"/>
                <w:color w:val="auto"/>
              </w:rPr>
              <w:t>Amount</w:t>
            </w:r>
            <w:r>
              <w:rPr>
                <w:rFonts w:ascii="Arial" w:cs="Arial" w:eastAsia="Arial" w:hAnsi="Arial"/>
                <w:sz w:val="15"/>
                <w:szCs w:val="15"/>
                <w:b w:val="1"/>
                <w:bCs w:val="1"/>
                <w:color w:val="auto"/>
                <w:vertAlign w:val="superscript"/>
              </w:rPr>
              <w:t>(1)</w:t>
            </w:r>
          </w:p>
        </w:tc>
        <w:tc>
          <w:tcPr>
            <w:tcW w:w="12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560" w:type="dxa"/>
            <w:vAlign w:val="bottom"/>
            <w:tcBorders>
              <w:bottom w:val="single" w:sz="8" w:color="2C6937"/>
            </w:tcBorders>
          </w:tcPr>
          <w:p>
            <w:pPr>
              <w:jc w:val="center"/>
              <w:ind w:right="76"/>
              <w:spacing w:after="0"/>
              <w:rPr>
                <w:sz w:val="20"/>
                <w:szCs w:val="20"/>
                <w:color w:val="auto"/>
              </w:rPr>
            </w:pPr>
            <w:r>
              <w:rPr>
                <w:rFonts w:ascii="Arial" w:cs="Arial" w:eastAsia="Arial" w:hAnsi="Arial"/>
                <w:sz w:val="12"/>
                <w:szCs w:val="12"/>
                <w:b w:val="1"/>
                <w:bCs w:val="1"/>
                <w:color w:val="auto"/>
                <w:w w:val="93"/>
              </w:rPr>
              <w:t>Value</w:t>
            </w:r>
          </w:p>
        </w:tc>
        <w:tc>
          <w:tcPr>
            <w:tcW w:w="12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760" w:type="dxa"/>
            <w:vAlign w:val="bottom"/>
            <w:tcBorders>
              <w:bottom w:val="single" w:sz="8" w:color="2C6937"/>
            </w:tcBorders>
            <w:gridSpan w:val="2"/>
          </w:tcPr>
          <w:p>
            <w:pPr>
              <w:spacing w:after="0"/>
              <w:rPr>
                <w:sz w:val="20"/>
                <w:szCs w:val="20"/>
                <w:color w:val="auto"/>
              </w:rPr>
            </w:pPr>
            <w:r>
              <w:rPr>
                <w:rFonts w:ascii="Arial" w:cs="Arial" w:eastAsia="Arial" w:hAnsi="Arial"/>
                <w:sz w:val="12"/>
                <w:szCs w:val="12"/>
                <w:b w:val="1"/>
                <w:bCs w:val="1"/>
                <w:color w:val="auto"/>
              </w:rPr>
              <w:t>Amount</w:t>
            </w:r>
            <w:r>
              <w:rPr>
                <w:rFonts w:ascii="Arial" w:cs="Arial" w:eastAsia="Arial" w:hAnsi="Arial"/>
                <w:sz w:val="15"/>
                <w:szCs w:val="15"/>
                <w:b w:val="1"/>
                <w:bCs w:val="1"/>
                <w:color w:val="auto"/>
                <w:vertAlign w:val="superscript"/>
              </w:rPr>
              <w:t>(1)</w:t>
            </w:r>
          </w:p>
        </w:tc>
        <w:tc>
          <w:tcPr>
            <w:tcW w:w="12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480" w:type="dxa"/>
            <w:vAlign w:val="bottom"/>
            <w:tcBorders>
              <w:bottom w:val="single" w:sz="8" w:color="2C6937"/>
            </w:tcBorders>
          </w:tcPr>
          <w:p>
            <w:pPr>
              <w:jc w:val="right"/>
              <w:ind w:right="75"/>
              <w:spacing w:after="0"/>
              <w:rPr>
                <w:sz w:val="20"/>
                <w:szCs w:val="20"/>
                <w:color w:val="auto"/>
              </w:rPr>
            </w:pPr>
            <w:r>
              <w:rPr>
                <w:rFonts w:ascii="Arial" w:cs="Arial" w:eastAsia="Arial" w:hAnsi="Arial"/>
                <w:sz w:val="12"/>
                <w:szCs w:val="12"/>
                <w:b w:val="1"/>
                <w:bCs w:val="1"/>
                <w:color w:val="auto"/>
                <w:w w:val="99"/>
              </w:rPr>
              <w:t>Value</w:t>
            </w: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800" w:type="dxa"/>
            <w:vAlign w:val="bottom"/>
            <w:tcBorders>
              <w:bottom w:val="single" w:sz="8" w:color="2C6937"/>
            </w:tcBorders>
            <w:gridSpan w:val="3"/>
          </w:tcPr>
          <w:p>
            <w:pPr>
              <w:ind w:left="80"/>
              <w:spacing w:after="0"/>
              <w:rPr>
                <w:sz w:val="20"/>
                <w:szCs w:val="20"/>
                <w:color w:val="auto"/>
              </w:rPr>
            </w:pPr>
            <w:r>
              <w:rPr>
                <w:rFonts w:ascii="Arial" w:cs="Arial" w:eastAsia="Arial" w:hAnsi="Arial"/>
                <w:sz w:val="12"/>
                <w:szCs w:val="12"/>
                <w:b w:val="1"/>
                <w:bCs w:val="1"/>
                <w:color w:val="auto"/>
              </w:rPr>
              <w:t>Amount</w:t>
            </w:r>
            <w:r>
              <w:rPr>
                <w:rFonts w:ascii="Arial" w:cs="Arial" w:eastAsia="Arial" w:hAnsi="Arial"/>
                <w:sz w:val="15"/>
                <w:szCs w:val="15"/>
                <w:b w:val="1"/>
                <w:bCs w:val="1"/>
                <w:color w:val="auto"/>
                <w:vertAlign w:val="superscript"/>
              </w:rPr>
              <w:t>(1)</w:t>
            </w:r>
          </w:p>
        </w:tc>
        <w:tc>
          <w:tcPr>
            <w:tcW w:w="16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480" w:type="dxa"/>
            <w:vAlign w:val="bottom"/>
            <w:tcBorders>
              <w:bottom w:val="single" w:sz="8" w:color="2C6937"/>
            </w:tcBorders>
          </w:tcPr>
          <w:p>
            <w:pPr>
              <w:jc w:val="right"/>
              <w:ind w:right="75"/>
              <w:spacing w:after="0"/>
              <w:rPr>
                <w:sz w:val="20"/>
                <w:szCs w:val="20"/>
                <w:color w:val="auto"/>
              </w:rPr>
            </w:pPr>
            <w:r>
              <w:rPr>
                <w:rFonts w:ascii="Arial" w:cs="Arial" w:eastAsia="Arial" w:hAnsi="Arial"/>
                <w:sz w:val="12"/>
                <w:szCs w:val="12"/>
                <w:b w:val="1"/>
                <w:bCs w:val="1"/>
                <w:color w:val="auto"/>
                <w:w w:val="99"/>
              </w:rPr>
              <w:t>Value</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840" w:type="dxa"/>
            <w:vAlign w:val="bottom"/>
            <w:tcBorders>
              <w:bottom w:val="single" w:sz="8" w:color="2C6937"/>
            </w:tcBorders>
            <w:gridSpan w:val="3"/>
          </w:tcPr>
          <w:p>
            <w:pPr>
              <w:ind w:left="80"/>
              <w:spacing w:after="0"/>
              <w:rPr>
                <w:sz w:val="20"/>
                <w:szCs w:val="20"/>
                <w:color w:val="auto"/>
              </w:rPr>
            </w:pPr>
            <w:r>
              <w:rPr>
                <w:rFonts w:ascii="Arial" w:cs="Arial" w:eastAsia="Arial" w:hAnsi="Arial"/>
                <w:sz w:val="12"/>
                <w:szCs w:val="12"/>
                <w:b w:val="1"/>
                <w:bCs w:val="1"/>
                <w:color w:val="auto"/>
              </w:rPr>
              <w:t>Amount</w:t>
            </w:r>
            <w:r>
              <w:rPr>
                <w:rFonts w:ascii="Arial" w:cs="Arial" w:eastAsia="Arial" w:hAnsi="Arial"/>
                <w:sz w:val="15"/>
                <w:szCs w:val="15"/>
                <w:b w:val="1"/>
                <w:bCs w:val="1"/>
                <w:color w:val="auto"/>
                <w:vertAlign w:val="superscript"/>
              </w:rPr>
              <w:t>(1)</w:t>
            </w:r>
          </w:p>
        </w:tc>
        <w:tc>
          <w:tcPr>
            <w:tcW w:w="12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460" w:type="dxa"/>
            <w:vAlign w:val="bottom"/>
            <w:tcBorders>
              <w:bottom w:val="single" w:sz="8" w:color="2C6937"/>
            </w:tcBorders>
          </w:tcPr>
          <w:p>
            <w:pPr>
              <w:jc w:val="right"/>
              <w:ind w:right="55"/>
              <w:spacing w:after="0"/>
              <w:rPr>
                <w:sz w:val="20"/>
                <w:szCs w:val="20"/>
                <w:color w:val="auto"/>
              </w:rPr>
            </w:pPr>
            <w:r>
              <w:rPr>
                <w:rFonts w:ascii="Arial" w:cs="Arial" w:eastAsia="Arial" w:hAnsi="Arial"/>
                <w:sz w:val="12"/>
                <w:szCs w:val="12"/>
                <w:b w:val="1"/>
                <w:bCs w:val="1"/>
                <w:color w:val="auto"/>
                <w:w w:val="99"/>
              </w:rPr>
              <w:t>Value</w:t>
            </w:r>
          </w:p>
        </w:tc>
        <w:tc>
          <w:tcPr>
            <w:tcW w:w="12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820" w:type="dxa"/>
            <w:vAlign w:val="bottom"/>
            <w:tcBorders>
              <w:bottom w:val="single" w:sz="8" w:color="2C6937"/>
            </w:tcBorders>
            <w:gridSpan w:val="3"/>
          </w:tcPr>
          <w:p>
            <w:pPr>
              <w:jc w:val="center"/>
              <w:ind w:right="100"/>
              <w:spacing w:after="0"/>
              <w:rPr>
                <w:sz w:val="20"/>
                <w:szCs w:val="20"/>
                <w:color w:val="auto"/>
              </w:rPr>
            </w:pPr>
            <w:r>
              <w:rPr>
                <w:rFonts w:ascii="Arial" w:cs="Arial" w:eastAsia="Arial" w:hAnsi="Arial"/>
                <w:sz w:val="12"/>
                <w:szCs w:val="12"/>
                <w:b w:val="1"/>
                <w:bCs w:val="1"/>
                <w:color w:val="auto"/>
                <w:w w:val="97"/>
              </w:rPr>
              <w:t>Amount</w:t>
            </w:r>
            <w:r>
              <w:rPr>
                <w:rFonts w:ascii="Arial" w:cs="Arial" w:eastAsia="Arial" w:hAnsi="Arial"/>
                <w:sz w:val="15"/>
                <w:szCs w:val="15"/>
                <w:b w:val="1"/>
                <w:bCs w:val="1"/>
                <w:color w:val="auto"/>
                <w:w w:val="97"/>
                <w:vertAlign w:val="superscript"/>
              </w:rPr>
              <w:t>(1)</w:t>
            </w:r>
          </w:p>
        </w:tc>
        <w:tc>
          <w:tcPr>
            <w:tcW w:w="120" w:type="dxa"/>
            <w:vAlign w:val="bottom"/>
          </w:tcPr>
          <w:p>
            <w:pPr>
              <w:spacing w:after="0"/>
              <w:rPr>
                <w:sz w:val="15"/>
                <w:szCs w:val="15"/>
                <w:color w:val="auto"/>
              </w:rPr>
            </w:pPr>
          </w:p>
        </w:tc>
        <w:tc>
          <w:tcPr>
            <w:tcW w:w="700" w:type="dxa"/>
            <w:vAlign w:val="bottom"/>
            <w:tcBorders>
              <w:bottom w:val="single" w:sz="8" w:color="2C6937"/>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6"/>
          </w:tcPr>
          <w:p>
            <w:pPr>
              <w:ind w:left="80"/>
              <w:spacing w:after="0"/>
              <w:rPr>
                <w:sz w:val="20"/>
                <w:szCs w:val="20"/>
                <w:color w:val="auto"/>
              </w:rPr>
            </w:pPr>
            <w:r>
              <w:rPr>
                <w:rFonts w:ascii="Arial" w:cs="Arial" w:eastAsia="Arial" w:hAnsi="Arial"/>
                <w:sz w:val="12"/>
                <w:szCs w:val="12"/>
                <w:b w:val="1"/>
                <w:bCs w:val="1"/>
                <w:color w:val="auto"/>
              </w:rPr>
              <w:t>(Dollars in millions)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180" w:type="dxa"/>
            <w:vAlign w:val="bottom"/>
          </w:tcPr>
          <w:p>
            <w:pPr>
              <w:ind w:left="20"/>
              <w:spacing w:after="0"/>
              <w:rPr>
                <w:sz w:val="20"/>
                <w:szCs w:val="20"/>
                <w:color w:val="auto"/>
              </w:rPr>
            </w:pPr>
            <w:r>
              <w:rPr>
                <w:rFonts w:ascii="Arial" w:cs="Arial" w:eastAsia="Arial" w:hAnsi="Arial"/>
                <w:sz w:val="15"/>
                <w:szCs w:val="15"/>
                <w:color w:val="auto"/>
              </w:rPr>
              <w:t>Agency securities</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424</w:t>
            </w:r>
          </w:p>
        </w:tc>
        <w:tc>
          <w:tcPr>
            <w:tcW w:w="10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405</w:t>
            </w:r>
          </w:p>
        </w:tc>
        <w:tc>
          <w:tcPr>
            <w:tcW w:w="120" w:type="dxa"/>
            <w:vAlign w:val="bottom"/>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5"/>
              <w:spacing w:after="0"/>
              <w:rPr>
                <w:sz w:val="20"/>
                <w:szCs w:val="20"/>
                <w:color w:val="auto"/>
              </w:rPr>
            </w:pPr>
            <w:r>
              <w:rPr>
                <w:rFonts w:ascii="Arial" w:cs="Arial" w:eastAsia="Arial" w:hAnsi="Arial"/>
                <w:sz w:val="14"/>
                <w:szCs w:val="14"/>
                <w:color w:val="auto"/>
              </w:rPr>
              <w:t>—</w:t>
            </w:r>
          </w:p>
        </w:tc>
        <w:tc>
          <w:tcPr>
            <w:tcW w:w="460" w:type="dxa"/>
            <w:vAlign w:val="bottom"/>
            <w:gridSpan w:val="3"/>
          </w:tcPr>
          <w:p>
            <w:pPr>
              <w:ind w:left="2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5"/>
              <w:spacing w:after="0"/>
              <w:rPr>
                <w:sz w:val="20"/>
                <w:szCs w:val="20"/>
                <w:color w:val="auto"/>
              </w:rPr>
            </w:pPr>
            <w:r>
              <w:rPr>
                <w:rFonts w:ascii="Arial" w:cs="Arial" w:eastAsia="Arial" w:hAnsi="Arial"/>
                <w:sz w:val="14"/>
                <w:szCs w:val="14"/>
                <w:color w:val="auto"/>
              </w:rPr>
              <w:t>3</w:t>
            </w:r>
          </w:p>
        </w:tc>
        <w:tc>
          <w:tcPr>
            <w:tcW w:w="480" w:type="dxa"/>
            <w:vAlign w:val="bottom"/>
            <w:gridSpan w:val="3"/>
          </w:tcPr>
          <w:p>
            <w:pPr>
              <w:ind w:left="22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18</w:t>
            </w:r>
          </w:p>
        </w:tc>
        <w:tc>
          <w:tcPr>
            <w:tcW w:w="4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3"/>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1"/>
              <w:spacing w:after="0"/>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158"/>
        </w:trPr>
        <w:tc>
          <w:tcPr>
            <w:tcW w:w="2180" w:type="dxa"/>
            <w:vAlign w:val="bottom"/>
          </w:tcPr>
          <w:p>
            <w:pPr>
              <w:ind w:left="20"/>
              <w:spacing w:after="0" w:line="158" w:lineRule="exact"/>
              <w:rPr>
                <w:sz w:val="20"/>
                <w:szCs w:val="20"/>
                <w:color w:val="auto"/>
              </w:rPr>
            </w:pPr>
            <w:r>
              <w:rPr>
                <w:rFonts w:ascii="Arial" w:cs="Arial" w:eastAsia="Arial" w:hAnsi="Arial"/>
                <w:sz w:val="15"/>
                <w:szCs w:val="15"/>
                <w:color w:val="auto"/>
              </w:rPr>
              <w:t>Other mortgage-related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18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securities</w:t>
            </w:r>
          </w:p>
        </w:tc>
        <w:tc>
          <w:tcPr>
            <w:tcW w:w="10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480" w:type="dxa"/>
            <w:vAlign w:val="bottom"/>
            <w:tcBorders>
              <w:bottom w:val="single" w:sz="8" w:color="2C6937"/>
            </w:tcBorders>
          </w:tcPr>
          <w:p>
            <w:pPr>
              <w:jc w:val="right"/>
              <w:ind w:right="15"/>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4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480" w:type="dxa"/>
            <w:vAlign w:val="bottom"/>
            <w:tcBorders>
              <w:bottom w:val="single" w:sz="8" w:color="2C6937"/>
            </w:tcBorders>
          </w:tcPr>
          <w:p>
            <w:pPr>
              <w:jc w:val="right"/>
              <w:ind w:right="15"/>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4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4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500" w:type="dxa"/>
            <w:vAlign w:val="bottom"/>
            <w:tcBorders>
              <w:bottom w:val="single" w:sz="8" w:color="2C6937"/>
            </w:tcBorders>
          </w:tcPr>
          <w:p>
            <w:pPr>
              <w:jc w:val="right"/>
              <w:ind w:right="13"/>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2C6937"/>
            </w:tcBorders>
          </w:tcPr>
          <w:p>
            <w:pPr>
              <w:spacing w:after="0"/>
              <w:rPr>
                <w:sz w:val="17"/>
                <w:szCs w:val="17"/>
                <w:color w:val="auto"/>
              </w:rPr>
            </w:pPr>
          </w:p>
        </w:tc>
        <w:tc>
          <w:tcPr>
            <w:tcW w:w="3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99"/>
        </w:trPr>
        <w:tc>
          <w:tcPr>
            <w:tcW w:w="2180" w:type="dxa"/>
            <w:vAlign w:val="bottom"/>
          </w:tcPr>
          <w:p>
            <w:pPr>
              <w:ind w:left="120"/>
              <w:spacing w:after="0"/>
              <w:rPr>
                <w:sz w:val="20"/>
                <w:szCs w:val="20"/>
                <w:color w:val="auto"/>
              </w:rPr>
            </w:pPr>
            <w:r>
              <w:rPr>
                <w:rFonts w:ascii="Arial" w:cs="Arial" w:eastAsia="Arial" w:hAnsi="Arial"/>
                <w:sz w:val="15"/>
                <w:szCs w:val="15"/>
                <w:color w:val="auto"/>
              </w:rPr>
              <w:t>Total</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657</w:t>
            </w:r>
          </w:p>
        </w:tc>
        <w:tc>
          <w:tcPr>
            <w:tcW w:w="100" w:type="dxa"/>
            <w:vAlign w:val="bottom"/>
          </w:tcPr>
          <w:p>
            <w:pPr>
              <w:spacing w:after="0"/>
              <w:rPr>
                <w:sz w:val="17"/>
                <w:szCs w:val="17"/>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646</w:t>
            </w:r>
          </w:p>
        </w:tc>
        <w:tc>
          <w:tcPr>
            <w:tcW w:w="120" w:type="dxa"/>
            <w:vAlign w:val="bottom"/>
          </w:tcPr>
          <w:p>
            <w:pPr>
              <w:spacing w:after="0"/>
              <w:rPr>
                <w:sz w:val="17"/>
                <w:szCs w:val="17"/>
                <w:color w:val="auto"/>
              </w:rPr>
            </w:pP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5"/>
              <w:spacing w:after="0"/>
              <w:rPr>
                <w:sz w:val="20"/>
                <w:szCs w:val="20"/>
                <w:color w:val="auto"/>
              </w:rPr>
            </w:pPr>
            <w:r>
              <w:rPr>
                <w:rFonts w:ascii="Arial" w:cs="Arial" w:eastAsia="Arial" w:hAnsi="Arial"/>
                <w:sz w:val="14"/>
                <w:szCs w:val="14"/>
                <w:color w:val="auto"/>
              </w:rPr>
              <w:t>1</w:t>
            </w:r>
          </w:p>
        </w:tc>
        <w:tc>
          <w:tcPr>
            <w:tcW w:w="460" w:type="dxa"/>
            <w:vAlign w:val="bottom"/>
            <w:gridSpan w:val="3"/>
          </w:tcPr>
          <w:p>
            <w:pPr>
              <w:ind w:left="2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5"/>
              <w:spacing w:after="0"/>
              <w:rPr>
                <w:sz w:val="20"/>
                <w:szCs w:val="20"/>
                <w:color w:val="auto"/>
              </w:rPr>
            </w:pPr>
            <w:r>
              <w:rPr>
                <w:rFonts w:ascii="Arial" w:cs="Arial" w:eastAsia="Arial" w:hAnsi="Arial"/>
                <w:sz w:val="14"/>
                <w:szCs w:val="14"/>
                <w:color w:val="auto"/>
              </w:rPr>
              <w:t>19</w:t>
            </w:r>
          </w:p>
        </w:tc>
        <w:tc>
          <w:tcPr>
            <w:tcW w:w="480" w:type="dxa"/>
            <w:vAlign w:val="bottom"/>
            <w:gridSpan w:val="3"/>
          </w:tcPr>
          <w:p>
            <w:pPr>
              <w:ind w:left="22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7"/>
                <w:szCs w:val="17"/>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34</w:t>
            </w:r>
          </w:p>
        </w:tc>
        <w:tc>
          <w:tcPr>
            <w:tcW w:w="4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3"/>
              <w:spacing w:after="0"/>
              <w:rPr>
                <w:sz w:val="20"/>
                <w:szCs w:val="20"/>
                <w:color w:val="auto"/>
              </w:rPr>
            </w:pPr>
            <w:r>
              <w:rPr>
                <w:rFonts w:ascii="Arial" w:cs="Arial" w:eastAsia="Arial" w:hAnsi="Arial"/>
                <w:sz w:val="14"/>
                <w:szCs w:val="14"/>
                <w:color w:val="auto"/>
              </w:rPr>
              <w:t>602</w:t>
            </w:r>
          </w:p>
        </w:tc>
        <w:tc>
          <w:tcPr>
            <w:tcW w:w="100" w:type="dxa"/>
            <w:vAlign w:val="bottom"/>
          </w:tcPr>
          <w:p>
            <w:pPr>
              <w:spacing w:after="0"/>
              <w:rPr>
                <w:sz w:val="17"/>
                <w:szCs w:val="17"/>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1"/>
              <w:spacing w:after="0"/>
              <w:rPr>
                <w:sz w:val="20"/>
                <w:szCs w:val="20"/>
                <w:color w:val="auto"/>
              </w:rPr>
            </w:pPr>
            <w:r>
              <w:rPr>
                <w:rFonts w:ascii="Arial" w:cs="Arial" w:eastAsia="Arial" w:hAnsi="Arial"/>
                <w:sz w:val="14"/>
                <w:szCs w:val="14"/>
                <w:color w:val="auto"/>
              </w:rPr>
              <w:t>592</w:t>
            </w:r>
          </w:p>
        </w:tc>
        <w:tc>
          <w:tcPr>
            <w:tcW w:w="0" w:type="dxa"/>
            <w:vAlign w:val="bottom"/>
          </w:tcPr>
          <w:p>
            <w:pPr>
              <w:spacing w:after="0"/>
              <w:rPr>
                <w:sz w:val="1"/>
                <w:szCs w:val="1"/>
                <w:color w:val="auto"/>
              </w:rPr>
            </w:pPr>
          </w:p>
        </w:tc>
      </w:tr>
      <w:tr>
        <w:trPr>
          <w:trHeight w:val="20"/>
        </w:trPr>
        <w:tc>
          <w:tcPr>
            <w:tcW w:w="21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56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4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4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4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46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5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2C6937"/>
              <w:bottom w:val="single" w:sz="8" w:color="2C6937"/>
            </w:tcBorders>
          </w:tcPr>
          <w:p>
            <w:pPr>
              <w:spacing w:after="0" w:line="20" w:lineRule="exact"/>
              <w:rPr>
                <w:sz w:val="1"/>
                <w:szCs w:val="1"/>
                <w:color w:val="auto"/>
              </w:rPr>
            </w:pPr>
          </w:p>
        </w:tc>
        <w:tc>
          <w:tcPr>
            <w:tcW w:w="3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240" w:hanging="237"/>
        <w:spacing w:after="0"/>
        <w:tabs>
          <w:tab w:leader="none" w:pos="240" w:val="left"/>
        </w:tabs>
        <w:numPr>
          <w:ilvl w:val="0"/>
          <w:numId w:val="91"/>
        </w:numPr>
        <w:rPr>
          <w:rFonts w:ascii="Arial" w:cs="Arial" w:eastAsia="Arial" w:hAnsi="Arial"/>
          <w:sz w:val="18"/>
          <w:szCs w:val="18"/>
          <w:color w:val="auto"/>
          <w:vertAlign w:val="superscript"/>
        </w:rPr>
      </w:pPr>
      <w:r>
        <w:rPr>
          <w:rFonts w:ascii="Arial" w:cs="Arial" w:eastAsia="Arial" w:hAnsi="Arial"/>
          <w:sz w:val="14"/>
          <w:szCs w:val="14"/>
          <w:color w:val="auto"/>
        </w:rPr>
        <w:t>Net carrying amount consists of amortized cost, net of allowance for credit losses on AFS debt securities but does not include any unrealized fair value gains or losses.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We held no securities classified as held-to-maturity as of June 30, 2023 or December 31, 2022.</w:t>
      </w:r>
    </w:p>
    <w:p>
      <w:pPr>
        <w:spacing w:after="0" w:line="154" w:lineRule="exact"/>
        <w:rPr>
          <w:sz w:val="20"/>
          <w:szCs w:val="20"/>
          <w:color w:val="auto"/>
        </w:rPr>
      </w:pPr>
    </w:p>
    <w:p>
      <w:pPr>
        <w:spacing w:after="0"/>
        <w:rPr>
          <w:sz w:val="20"/>
          <w:szCs w:val="20"/>
          <w:color w:val="auto"/>
        </w:rPr>
      </w:pPr>
      <w:r>
        <w:rPr>
          <w:rFonts w:ascii="Arial" w:cs="Arial" w:eastAsia="Arial" w:hAnsi="Arial"/>
          <w:sz w:val="31"/>
          <w:szCs w:val="31"/>
          <w:b w:val="1"/>
          <w:bCs w:val="1"/>
          <w:color w:val="05314D"/>
        </w:rPr>
        <w:t>6. Financial Guarantees</w:t>
      </w:r>
    </w:p>
    <w:p>
      <w:pPr>
        <w:spacing w:after="0" w:line="105"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We recognize a guaranty obligation for our obligation to stand ready to perform on our guarantees to unconsolidated trusts and other guaranty arrangements. These off-balance sheet guarantees expose us to credit losses primarily relating to the unpaid principal balance of our unconsolidated Fannie Mae MBS and other financial guarantees. The maximum remaining contractual term of our guarantees is 29 years; however, the actual term of each guaranty may be significantly less than the contractual term based on the prepayment characteristics of the related mortgage loans. We measure our guaranty reserve for estimated credit losses for off-balance sheet exposures over the contractual period for which they are exposed to the credit risk, unless that obligation is unconditionally cancellable by the issuer.</w:t>
      </w:r>
    </w:p>
    <w:p>
      <w:pPr>
        <w:spacing w:after="0" w:line="5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As the guarantor of structured securities backed in whole or in part by Freddie Mac-issued securities, we extend our guaranty to the underlying Freddie Mac securities in our resecuritization trusts. However, Freddie Mac continues to guarantee the payment of principal and interest on the underlying Freddie Mac securities that we have resecuritized. When we began issuing UMBS, we entered into an indemnification agreement under which Freddie Mac agreed to indemnify us for losses caused by its failure to meet its payment or other specified obligations under the trust agreements pursuant to which the underlying resecuritized securities were issued. As a result, and due to the funding commitment available to Freddie Mac through its senior preferred stock purchase agreement with Treasury, we have concluded that the associated credit risk is negligible. Accordingly, we exclude from the following table Freddie Mac securities backing unconsolidated Fannie Mae-issued structured securities of $224.9 billion and $234.0 billion as of June 30, 2023 and December 31, 2022, respectively.</w:t>
      </w:r>
    </w:p>
    <w:p>
      <w:pPr>
        <w:spacing w:after="0" w:line="49" w:lineRule="exact"/>
        <w:rPr>
          <w:sz w:val="20"/>
          <w:szCs w:val="20"/>
          <w:color w:val="auto"/>
        </w:rPr>
      </w:pPr>
    </w:p>
    <w:p>
      <w:pPr>
        <w:ind w:right="160"/>
        <w:spacing w:after="0" w:line="300" w:lineRule="auto"/>
        <w:rPr>
          <w:sz w:val="20"/>
          <w:szCs w:val="20"/>
          <w:color w:val="auto"/>
        </w:rPr>
      </w:pPr>
      <w:r>
        <w:rPr>
          <w:rFonts w:ascii="Arial" w:cs="Arial" w:eastAsia="Arial" w:hAnsi="Arial"/>
          <w:sz w:val="16"/>
          <w:szCs w:val="16"/>
          <w:color w:val="auto"/>
        </w:rPr>
        <w:t>The following table displays our off-balance sheet maximum exposure, guaranty obligation recognized in our condensed consolidated balance sheets and the potential maximum recovery from third parties through available credit enhancements and recourse related to our financial guarantees.</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88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96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1240" w:type="dxa"/>
            <w:vAlign w:val="bottom"/>
            <w:tcBorders>
              <w:bottom w:val="single" w:sz="8" w:color="2C6937"/>
            </w:tcBorders>
            <w:gridSpan w:val="3"/>
          </w:tcPr>
          <w:p>
            <w:pPr>
              <w:jc w:val="right"/>
              <w:ind w:right="40"/>
              <w:spacing w:after="0"/>
              <w:rPr>
                <w:sz w:val="20"/>
                <w:szCs w:val="20"/>
                <w:color w:val="auto"/>
              </w:rPr>
            </w:pPr>
            <w:r>
              <w:rPr>
                <w:rFonts w:ascii="Arial" w:cs="Arial" w:eastAsia="Arial" w:hAnsi="Arial"/>
                <w:sz w:val="14"/>
                <w:szCs w:val="14"/>
                <w:b w:val="1"/>
                <w:bCs w:val="1"/>
                <w:color w:val="auto"/>
              </w:rPr>
              <w:t>As of</w:t>
            </w:r>
          </w:p>
        </w:tc>
        <w:tc>
          <w:tcPr>
            <w:tcW w:w="880" w:type="dxa"/>
            <w:vAlign w:val="bottom"/>
            <w:tcBorders>
              <w:bottom w:val="single" w:sz="8" w:color="2C6937"/>
            </w:tcBorders>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960" w:type="dxa"/>
            <w:vAlign w:val="bottom"/>
            <w:tcBorders>
              <w:bottom w:val="single" w:sz="8" w:color="2C6937"/>
            </w:tcBorders>
          </w:tcPr>
          <w:p>
            <w:pPr>
              <w:spacing w:after="0"/>
              <w:rPr>
                <w:sz w:val="15"/>
                <w:szCs w:val="15"/>
                <w:color w:val="auto"/>
              </w:rPr>
            </w:pPr>
          </w:p>
        </w:tc>
      </w:tr>
      <w:tr>
        <w:trPr>
          <w:trHeight w:val="185"/>
        </w:trPr>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w w:val="98"/>
              </w:rPr>
              <w:t>June 30, 2023</w:t>
            </w:r>
          </w:p>
        </w:tc>
        <w:tc>
          <w:tcPr>
            <w:tcW w:w="10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300" w:type="dxa"/>
            <w:vAlign w:val="bottom"/>
            <w:tcBorders>
              <w:bottom w:val="single" w:sz="8" w:color="2C6937"/>
            </w:tcBorders>
            <w:gridSpan w:val="4"/>
          </w:tcPr>
          <w:p>
            <w:pPr>
              <w:ind w:left="60"/>
              <w:spacing w:after="0"/>
              <w:rPr>
                <w:sz w:val="20"/>
                <w:szCs w:val="20"/>
                <w:color w:val="auto"/>
              </w:rPr>
            </w:pPr>
            <w:r>
              <w:rPr>
                <w:rFonts w:ascii="Arial" w:cs="Arial" w:eastAsia="Arial" w:hAnsi="Arial"/>
                <w:sz w:val="14"/>
                <w:szCs w:val="14"/>
                <w:b w:val="1"/>
                <w:bCs w:val="1"/>
                <w:color w:val="auto"/>
                <w:w w:val="96"/>
              </w:rPr>
              <w:t>December 31, 2022</w:t>
            </w:r>
          </w:p>
        </w:tc>
        <w:tc>
          <w:tcPr>
            <w:tcW w:w="14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spacing w:after="0"/>
              <w:rPr>
                <w:sz w:val="16"/>
                <w:szCs w:val="16"/>
                <w:color w:val="auto"/>
              </w:rPr>
            </w:pPr>
          </w:p>
        </w:tc>
      </w:tr>
      <w:tr>
        <w:trPr>
          <w:trHeight w:val="174"/>
        </w:trPr>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126"/>
              <w:spacing w:after="0"/>
              <w:rPr>
                <w:sz w:val="20"/>
                <w:szCs w:val="20"/>
                <w:color w:val="auto"/>
              </w:rPr>
            </w:pPr>
            <w:r>
              <w:rPr>
                <w:rFonts w:ascii="Arial" w:cs="Arial" w:eastAsia="Arial" w:hAnsi="Arial"/>
                <w:sz w:val="14"/>
                <w:szCs w:val="14"/>
                <w:b w:val="1"/>
                <w:bCs w:val="1"/>
                <w:color w:val="auto"/>
              </w:rPr>
              <w:t>Maximum</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167"/>
              <w:spacing w:after="0"/>
              <w:rPr>
                <w:sz w:val="20"/>
                <w:szCs w:val="20"/>
                <w:color w:val="auto"/>
              </w:rPr>
            </w:pPr>
            <w:r>
              <w:rPr>
                <w:rFonts w:ascii="Arial" w:cs="Arial" w:eastAsia="Arial" w:hAnsi="Arial"/>
                <w:sz w:val="14"/>
                <w:szCs w:val="14"/>
                <w:b w:val="1"/>
                <w:bCs w:val="1"/>
                <w:color w:val="auto"/>
              </w:rPr>
              <w:t>Guaranty</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b w:val="1"/>
                <w:bCs w:val="1"/>
                <w:color w:val="auto"/>
              </w:rPr>
              <w:t>Maximum</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126"/>
              <w:spacing w:after="0"/>
              <w:rPr>
                <w:sz w:val="20"/>
                <w:szCs w:val="20"/>
                <w:color w:val="auto"/>
              </w:rPr>
            </w:pPr>
            <w:r>
              <w:rPr>
                <w:rFonts w:ascii="Arial" w:cs="Arial" w:eastAsia="Arial" w:hAnsi="Arial"/>
                <w:sz w:val="14"/>
                <w:szCs w:val="14"/>
                <w:b w:val="1"/>
                <w:bCs w:val="1"/>
                <w:color w:val="auto"/>
              </w:rPr>
              <w:t>Maximum</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Guaranty</w:t>
            </w:r>
          </w:p>
        </w:tc>
        <w:tc>
          <w:tcPr>
            <w:tcW w:w="140" w:type="dxa"/>
            <w:vAlign w:val="bottom"/>
          </w:tcPr>
          <w:p>
            <w:pPr>
              <w:spacing w:after="0"/>
              <w:rPr>
                <w:sz w:val="15"/>
                <w:szCs w:val="15"/>
                <w:color w:val="auto"/>
              </w:rPr>
            </w:pPr>
          </w:p>
        </w:tc>
        <w:tc>
          <w:tcPr>
            <w:tcW w:w="960" w:type="dxa"/>
            <w:vAlign w:val="bottom"/>
          </w:tcPr>
          <w:p>
            <w:pPr>
              <w:jc w:val="right"/>
              <w:ind w:right="166"/>
              <w:spacing w:after="0"/>
              <w:rPr>
                <w:sz w:val="20"/>
                <w:szCs w:val="20"/>
                <w:color w:val="auto"/>
              </w:rPr>
            </w:pPr>
            <w:r>
              <w:rPr>
                <w:rFonts w:ascii="Arial" w:cs="Arial" w:eastAsia="Arial" w:hAnsi="Arial"/>
                <w:sz w:val="14"/>
                <w:szCs w:val="14"/>
                <w:b w:val="1"/>
                <w:bCs w:val="1"/>
                <w:color w:val="auto"/>
              </w:rPr>
              <w:t>Maximum</w:t>
            </w:r>
          </w:p>
        </w:tc>
      </w:tr>
      <w:tr>
        <w:trPr>
          <w:trHeight w:val="207"/>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right"/>
              <w:ind w:right="126"/>
              <w:spacing w:after="0"/>
              <w:rPr>
                <w:sz w:val="20"/>
                <w:szCs w:val="20"/>
                <w:color w:val="auto"/>
              </w:rPr>
            </w:pPr>
            <w:r>
              <w:rPr>
                <w:rFonts w:ascii="Arial" w:cs="Arial" w:eastAsia="Arial" w:hAnsi="Arial"/>
                <w:sz w:val="14"/>
                <w:szCs w:val="14"/>
                <w:b w:val="1"/>
                <w:bCs w:val="1"/>
                <w:color w:val="auto"/>
              </w:rPr>
              <w:t>Exposure</w:t>
            </w:r>
          </w:p>
        </w:tc>
        <w:tc>
          <w:tcPr>
            <w:tcW w:w="10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jc w:val="right"/>
              <w:ind w:right="127"/>
              <w:spacing w:after="0"/>
              <w:rPr>
                <w:sz w:val="20"/>
                <w:szCs w:val="20"/>
                <w:color w:val="auto"/>
              </w:rPr>
            </w:pPr>
            <w:r>
              <w:rPr>
                <w:rFonts w:ascii="Arial" w:cs="Arial" w:eastAsia="Arial" w:hAnsi="Arial"/>
                <w:sz w:val="14"/>
                <w:szCs w:val="14"/>
                <w:b w:val="1"/>
                <w:bCs w:val="1"/>
                <w:color w:val="auto"/>
              </w:rPr>
              <w:t>Obligation</w:t>
            </w:r>
          </w:p>
        </w:tc>
        <w:tc>
          <w:tcPr>
            <w:tcW w:w="10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jc w:val="right"/>
              <w:ind w:right="108"/>
              <w:spacing w:after="0"/>
              <w:rPr>
                <w:sz w:val="20"/>
                <w:szCs w:val="20"/>
                <w:color w:val="auto"/>
              </w:rPr>
            </w:pPr>
            <w:r>
              <w:rPr>
                <w:rFonts w:ascii="Arial" w:cs="Arial" w:eastAsia="Arial" w:hAnsi="Arial"/>
                <w:sz w:val="14"/>
                <w:szCs w:val="14"/>
                <w:b w:val="1"/>
                <w:bCs w:val="1"/>
                <w:color w:val="auto"/>
                <w:w w:val="98"/>
              </w:rPr>
              <w:t>Recovery</w:t>
            </w:r>
            <w:r>
              <w:rPr>
                <w:rFonts w:ascii="Arial" w:cs="Arial" w:eastAsia="Arial" w:hAnsi="Arial"/>
                <w:sz w:val="17"/>
                <w:szCs w:val="17"/>
                <w:b w:val="1"/>
                <w:bCs w:val="1"/>
                <w:color w:val="auto"/>
                <w:w w:val="98"/>
                <w:vertAlign w:val="superscript"/>
              </w:rPr>
              <w:t>(1)</w:t>
            </w:r>
          </w:p>
        </w:tc>
        <w:tc>
          <w:tcPr>
            <w:tcW w:w="12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right"/>
              <w:ind w:right="126"/>
              <w:spacing w:after="0"/>
              <w:rPr>
                <w:sz w:val="20"/>
                <w:szCs w:val="20"/>
                <w:color w:val="auto"/>
              </w:rPr>
            </w:pPr>
            <w:r>
              <w:rPr>
                <w:rFonts w:ascii="Arial" w:cs="Arial" w:eastAsia="Arial" w:hAnsi="Arial"/>
                <w:sz w:val="14"/>
                <w:szCs w:val="14"/>
                <w:b w:val="1"/>
                <w:bCs w:val="1"/>
                <w:color w:val="auto"/>
              </w:rPr>
              <w:t>Exposure</w:t>
            </w:r>
          </w:p>
        </w:tc>
        <w:tc>
          <w:tcPr>
            <w:tcW w:w="12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040" w:type="dxa"/>
            <w:vAlign w:val="bottom"/>
            <w:tcBorders>
              <w:bottom w:val="single" w:sz="8" w:color="2C6937"/>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Obligation</w:t>
            </w:r>
          </w:p>
        </w:tc>
        <w:tc>
          <w:tcPr>
            <w:tcW w:w="14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jc w:val="right"/>
              <w:ind w:right="106"/>
              <w:spacing w:after="0"/>
              <w:rPr>
                <w:sz w:val="20"/>
                <w:szCs w:val="20"/>
                <w:color w:val="auto"/>
              </w:rPr>
            </w:pPr>
            <w:r>
              <w:rPr>
                <w:rFonts w:ascii="Arial" w:cs="Arial" w:eastAsia="Arial" w:hAnsi="Arial"/>
                <w:sz w:val="14"/>
                <w:szCs w:val="14"/>
                <w:b w:val="1"/>
                <w:bCs w:val="1"/>
                <w:color w:val="auto"/>
                <w:w w:val="98"/>
              </w:rPr>
              <w:t>Recovery</w:t>
            </w:r>
            <w:r>
              <w:rPr>
                <w:rFonts w:ascii="Arial" w:cs="Arial" w:eastAsia="Arial" w:hAnsi="Arial"/>
                <w:sz w:val="17"/>
                <w:szCs w:val="17"/>
                <w:b w:val="1"/>
                <w:bCs w:val="1"/>
                <w:color w:val="auto"/>
                <w:w w:val="98"/>
                <w:vertAlign w:val="superscript"/>
              </w:rPr>
              <w:t>(1)</w:t>
            </w:r>
          </w:p>
        </w:tc>
      </w:tr>
      <w:tr>
        <w:trPr>
          <w:trHeight w:val="170"/>
        </w:trPr>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4"/>
          </w:tcPr>
          <w:p>
            <w:pPr>
              <w:jc w:val="right"/>
              <w:ind w:right="386"/>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5"/>
                <w:szCs w:val="15"/>
                <w:color w:val="auto"/>
              </w:rPr>
              <w:t>Unconsolidated Fannie Mae MBS</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6"/>
              <w:spacing w:after="0"/>
              <w:rPr>
                <w:sz w:val="20"/>
                <w:szCs w:val="20"/>
                <w:color w:val="auto"/>
              </w:rPr>
            </w:pPr>
            <w:r>
              <w:rPr>
                <w:rFonts w:ascii="Arial" w:cs="Arial" w:eastAsia="Arial" w:hAnsi="Arial"/>
                <w:sz w:val="15"/>
                <w:szCs w:val="15"/>
                <w:b w:val="1"/>
                <w:bCs w:val="1"/>
                <w:color w:val="auto"/>
              </w:rPr>
              <w:t>2,970</w:t>
            </w:r>
          </w:p>
        </w:tc>
        <w:tc>
          <w:tcPr>
            <w:tcW w:w="22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960" w:type="dxa"/>
            <w:vAlign w:val="bottom"/>
          </w:tcPr>
          <w:p>
            <w:pPr>
              <w:jc w:val="right"/>
              <w:ind w:right="7"/>
              <w:spacing w:after="0"/>
              <w:rPr>
                <w:sz w:val="20"/>
                <w:szCs w:val="20"/>
                <w:color w:val="auto"/>
              </w:rPr>
            </w:pPr>
            <w:r>
              <w:rPr>
                <w:rFonts w:ascii="Arial" w:cs="Arial" w:eastAsia="Arial" w:hAnsi="Arial"/>
                <w:sz w:val="15"/>
                <w:szCs w:val="15"/>
                <w:b w:val="1"/>
                <w:bCs w:val="1"/>
                <w:color w:val="auto"/>
              </w:rPr>
              <w:t>15</w:t>
            </w:r>
          </w:p>
        </w:tc>
        <w:tc>
          <w:tcPr>
            <w:tcW w:w="26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2,897</w:t>
            </w:r>
          </w:p>
        </w:tc>
        <w:tc>
          <w:tcPr>
            <w:tcW w:w="2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3,139</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3,058</w:t>
            </w:r>
          </w:p>
        </w:tc>
      </w:tr>
      <w:tr>
        <w:trPr>
          <w:trHeight w:val="239"/>
        </w:trPr>
        <w:tc>
          <w:tcPr>
            <w:tcW w:w="4140" w:type="dxa"/>
            <w:vAlign w:val="bottom"/>
            <w:tcBorders>
              <w:bottom w:val="single" w:sz="8" w:color="2C6937"/>
            </w:tcBorders>
          </w:tcPr>
          <w:p>
            <w:pPr>
              <w:spacing w:after="0"/>
              <w:rPr>
                <w:sz w:val="20"/>
                <w:szCs w:val="20"/>
                <w:color w:val="auto"/>
              </w:rPr>
            </w:pPr>
            <w:r>
              <w:rPr>
                <w:rFonts w:ascii="Arial" w:cs="Arial" w:eastAsia="Arial" w:hAnsi="Arial"/>
                <w:sz w:val="15"/>
                <w:szCs w:val="15"/>
                <w:color w:val="auto"/>
              </w:rPr>
              <w:t>Other guaranty arrangements</w:t>
            </w:r>
            <w:r>
              <w:rPr>
                <w:rFonts w:ascii="Arial" w:cs="Arial" w:eastAsia="Arial" w:hAnsi="Arial"/>
                <w:sz w:val="20"/>
                <w:szCs w:val="20"/>
                <w:color w:val="auto"/>
                <w:vertAlign w:val="superscript"/>
              </w:rPr>
              <w:t>(2)</w:t>
            </w:r>
          </w:p>
        </w:tc>
        <w:tc>
          <w:tcPr>
            <w:tcW w:w="10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88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b w:val="1"/>
                <w:bCs w:val="1"/>
                <w:color w:val="auto"/>
              </w:rPr>
              <w:t>9,358</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96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70</w:t>
            </w:r>
          </w:p>
        </w:tc>
        <w:tc>
          <w:tcPr>
            <w:tcW w:w="10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1,982</w:t>
            </w:r>
          </w:p>
        </w:tc>
        <w:tc>
          <w:tcPr>
            <w:tcW w:w="12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9,573</w:t>
            </w:r>
          </w:p>
        </w:tc>
        <w:tc>
          <w:tcPr>
            <w:tcW w:w="12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79</w:t>
            </w:r>
          </w:p>
        </w:tc>
        <w:tc>
          <w:tcPr>
            <w:tcW w:w="10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96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2,012</w:t>
            </w:r>
          </w:p>
        </w:tc>
      </w:tr>
      <w:tr>
        <w:trPr>
          <w:trHeight w:val="199"/>
        </w:trPr>
        <w:tc>
          <w:tcPr>
            <w:tcW w:w="4240" w:type="dxa"/>
            <w:vAlign w:val="bottom"/>
            <w:gridSpan w:val="2"/>
          </w:tcPr>
          <w:p>
            <w:pPr>
              <w:ind w:left="80"/>
              <w:spacing w:after="0"/>
              <w:rPr>
                <w:sz w:val="20"/>
                <w:szCs w:val="20"/>
                <w:color w:val="auto"/>
              </w:rPr>
            </w:pPr>
            <w:r>
              <w:rPr>
                <w:rFonts w:ascii="Arial" w:cs="Arial" w:eastAsia="Arial" w:hAnsi="Arial"/>
                <w:sz w:val="15"/>
                <w:szCs w:val="15"/>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6"/>
              <w:spacing w:after="0"/>
              <w:rPr>
                <w:sz w:val="20"/>
                <w:szCs w:val="20"/>
                <w:color w:val="auto"/>
              </w:rPr>
            </w:pPr>
            <w:r>
              <w:rPr>
                <w:rFonts w:ascii="Arial" w:cs="Arial" w:eastAsia="Arial" w:hAnsi="Arial"/>
                <w:sz w:val="15"/>
                <w:szCs w:val="15"/>
                <w:b w:val="1"/>
                <w:bCs w:val="1"/>
                <w:color w:val="auto"/>
              </w:rPr>
              <w:t>12,328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60" w:type="dxa"/>
            <w:vAlign w:val="bottom"/>
          </w:tcPr>
          <w:p>
            <w:pPr>
              <w:jc w:val="right"/>
              <w:ind w:right="7"/>
              <w:spacing w:after="0"/>
              <w:rPr>
                <w:sz w:val="20"/>
                <w:szCs w:val="20"/>
                <w:color w:val="auto"/>
              </w:rPr>
            </w:pPr>
            <w:r>
              <w:rPr>
                <w:rFonts w:ascii="Arial" w:cs="Arial" w:eastAsia="Arial" w:hAnsi="Arial"/>
                <w:sz w:val="15"/>
                <w:szCs w:val="15"/>
                <w:b w:val="1"/>
                <w:bCs w:val="1"/>
                <w:color w:val="auto"/>
              </w:rPr>
              <w:t>85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4,879</w:t>
            </w:r>
          </w:p>
        </w:tc>
        <w:tc>
          <w:tcPr>
            <w:tcW w:w="2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12,712</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94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5,070</w:t>
            </w:r>
          </w:p>
        </w:tc>
      </w:tr>
      <w:tr>
        <w:trPr>
          <w:trHeight w:val="20"/>
        </w:trPr>
        <w:tc>
          <w:tcPr>
            <w:tcW w:w="41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r>
    </w:tbl>
    <w:p>
      <w:pPr>
        <w:spacing w:after="0" w:line="111" w:lineRule="exact"/>
        <w:rPr>
          <w:sz w:val="20"/>
          <w:szCs w:val="20"/>
          <w:color w:val="auto"/>
        </w:rPr>
      </w:pPr>
    </w:p>
    <w:p>
      <w:pPr>
        <w:ind w:left="240" w:hanging="237"/>
        <w:spacing w:after="0" w:line="269" w:lineRule="auto"/>
        <w:tabs>
          <w:tab w:leader="none" w:pos="240" w:val="left"/>
        </w:tabs>
        <w:numPr>
          <w:ilvl w:val="0"/>
          <w:numId w:val="92"/>
        </w:numPr>
        <w:rPr>
          <w:rFonts w:ascii="Arial" w:cs="Arial" w:eastAsia="Arial" w:hAnsi="Arial"/>
          <w:sz w:val="9"/>
          <w:szCs w:val="9"/>
          <w:color w:val="auto"/>
        </w:rPr>
      </w:pPr>
      <w:r>
        <w:rPr>
          <w:rFonts w:ascii="Arial" w:cs="Arial" w:eastAsia="Arial" w:hAnsi="Arial"/>
          <w:sz w:val="14"/>
          <w:szCs w:val="14"/>
          <w:color w:val="auto"/>
        </w:rPr>
        <w:t>Recoverability of such credit enhancements and recourse is subject to, among other factors, the ability of our mortgage insurers and the U.S. government, as a financial guarantor, to meet their obligations to us. For information on our mortgage insurers, see “Note 10, Concentrations of Credit Risk.”</w:t>
      </w:r>
    </w:p>
    <w:p>
      <w:pPr>
        <w:ind w:left="240" w:hanging="237"/>
        <w:spacing w:after="0"/>
        <w:tabs>
          <w:tab w:leader="none" w:pos="240" w:val="left"/>
        </w:tabs>
        <w:numPr>
          <w:ilvl w:val="0"/>
          <w:numId w:val="92"/>
        </w:numPr>
        <w:rPr>
          <w:rFonts w:ascii="Arial" w:cs="Arial" w:eastAsia="Arial" w:hAnsi="Arial"/>
          <w:sz w:val="18"/>
          <w:szCs w:val="18"/>
          <w:color w:val="auto"/>
          <w:vertAlign w:val="superscript"/>
        </w:rPr>
      </w:pPr>
      <w:r>
        <w:rPr>
          <w:rFonts w:ascii="Arial" w:cs="Arial" w:eastAsia="Arial" w:hAnsi="Arial"/>
          <w:sz w:val="14"/>
          <w:szCs w:val="14"/>
          <w:color w:val="auto"/>
        </w:rPr>
        <w:t>Primarily consists of credit enhancements and long-term standby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375285</wp:posOffset>
            </wp:positionV>
            <wp:extent cx="681101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164070" cy="4191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95" w:name="page96"/>
    <w:bookmarkEnd w:id="95"/>
    <w:p>
      <w:pPr>
        <w:ind w:left="5640"/>
        <w:spacing w:after="0"/>
        <w:rPr>
          <w:sz w:val="20"/>
          <w:szCs w:val="20"/>
          <w:color w:val="auto"/>
        </w:rPr>
      </w:pPr>
      <w:r>
        <w:rPr>
          <w:rFonts w:ascii="Arial" w:cs="Arial" w:eastAsia="Arial" w:hAnsi="Arial"/>
          <w:sz w:val="13"/>
          <w:szCs w:val="13"/>
          <w:color w:val="05314D"/>
        </w:rPr>
        <w:t>Notes to Condensed Consolidated Financial Statements | Short-Term and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22860</wp:posOffset>
            </wp:positionV>
            <wp:extent cx="702373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31"/>
          <w:szCs w:val="31"/>
          <w:b w:val="1"/>
          <w:bCs w:val="1"/>
          <w:color w:val="05314D"/>
        </w:rPr>
        <w:t>7. Short-Term and Long-Term Debt</w:t>
      </w:r>
    </w:p>
    <w:p>
      <w:pPr>
        <w:spacing w:after="0" w:line="133"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Short-Term Debt</w:t>
      </w:r>
    </w:p>
    <w:p>
      <w:pPr>
        <w:spacing w:after="0" w:line="82" w:lineRule="exact"/>
        <w:rPr>
          <w:sz w:val="20"/>
          <w:szCs w:val="20"/>
          <w:color w:val="auto"/>
        </w:rPr>
      </w:pPr>
    </w:p>
    <w:p>
      <w:pPr>
        <w:ind w:right="220"/>
        <w:spacing w:after="0" w:line="283" w:lineRule="auto"/>
        <w:rPr>
          <w:sz w:val="20"/>
          <w:szCs w:val="20"/>
          <w:color w:val="auto"/>
        </w:rPr>
      </w:pPr>
      <w:r>
        <w:rPr>
          <w:rFonts w:ascii="Arial" w:cs="Arial" w:eastAsia="Arial" w:hAnsi="Arial"/>
          <w:sz w:val="16"/>
          <w:szCs w:val="16"/>
          <w:color w:val="auto"/>
        </w:rPr>
        <w:t>The following table displays our outstanding short-term debt (debt with an original contractual maturity of one year or less) and weighted-average interest rates of this debt.</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4900" w:type="dxa"/>
            <w:vAlign w:val="bottom"/>
          </w:tcPr>
          <w:p>
            <w:pPr>
              <w:spacing w:after="0"/>
              <w:rPr>
                <w:sz w:val="15"/>
                <w:szCs w:val="15"/>
                <w:color w:val="auto"/>
              </w:rPr>
            </w:pPr>
          </w:p>
        </w:tc>
        <w:tc>
          <w:tcPr>
            <w:tcW w:w="220" w:type="dxa"/>
            <w:vAlign w:val="bottom"/>
            <w:tcBorders>
              <w:bottom w:val="single" w:sz="8" w:color="2C6937"/>
            </w:tcBorders>
          </w:tcPr>
          <w:p>
            <w:pPr>
              <w:spacing w:after="0"/>
              <w:rPr>
                <w:sz w:val="15"/>
                <w:szCs w:val="15"/>
                <w:color w:val="auto"/>
              </w:rPr>
            </w:pPr>
          </w:p>
        </w:tc>
        <w:tc>
          <w:tcPr>
            <w:tcW w:w="1320" w:type="dxa"/>
            <w:vAlign w:val="bottom"/>
            <w:tcBorders>
              <w:bottom w:val="single" w:sz="8" w:color="2C6937"/>
            </w:tcBorders>
          </w:tcPr>
          <w:p>
            <w:pPr>
              <w:spacing w:after="0"/>
              <w:rPr>
                <w:sz w:val="15"/>
                <w:szCs w:val="15"/>
                <w:color w:val="auto"/>
              </w:rPr>
            </w:pPr>
          </w:p>
        </w:tc>
        <w:tc>
          <w:tcPr>
            <w:tcW w:w="1880" w:type="dxa"/>
            <w:vAlign w:val="bottom"/>
            <w:tcBorders>
              <w:bottom w:val="single" w:sz="8" w:color="2C6937"/>
            </w:tcBorders>
            <w:gridSpan w:val="3"/>
          </w:tcPr>
          <w:p>
            <w:pPr>
              <w:jc w:val="center"/>
              <w:ind w:left="1270"/>
              <w:spacing w:after="0"/>
              <w:rPr>
                <w:sz w:val="20"/>
                <w:szCs w:val="20"/>
                <w:color w:val="auto"/>
              </w:rPr>
            </w:pPr>
            <w:r>
              <w:rPr>
                <w:rFonts w:ascii="Arial" w:cs="Arial" w:eastAsia="Arial" w:hAnsi="Arial"/>
                <w:sz w:val="14"/>
                <w:szCs w:val="14"/>
                <w:b w:val="1"/>
                <w:bCs w:val="1"/>
                <w:color w:val="auto"/>
                <w:w w:val="97"/>
              </w:rPr>
              <w:t>As of</w:t>
            </w:r>
          </w:p>
        </w:tc>
        <w:tc>
          <w:tcPr>
            <w:tcW w:w="1320" w:type="dxa"/>
            <w:vAlign w:val="bottom"/>
            <w:tcBorders>
              <w:bottom w:val="single" w:sz="8" w:color="2C6937"/>
            </w:tcBorders>
          </w:tcPr>
          <w:p>
            <w:pPr>
              <w:spacing w:after="0"/>
              <w:rPr>
                <w:sz w:val="15"/>
                <w:szCs w:val="15"/>
                <w:color w:val="auto"/>
              </w:rPr>
            </w:pPr>
          </w:p>
        </w:tc>
        <w:tc>
          <w:tcPr>
            <w:tcW w:w="1580" w:type="dxa"/>
            <w:vAlign w:val="bottom"/>
            <w:tcBorders>
              <w:bottom w:val="single" w:sz="8" w:color="2C6937"/>
            </w:tcBorders>
          </w:tcPr>
          <w:p>
            <w:pPr>
              <w:spacing w:after="0"/>
              <w:rPr>
                <w:sz w:val="15"/>
                <w:szCs w:val="15"/>
                <w:color w:val="auto"/>
              </w:rPr>
            </w:pPr>
          </w:p>
        </w:tc>
      </w:tr>
      <w:tr>
        <w:trPr>
          <w:trHeight w:val="186"/>
        </w:trPr>
        <w:tc>
          <w:tcPr>
            <w:tcW w:w="49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2880" w:type="dxa"/>
            <w:vAlign w:val="bottom"/>
            <w:tcBorders>
              <w:bottom w:val="single" w:sz="8" w:color="2C6937"/>
            </w:tcBorders>
            <w:gridSpan w:val="2"/>
          </w:tcPr>
          <w:p>
            <w:pPr>
              <w:ind w:left="880"/>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2900" w:type="dxa"/>
            <w:vAlign w:val="bottom"/>
            <w:tcBorders>
              <w:bottom w:val="single" w:sz="8" w:color="2C6937"/>
            </w:tcBorders>
            <w:gridSpan w:val="2"/>
          </w:tcPr>
          <w:p>
            <w:pPr>
              <w:jc w:val="right"/>
              <w:ind w:right="868"/>
              <w:spacing w:after="0"/>
              <w:rPr>
                <w:sz w:val="20"/>
                <w:szCs w:val="20"/>
                <w:color w:val="auto"/>
              </w:rPr>
            </w:pPr>
            <w:r>
              <w:rPr>
                <w:rFonts w:ascii="Arial" w:cs="Arial" w:eastAsia="Arial" w:hAnsi="Arial"/>
                <w:sz w:val="14"/>
                <w:szCs w:val="14"/>
                <w:b w:val="1"/>
                <w:bCs w:val="1"/>
                <w:color w:val="auto"/>
              </w:rPr>
              <w:t>December 31, 2022</w:t>
            </w:r>
          </w:p>
        </w:tc>
      </w:tr>
      <w:tr>
        <w:trPr>
          <w:trHeight w:val="173"/>
        </w:trPr>
        <w:tc>
          <w:tcPr>
            <w:tcW w:w="4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Weighted- Average</w:t>
            </w:r>
          </w:p>
        </w:tc>
        <w:tc>
          <w:tcPr>
            <w:tcW w:w="13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6"/>
              </w:rPr>
              <w:t>Weighted- Average</w:t>
            </w:r>
          </w:p>
        </w:tc>
      </w:tr>
      <w:tr>
        <w:trPr>
          <w:trHeight w:val="207"/>
        </w:trPr>
        <w:tc>
          <w:tcPr>
            <w:tcW w:w="4900" w:type="dxa"/>
            <w:vAlign w:val="bottom"/>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1320" w:type="dxa"/>
            <w:vAlign w:val="bottom"/>
            <w:tcBorders>
              <w:bottom w:val="single" w:sz="8" w:color="2C6937"/>
            </w:tcBorders>
          </w:tcPr>
          <w:p>
            <w:pPr>
              <w:jc w:val="right"/>
              <w:ind w:right="348"/>
              <w:spacing w:after="0"/>
              <w:rPr>
                <w:sz w:val="20"/>
                <w:szCs w:val="20"/>
                <w:color w:val="auto"/>
              </w:rPr>
            </w:pPr>
            <w:r>
              <w:rPr>
                <w:rFonts w:ascii="Arial" w:cs="Arial" w:eastAsia="Arial" w:hAnsi="Arial"/>
                <w:sz w:val="14"/>
                <w:szCs w:val="14"/>
                <w:b w:val="1"/>
                <w:bCs w:val="1"/>
                <w:color w:val="auto"/>
              </w:rPr>
              <w:t>Outstanding</w:t>
            </w:r>
          </w:p>
        </w:tc>
        <w:tc>
          <w:tcPr>
            <w:tcW w:w="1880" w:type="dxa"/>
            <w:vAlign w:val="bottom"/>
            <w:tcBorders>
              <w:bottom w:val="single" w:sz="8" w:color="2C6937"/>
            </w:tcBorders>
            <w:gridSpan w:val="3"/>
          </w:tcPr>
          <w:p>
            <w:pPr>
              <w:jc w:val="center"/>
              <w:ind w:right="300"/>
              <w:spacing w:after="0"/>
              <w:rPr>
                <w:sz w:val="20"/>
                <w:szCs w:val="20"/>
                <w:color w:val="auto"/>
              </w:rPr>
            </w:pPr>
            <w:r>
              <w:rPr>
                <w:rFonts w:ascii="Arial" w:cs="Arial" w:eastAsia="Arial" w:hAnsi="Arial"/>
                <w:sz w:val="14"/>
                <w:szCs w:val="14"/>
                <w:b w:val="1"/>
                <w:bCs w:val="1"/>
                <w:color w:val="auto"/>
                <w:w w:val="95"/>
              </w:rPr>
              <w:t>Interest Rate</w:t>
            </w:r>
            <w:r>
              <w:rPr>
                <w:rFonts w:ascii="Arial" w:cs="Arial" w:eastAsia="Arial" w:hAnsi="Arial"/>
                <w:sz w:val="17"/>
                <w:szCs w:val="17"/>
                <w:b w:val="1"/>
                <w:bCs w:val="1"/>
                <w:color w:val="auto"/>
                <w:w w:val="95"/>
                <w:vertAlign w:val="superscript"/>
              </w:rPr>
              <w:t>(1)</w:t>
            </w:r>
          </w:p>
        </w:tc>
        <w:tc>
          <w:tcPr>
            <w:tcW w:w="1320" w:type="dxa"/>
            <w:vAlign w:val="bottom"/>
            <w:tcBorders>
              <w:bottom w:val="single" w:sz="8" w:color="2C6937"/>
            </w:tcBorders>
          </w:tcPr>
          <w:p>
            <w:pPr>
              <w:jc w:val="right"/>
              <w:ind w:right="328"/>
              <w:spacing w:after="0"/>
              <w:rPr>
                <w:sz w:val="20"/>
                <w:szCs w:val="20"/>
                <w:color w:val="auto"/>
              </w:rPr>
            </w:pPr>
            <w:r>
              <w:rPr>
                <w:rFonts w:ascii="Arial" w:cs="Arial" w:eastAsia="Arial" w:hAnsi="Arial"/>
                <w:sz w:val="14"/>
                <w:szCs w:val="14"/>
                <w:b w:val="1"/>
                <w:bCs w:val="1"/>
                <w:color w:val="auto"/>
              </w:rPr>
              <w:t>Outstanding</w:t>
            </w:r>
          </w:p>
        </w:tc>
        <w:tc>
          <w:tcPr>
            <w:tcW w:w="158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5"/>
              </w:rPr>
              <w:t>Interest Rate</w:t>
            </w:r>
            <w:r>
              <w:rPr>
                <w:rFonts w:ascii="Arial" w:cs="Arial" w:eastAsia="Arial" w:hAnsi="Arial"/>
                <w:sz w:val="17"/>
                <w:szCs w:val="17"/>
                <w:b w:val="1"/>
                <w:bCs w:val="1"/>
                <w:color w:val="auto"/>
                <w:w w:val="95"/>
                <w:vertAlign w:val="superscript"/>
              </w:rPr>
              <w:t>(1)</w:t>
            </w:r>
          </w:p>
        </w:tc>
      </w:tr>
      <w:tr>
        <w:trPr>
          <w:trHeight w:val="170"/>
        </w:trPr>
        <w:tc>
          <w:tcPr>
            <w:tcW w:w="4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0" w:type="dxa"/>
            <w:vAlign w:val="bottom"/>
            <w:gridSpan w:val="4"/>
          </w:tcPr>
          <w:p>
            <w:pPr>
              <w:jc w:val="center"/>
              <w:ind w:left="10"/>
              <w:spacing w:after="0"/>
              <w:rPr>
                <w:sz w:val="20"/>
                <w:szCs w:val="20"/>
                <w:color w:val="auto"/>
              </w:rPr>
            </w:pPr>
            <w:r>
              <w:rPr>
                <w:rFonts w:ascii="Arial" w:cs="Arial" w:eastAsia="Arial" w:hAnsi="Arial"/>
                <w:sz w:val="14"/>
                <w:szCs w:val="14"/>
                <w:b w:val="1"/>
                <w:bCs w:val="1"/>
                <w:color w:val="auto"/>
                <w:w w:val="98"/>
              </w:rPr>
              <w:t>(Dollars in millions)</w:t>
            </w:r>
          </w:p>
        </w:tc>
        <w:tc>
          <w:tcPr>
            <w:tcW w:w="1580" w:type="dxa"/>
            <w:vAlign w:val="bottom"/>
          </w:tcPr>
          <w:p>
            <w:pPr>
              <w:spacing w:after="0"/>
              <w:rPr>
                <w:sz w:val="14"/>
                <w:szCs w:val="14"/>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5"/>
                <w:szCs w:val="15"/>
                <w:color w:val="auto"/>
              </w:rPr>
              <w:t>Short-term debt of Fannie Mae</w:t>
            </w:r>
          </w:p>
        </w:tc>
        <w:tc>
          <w:tcPr>
            <w:tcW w:w="220" w:type="dxa"/>
            <w:vAlign w:val="bottom"/>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Pr>
          <w:p>
            <w:pPr>
              <w:jc w:val="right"/>
              <w:ind w:right="88"/>
              <w:spacing w:after="0"/>
              <w:rPr>
                <w:sz w:val="20"/>
                <w:szCs w:val="20"/>
                <w:color w:val="auto"/>
              </w:rPr>
            </w:pPr>
            <w:r>
              <w:rPr>
                <w:rFonts w:ascii="Arial" w:cs="Arial" w:eastAsia="Arial" w:hAnsi="Arial"/>
                <w:sz w:val="15"/>
                <w:szCs w:val="15"/>
                <w:b w:val="1"/>
                <w:bCs w:val="1"/>
                <w:color w:val="auto"/>
              </w:rPr>
              <w:t>15,628</w:t>
            </w:r>
          </w:p>
        </w:tc>
        <w:tc>
          <w:tcPr>
            <w:tcW w:w="1880" w:type="dxa"/>
            <w:vAlign w:val="bottom"/>
            <w:gridSpan w:val="3"/>
          </w:tcPr>
          <w:p>
            <w:pPr>
              <w:jc w:val="right"/>
              <w:ind w:right="100"/>
              <w:spacing w:after="0"/>
              <w:rPr>
                <w:sz w:val="20"/>
                <w:szCs w:val="20"/>
                <w:color w:val="auto"/>
              </w:rPr>
            </w:pPr>
            <w:r>
              <w:rPr>
                <w:rFonts w:ascii="Arial" w:cs="Arial" w:eastAsia="Arial" w:hAnsi="Arial"/>
                <w:sz w:val="15"/>
                <w:szCs w:val="15"/>
                <w:b w:val="1"/>
                <w:bCs w:val="1"/>
                <w:color w:val="auto"/>
              </w:rPr>
              <w:t xml:space="preserve">5.05 %  </w:t>
            </w:r>
            <w:r>
              <w:rPr>
                <w:rFonts w:ascii="Arial" w:cs="Arial" w:eastAsia="Arial" w:hAnsi="Arial"/>
                <w:sz w:val="15"/>
                <w:szCs w:val="15"/>
                <w:color w:val="auto"/>
              </w:rPr>
              <w:t>$</w:t>
            </w:r>
          </w:p>
        </w:tc>
        <w:tc>
          <w:tcPr>
            <w:tcW w:w="1320" w:type="dxa"/>
            <w:vAlign w:val="bottom"/>
          </w:tcPr>
          <w:p>
            <w:pPr>
              <w:jc w:val="right"/>
              <w:ind w:right="88"/>
              <w:spacing w:after="0"/>
              <w:rPr>
                <w:sz w:val="20"/>
                <w:szCs w:val="20"/>
                <w:color w:val="auto"/>
              </w:rPr>
            </w:pPr>
            <w:r>
              <w:rPr>
                <w:rFonts w:ascii="Arial" w:cs="Arial" w:eastAsia="Arial" w:hAnsi="Arial"/>
                <w:sz w:val="15"/>
                <w:szCs w:val="15"/>
                <w:color w:val="auto"/>
              </w:rPr>
              <w:t>10,204</w:t>
            </w:r>
          </w:p>
        </w:tc>
        <w:tc>
          <w:tcPr>
            <w:tcW w:w="1580" w:type="dxa"/>
            <w:vAlign w:val="bottom"/>
          </w:tcPr>
          <w:p>
            <w:pPr>
              <w:jc w:val="right"/>
              <w:spacing w:after="0"/>
              <w:rPr>
                <w:sz w:val="20"/>
                <w:szCs w:val="20"/>
                <w:color w:val="auto"/>
              </w:rPr>
            </w:pPr>
            <w:r>
              <w:rPr>
                <w:rFonts w:ascii="Arial" w:cs="Arial" w:eastAsia="Arial" w:hAnsi="Arial"/>
                <w:sz w:val="15"/>
                <w:szCs w:val="15"/>
                <w:color w:val="auto"/>
              </w:rPr>
              <w:t>3.93 %</w:t>
            </w:r>
          </w:p>
        </w:tc>
      </w:tr>
    </w:tbl>
    <w:p>
      <w:pPr>
        <w:spacing w:after="0" w:line="84" w:lineRule="exact"/>
        <w:rPr>
          <w:sz w:val="20"/>
          <w:szCs w:val="20"/>
          <w:color w:val="auto"/>
        </w:rPr>
      </w:pPr>
    </w:p>
    <w:p>
      <w:pPr>
        <w:ind w:left="240" w:hanging="237"/>
        <w:spacing w:after="0"/>
        <w:tabs>
          <w:tab w:leader="none" w:pos="240" w:val="left"/>
        </w:tabs>
        <w:numPr>
          <w:ilvl w:val="0"/>
          <w:numId w:val="93"/>
        </w:numPr>
        <w:rPr>
          <w:rFonts w:ascii="Arial" w:cs="Arial" w:eastAsia="Arial" w:hAnsi="Arial"/>
          <w:sz w:val="18"/>
          <w:szCs w:val="18"/>
          <w:color w:val="auto"/>
          <w:vertAlign w:val="superscript"/>
        </w:rPr>
      </w:pPr>
      <w:r>
        <w:rPr>
          <w:rFonts w:ascii="Arial" w:cs="Arial" w:eastAsia="Arial" w:hAnsi="Arial"/>
          <w:sz w:val="14"/>
          <w:szCs w:val="14"/>
          <w:color w:val="auto"/>
        </w:rPr>
        <w:t>Includes the effects of discounts, premiums and other cost basis adjustments.</w:t>
      </w:r>
    </w:p>
    <w:p>
      <w:pPr>
        <w:spacing w:after="0" w:line="87"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Long-Term Debt</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Long-term debt represents debt with an original contractual maturity of greater than one year. The following table displays our outstanding long-term debt.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500" w:type="dxa"/>
            <w:vAlign w:val="bottom"/>
          </w:tcPr>
          <w:p>
            <w:pPr>
              <w:spacing w:after="0"/>
              <w:rPr>
                <w:sz w:val="15"/>
                <w:szCs w:val="15"/>
                <w:color w:val="auto"/>
              </w:rPr>
            </w:pPr>
          </w:p>
        </w:tc>
        <w:tc>
          <w:tcPr>
            <w:tcW w:w="1280" w:type="dxa"/>
            <w:vAlign w:val="bottom"/>
            <w:tcBorders>
              <w:bottom w:val="single" w:sz="8" w:color="2C6937"/>
            </w:tcBorders>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tcPr>
          <w:p>
            <w:pPr>
              <w:spacing w:after="0"/>
              <w:rPr>
                <w:sz w:val="15"/>
                <w:szCs w:val="15"/>
                <w:color w:val="auto"/>
              </w:rPr>
            </w:pPr>
          </w:p>
        </w:tc>
        <w:tc>
          <w:tcPr>
            <w:tcW w:w="1460" w:type="dxa"/>
            <w:vAlign w:val="bottom"/>
            <w:tcBorders>
              <w:bottom w:val="single" w:sz="8" w:color="2C6937"/>
            </w:tcBorders>
            <w:gridSpan w:val="3"/>
          </w:tcPr>
          <w:p>
            <w:pPr>
              <w:jc w:val="center"/>
              <w:ind w:left="966"/>
              <w:spacing w:after="0"/>
              <w:rPr>
                <w:sz w:val="20"/>
                <w:szCs w:val="20"/>
                <w:color w:val="auto"/>
              </w:rPr>
            </w:pPr>
            <w:r>
              <w:rPr>
                <w:rFonts w:ascii="Arial" w:cs="Arial" w:eastAsia="Arial" w:hAnsi="Arial"/>
                <w:sz w:val="14"/>
                <w:szCs w:val="14"/>
                <w:b w:val="1"/>
                <w:bCs w:val="1"/>
                <w:color w:val="auto"/>
                <w:w w:val="97"/>
              </w:rPr>
              <w:t>As of</w:t>
            </w:r>
          </w:p>
        </w:tc>
        <w:tc>
          <w:tcPr>
            <w:tcW w:w="1000" w:type="dxa"/>
            <w:vAlign w:val="bottom"/>
            <w:tcBorders>
              <w:bottom w:val="single" w:sz="8" w:color="2C6937"/>
            </w:tcBorders>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16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tcPr>
          <w:p>
            <w:pPr>
              <w:spacing w:after="0"/>
              <w:rPr>
                <w:sz w:val="15"/>
                <w:szCs w:val="15"/>
                <w:color w:val="auto"/>
              </w:rPr>
            </w:pPr>
          </w:p>
        </w:tc>
      </w:tr>
      <w:tr>
        <w:trPr>
          <w:trHeight w:val="185"/>
        </w:trPr>
        <w:tc>
          <w:tcPr>
            <w:tcW w:w="3500" w:type="dxa"/>
            <w:vAlign w:val="bottom"/>
          </w:tcPr>
          <w:p>
            <w:pPr>
              <w:spacing w:after="0"/>
              <w:rPr>
                <w:sz w:val="16"/>
                <w:szCs w:val="16"/>
                <w:color w:val="auto"/>
              </w:rPr>
            </w:pPr>
          </w:p>
        </w:tc>
        <w:tc>
          <w:tcPr>
            <w:tcW w:w="128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200" w:type="dxa"/>
            <w:vAlign w:val="bottom"/>
            <w:tcBorders>
              <w:bottom w:val="single" w:sz="8" w:color="2C6937"/>
            </w:tcBorders>
          </w:tcPr>
          <w:p>
            <w:pPr>
              <w:jc w:val="right"/>
              <w:ind w:right="184"/>
              <w:spacing w:after="0"/>
              <w:rPr>
                <w:sz w:val="20"/>
                <w:szCs w:val="20"/>
                <w:color w:val="auto"/>
              </w:rPr>
            </w:pPr>
            <w:r>
              <w:rPr>
                <w:rFonts w:ascii="Arial" w:cs="Arial" w:eastAsia="Arial" w:hAnsi="Arial"/>
                <w:sz w:val="14"/>
                <w:szCs w:val="14"/>
                <w:b w:val="1"/>
                <w:bCs w:val="1"/>
                <w:color w:val="auto"/>
              </w:rPr>
              <w:t>June 30, 2023</w:t>
            </w:r>
          </w:p>
        </w:tc>
        <w:tc>
          <w:tcPr>
            <w:tcW w:w="122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spacing w:after="0"/>
              <w:rPr>
                <w:sz w:val="16"/>
                <w:szCs w:val="16"/>
                <w:color w:val="auto"/>
              </w:rPr>
            </w:pPr>
          </w:p>
        </w:tc>
        <w:tc>
          <w:tcPr>
            <w:tcW w:w="1460" w:type="dxa"/>
            <w:vAlign w:val="bottom"/>
            <w:tcBorders>
              <w:bottom w:val="single" w:sz="8" w:color="2C6937"/>
            </w:tcBorders>
            <w:gridSpan w:val="3"/>
          </w:tcPr>
          <w:p>
            <w:pPr>
              <w:ind w:left="140"/>
              <w:spacing w:after="0"/>
              <w:rPr>
                <w:sz w:val="20"/>
                <w:szCs w:val="20"/>
                <w:color w:val="auto"/>
              </w:rPr>
            </w:pPr>
            <w:r>
              <w:rPr>
                <w:rFonts w:ascii="Arial" w:cs="Arial" w:eastAsia="Arial" w:hAnsi="Arial"/>
                <w:sz w:val="14"/>
                <w:szCs w:val="14"/>
                <w:b w:val="1"/>
                <w:bCs w:val="1"/>
                <w:color w:val="auto"/>
              </w:rPr>
              <w:t>December 31, 2022</w:t>
            </w:r>
          </w:p>
        </w:tc>
        <w:tc>
          <w:tcPr>
            <w:tcW w:w="1200" w:type="dxa"/>
            <w:vAlign w:val="bottom"/>
            <w:tcBorders>
              <w:bottom w:val="single" w:sz="8" w:color="2C6937"/>
            </w:tcBorders>
          </w:tcPr>
          <w:p>
            <w:pPr>
              <w:spacing w:after="0"/>
              <w:rPr>
                <w:sz w:val="16"/>
                <w:szCs w:val="16"/>
                <w:color w:val="auto"/>
              </w:rPr>
            </w:pPr>
          </w:p>
        </w:tc>
      </w:tr>
      <w:tr>
        <w:trPr>
          <w:trHeight w:val="176"/>
        </w:trPr>
        <w:tc>
          <w:tcPr>
            <w:tcW w:w="3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Weighted-</w:t>
            </w: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0" w:type="dxa"/>
            <w:vAlign w:val="bottom"/>
          </w:tcPr>
          <w:p>
            <w:pPr>
              <w:jc w:val="center"/>
              <w:ind w:left="25"/>
              <w:spacing w:after="0"/>
              <w:rPr>
                <w:sz w:val="20"/>
                <w:szCs w:val="20"/>
                <w:color w:val="auto"/>
              </w:rPr>
            </w:pPr>
            <w:r>
              <w:rPr>
                <w:rFonts w:ascii="Arial" w:cs="Arial" w:eastAsia="Arial" w:hAnsi="Arial"/>
                <w:sz w:val="14"/>
                <w:szCs w:val="14"/>
                <w:b w:val="1"/>
                <w:bCs w:val="1"/>
                <w:color w:val="auto"/>
                <w:w w:val="97"/>
              </w:rPr>
              <w:t>Weighted-</w:t>
            </w:r>
          </w:p>
        </w:tc>
      </w:tr>
      <w:tr>
        <w:trPr>
          <w:trHeight w:val="155"/>
        </w:trPr>
        <w:tc>
          <w:tcPr>
            <w:tcW w:w="3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60" w:type="dxa"/>
            <w:vAlign w:val="bottom"/>
            <w:gridSpan w:val="3"/>
          </w:tcPr>
          <w:p>
            <w:pPr>
              <w:jc w:val="center"/>
              <w:ind w:right="140"/>
              <w:spacing w:after="0" w:line="155" w:lineRule="exact"/>
              <w:rPr>
                <w:sz w:val="20"/>
                <w:szCs w:val="20"/>
                <w:color w:val="auto"/>
              </w:rPr>
            </w:pPr>
            <w:r>
              <w:rPr>
                <w:rFonts w:ascii="Arial" w:cs="Arial" w:eastAsia="Arial" w:hAnsi="Arial"/>
                <w:sz w:val="14"/>
                <w:szCs w:val="14"/>
                <w:b w:val="1"/>
                <w:bCs w:val="1"/>
                <w:color w:val="auto"/>
                <w:w w:val="98"/>
              </w:rPr>
              <w:t>Average Interest</w:t>
            </w: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0" w:type="dxa"/>
            <w:vAlign w:val="bottom"/>
          </w:tcPr>
          <w:p>
            <w:pPr>
              <w:jc w:val="center"/>
              <w:ind w:left="25"/>
              <w:spacing w:after="0" w:line="155" w:lineRule="exact"/>
              <w:rPr>
                <w:sz w:val="20"/>
                <w:szCs w:val="20"/>
                <w:color w:val="auto"/>
              </w:rPr>
            </w:pPr>
            <w:r>
              <w:rPr>
                <w:rFonts w:ascii="Arial" w:cs="Arial" w:eastAsia="Arial" w:hAnsi="Arial"/>
                <w:sz w:val="14"/>
                <w:szCs w:val="14"/>
                <w:b w:val="1"/>
                <w:bCs w:val="1"/>
                <w:color w:val="auto"/>
                <w:w w:val="96"/>
              </w:rPr>
              <w:t>Average Interest</w:t>
            </w:r>
          </w:p>
        </w:tc>
      </w:tr>
      <w:tr>
        <w:trPr>
          <w:trHeight w:val="205"/>
        </w:trPr>
        <w:tc>
          <w:tcPr>
            <w:tcW w:w="3500" w:type="dxa"/>
            <w:vAlign w:val="bottom"/>
          </w:tcPr>
          <w:p>
            <w:pPr>
              <w:spacing w:after="0"/>
              <w:rPr>
                <w:sz w:val="17"/>
                <w:szCs w:val="17"/>
                <w:color w:val="auto"/>
              </w:rPr>
            </w:pPr>
          </w:p>
        </w:tc>
        <w:tc>
          <w:tcPr>
            <w:tcW w:w="1280" w:type="dxa"/>
            <w:vAlign w:val="bottom"/>
            <w:tcBorders>
              <w:bottom w:val="single" w:sz="8" w:color="2C6937"/>
            </w:tcBorders>
          </w:tcPr>
          <w:p>
            <w:pPr>
              <w:ind w:left="260"/>
              <w:spacing w:after="0"/>
              <w:rPr>
                <w:sz w:val="20"/>
                <w:szCs w:val="20"/>
                <w:color w:val="auto"/>
              </w:rPr>
            </w:pPr>
            <w:r>
              <w:rPr>
                <w:rFonts w:ascii="Arial" w:cs="Arial" w:eastAsia="Arial" w:hAnsi="Arial"/>
                <w:sz w:val="14"/>
                <w:szCs w:val="14"/>
                <w:b w:val="1"/>
                <w:bCs w:val="1"/>
                <w:color w:val="auto"/>
              </w:rPr>
              <w:t>Maturities</w:t>
            </w:r>
          </w:p>
        </w:tc>
        <w:tc>
          <w:tcPr>
            <w:tcW w:w="140" w:type="dxa"/>
            <w:vAlign w:val="bottom"/>
            <w:tcBorders>
              <w:bottom w:val="single" w:sz="8" w:color="2C6937"/>
            </w:tcBorders>
          </w:tcPr>
          <w:p>
            <w:pPr>
              <w:spacing w:after="0"/>
              <w:rPr>
                <w:sz w:val="17"/>
                <w:szCs w:val="17"/>
                <w:color w:val="auto"/>
              </w:rPr>
            </w:pPr>
          </w:p>
        </w:tc>
        <w:tc>
          <w:tcPr>
            <w:tcW w:w="1200" w:type="dxa"/>
            <w:vAlign w:val="bottom"/>
            <w:tcBorders>
              <w:bottom w:val="single" w:sz="8" w:color="2C6937"/>
            </w:tcBorders>
          </w:tcPr>
          <w:p>
            <w:pPr>
              <w:jc w:val="right"/>
              <w:ind w:right="124"/>
              <w:spacing w:after="0"/>
              <w:rPr>
                <w:sz w:val="20"/>
                <w:szCs w:val="20"/>
                <w:color w:val="auto"/>
              </w:rPr>
            </w:pPr>
            <w:r>
              <w:rPr>
                <w:rFonts w:ascii="Arial" w:cs="Arial" w:eastAsia="Arial" w:hAnsi="Arial"/>
                <w:sz w:val="14"/>
                <w:szCs w:val="14"/>
                <w:b w:val="1"/>
                <w:bCs w:val="1"/>
                <w:color w:val="auto"/>
              </w:rPr>
              <w:t>Outstanding</w:t>
            </w:r>
            <w:r>
              <w:rPr>
                <w:rFonts w:ascii="Arial" w:cs="Arial" w:eastAsia="Arial" w:hAnsi="Arial"/>
                <w:sz w:val="8"/>
                <w:szCs w:val="8"/>
                <w:b w:val="1"/>
                <w:bCs w:val="1"/>
                <w:color w:val="auto"/>
              </w:rPr>
              <w:t>(1)</w:t>
            </w:r>
          </w:p>
        </w:tc>
        <w:tc>
          <w:tcPr>
            <w:tcW w:w="1460" w:type="dxa"/>
            <w:vAlign w:val="bottom"/>
            <w:tcBorders>
              <w:bottom w:val="single" w:sz="8" w:color="2C6937"/>
            </w:tcBorders>
            <w:gridSpan w:val="3"/>
          </w:tcPr>
          <w:p>
            <w:pPr>
              <w:jc w:val="center"/>
              <w:ind w:right="140"/>
              <w:spacing w:after="0"/>
              <w:rPr>
                <w:sz w:val="20"/>
                <w:szCs w:val="20"/>
                <w:color w:val="auto"/>
              </w:rPr>
            </w:pPr>
            <w:r>
              <w:rPr>
                <w:rFonts w:ascii="Arial" w:cs="Arial" w:eastAsia="Arial" w:hAnsi="Arial"/>
                <w:sz w:val="14"/>
                <w:szCs w:val="14"/>
                <w:b w:val="1"/>
                <w:bCs w:val="1"/>
                <w:color w:val="auto"/>
                <w:w w:val="99"/>
              </w:rPr>
              <w:t>Rate</w:t>
            </w:r>
            <w:r>
              <w:rPr>
                <w:rFonts w:ascii="Arial" w:cs="Arial" w:eastAsia="Arial" w:hAnsi="Arial"/>
                <w:sz w:val="8"/>
                <w:szCs w:val="8"/>
                <w:b w:val="1"/>
                <w:bCs w:val="1"/>
                <w:color w:val="auto"/>
                <w:w w:val="99"/>
              </w:rPr>
              <w:t>(2)</w:t>
            </w:r>
          </w:p>
        </w:tc>
        <w:tc>
          <w:tcPr>
            <w:tcW w:w="1000" w:type="dxa"/>
            <w:vAlign w:val="bottom"/>
            <w:tcBorders>
              <w:bottom w:val="single" w:sz="8" w:color="2C6937"/>
            </w:tcBorders>
          </w:tcPr>
          <w:p>
            <w:pPr>
              <w:ind w:left="120"/>
              <w:spacing w:after="0"/>
              <w:rPr>
                <w:sz w:val="20"/>
                <w:szCs w:val="20"/>
                <w:color w:val="auto"/>
              </w:rPr>
            </w:pPr>
            <w:r>
              <w:rPr>
                <w:rFonts w:ascii="Arial" w:cs="Arial" w:eastAsia="Arial" w:hAnsi="Arial"/>
                <w:sz w:val="14"/>
                <w:szCs w:val="14"/>
                <w:b w:val="1"/>
                <w:bCs w:val="1"/>
                <w:color w:val="auto"/>
              </w:rPr>
              <w:t>Maturities</w:t>
            </w:r>
          </w:p>
        </w:tc>
        <w:tc>
          <w:tcPr>
            <w:tcW w:w="16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jc w:val="right"/>
              <w:ind w:right="123"/>
              <w:spacing w:after="0"/>
              <w:rPr>
                <w:sz w:val="20"/>
                <w:szCs w:val="20"/>
                <w:color w:val="auto"/>
              </w:rPr>
            </w:pPr>
            <w:r>
              <w:rPr>
                <w:rFonts w:ascii="Arial" w:cs="Arial" w:eastAsia="Arial" w:hAnsi="Arial"/>
                <w:sz w:val="14"/>
                <w:szCs w:val="14"/>
                <w:b w:val="1"/>
                <w:bCs w:val="1"/>
                <w:color w:val="auto"/>
              </w:rPr>
              <w:t>Outstanding</w:t>
            </w:r>
            <w:r>
              <w:rPr>
                <w:rFonts w:ascii="Arial" w:cs="Arial" w:eastAsia="Arial" w:hAnsi="Arial"/>
                <w:sz w:val="8"/>
                <w:szCs w:val="8"/>
                <w:b w:val="1"/>
                <w:bCs w:val="1"/>
                <w:color w:val="auto"/>
              </w:rPr>
              <w:t>(1)</w:t>
            </w:r>
          </w:p>
        </w:tc>
        <w:tc>
          <w:tcPr>
            <w:tcW w:w="1200" w:type="dxa"/>
            <w:vAlign w:val="bottom"/>
            <w:tcBorders>
              <w:bottom w:val="single" w:sz="8" w:color="2C6937"/>
            </w:tcBorders>
          </w:tcPr>
          <w:p>
            <w:pPr>
              <w:jc w:val="center"/>
              <w:ind w:left="25"/>
              <w:spacing w:after="0"/>
              <w:rPr>
                <w:sz w:val="20"/>
                <w:szCs w:val="20"/>
                <w:color w:val="auto"/>
              </w:rPr>
            </w:pPr>
            <w:r>
              <w:rPr>
                <w:rFonts w:ascii="Arial" w:cs="Arial" w:eastAsia="Arial" w:hAnsi="Arial"/>
                <w:sz w:val="14"/>
                <w:szCs w:val="14"/>
                <w:b w:val="1"/>
                <w:bCs w:val="1"/>
                <w:color w:val="auto"/>
              </w:rPr>
              <w:t>Rate</w:t>
            </w:r>
            <w:r>
              <w:rPr>
                <w:rFonts w:ascii="Arial" w:cs="Arial" w:eastAsia="Arial" w:hAnsi="Arial"/>
                <w:sz w:val="8"/>
                <w:szCs w:val="8"/>
                <w:b w:val="1"/>
                <w:bCs w:val="1"/>
                <w:color w:val="auto"/>
              </w:rPr>
              <w:t>(2)</w:t>
            </w:r>
          </w:p>
        </w:tc>
      </w:tr>
      <w:tr>
        <w:trPr>
          <w:trHeight w:val="185"/>
        </w:trPr>
        <w:tc>
          <w:tcPr>
            <w:tcW w:w="3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8"/>
              </w:rPr>
              <w:t>(Dollars in millions)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2"/>
        </w:trPr>
        <w:tc>
          <w:tcPr>
            <w:tcW w:w="3500" w:type="dxa"/>
            <w:vAlign w:val="bottom"/>
          </w:tcPr>
          <w:p>
            <w:pPr>
              <w:ind w:left="20"/>
              <w:spacing w:after="0"/>
              <w:rPr>
                <w:sz w:val="20"/>
                <w:szCs w:val="20"/>
                <w:color w:val="auto"/>
              </w:rPr>
            </w:pPr>
            <w:r>
              <w:rPr>
                <w:rFonts w:ascii="Arial" w:cs="Arial" w:eastAsia="Arial" w:hAnsi="Arial"/>
                <w:sz w:val="15"/>
                <w:szCs w:val="15"/>
                <w:color w:val="auto"/>
              </w:rPr>
              <w:t>Senior fixed:</w:t>
            </w: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9"/>
        </w:trPr>
        <w:tc>
          <w:tcPr>
            <w:tcW w:w="3500" w:type="dxa"/>
            <w:vAlign w:val="bottom"/>
          </w:tcPr>
          <w:p>
            <w:pPr>
              <w:ind w:left="220"/>
              <w:spacing w:after="0"/>
              <w:rPr>
                <w:sz w:val="20"/>
                <w:szCs w:val="20"/>
                <w:color w:val="auto"/>
              </w:rPr>
            </w:pPr>
            <w:r>
              <w:rPr>
                <w:rFonts w:ascii="Arial" w:cs="Arial" w:eastAsia="Arial" w:hAnsi="Arial"/>
                <w:sz w:val="15"/>
                <w:szCs w:val="15"/>
                <w:color w:val="auto"/>
              </w:rPr>
              <w:t>Benchmark notes and bonds</w:t>
            </w:r>
          </w:p>
        </w:tc>
        <w:tc>
          <w:tcPr>
            <w:tcW w:w="1280" w:type="dxa"/>
            <w:vAlign w:val="bottom"/>
          </w:tcPr>
          <w:p>
            <w:pPr>
              <w:jc w:val="center"/>
              <w:ind w:right="24"/>
              <w:spacing w:after="0"/>
              <w:rPr>
                <w:sz w:val="20"/>
                <w:szCs w:val="20"/>
                <w:color w:val="auto"/>
              </w:rPr>
            </w:pPr>
            <w:r>
              <w:rPr>
                <w:rFonts w:ascii="Arial" w:cs="Arial" w:eastAsia="Arial" w:hAnsi="Arial"/>
                <w:sz w:val="15"/>
                <w:szCs w:val="15"/>
                <w:color w:val="auto"/>
              </w:rPr>
              <w:t>2023 - 2030</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200" w:type="dxa"/>
            <w:vAlign w:val="bottom"/>
          </w:tcPr>
          <w:p>
            <w:pPr>
              <w:jc w:val="right"/>
              <w:ind w:right="4"/>
              <w:spacing w:after="0"/>
              <w:rPr>
                <w:sz w:val="20"/>
                <w:szCs w:val="20"/>
                <w:color w:val="auto"/>
              </w:rPr>
            </w:pPr>
            <w:r>
              <w:rPr>
                <w:rFonts w:ascii="Arial" w:cs="Arial" w:eastAsia="Arial" w:hAnsi="Arial"/>
                <w:sz w:val="15"/>
                <w:szCs w:val="15"/>
                <w:b w:val="1"/>
                <w:bCs w:val="1"/>
                <w:color w:val="auto"/>
              </w:rPr>
              <w:t>66,258</w:t>
            </w: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2.54 %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24"/>
              <w:spacing w:after="0"/>
              <w:rPr>
                <w:sz w:val="20"/>
                <w:szCs w:val="20"/>
                <w:color w:val="auto"/>
              </w:rPr>
            </w:pPr>
            <w:r>
              <w:rPr>
                <w:rFonts w:ascii="Arial" w:cs="Arial" w:eastAsia="Arial" w:hAnsi="Arial"/>
                <w:sz w:val="15"/>
                <w:szCs w:val="15"/>
                <w:color w:val="auto"/>
              </w:rPr>
              <w:t>2023 - 2030</w:t>
            </w:r>
          </w:p>
        </w:tc>
        <w:tc>
          <w:tcPr>
            <w:tcW w:w="30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72,261</w:t>
            </w:r>
          </w:p>
        </w:tc>
        <w:tc>
          <w:tcPr>
            <w:tcW w:w="1200" w:type="dxa"/>
            <w:vAlign w:val="bottom"/>
          </w:tcPr>
          <w:p>
            <w:pPr>
              <w:jc w:val="right"/>
              <w:spacing w:after="0"/>
              <w:rPr>
                <w:sz w:val="20"/>
                <w:szCs w:val="20"/>
                <w:color w:val="auto"/>
              </w:rPr>
            </w:pPr>
            <w:r>
              <w:rPr>
                <w:rFonts w:ascii="Arial" w:cs="Arial" w:eastAsia="Arial" w:hAnsi="Arial"/>
                <w:sz w:val="15"/>
                <w:szCs w:val="15"/>
                <w:color w:val="auto"/>
              </w:rPr>
              <w:t>2.35 %</w:t>
            </w:r>
          </w:p>
        </w:tc>
      </w:tr>
      <w:tr>
        <w:trPr>
          <w:trHeight w:val="206"/>
        </w:trPr>
        <w:tc>
          <w:tcPr>
            <w:tcW w:w="3500" w:type="dxa"/>
            <w:vAlign w:val="bottom"/>
          </w:tcPr>
          <w:p>
            <w:pPr>
              <w:ind w:left="220"/>
              <w:spacing w:after="0" w:line="207" w:lineRule="exact"/>
              <w:rPr>
                <w:sz w:val="20"/>
                <w:szCs w:val="20"/>
                <w:color w:val="auto"/>
              </w:rPr>
            </w:pPr>
            <w:r>
              <w:rPr>
                <w:rFonts w:ascii="Arial" w:cs="Arial" w:eastAsia="Arial" w:hAnsi="Arial"/>
                <w:sz w:val="15"/>
                <w:szCs w:val="15"/>
                <w:color w:val="auto"/>
              </w:rPr>
              <w:t>Medium-term notes</w:t>
            </w:r>
            <w:r>
              <w:rPr>
                <w:rFonts w:ascii="Arial" w:cs="Arial" w:eastAsia="Arial" w:hAnsi="Arial"/>
                <w:sz w:val="20"/>
                <w:szCs w:val="20"/>
                <w:color w:val="auto"/>
                <w:vertAlign w:val="superscript"/>
              </w:rPr>
              <w:t>(3)</w:t>
            </w:r>
          </w:p>
        </w:tc>
        <w:tc>
          <w:tcPr>
            <w:tcW w:w="1280" w:type="dxa"/>
            <w:vAlign w:val="bottom"/>
          </w:tcPr>
          <w:p>
            <w:pPr>
              <w:jc w:val="center"/>
              <w:ind w:right="24"/>
              <w:spacing w:after="0"/>
              <w:rPr>
                <w:sz w:val="20"/>
                <w:szCs w:val="20"/>
                <w:color w:val="auto"/>
              </w:rPr>
            </w:pPr>
            <w:r>
              <w:rPr>
                <w:rFonts w:ascii="Arial" w:cs="Arial" w:eastAsia="Arial" w:hAnsi="Arial"/>
                <w:sz w:val="15"/>
                <w:szCs w:val="15"/>
                <w:color w:val="auto"/>
              </w:rPr>
              <w:t>2023 - 2031</w:t>
            </w:r>
          </w:p>
        </w:tc>
        <w:tc>
          <w:tcPr>
            <w:tcW w:w="1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b w:val="1"/>
                <w:bCs w:val="1"/>
                <w:color w:val="auto"/>
              </w:rPr>
              <w:t>45,008</w:t>
            </w:r>
          </w:p>
        </w:tc>
        <w:tc>
          <w:tcPr>
            <w:tcW w:w="1220" w:type="dxa"/>
            <w:vAlign w:val="bottom"/>
          </w:tcPr>
          <w:p>
            <w:pPr>
              <w:jc w:val="right"/>
              <w:ind w:right="126"/>
              <w:spacing w:after="0"/>
              <w:rPr>
                <w:sz w:val="20"/>
                <w:szCs w:val="20"/>
                <w:color w:val="auto"/>
              </w:rPr>
            </w:pPr>
            <w:r>
              <w:rPr>
                <w:rFonts w:ascii="Arial" w:cs="Arial" w:eastAsia="Arial" w:hAnsi="Arial"/>
                <w:sz w:val="15"/>
                <w:szCs w:val="15"/>
                <w:b w:val="1"/>
                <w:bCs w:val="1"/>
                <w:color w:val="auto"/>
              </w:rPr>
              <w:t>1.37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24"/>
              <w:spacing w:after="0"/>
              <w:rPr>
                <w:sz w:val="20"/>
                <w:szCs w:val="20"/>
                <w:color w:val="auto"/>
              </w:rPr>
            </w:pPr>
            <w:r>
              <w:rPr>
                <w:rFonts w:ascii="Arial" w:cs="Arial" w:eastAsia="Arial" w:hAnsi="Arial"/>
                <w:sz w:val="15"/>
                <w:szCs w:val="15"/>
                <w:color w:val="auto"/>
              </w:rPr>
              <w:t>2023 - 2031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39,476</w:t>
            </w:r>
          </w:p>
        </w:tc>
        <w:tc>
          <w:tcPr>
            <w:tcW w:w="1200" w:type="dxa"/>
            <w:vAlign w:val="bottom"/>
          </w:tcPr>
          <w:p>
            <w:pPr>
              <w:jc w:val="right"/>
              <w:ind w:right="125"/>
              <w:spacing w:after="0"/>
              <w:rPr>
                <w:sz w:val="20"/>
                <w:szCs w:val="20"/>
                <w:color w:val="auto"/>
              </w:rPr>
            </w:pPr>
            <w:r>
              <w:rPr>
                <w:rFonts w:ascii="Arial" w:cs="Arial" w:eastAsia="Arial" w:hAnsi="Arial"/>
                <w:sz w:val="15"/>
                <w:szCs w:val="15"/>
                <w:color w:val="auto"/>
              </w:rPr>
              <w:t>0.78</w:t>
            </w:r>
          </w:p>
        </w:tc>
      </w:tr>
      <w:tr>
        <w:trPr>
          <w:trHeight w:val="210"/>
        </w:trPr>
        <w:tc>
          <w:tcPr>
            <w:tcW w:w="3500" w:type="dxa"/>
            <w:vAlign w:val="bottom"/>
            <w:tcBorders>
              <w:bottom w:val="single" w:sz="8" w:color="2C6937"/>
            </w:tcBorders>
          </w:tcPr>
          <w:p>
            <w:pPr>
              <w:ind w:left="220"/>
              <w:spacing w:after="0" w:line="209" w:lineRule="exact"/>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(4)</w:t>
            </w:r>
          </w:p>
        </w:tc>
        <w:tc>
          <w:tcPr>
            <w:tcW w:w="1280" w:type="dxa"/>
            <w:vAlign w:val="bottom"/>
          </w:tcPr>
          <w:p>
            <w:pPr>
              <w:jc w:val="center"/>
              <w:ind w:right="24"/>
              <w:spacing w:after="0"/>
              <w:rPr>
                <w:sz w:val="20"/>
                <w:szCs w:val="20"/>
                <w:color w:val="auto"/>
              </w:rPr>
            </w:pPr>
            <w:r>
              <w:rPr>
                <w:rFonts w:ascii="Arial" w:cs="Arial" w:eastAsia="Arial" w:hAnsi="Arial"/>
                <w:sz w:val="15"/>
                <w:szCs w:val="15"/>
                <w:color w:val="auto"/>
              </w:rPr>
              <w:t>2023 - 2038</w:t>
            </w:r>
          </w:p>
        </w:tc>
        <w:tc>
          <w:tcPr>
            <w:tcW w:w="140" w:type="dxa"/>
            <w:vAlign w:val="bottom"/>
            <w:tcBorders>
              <w:bottom w:val="single" w:sz="8" w:color="2C6937"/>
            </w:tcBorders>
          </w:tcPr>
          <w:p>
            <w:pPr>
              <w:spacing w:after="0"/>
              <w:rPr>
                <w:sz w:val="18"/>
                <w:szCs w:val="18"/>
                <w:color w:val="auto"/>
              </w:rPr>
            </w:pPr>
          </w:p>
        </w:tc>
        <w:tc>
          <w:tcPr>
            <w:tcW w:w="120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6,784</w:t>
            </w:r>
          </w:p>
        </w:tc>
        <w:tc>
          <w:tcPr>
            <w:tcW w:w="1220" w:type="dxa"/>
            <w:vAlign w:val="bottom"/>
          </w:tcPr>
          <w:p>
            <w:pPr>
              <w:jc w:val="right"/>
              <w:ind w:right="126"/>
              <w:spacing w:after="0"/>
              <w:rPr>
                <w:sz w:val="20"/>
                <w:szCs w:val="20"/>
                <w:color w:val="auto"/>
              </w:rPr>
            </w:pPr>
            <w:r>
              <w:rPr>
                <w:rFonts w:ascii="Arial" w:cs="Arial" w:eastAsia="Arial" w:hAnsi="Arial"/>
                <w:sz w:val="15"/>
                <w:szCs w:val="15"/>
                <w:b w:val="1"/>
                <w:bCs w:val="1"/>
                <w:color w:val="auto"/>
              </w:rPr>
              <w:t>4.12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24"/>
              <w:spacing w:after="0"/>
              <w:rPr>
                <w:sz w:val="20"/>
                <w:szCs w:val="20"/>
                <w:color w:val="auto"/>
              </w:rPr>
            </w:pPr>
            <w:r>
              <w:rPr>
                <w:rFonts w:ascii="Arial" w:cs="Arial" w:eastAsia="Arial" w:hAnsi="Arial"/>
                <w:sz w:val="15"/>
                <w:szCs w:val="15"/>
                <w:color w:val="auto"/>
              </w:rPr>
              <w:t>2023 - 2038</w:t>
            </w:r>
          </w:p>
        </w:tc>
        <w:tc>
          <w:tcPr>
            <w:tcW w:w="16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6,778</w:t>
            </w:r>
          </w:p>
        </w:tc>
        <w:tc>
          <w:tcPr>
            <w:tcW w:w="1200" w:type="dxa"/>
            <w:vAlign w:val="bottom"/>
          </w:tcPr>
          <w:p>
            <w:pPr>
              <w:jc w:val="right"/>
              <w:ind w:right="125"/>
              <w:spacing w:after="0"/>
              <w:rPr>
                <w:sz w:val="20"/>
                <w:szCs w:val="20"/>
                <w:color w:val="auto"/>
              </w:rPr>
            </w:pPr>
            <w:r>
              <w:rPr>
                <w:rFonts w:ascii="Arial" w:cs="Arial" w:eastAsia="Arial" w:hAnsi="Arial"/>
                <w:sz w:val="15"/>
                <w:szCs w:val="15"/>
                <w:color w:val="auto"/>
              </w:rPr>
              <w:t>4.00</w:t>
            </w:r>
          </w:p>
        </w:tc>
      </w:tr>
      <w:tr>
        <w:trPr>
          <w:trHeight w:val="204"/>
        </w:trPr>
        <w:tc>
          <w:tcPr>
            <w:tcW w:w="3500" w:type="dxa"/>
            <w:vAlign w:val="bottom"/>
          </w:tcPr>
          <w:p>
            <w:pPr>
              <w:ind w:left="400"/>
              <w:spacing w:after="0"/>
              <w:rPr>
                <w:sz w:val="20"/>
                <w:szCs w:val="20"/>
                <w:color w:val="auto"/>
              </w:rPr>
            </w:pPr>
            <w:r>
              <w:rPr>
                <w:rFonts w:ascii="Arial" w:cs="Arial" w:eastAsia="Arial" w:hAnsi="Arial"/>
                <w:sz w:val="15"/>
                <w:szCs w:val="15"/>
                <w:color w:val="auto"/>
              </w:rPr>
              <w:t>Total senior fixed</w:t>
            </w: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b w:val="1"/>
                <w:bCs w:val="1"/>
                <w:color w:val="auto"/>
              </w:rPr>
              <w:t>118,050</w:t>
            </w:r>
          </w:p>
        </w:tc>
        <w:tc>
          <w:tcPr>
            <w:tcW w:w="1220" w:type="dxa"/>
            <w:vAlign w:val="bottom"/>
          </w:tcPr>
          <w:p>
            <w:pPr>
              <w:jc w:val="right"/>
              <w:ind w:right="126"/>
              <w:spacing w:after="0"/>
              <w:rPr>
                <w:sz w:val="20"/>
                <w:szCs w:val="20"/>
                <w:color w:val="auto"/>
              </w:rPr>
            </w:pPr>
            <w:r>
              <w:rPr>
                <w:rFonts w:ascii="Arial" w:cs="Arial" w:eastAsia="Arial" w:hAnsi="Arial"/>
                <w:sz w:val="15"/>
                <w:szCs w:val="15"/>
                <w:b w:val="1"/>
                <w:bCs w:val="1"/>
                <w:color w:val="auto"/>
              </w:rPr>
              <w:t>2.20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118,515</w:t>
            </w:r>
          </w:p>
        </w:tc>
        <w:tc>
          <w:tcPr>
            <w:tcW w:w="1200" w:type="dxa"/>
            <w:vAlign w:val="bottom"/>
          </w:tcPr>
          <w:p>
            <w:pPr>
              <w:jc w:val="right"/>
              <w:ind w:right="125"/>
              <w:spacing w:after="0"/>
              <w:rPr>
                <w:sz w:val="20"/>
                <w:szCs w:val="20"/>
                <w:color w:val="auto"/>
              </w:rPr>
            </w:pPr>
            <w:r>
              <w:rPr>
                <w:rFonts w:ascii="Arial" w:cs="Arial" w:eastAsia="Arial" w:hAnsi="Arial"/>
                <w:sz w:val="15"/>
                <w:szCs w:val="15"/>
                <w:color w:val="auto"/>
              </w:rPr>
              <w:t>1.94</w:t>
            </w:r>
          </w:p>
        </w:tc>
      </w:tr>
      <w:tr>
        <w:trPr>
          <w:trHeight w:val="196"/>
        </w:trPr>
        <w:tc>
          <w:tcPr>
            <w:tcW w:w="3500" w:type="dxa"/>
            <w:vAlign w:val="bottom"/>
          </w:tcPr>
          <w:p>
            <w:pPr>
              <w:ind w:left="20"/>
              <w:spacing w:after="0"/>
              <w:rPr>
                <w:sz w:val="20"/>
                <w:szCs w:val="20"/>
                <w:color w:val="auto"/>
              </w:rPr>
            </w:pPr>
            <w:r>
              <w:rPr>
                <w:rFonts w:ascii="Arial" w:cs="Arial" w:eastAsia="Arial" w:hAnsi="Arial"/>
                <w:sz w:val="15"/>
                <w:szCs w:val="15"/>
                <w:color w:val="auto"/>
              </w:rPr>
              <w:t>Senior floating:</w:t>
            </w: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9"/>
        </w:trPr>
        <w:tc>
          <w:tcPr>
            <w:tcW w:w="3500" w:type="dxa"/>
            <w:vAlign w:val="bottom"/>
          </w:tcPr>
          <w:p>
            <w:pPr>
              <w:ind w:left="220"/>
              <w:spacing w:after="0" w:line="208" w:lineRule="exact"/>
              <w:rPr>
                <w:sz w:val="20"/>
                <w:szCs w:val="20"/>
                <w:color w:val="auto"/>
              </w:rPr>
            </w:pPr>
            <w:r>
              <w:rPr>
                <w:rFonts w:ascii="Arial" w:cs="Arial" w:eastAsia="Arial" w:hAnsi="Arial"/>
                <w:sz w:val="15"/>
                <w:szCs w:val="15"/>
                <w:color w:val="auto"/>
              </w:rPr>
              <w:t>Connecticut Avenue Securities</w:t>
            </w:r>
            <w:r>
              <w:rPr>
                <w:rFonts w:ascii="Arial" w:cs="Arial" w:eastAsia="Arial" w:hAnsi="Arial"/>
                <w:sz w:val="20"/>
                <w:szCs w:val="20"/>
                <w:color w:val="auto"/>
                <w:vertAlign w:val="superscript"/>
              </w:rPr>
              <w:t>(5)</w:t>
            </w:r>
          </w:p>
        </w:tc>
        <w:tc>
          <w:tcPr>
            <w:tcW w:w="1280" w:type="dxa"/>
            <w:vAlign w:val="bottom"/>
          </w:tcPr>
          <w:p>
            <w:pPr>
              <w:jc w:val="center"/>
              <w:ind w:right="24"/>
              <w:spacing w:after="0"/>
              <w:rPr>
                <w:sz w:val="20"/>
                <w:szCs w:val="20"/>
                <w:color w:val="auto"/>
              </w:rPr>
            </w:pPr>
            <w:r>
              <w:rPr>
                <w:rFonts w:ascii="Arial" w:cs="Arial" w:eastAsia="Arial" w:hAnsi="Arial"/>
                <w:sz w:val="15"/>
                <w:szCs w:val="15"/>
                <w:color w:val="auto"/>
              </w:rPr>
              <w:t>2023 - 2031</w:t>
            </w:r>
          </w:p>
        </w:tc>
        <w:tc>
          <w:tcPr>
            <w:tcW w:w="140" w:type="dxa"/>
            <w:vAlign w:val="bottom"/>
          </w:tcPr>
          <w:p>
            <w:pPr>
              <w:spacing w:after="0"/>
              <w:rPr>
                <w:sz w:val="18"/>
                <w:szCs w:val="18"/>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b w:val="1"/>
                <w:bCs w:val="1"/>
                <w:color w:val="auto"/>
              </w:rPr>
              <w:t>3,762</w:t>
            </w:r>
          </w:p>
        </w:tc>
        <w:tc>
          <w:tcPr>
            <w:tcW w:w="1220" w:type="dxa"/>
            <w:vAlign w:val="bottom"/>
          </w:tcPr>
          <w:p>
            <w:pPr>
              <w:jc w:val="right"/>
              <w:ind w:right="126"/>
              <w:spacing w:after="0"/>
              <w:rPr>
                <w:sz w:val="20"/>
                <w:szCs w:val="20"/>
                <w:color w:val="auto"/>
              </w:rPr>
            </w:pPr>
            <w:r>
              <w:rPr>
                <w:rFonts w:ascii="Arial" w:cs="Arial" w:eastAsia="Arial" w:hAnsi="Arial"/>
                <w:sz w:val="15"/>
                <w:szCs w:val="15"/>
                <w:b w:val="1"/>
                <w:bCs w:val="1"/>
                <w:color w:val="auto"/>
              </w:rPr>
              <w:t>10.50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24"/>
              <w:spacing w:after="0"/>
              <w:rPr>
                <w:sz w:val="20"/>
                <w:szCs w:val="20"/>
                <w:color w:val="auto"/>
              </w:rPr>
            </w:pPr>
            <w:r>
              <w:rPr>
                <w:rFonts w:ascii="Arial" w:cs="Arial" w:eastAsia="Arial" w:hAnsi="Arial"/>
                <w:sz w:val="15"/>
                <w:szCs w:val="15"/>
                <w:color w:val="auto"/>
              </w:rPr>
              <w:t>2023 - 2031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5,207</w:t>
            </w:r>
          </w:p>
        </w:tc>
        <w:tc>
          <w:tcPr>
            <w:tcW w:w="1200" w:type="dxa"/>
            <w:vAlign w:val="bottom"/>
          </w:tcPr>
          <w:p>
            <w:pPr>
              <w:jc w:val="right"/>
              <w:ind w:right="125"/>
              <w:spacing w:after="0"/>
              <w:rPr>
                <w:sz w:val="20"/>
                <w:szCs w:val="20"/>
                <w:color w:val="auto"/>
              </w:rPr>
            </w:pPr>
            <w:r>
              <w:rPr>
                <w:rFonts w:ascii="Arial" w:cs="Arial" w:eastAsia="Arial" w:hAnsi="Arial"/>
                <w:sz w:val="15"/>
                <w:szCs w:val="15"/>
                <w:color w:val="auto"/>
              </w:rPr>
              <w:t>8.80</w:t>
            </w:r>
          </w:p>
        </w:tc>
      </w:tr>
      <w:tr>
        <w:trPr>
          <w:trHeight w:val="210"/>
        </w:trPr>
        <w:tc>
          <w:tcPr>
            <w:tcW w:w="3500" w:type="dxa"/>
            <w:vAlign w:val="bottom"/>
            <w:tcBorders>
              <w:bottom w:val="single" w:sz="8" w:color="2C6937"/>
            </w:tcBorders>
          </w:tcPr>
          <w:p>
            <w:pPr>
              <w:ind w:left="220"/>
              <w:spacing w:after="0" w:line="209" w:lineRule="exact"/>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(6)</w:t>
            </w:r>
          </w:p>
        </w:tc>
        <w:tc>
          <w:tcPr>
            <w:tcW w:w="1280" w:type="dxa"/>
            <w:vAlign w:val="bottom"/>
          </w:tcPr>
          <w:p>
            <w:pPr>
              <w:jc w:val="center"/>
              <w:ind w:right="24"/>
              <w:spacing w:after="0"/>
              <w:rPr>
                <w:sz w:val="20"/>
                <w:szCs w:val="20"/>
                <w:color w:val="auto"/>
              </w:rPr>
            </w:pPr>
            <w:r>
              <w:rPr>
                <w:rFonts w:ascii="Arial" w:cs="Arial" w:eastAsia="Arial" w:hAnsi="Arial"/>
                <w:sz w:val="15"/>
                <w:szCs w:val="15"/>
                <w:color w:val="auto"/>
              </w:rPr>
              <w:t>2037</w:t>
            </w:r>
          </w:p>
        </w:tc>
        <w:tc>
          <w:tcPr>
            <w:tcW w:w="140" w:type="dxa"/>
            <w:vAlign w:val="bottom"/>
            <w:tcBorders>
              <w:bottom w:val="single" w:sz="8" w:color="2C6937"/>
            </w:tcBorders>
          </w:tcPr>
          <w:p>
            <w:pPr>
              <w:spacing w:after="0"/>
              <w:rPr>
                <w:sz w:val="18"/>
                <w:szCs w:val="18"/>
                <w:color w:val="auto"/>
              </w:rPr>
            </w:pPr>
          </w:p>
        </w:tc>
        <w:tc>
          <w:tcPr>
            <w:tcW w:w="120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256</w:t>
            </w:r>
          </w:p>
        </w:tc>
        <w:tc>
          <w:tcPr>
            <w:tcW w:w="1220" w:type="dxa"/>
            <w:vAlign w:val="bottom"/>
          </w:tcPr>
          <w:p>
            <w:pPr>
              <w:jc w:val="right"/>
              <w:ind w:right="126"/>
              <w:spacing w:after="0"/>
              <w:rPr>
                <w:sz w:val="20"/>
                <w:szCs w:val="20"/>
                <w:color w:val="auto"/>
              </w:rPr>
            </w:pPr>
            <w:r>
              <w:rPr>
                <w:rFonts w:ascii="Arial" w:cs="Arial" w:eastAsia="Arial" w:hAnsi="Arial"/>
                <w:sz w:val="15"/>
                <w:szCs w:val="15"/>
                <w:b w:val="1"/>
                <w:bCs w:val="1"/>
                <w:color w:val="auto"/>
              </w:rPr>
              <w:t>9.57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24"/>
              <w:spacing w:after="0"/>
              <w:rPr>
                <w:sz w:val="20"/>
                <w:szCs w:val="20"/>
                <w:color w:val="auto"/>
              </w:rPr>
            </w:pPr>
            <w:r>
              <w:rPr>
                <w:rFonts w:ascii="Arial" w:cs="Arial" w:eastAsia="Arial" w:hAnsi="Arial"/>
                <w:sz w:val="15"/>
                <w:szCs w:val="15"/>
                <w:color w:val="auto"/>
              </w:rPr>
              <w:t>2037</w:t>
            </w:r>
          </w:p>
        </w:tc>
        <w:tc>
          <w:tcPr>
            <w:tcW w:w="16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242</w:t>
            </w:r>
          </w:p>
        </w:tc>
        <w:tc>
          <w:tcPr>
            <w:tcW w:w="1200" w:type="dxa"/>
            <w:vAlign w:val="bottom"/>
          </w:tcPr>
          <w:p>
            <w:pPr>
              <w:jc w:val="right"/>
              <w:ind w:right="125"/>
              <w:spacing w:after="0"/>
              <w:rPr>
                <w:sz w:val="20"/>
                <w:szCs w:val="20"/>
                <w:color w:val="auto"/>
              </w:rPr>
            </w:pPr>
            <w:r>
              <w:rPr>
                <w:rFonts w:ascii="Arial" w:cs="Arial" w:eastAsia="Arial" w:hAnsi="Arial"/>
                <w:sz w:val="15"/>
                <w:szCs w:val="15"/>
                <w:color w:val="auto"/>
              </w:rPr>
              <w:t>10.00</w:t>
            </w:r>
          </w:p>
        </w:tc>
      </w:tr>
      <w:tr>
        <w:trPr>
          <w:trHeight w:val="186"/>
        </w:trPr>
        <w:tc>
          <w:tcPr>
            <w:tcW w:w="3500" w:type="dxa"/>
            <w:vAlign w:val="bottom"/>
            <w:tcBorders>
              <w:bottom w:val="single" w:sz="8" w:color="2C6937"/>
            </w:tcBorders>
          </w:tcPr>
          <w:p>
            <w:pPr>
              <w:ind w:left="400"/>
              <w:spacing w:after="0"/>
              <w:rPr>
                <w:sz w:val="20"/>
                <w:szCs w:val="20"/>
                <w:color w:val="auto"/>
              </w:rPr>
            </w:pPr>
            <w:r>
              <w:rPr>
                <w:rFonts w:ascii="Arial" w:cs="Arial" w:eastAsia="Arial" w:hAnsi="Arial"/>
                <w:sz w:val="15"/>
                <w:szCs w:val="15"/>
                <w:color w:val="auto"/>
              </w:rPr>
              <w:t>Total senior floating</w:t>
            </w:r>
          </w:p>
        </w:tc>
        <w:tc>
          <w:tcPr>
            <w:tcW w:w="128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20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4,018</w:t>
            </w:r>
          </w:p>
        </w:tc>
        <w:tc>
          <w:tcPr>
            <w:tcW w:w="1220" w:type="dxa"/>
            <w:vAlign w:val="bottom"/>
          </w:tcPr>
          <w:p>
            <w:pPr>
              <w:jc w:val="right"/>
              <w:ind w:right="126"/>
              <w:spacing w:after="0"/>
              <w:rPr>
                <w:sz w:val="20"/>
                <w:szCs w:val="20"/>
                <w:color w:val="auto"/>
              </w:rPr>
            </w:pPr>
            <w:r>
              <w:rPr>
                <w:rFonts w:ascii="Arial" w:cs="Arial" w:eastAsia="Arial" w:hAnsi="Arial"/>
                <w:sz w:val="15"/>
                <w:szCs w:val="15"/>
                <w:b w:val="1"/>
                <w:bCs w:val="1"/>
                <w:color w:val="auto"/>
              </w:rPr>
              <w:t>10.44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5,449</w:t>
            </w:r>
          </w:p>
        </w:tc>
        <w:tc>
          <w:tcPr>
            <w:tcW w:w="1200" w:type="dxa"/>
            <w:vAlign w:val="bottom"/>
          </w:tcPr>
          <w:p>
            <w:pPr>
              <w:jc w:val="right"/>
              <w:ind w:right="125"/>
              <w:spacing w:after="0"/>
              <w:rPr>
                <w:sz w:val="20"/>
                <w:szCs w:val="20"/>
                <w:color w:val="auto"/>
              </w:rPr>
            </w:pPr>
            <w:r>
              <w:rPr>
                <w:rFonts w:ascii="Arial" w:cs="Arial" w:eastAsia="Arial" w:hAnsi="Arial"/>
                <w:sz w:val="15"/>
                <w:szCs w:val="15"/>
                <w:color w:val="auto"/>
              </w:rPr>
              <w:t>8.86</w:t>
            </w:r>
          </w:p>
        </w:tc>
      </w:tr>
      <w:tr>
        <w:trPr>
          <w:trHeight w:val="196"/>
        </w:trPr>
        <w:tc>
          <w:tcPr>
            <w:tcW w:w="3500" w:type="dxa"/>
            <w:vAlign w:val="bottom"/>
          </w:tcPr>
          <w:p>
            <w:pPr>
              <w:ind w:left="20"/>
              <w:spacing w:after="0" w:line="196" w:lineRule="exact"/>
              <w:rPr>
                <w:sz w:val="20"/>
                <w:szCs w:val="20"/>
                <w:color w:val="auto"/>
              </w:rPr>
            </w:pPr>
            <w:r>
              <w:rPr>
                <w:rFonts w:ascii="Arial" w:cs="Arial" w:eastAsia="Arial" w:hAnsi="Arial"/>
                <w:sz w:val="15"/>
                <w:szCs w:val="15"/>
                <w:color w:val="auto"/>
              </w:rPr>
              <w:t>Total long-term debt of Fannie Mae</w:t>
            </w:r>
            <w:r>
              <w:rPr>
                <w:rFonts w:ascii="Arial" w:cs="Arial" w:eastAsia="Arial" w:hAnsi="Arial"/>
                <w:sz w:val="20"/>
                <w:szCs w:val="20"/>
                <w:color w:val="auto"/>
                <w:vertAlign w:val="superscript"/>
              </w:rPr>
              <w:t>(7)</w:t>
            </w: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b w:val="1"/>
                <w:bCs w:val="1"/>
                <w:color w:val="auto"/>
              </w:rPr>
              <w:t>122,068</w:t>
            </w:r>
          </w:p>
        </w:tc>
        <w:tc>
          <w:tcPr>
            <w:tcW w:w="1220" w:type="dxa"/>
            <w:vAlign w:val="bottom"/>
          </w:tcPr>
          <w:p>
            <w:pPr>
              <w:jc w:val="right"/>
              <w:ind w:right="126"/>
              <w:spacing w:after="0"/>
              <w:rPr>
                <w:sz w:val="20"/>
                <w:szCs w:val="20"/>
                <w:color w:val="auto"/>
              </w:rPr>
            </w:pPr>
            <w:r>
              <w:rPr>
                <w:rFonts w:ascii="Arial" w:cs="Arial" w:eastAsia="Arial" w:hAnsi="Arial"/>
                <w:sz w:val="15"/>
                <w:szCs w:val="15"/>
                <w:b w:val="1"/>
                <w:bCs w:val="1"/>
                <w:color w:val="auto"/>
              </w:rPr>
              <w:t>2.46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123,964</w:t>
            </w:r>
          </w:p>
        </w:tc>
        <w:tc>
          <w:tcPr>
            <w:tcW w:w="1200" w:type="dxa"/>
            <w:vAlign w:val="bottom"/>
          </w:tcPr>
          <w:p>
            <w:pPr>
              <w:jc w:val="right"/>
              <w:ind w:right="125"/>
              <w:spacing w:after="0"/>
              <w:rPr>
                <w:sz w:val="20"/>
                <w:szCs w:val="20"/>
                <w:color w:val="auto"/>
              </w:rPr>
            </w:pPr>
            <w:r>
              <w:rPr>
                <w:rFonts w:ascii="Arial" w:cs="Arial" w:eastAsia="Arial" w:hAnsi="Arial"/>
                <w:sz w:val="15"/>
                <w:szCs w:val="15"/>
                <w:color w:val="auto"/>
              </w:rPr>
              <w:t>2.23</w:t>
            </w:r>
          </w:p>
        </w:tc>
      </w:tr>
      <w:tr>
        <w:trPr>
          <w:trHeight w:val="210"/>
        </w:trPr>
        <w:tc>
          <w:tcPr>
            <w:tcW w:w="35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Debt of consolidated trusts</w:t>
            </w:r>
          </w:p>
        </w:tc>
        <w:tc>
          <w:tcPr>
            <w:tcW w:w="1280" w:type="dxa"/>
            <w:vAlign w:val="bottom"/>
          </w:tcPr>
          <w:p>
            <w:pPr>
              <w:jc w:val="center"/>
              <w:ind w:right="24"/>
              <w:spacing w:after="0"/>
              <w:rPr>
                <w:sz w:val="20"/>
                <w:szCs w:val="20"/>
                <w:color w:val="auto"/>
              </w:rPr>
            </w:pPr>
            <w:r>
              <w:rPr>
                <w:rFonts w:ascii="Arial" w:cs="Arial" w:eastAsia="Arial" w:hAnsi="Arial"/>
                <w:sz w:val="15"/>
                <w:szCs w:val="15"/>
                <w:color w:val="auto"/>
              </w:rPr>
              <w:t>2023 - 2062</w:t>
            </w:r>
          </w:p>
        </w:tc>
        <w:tc>
          <w:tcPr>
            <w:tcW w:w="140" w:type="dxa"/>
            <w:vAlign w:val="bottom"/>
            <w:tcBorders>
              <w:bottom w:val="single" w:sz="8" w:color="2C6937"/>
            </w:tcBorders>
          </w:tcPr>
          <w:p>
            <w:pPr>
              <w:spacing w:after="0"/>
              <w:rPr>
                <w:sz w:val="18"/>
                <w:szCs w:val="18"/>
                <w:color w:val="auto"/>
              </w:rPr>
            </w:pPr>
          </w:p>
        </w:tc>
        <w:tc>
          <w:tcPr>
            <w:tcW w:w="120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4,094,654</w:t>
            </w:r>
          </w:p>
        </w:tc>
        <w:tc>
          <w:tcPr>
            <w:tcW w:w="1220" w:type="dxa"/>
            <w:vAlign w:val="bottom"/>
          </w:tcPr>
          <w:p>
            <w:pPr>
              <w:jc w:val="right"/>
              <w:ind w:right="126"/>
              <w:spacing w:after="0"/>
              <w:rPr>
                <w:sz w:val="20"/>
                <w:szCs w:val="20"/>
                <w:color w:val="auto"/>
              </w:rPr>
            </w:pPr>
            <w:r>
              <w:rPr>
                <w:rFonts w:ascii="Arial" w:cs="Arial" w:eastAsia="Arial" w:hAnsi="Arial"/>
                <w:sz w:val="15"/>
                <w:szCs w:val="15"/>
                <w:b w:val="1"/>
                <w:bCs w:val="1"/>
                <w:color w:val="auto"/>
              </w:rPr>
              <w:t>2.56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24"/>
              <w:spacing w:after="0"/>
              <w:rPr>
                <w:sz w:val="20"/>
                <w:szCs w:val="20"/>
                <w:color w:val="auto"/>
              </w:rPr>
            </w:pPr>
            <w:r>
              <w:rPr>
                <w:rFonts w:ascii="Arial" w:cs="Arial" w:eastAsia="Arial" w:hAnsi="Arial"/>
                <w:sz w:val="15"/>
                <w:szCs w:val="15"/>
                <w:color w:val="auto"/>
              </w:rPr>
              <w:t>2023 - 2062</w:t>
            </w:r>
          </w:p>
        </w:tc>
        <w:tc>
          <w:tcPr>
            <w:tcW w:w="16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4,087,720</w:t>
            </w:r>
          </w:p>
        </w:tc>
        <w:tc>
          <w:tcPr>
            <w:tcW w:w="1200" w:type="dxa"/>
            <w:vAlign w:val="bottom"/>
          </w:tcPr>
          <w:p>
            <w:pPr>
              <w:jc w:val="right"/>
              <w:ind w:right="125"/>
              <w:spacing w:after="0"/>
              <w:rPr>
                <w:sz w:val="20"/>
                <w:szCs w:val="20"/>
                <w:color w:val="auto"/>
              </w:rPr>
            </w:pPr>
            <w:r>
              <w:rPr>
                <w:rFonts w:ascii="Arial" w:cs="Arial" w:eastAsia="Arial" w:hAnsi="Arial"/>
                <w:sz w:val="15"/>
                <w:szCs w:val="15"/>
                <w:color w:val="auto"/>
              </w:rPr>
              <w:t>2.47</w:t>
            </w:r>
          </w:p>
        </w:tc>
      </w:tr>
      <w:tr>
        <w:trPr>
          <w:trHeight w:val="199"/>
        </w:trPr>
        <w:tc>
          <w:tcPr>
            <w:tcW w:w="3500" w:type="dxa"/>
            <w:vAlign w:val="bottom"/>
          </w:tcPr>
          <w:p>
            <w:pPr>
              <w:ind w:left="220"/>
              <w:spacing w:after="0"/>
              <w:rPr>
                <w:sz w:val="20"/>
                <w:szCs w:val="20"/>
                <w:color w:val="auto"/>
              </w:rPr>
            </w:pPr>
            <w:r>
              <w:rPr>
                <w:rFonts w:ascii="Arial" w:cs="Arial" w:eastAsia="Arial" w:hAnsi="Arial"/>
                <w:sz w:val="15"/>
                <w:szCs w:val="15"/>
                <w:color w:val="auto"/>
              </w:rPr>
              <w:t>Total long-term debt</w:t>
            </w:r>
          </w:p>
        </w:tc>
        <w:tc>
          <w:tcPr>
            <w:tcW w:w="12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200" w:type="dxa"/>
            <w:vAlign w:val="bottom"/>
          </w:tcPr>
          <w:p>
            <w:pPr>
              <w:jc w:val="right"/>
              <w:ind w:right="4"/>
              <w:spacing w:after="0"/>
              <w:rPr>
                <w:sz w:val="20"/>
                <w:szCs w:val="20"/>
                <w:color w:val="auto"/>
              </w:rPr>
            </w:pPr>
            <w:r>
              <w:rPr>
                <w:rFonts w:ascii="Arial" w:cs="Arial" w:eastAsia="Arial" w:hAnsi="Arial"/>
                <w:sz w:val="15"/>
                <w:szCs w:val="15"/>
                <w:b w:val="1"/>
                <w:bCs w:val="1"/>
                <w:color w:val="auto"/>
              </w:rPr>
              <w:t>4,216,722</w:t>
            </w: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2.56 %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4,211,684</w:t>
            </w:r>
          </w:p>
        </w:tc>
        <w:tc>
          <w:tcPr>
            <w:tcW w:w="1200" w:type="dxa"/>
            <w:vAlign w:val="bottom"/>
          </w:tcPr>
          <w:p>
            <w:pPr>
              <w:jc w:val="right"/>
              <w:spacing w:after="0"/>
              <w:rPr>
                <w:sz w:val="20"/>
                <w:szCs w:val="20"/>
                <w:color w:val="auto"/>
              </w:rPr>
            </w:pPr>
            <w:r>
              <w:rPr>
                <w:rFonts w:ascii="Arial" w:cs="Arial" w:eastAsia="Arial" w:hAnsi="Arial"/>
                <w:sz w:val="15"/>
                <w:szCs w:val="15"/>
                <w:color w:val="auto"/>
              </w:rPr>
              <w:t>2.47 %</w:t>
            </w:r>
          </w:p>
        </w:tc>
      </w:tr>
      <w:tr>
        <w:trPr>
          <w:trHeight w:val="20"/>
        </w:trPr>
        <w:tc>
          <w:tcPr>
            <w:tcW w:w="3500" w:type="dxa"/>
            <w:vAlign w:val="bottom"/>
            <w:tcBorders>
              <w:top w:val="single" w:sz="8" w:color="2C6937"/>
              <w:bottom w:val="single" w:sz="8" w:color="2C6937"/>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23" w:lineRule="exact"/>
        <w:rPr>
          <w:sz w:val="20"/>
          <w:szCs w:val="20"/>
          <w:color w:val="auto"/>
        </w:rPr>
      </w:pPr>
    </w:p>
    <w:p>
      <w:pPr>
        <w:ind w:left="240" w:right="660" w:hanging="237"/>
        <w:spacing w:after="0" w:line="223" w:lineRule="auto"/>
        <w:tabs>
          <w:tab w:leader="none" w:pos="240" w:val="left"/>
        </w:tabs>
        <w:numPr>
          <w:ilvl w:val="0"/>
          <w:numId w:val="94"/>
        </w:numPr>
        <w:rPr>
          <w:rFonts w:ascii="Arial" w:cs="Arial" w:eastAsia="Arial" w:hAnsi="Arial"/>
          <w:sz w:val="18"/>
          <w:szCs w:val="18"/>
          <w:color w:val="auto"/>
          <w:vertAlign w:val="superscript"/>
        </w:rPr>
      </w:pPr>
      <w:r>
        <w:rPr>
          <w:rFonts w:ascii="Arial" w:cs="Arial" w:eastAsia="Arial" w:hAnsi="Arial"/>
          <w:sz w:val="14"/>
          <w:szCs w:val="14"/>
          <w:color w:val="auto"/>
        </w:rPr>
        <w:t>Outstanding debt balance consists of the unpaid principal balance, premiums and discounts, fair value adjustments, hedge-related basis adjustments, and other cost basis adjustments.</w:t>
      </w:r>
    </w:p>
    <w:p>
      <w:pPr>
        <w:ind w:left="240" w:hanging="237"/>
        <w:spacing w:after="0"/>
        <w:tabs>
          <w:tab w:leader="none" w:pos="240" w:val="left"/>
        </w:tabs>
        <w:numPr>
          <w:ilvl w:val="0"/>
          <w:numId w:val="94"/>
        </w:numPr>
        <w:rPr>
          <w:rFonts w:ascii="Arial" w:cs="Arial" w:eastAsia="Arial" w:hAnsi="Arial"/>
          <w:sz w:val="18"/>
          <w:szCs w:val="18"/>
          <w:color w:val="auto"/>
          <w:vertAlign w:val="superscript"/>
        </w:rPr>
      </w:pPr>
      <w:r>
        <w:rPr>
          <w:rFonts w:ascii="Arial" w:cs="Arial" w:eastAsia="Arial" w:hAnsi="Arial"/>
          <w:sz w:val="14"/>
          <w:szCs w:val="14"/>
          <w:color w:val="auto"/>
        </w:rPr>
        <w:t>Excludes the effects of fair value adjustments and hedge-related basis adjustments.</w:t>
      </w:r>
    </w:p>
    <w:p>
      <w:pPr>
        <w:spacing w:after="0" w:line="41" w:lineRule="exact"/>
        <w:rPr>
          <w:rFonts w:ascii="Arial" w:cs="Arial" w:eastAsia="Arial" w:hAnsi="Arial"/>
          <w:sz w:val="18"/>
          <w:szCs w:val="18"/>
          <w:color w:val="auto"/>
          <w:vertAlign w:val="superscript"/>
        </w:rPr>
      </w:pPr>
    </w:p>
    <w:p>
      <w:pPr>
        <w:ind w:left="240" w:hanging="237"/>
        <w:spacing w:after="0" w:line="190" w:lineRule="auto"/>
        <w:tabs>
          <w:tab w:leader="none" w:pos="240" w:val="left"/>
        </w:tabs>
        <w:numPr>
          <w:ilvl w:val="0"/>
          <w:numId w:val="94"/>
        </w:numPr>
        <w:rPr>
          <w:rFonts w:ascii="Arial" w:cs="Arial" w:eastAsia="Arial" w:hAnsi="Arial"/>
          <w:sz w:val="18"/>
          <w:szCs w:val="18"/>
          <w:color w:val="auto"/>
          <w:vertAlign w:val="superscript"/>
        </w:rPr>
      </w:pPr>
      <w:r>
        <w:rPr>
          <w:rFonts w:ascii="Arial" w:cs="Arial" w:eastAsia="Arial" w:hAnsi="Arial"/>
          <w:sz w:val="14"/>
          <w:szCs w:val="14"/>
          <w:color w:val="auto"/>
        </w:rPr>
        <w:t>Includes long-term debt with an original contractual maturity of greater than 1 year and up to 10 years, excluding zero-coupon debt.</w:t>
      </w:r>
    </w:p>
    <w:p>
      <w:pPr>
        <w:spacing w:after="0" w:line="29" w:lineRule="exact"/>
        <w:rPr>
          <w:rFonts w:ascii="Arial" w:cs="Arial" w:eastAsia="Arial" w:hAnsi="Arial"/>
          <w:sz w:val="18"/>
          <w:szCs w:val="18"/>
          <w:color w:val="auto"/>
          <w:vertAlign w:val="superscript"/>
        </w:rPr>
      </w:pPr>
    </w:p>
    <w:p>
      <w:pPr>
        <w:ind w:left="240" w:hanging="237"/>
        <w:spacing w:after="0"/>
        <w:tabs>
          <w:tab w:leader="none" w:pos="240" w:val="left"/>
        </w:tabs>
        <w:numPr>
          <w:ilvl w:val="0"/>
          <w:numId w:val="94"/>
        </w:numPr>
        <w:rPr>
          <w:rFonts w:ascii="Arial" w:cs="Arial" w:eastAsia="Arial" w:hAnsi="Arial"/>
          <w:sz w:val="9"/>
          <w:szCs w:val="9"/>
          <w:color w:val="auto"/>
        </w:rPr>
      </w:pPr>
      <w:r>
        <w:rPr>
          <w:rFonts w:ascii="Arial" w:cs="Arial" w:eastAsia="Arial" w:hAnsi="Arial"/>
          <w:sz w:val="14"/>
          <w:szCs w:val="14"/>
          <w:color w:val="auto"/>
        </w:rPr>
        <w:t>Includes other long-term debt with an original contractual maturity of greater than 10 years and foreign exchange bonds.</w:t>
      </w:r>
    </w:p>
    <w:p>
      <w:pPr>
        <w:spacing w:after="0" w:line="35" w:lineRule="exact"/>
        <w:rPr>
          <w:rFonts w:ascii="Arial" w:cs="Arial" w:eastAsia="Arial" w:hAnsi="Arial"/>
          <w:sz w:val="9"/>
          <w:szCs w:val="9"/>
          <w:color w:val="auto"/>
        </w:rPr>
      </w:pPr>
    </w:p>
    <w:p>
      <w:pPr>
        <w:ind w:left="240" w:hanging="237"/>
        <w:spacing w:after="0"/>
        <w:tabs>
          <w:tab w:leader="none" w:pos="240" w:val="left"/>
        </w:tabs>
        <w:numPr>
          <w:ilvl w:val="0"/>
          <w:numId w:val="94"/>
        </w:numPr>
        <w:rPr>
          <w:rFonts w:ascii="Arial" w:cs="Arial" w:eastAsia="Arial" w:hAnsi="Arial"/>
          <w:sz w:val="9"/>
          <w:szCs w:val="9"/>
          <w:color w:val="auto"/>
        </w:rPr>
      </w:pPr>
      <w:r>
        <w:rPr>
          <w:rFonts w:ascii="Arial" w:cs="Arial" w:eastAsia="Arial" w:hAnsi="Arial"/>
          <w:sz w:val="14"/>
          <w:szCs w:val="14"/>
          <w:color w:val="auto"/>
        </w:rPr>
        <w:t>Consists of CAS debt issued prior to November 2018, a portion of which is reported at fair value.</w:t>
      </w:r>
    </w:p>
    <w:p>
      <w:pPr>
        <w:spacing w:after="0" w:line="13" w:lineRule="exact"/>
        <w:rPr>
          <w:rFonts w:ascii="Arial" w:cs="Arial" w:eastAsia="Arial" w:hAnsi="Arial"/>
          <w:sz w:val="9"/>
          <w:szCs w:val="9"/>
          <w:color w:val="auto"/>
        </w:rPr>
      </w:pPr>
    </w:p>
    <w:p>
      <w:pPr>
        <w:ind w:left="240" w:hanging="237"/>
        <w:spacing w:after="0"/>
        <w:tabs>
          <w:tab w:leader="none" w:pos="240" w:val="left"/>
        </w:tabs>
        <w:numPr>
          <w:ilvl w:val="0"/>
          <w:numId w:val="94"/>
        </w:numPr>
        <w:rPr>
          <w:rFonts w:ascii="Arial" w:cs="Arial" w:eastAsia="Arial" w:hAnsi="Arial"/>
          <w:sz w:val="18"/>
          <w:szCs w:val="18"/>
          <w:color w:val="auto"/>
          <w:vertAlign w:val="superscript"/>
        </w:rPr>
      </w:pPr>
      <w:r>
        <w:rPr>
          <w:rFonts w:ascii="Arial" w:cs="Arial" w:eastAsia="Arial" w:hAnsi="Arial"/>
          <w:sz w:val="14"/>
          <w:szCs w:val="14"/>
          <w:color w:val="auto"/>
        </w:rPr>
        <w:t>Consists of structured debt instruments that are reported at fair value.</w:t>
      </w:r>
    </w:p>
    <w:p>
      <w:pPr>
        <w:spacing w:after="0" w:line="41" w:lineRule="exact"/>
        <w:rPr>
          <w:rFonts w:ascii="Arial" w:cs="Arial" w:eastAsia="Arial" w:hAnsi="Arial"/>
          <w:sz w:val="18"/>
          <w:szCs w:val="18"/>
          <w:color w:val="auto"/>
          <w:vertAlign w:val="superscript"/>
        </w:rPr>
      </w:pPr>
    </w:p>
    <w:p>
      <w:pPr>
        <w:ind w:left="240" w:right="320" w:hanging="237"/>
        <w:spacing w:after="0" w:line="216" w:lineRule="auto"/>
        <w:tabs>
          <w:tab w:leader="none" w:pos="240" w:val="left"/>
        </w:tabs>
        <w:numPr>
          <w:ilvl w:val="0"/>
          <w:numId w:val="94"/>
        </w:numPr>
        <w:rPr>
          <w:rFonts w:ascii="Arial" w:cs="Arial" w:eastAsia="Arial" w:hAnsi="Arial"/>
          <w:sz w:val="18"/>
          <w:szCs w:val="18"/>
          <w:color w:val="auto"/>
          <w:vertAlign w:val="superscript"/>
        </w:rPr>
      </w:pPr>
      <w:r>
        <w:rPr>
          <w:rFonts w:ascii="Arial" w:cs="Arial" w:eastAsia="Arial" w:hAnsi="Arial"/>
          <w:sz w:val="14"/>
          <w:szCs w:val="14"/>
          <w:color w:val="auto"/>
        </w:rPr>
        <w:t>Includes unamortized discounts and premiums, fair value adjustments, hedge-related cost basis adjustments, and other cost basis adjustments in a net discount position of $5.1 billion as of June 30,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368300</wp:posOffset>
            </wp:positionV>
            <wp:extent cx="681101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96" w:name="page97"/>
    <w:bookmarkEnd w:id="96"/>
    <w:p>
      <w:pPr>
        <w:ind w:left="6240"/>
        <w:spacing w:after="0"/>
        <w:rPr>
          <w:sz w:val="20"/>
          <w:szCs w:val="20"/>
          <w:color w:val="auto"/>
        </w:rPr>
      </w:pPr>
      <w:r>
        <w:rPr>
          <w:rFonts w:ascii="Arial" w:cs="Arial" w:eastAsia="Arial" w:hAnsi="Arial"/>
          <w:sz w:val="13"/>
          <w:szCs w:val="13"/>
          <w:color w:val="05314D"/>
        </w:rPr>
        <w:t>Notes to Condensed Consolidated Financial Statements |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22860</wp:posOffset>
            </wp:positionV>
            <wp:extent cx="702373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31"/>
          <w:szCs w:val="31"/>
          <w:b w:val="1"/>
          <w:bCs w:val="1"/>
          <w:color w:val="05314D"/>
        </w:rPr>
        <w:t>8. Derivative Instruments</w:t>
      </w:r>
    </w:p>
    <w:p>
      <w:pPr>
        <w:spacing w:after="0" w:line="10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Derivative instruments are an integral part of our strategy in managing interest-rate risk. Derivative instruments may be privately-negotiated, bilateral contracts or they may be listed and traded on an exchange. We refer to our derivative transactions made pursuant to bilateral contracts as our over-the-counter (“OTC”) derivative transactions and our derivative transactions accepted for clearing by a derivatives clearing organization as our cleared derivative transactions. We typically do not settle the notional amount of our risk management derivatives; rather, notional amounts provide the basis for calculating actual payments or settlement amounts. The derivative contracts we use for interest-rate risk management purposes consist primarily of interest-rate swaps and interest-rate options. See “Note 8, Derivative Instruments” in our 2022 Form 10-K for additional information on interest-rate risk management.</w:t>
      </w:r>
    </w:p>
    <w:p>
      <w:pPr>
        <w:spacing w:after="0" w:line="50" w:lineRule="exact"/>
        <w:rPr>
          <w:sz w:val="20"/>
          <w:szCs w:val="20"/>
          <w:color w:val="auto"/>
        </w:rPr>
      </w:pPr>
    </w:p>
    <w:p>
      <w:pPr>
        <w:jc w:val="both"/>
        <w:ind w:right="120"/>
        <w:spacing w:after="0" w:line="262" w:lineRule="auto"/>
        <w:rPr>
          <w:sz w:val="20"/>
          <w:szCs w:val="20"/>
          <w:color w:val="auto"/>
        </w:rPr>
      </w:pPr>
      <w:r>
        <w:rPr>
          <w:rFonts w:ascii="Arial" w:cs="Arial" w:eastAsia="Arial" w:hAnsi="Arial"/>
          <w:sz w:val="16"/>
          <w:szCs w:val="16"/>
          <w:color w:val="auto"/>
        </w:rPr>
        <w:t>We account for certain forms of credit risk transfer transactions as derivatives. In our credit risk transfer transactions, a portion of the credit risk associated with losses on a reference pool of mortgage loans is transferred to a third party. We enter into derivative transactions that are associated with some of our credit risk transfer transactions, whereby we manage investment risk to guarantee that certain unconsolidated VIEs have sufficient cash flows to pay their contractual obligations.</w:t>
      </w:r>
    </w:p>
    <w:p>
      <w:pPr>
        <w:spacing w:after="0" w:line="60" w:lineRule="exact"/>
        <w:rPr>
          <w:sz w:val="20"/>
          <w:szCs w:val="20"/>
          <w:color w:val="auto"/>
        </w:rPr>
      </w:pPr>
    </w:p>
    <w:p>
      <w:pPr>
        <w:ind w:right="120"/>
        <w:spacing w:after="0" w:line="267" w:lineRule="auto"/>
        <w:rPr>
          <w:sz w:val="20"/>
          <w:szCs w:val="20"/>
          <w:color w:val="auto"/>
        </w:rPr>
      </w:pPr>
      <w:r>
        <w:rPr>
          <w:rFonts w:ascii="Arial" w:cs="Arial" w:eastAsia="Arial" w:hAnsi="Arial"/>
          <w:sz w:val="16"/>
          <w:szCs w:val="16"/>
          <w:color w:val="auto"/>
        </w:rPr>
        <w:t>We enter into forward purchase and sale commitments that lock in the future delivery of mortgage loans and mortgage-related securities at a fixed price or yield. Certain commitments to purchase mortgage loans and purchase or sell mortgage-related securities meet the criteria of a derivative. We typically settle the notional amount of our mortgage commitments that are accounted for as derivatives.</w:t>
      </w:r>
    </w:p>
    <w:p>
      <w:pPr>
        <w:spacing w:after="0" w:line="43"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We recognize all derivatives as either assets or liabilities in our condensed consolidated balance sheets at their fair value on a trade date basis. Fair value amounts, which are (1) netted to the extent a legal right of offset exists and is enforceable by law at the counterparty level and (2) inclusive of the right or obligation associated with the cash collateral posted or received, are recorded in “Other assets” or “Other liabilities” in our condensed consolidated balance sheets. See “Note 12, Fair Value” for additional information on derivatives recorded at fair value. We present cash flows from derivatives as operating activities in our condensed consolidated statements of cash flows.</w:t>
      </w:r>
    </w:p>
    <w:p>
      <w:pPr>
        <w:spacing w:after="0" w:line="74"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Fair Value Hedge Accounting</w:t>
      </w:r>
    </w:p>
    <w:p>
      <w:pPr>
        <w:spacing w:after="0" w:line="95"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Pursuant to our fair value hedge accounting program, we may designate certain interest-rate swaps as hedging instruments in hedges of the change in fair value attributable to the designated benchmark interest rate for certain closed pools of fixed-rate, single-family mortgage loans or our funding debt. For hedged items in qualifying fair value hedging relationships, changes in fair value attributable to the designated risk are recognized as a basis adjustment to the hedged item. We also report changes in the fair value of the derivative hedging instrument in the same condensed consolidated statements of operations and comprehensive income line item used to recognize the earnings effect of the hedged item’s basis adjustment. The objective of our fair value hedges is to reduce GAAP earnings volatility related to changes in benchmark interest rates. For additional discussion of our fair value hedge accounting policy, see “Note 1, Summary of Significant Accounting Policies” in our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369570</wp:posOffset>
            </wp:positionV>
            <wp:extent cx="681101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164070" cy="4191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50" w:right="359" w:bottom="1440" w:gutter="0" w:footer="0" w:header="0"/>
        </w:sectPr>
      </w:pPr>
    </w:p>
    <w:bookmarkStart w:id="97" w:name="page98"/>
    <w:bookmarkEnd w:id="97"/>
    <w:p>
      <w:pPr>
        <w:jc w:val="right"/>
        <w:spacing w:after="0"/>
        <w:rPr>
          <w:sz w:val="20"/>
          <w:szCs w:val="20"/>
          <w:color w:val="auto"/>
        </w:rPr>
      </w:pPr>
      <w:r>
        <w:rPr>
          <w:rFonts w:ascii="Arial" w:cs="Arial" w:eastAsia="Arial" w:hAnsi="Arial"/>
          <w:sz w:val="14"/>
          <w:szCs w:val="14"/>
          <w:color w:val="05314D"/>
        </w:rPr>
        <w:t>Notes to Condensed Consolidated Financial Statements |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15875</wp:posOffset>
            </wp:positionV>
            <wp:extent cx="702373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Notional and Fair Value Position of our Derivatives</w:t>
      </w:r>
    </w:p>
    <w:p>
      <w:pPr>
        <w:spacing w:after="0" w:line="82" w:lineRule="exact"/>
        <w:rPr>
          <w:sz w:val="20"/>
          <w:szCs w:val="20"/>
          <w:color w:val="auto"/>
        </w:rPr>
      </w:pPr>
    </w:p>
    <w:p>
      <w:pPr>
        <w:ind w:right="140"/>
        <w:spacing w:after="0" w:line="300" w:lineRule="auto"/>
        <w:rPr>
          <w:sz w:val="20"/>
          <w:szCs w:val="20"/>
          <w:color w:val="auto"/>
        </w:rPr>
      </w:pPr>
      <w:r>
        <w:rPr>
          <w:rFonts w:ascii="Arial" w:cs="Arial" w:eastAsia="Arial" w:hAnsi="Arial"/>
          <w:sz w:val="16"/>
          <w:szCs w:val="16"/>
          <w:color w:val="auto"/>
        </w:rPr>
        <w:t>The following table displays the notional amount and estimated fair value of our asset and liability derivative instruments, including derivative instruments designated as hedges.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tcPr>
          <w:p>
            <w:pPr>
              <w:spacing w:after="0"/>
              <w:rPr>
                <w:sz w:val="15"/>
                <w:szCs w:val="15"/>
                <w:color w:val="auto"/>
              </w:rPr>
            </w:pPr>
          </w:p>
        </w:tc>
        <w:tc>
          <w:tcPr>
            <w:tcW w:w="1360" w:type="dxa"/>
            <w:vAlign w:val="bottom"/>
            <w:tcBorders>
              <w:bottom w:val="single" w:sz="8" w:color="2C6937"/>
            </w:tcBorders>
            <w:gridSpan w:val="4"/>
          </w:tcPr>
          <w:p>
            <w:pPr>
              <w:jc w:val="center"/>
              <w:spacing w:after="0"/>
              <w:rPr>
                <w:sz w:val="20"/>
                <w:szCs w:val="20"/>
                <w:color w:val="auto"/>
              </w:rPr>
            </w:pPr>
            <w:r>
              <w:rPr>
                <w:rFonts w:ascii="Arial" w:cs="Arial" w:eastAsia="Arial" w:hAnsi="Arial"/>
                <w:sz w:val="14"/>
                <w:szCs w:val="14"/>
                <w:b w:val="1"/>
                <w:bCs w:val="1"/>
                <w:color w:val="auto"/>
                <w:w w:val="96"/>
              </w:rPr>
              <w:t>As of June 30, 2023</w:t>
            </w:r>
          </w:p>
        </w:tc>
        <w:tc>
          <w:tcPr>
            <w:tcW w:w="16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2480" w:type="dxa"/>
            <w:vAlign w:val="bottom"/>
            <w:tcBorders>
              <w:bottom w:val="single" w:sz="8" w:color="2C6937"/>
            </w:tcBorders>
            <w:gridSpan w:val="6"/>
          </w:tcPr>
          <w:p>
            <w:pPr>
              <w:jc w:val="center"/>
              <w:ind w:left="711"/>
              <w:spacing w:after="0"/>
              <w:rPr>
                <w:sz w:val="20"/>
                <w:szCs w:val="20"/>
                <w:color w:val="auto"/>
              </w:rPr>
            </w:pPr>
            <w:r>
              <w:rPr>
                <w:rFonts w:ascii="Arial" w:cs="Arial" w:eastAsia="Arial" w:hAnsi="Arial"/>
                <w:sz w:val="14"/>
                <w:szCs w:val="14"/>
                <w:b w:val="1"/>
                <w:bCs w:val="1"/>
                <w:color w:val="auto"/>
                <w:w w:val="98"/>
              </w:rPr>
              <w:t>As of December 31, 2022</w:t>
            </w:r>
          </w:p>
        </w:tc>
        <w:tc>
          <w:tcPr>
            <w:tcW w:w="980" w:type="dxa"/>
            <w:vAlign w:val="bottom"/>
            <w:tcBorders>
              <w:bottom w:val="single" w:sz="8" w:color="2C6937"/>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2260" w:type="dxa"/>
            <w:vAlign w:val="bottom"/>
            <w:tcBorders>
              <w:bottom w:val="single" w:sz="8" w:color="2C6937"/>
            </w:tcBorders>
            <w:gridSpan w:val="4"/>
          </w:tcPr>
          <w:p>
            <w:pPr>
              <w:jc w:val="right"/>
              <w:ind w:right="471"/>
              <w:spacing w:after="0"/>
              <w:rPr>
                <w:sz w:val="20"/>
                <w:szCs w:val="20"/>
                <w:color w:val="auto"/>
              </w:rPr>
            </w:pPr>
            <w:r>
              <w:rPr>
                <w:rFonts w:ascii="Arial" w:cs="Arial" w:eastAsia="Arial" w:hAnsi="Arial"/>
                <w:sz w:val="14"/>
                <w:szCs w:val="14"/>
                <w:b w:val="1"/>
                <w:bCs w:val="1"/>
                <w:color w:val="auto"/>
              </w:rPr>
              <w:t>Estimated Fair Value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2260" w:type="dxa"/>
            <w:vAlign w:val="bottom"/>
            <w:tcBorders>
              <w:bottom w:val="single" w:sz="8" w:color="2C6937"/>
            </w:tcBorders>
            <w:gridSpan w:val="4"/>
          </w:tcPr>
          <w:p>
            <w:pPr>
              <w:jc w:val="right"/>
              <w:ind w:right="471"/>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176"/>
        </w:trPr>
        <w:tc>
          <w:tcPr>
            <w:tcW w:w="3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231"/>
              <w:spacing w:after="0"/>
              <w:rPr>
                <w:sz w:val="20"/>
                <w:szCs w:val="20"/>
                <w:color w:val="auto"/>
              </w:rPr>
            </w:pPr>
            <w:r>
              <w:rPr>
                <w:rFonts w:ascii="Arial" w:cs="Arial" w:eastAsia="Arial" w:hAnsi="Arial"/>
                <w:sz w:val="14"/>
                <w:szCs w:val="14"/>
                <w:b w:val="1"/>
                <w:bCs w:val="1"/>
                <w:color w:val="auto"/>
              </w:rPr>
              <w:t>Notional</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Asset</w:t>
            </w:r>
          </w:p>
        </w:tc>
        <w:tc>
          <w:tcPr>
            <w:tcW w:w="160" w:type="dxa"/>
            <w:vAlign w:val="bottom"/>
          </w:tcPr>
          <w:p>
            <w:pPr>
              <w:spacing w:after="0"/>
              <w:rPr>
                <w:sz w:val="15"/>
                <w:szCs w:val="15"/>
                <w:color w:val="auto"/>
              </w:rPr>
            </w:pPr>
          </w:p>
        </w:tc>
        <w:tc>
          <w:tcPr>
            <w:tcW w:w="1000" w:type="dxa"/>
            <w:vAlign w:val="bottom"/>
          </w:tcPr>
          <w:p>
            <w:pPr>
              <w:jc w:val="right"/>
              <w:ind w:right="251"/>
              <w:spacing w:after="0"/>
              <w:rPr>
                <w:sz w:val="20"/>
                <w:szCs w:val="20"/>
                <w:color w:val="auto"/>
              </w:rPr>
            </w:pPr>
            <w:r>
              <w:rPr>
                <w:rFonts w:ascii="Arial" w:cs="Arial" w:eastAsia="Arial" w:hAnsi="Arial"/>
                <w:sz w:val="14"/>
                <w:szCs w:val="14"/>
                <w:b w:val="1"/>
                <w:bCs w:val="1"/>
                <w:color w:val="auto"/>
              </w:rPr>
              <w:t>Liability</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Notional</w:t>
            </w:r>
          </w:p>
        </w:tc>
        <w:tc>
          <w:tcPr>
            <w:tcW w:w="140" w:type="dxa"/>
            <w:vAlign w:val="bottom"/>
          </w:tcPr>
          <w:p>
            <w:pPr>
              <w:spacing w:after="0"/>
              <w:rPr>
                <w:sz w:val="15"/>
                <w:szCs w:val="15"/>
                <w:color w:val="auto"/>
              </w:rPr>
            </w:pPr>
          </w:p>
        </w:tc>
        <w:tc>
          <w:tcPr>
            <w:tcW w:w="1000" w:type="dxa"/>
            <w:vAlign w:val="bottom"/>
          </w:tcPr>
          <w:p>
            <w:pPr>
              <w:jc w:val="center"/>
              <w:ind w:right="71"/>
              <w:spacing w:after="0"/>
              <w:rPr>
                <w:sz w:val="20"/>
                <w:szCs w:val="20"/>
                <w:color w:val="auto"/>
              </w:rPr>
            </w:pPr>
            <w:r>
              <w:rPr>
                <w:rFonts w:ascii="Arial" w:cs="Arial" w:eastAsia="Arial" w:hAnsi="Arial"/>
                <w:sz w:val="14"/>
                <w:szCs w:val="14"/>
                <w:b w:val="1"/>
                <w:bCs w:val="1"/>
                <w:color w:val="auto"/>
                <w:w w:val="99"/>
              </w:rPr>
              <w:t>Asset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251"/>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198"/>
        </w:trPr>
        <w:tc>
          <w:tcPr>
            <w:tcW w:w="3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tcPr>
          <w:p>
            <w:pPr>
              <w:jc w:val="right"/>
              <w:ind w:right="23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10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Derivatives</w:t>
            </w:r>
          </w:p>
        </w:tc>
        <w:tc>
          <w:tcPr>
            <w:tcW w:w="16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tcPr>
          <w:p>
            <w:pPr>
              <w:jc w:val="right"/>
              <w:ind w:right="151"/>
              <w:spacing w:after="0"/>
              <w:rPr>
                <w:sz w:val="20"/>
                <w:szCs w:val="20"/>
                <w:color w:val="auto"/>
              </w:rPr>
            </w:pPr>
            <w:r>
              <w:rPr>
                <w:rFonts w:ascii="Arial" w:cs="Arial" w:eastAsia="Arial" w:hAnsi="Arial"/>
                <w:sz w:val="14"/>
                <w:szCs w:val="14"/>
                <w:b w:val="1"/>
                <w:bCs w:val="1"/>
                <w:color w:val="auto"/>
              </w:rPr>
              <w:t>Derivatives</w:t>
            </w:r>
          </w:p>
        </w:tc>
        <w:tc>
          <w:tcPr>
            <w:tcW w:w="10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tcPr>
          <w:p>
            <w:pPr>
              <w:jc w:val="center"/>
              <w:ind w:right="71"/>
              <w:spacing w:after="0"/>
              <w:rPr>
                <w:sz w:val="20"/>
                <w:szCs w:val="20"/>
                <w:color w:val="auto"/>
              </w:rPr>
            </w:pPr>
            <w:r>
              <w:rPr>
                <w:rFonts w:ascii="Arial" w:cs="Arial" w:eastAsia="Arial" w:hAnsi="Arial"/>
                <w:sz w:val="14"/>
                <w:szCs w:val="14"/>
                <w:b w:val="1"/>
                <w:bCs w:val="1"/>
                <w:color w:val="auto"/>
                <w:w w:val="98"/>
              </w:rPr>
              <w:t>Derivatives</w:t>
            </w:r>
          </w:p>
        </w:tc>
        <w:tc>
          <w:tcPr>
            <w:tcW w:w="10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right"/>
              <w:ind w:right="151"/>
              <w:spacing w:after="0"/>
              <w:rPr>
                <w:sz w:val="20"/>
                <w:szCs w:val="20"/>
                <w:color w:val="auto"/>
              </w:rPr>
            </w:pPr>
            <w:r>
              <w:rPr>
                <w:rFonts w:ascii="Arial" w:cs="Arial" w:eastAsia="Arial" w:hAnsi="Arial"/>
                <w:sz w:val="14"/>
                <w:szCs w:val="14"/>
                <w:b w:val="1"/>
                <w:bCs w:val="1"/>
                <w:color w:val="auto"/>
                <w:w w:val="98"/>
              </w:rPr>
              <w:t>Derivatives</w:t>
            </w:r>
          </w:p>
        </w:tc>
        <w:tc>
          <w:tcPr>
            <w:tcW w:w="0" w:type="dxa"/>
            <w:vAlign w:val="bottom"/>
          </w:tcPr>
          <w:p>
            <w:pPr>
              <w:spacing w:after="0"/>
              <w:rPr>
                <w:sz w:val="1"/>
                <w:szCs w:val="1"/>
                <w:color w:val="auto"/>
              </w:rPr>
            </w:pPr>
          </w:p>
        </w:tc>
      </w:tr>
      <w:tr>
        <w:trPr>
          <w:trHeight w:val="192"/>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gridSpan w:val="5"/>
          </w:tcPr>
          <w:p>
            <w:pPr>
              <w:ind w:left="40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Risk management derivatives designated as hedging</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20" w:type="dxa"/>
            <w:vAlign w:val="bottom"/>
            <w:gridSpan w:val="2"/>
          </w:tcPr>
          <w:p>
            <w:pPr>
              <w:ind w:left="180"/>
              <w:spacing w:after="0"/>
              <w:rPr>
                <w:sz w:val="20"/>
                <w:szCs w:val="20"/>
                <w:color w:val="auto"/>
              </w:rPr>
            </w:pPr>
            <w:r>
              <w:rPr>
                <w:rFonts w:ascii="Arial" w:cs="Arial" w:eastAsia="Arial" w:hAnsi="Arial"/>
                <w:sz w:val="14"/>
                <w:szCs w:val="14"/>
                <w:color w:val="auto"/>
              </w:rPr>
              <w:t>instruments: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720" w:type="dxa"/>
            <w:vAlign w:val="bottom"/>
            <w:gridSpan w:val="2"/>
          </w:tcPr>
          <w:p>
            <w:pPr>
              <w:ind w:left="180"/>
              <w:spacing w:after="0"/>
              <w:rPr>
                <w:sz w:val="20"/>
                <w:szCs w:val="20"/>
                <w:color w:val="auto"/>
              </w:rPr>
            </w:pPr>
            <w:r>
              <w:rPr>
                <w:rFonts w:ascii="Arial" w:cs="Arial" w:eastAsia="Arial" w:hAnsi="Arial"/>
                <w:sz w:val="14"/>
                <w:szCs w:val="14"/>
                <w:color w:val="auto"/>
              </w:rPr>
              <w:t>Swaps:</w:t>
            </w:r>
            <w:r>
              <w:rPr>
                <w:rFonts w:ascii="Arial" w:cs="Arial" w:eastAsia="Arial" w:hAnsi="Arial"/>
                <w:sz w:val="17"/>
                <w:szCs w:val="17"/>
                <w:color w:val="auto"/>
                <w:vertAlign w:val="superscript"/>
              </w:rPr>
              <w:t>(1)</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720" w:type="dxa"/>
            <w:vAlign w:val="bottom"/>
            <w:gridSpan w:val="2"/>
          </w:tcPr>
          <w:p>
            <w:pPr>
              <w:ind w:left="320"/>
              <w:spacing w:after="0"/>
              <w:rPr>
                <w:sz w:val="20"/>
                <w:szCs w:val="20"/>
                <w:color w:val="auto"/>
              </w:rPr>
            </w:pPr>
            <w:r>
              <w:rPr>
                <w:rFonts w:ascii="Arial" w:cs="Arial" w:eastAsia="Arial" w:hAnsi="Arial"/>
                <w:sz w:val="14"/>
                <w:szCs w:val="14"/>
                <w:color w:val="auto"/>
              </w:rPr>
              <w:t>Pay-fixed</w:t>
            </w:r>
          </w:p>
        </w:tc>
        <w:tc>
          <w:tcPr>
            <w:tcW w:w="180" w:type="dxa"/>
            <w:vAlign w:val="bottom"/>
          </w:tcPr>
          <w:p>
            <w:pPr>
              <w:jc w:val="right"/>
              <w:ind w:right="31"/>
              <w:spacing w:after="0"/>
              <w:rPr>
                <w:sz w:val="20"/>
                <w:szCs w:val="20"/>
                <w:color w:val="auto"/>
              </w:rPr>
            </w:pPr>
            <w:r>
              <w:rPr>
                <w:rFonts w:ascii="Arial" w:cs="Arial" w:eastAsia="Arial" w:hAnsi="Arial"/>
                <w:sz w:val="14"/>
                <w:szCs w:val="14"/>
                <w:b w:val="1"/>
                <w:bCs w:val="1"/>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3,371</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5,582</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60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Receive-fixed</w:t>
            </w:r>
          </w:p>
        </w:tc>
        <w:tc>
          <w:tcPr>
            <w:tcW w:w="12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27,319</w:t>
            </w:r>
          </w:p>
        </w:tc>
        <w:tc>
          <w:tcPr>
            <w:tcW w:w="10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33,276</w:t>
            </w:r>
          </w:p>
        </w:tc>
        <w:tc>
          <w:tcPr>
            <w:tcW w:w="12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3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Total risk management derivatives designated as hedging</w:t>
            </w:r>
          </w:p>
        </w:tc>
        <w:tc>
          <w:tcPr>
            <w:tcW w:w="1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30,690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38,858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60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instruments</w:t>
            </w:r>
          </w:p>
        </w:tc>
        <w:tc>
          <w:tcPr>
            <w:tcW w:w="12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Risk management derivatives not designated as hedging</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20" w:type="dxa"/>
            <w:vAlign w:val="bottom"/>
            <w:gridSpan w:val="2"/>
          </w:tcPr>
          <w:p>
            <w:pPr>
              <w:ind w:left="180"/>
              <w:spacing w:after="0"/>
              <w:rPr>
                <w:sz w:val="20"/>
                <w:szCs w:val="20"/>
                <w:color w:val="auto"/>
              </w:rPr>
            </w:pPr>
            <w:r>
              <w:rPr>
                <w:rFonts w:ascii="Arial" w:cs="Arial" w:eastAsia="Arial" w:hAnsi="Arial"/>
                <w:sz w:val="14"/>
                <w:szCs w:val="14"/>
                <w:color w:val="auto"/>
              </w:rPr>
              <w:t>instruments: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720" w:type="dxa"/>
            <w:vAlign w:val="bottom"/>
            <w:gridSpan w:val="2"/>
          </w:tcPr>
          <w:p>
            <w:pPr>
              <w:ind w:left="180"/>
              <w:spacing w:after="0"/>
              <w:rPr>
                <w:sz w:val="20"/>
                <w:szCs w:val="20"/>
                <w:color w:val="auto"/>
              </w:rPr>
            </w:pPr>
            <w:r>
              <w:rPr>
                <w:rFonts w:ascii="Arial" w:cs="Arial" w:eastAsia="Arial" w:hAnsi="Arial"/>
                <w:sz w:val="14"/>
                <w:szCs w:val="14"/>
                <w:color w:val="auto"/>
              </w:rPr>
              <w:t>Swaps:</w:t>
            </w:r>
            <w:r>
              <w:rPr>
                <w:rFonts w:ascii="Arial" w:cs="Arial" w:eastAsia="Arial" w:hAnsi="Arial"/>
                <w:sz w:val="17"/>
                <w:szCs w:val="17"/>
                <w:color w:val="auto"/>
                <w:vertAlign w:val="superscript"/>
              </w:rPr>
              <w:t>(1)</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720" w:type="dxa"/>
            <w:vAlign w:val="bottom"/>
            <w:gridSpan w:val="2"/>
          </w:tcPr>
          <w:p>
            <w:pPr>
              <w:ind w:left="320"/>
              <w:spacing w:after="0"/>
              <w:rPr>
                <w:sz w:val="20"/>
                <w:szCs w:val="20"/>
                <w:color w:val="auto"/>
              </w:rPr>
            </w:pPr>
            <w:r>
              <w:rPr>
                <w:rFonts w:ascii="Arial" w:cs="Arial" w:eastAsia="Arial" w:hAnsi="Arial"/>
                <w:sz w:val="14"/>
                <w:szCs w:val="14"/>
                <w:color w:val="auto"/>
              </w:rPr>
              <w:t>Pay-fixed</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134,023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97,808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720" w:type="dxa"/>
            <w:vAlign w:val="bottom"/>
            <w:gridSpan w:val="2"/>
          </w:tcPr>
          <w:p>
            <w:pPr>
              <w:ind w:left="320"/>
              <w:spacing w:after="0"/>
              <w:rPr>
                <w:sz w:val="20"/>
                <w:szCs w:val="20"/>
                <w:color w:val="auto"/>
              </w:rPr>
            </w:pPr>
            <w:r>
              <w:rPr>
                <w:rFonts w:ascii="Arial" w:cs="Arial" w:eastAsia="Arial" w:hAnsi="Arial"/>
                <w:sz w:val="14"/>
                <w:szCs w:val="14"/>
                <w:color w:val="auto"/>
              </w:rPr>
              <w:t>Receive-fixed</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171,397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(4,099)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99,799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(4,525)</w:t>
            </w:r>
          </w:p>
        </w:tc>
        <w:tc>
          <w:tcPr>
            <w:tcW w:w="0" w:type="dxa"/>
            <w:vAlign w:val="bottom"/>
          </w:tcPr>
          <w:p>
            <w:pPr>
              <w:spacing w:after="0"/>
              <w:rPr>
                <w:sz w:val="1"/>
                <w:szCs w:val="1"/>
                <w:color w:val="auto"/>
              </w:rPr>
            </w:pPr>
          </w:p>
        </w:tc>
      </w:tr>
      <w:tr>
        <w:trPr>
          <w:trHeight w:val="193"/>
        </w:trPr>
        <w:tc>
          <w:tcPr>
            <w:tcW w:w="3720" w:type="dxa"/>
            <w:vAlign w:val="bottom"/>
            <w:gridSpan w:val="2"/>
          </w:tcPr>
          <w:p>
            <w:pPr>
              <w:ind w:left="320"/>
              <w:spacing w:after="0"/>
              <w:rPr>
                <w:sz w:val="20"/>
                <w:szCs w:val="20"/>
                <w:color w:val="auto"/>
              </w:rPr>
            </w:pPr>
            <w:r>
              <w:rPr>
                <w:rFonts w:ascii="Arial" w:cs="Arial" w:eastAsia="Arial" w:hAnsi="Arial"/>
                <w:sz w:val="14"/>
                <w:szCs w:val="14"/>
                <w:color w:val="auto"/>
              </w:rPr>
              <w:t>Basis</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41,250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720" w:type="dxa"/>
            <w:vAlign w:val="bottom"/>
            <w:gridSpan w:val="2"/>
          </w:tcPr>
          <w:p>
            <w:pPr>
              <w:ind w:left="320"/>
              <w:spacing w:after="0"/>
              <w:rPr>
                <w:sz w:val="20"/>
                <w:szCs w:val="20"/>
                <w:color w:val="auto"/>
              </w:rPr>
            </w:pPr>
            <w:r>
              <w:rPr>
                <w:rFonts w:ascii="Arial" w:cs="Arial" w:eastAsia="Arial" w:hAnsi="Arial"/>
                <w:sz w:val="14"/>
                <w:szCs w:val="14"/>
                <w:color w:val="auto"/>
              </w:rPr>
              <w:t>Foreign currency</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91"/>
        </w:trPr>
        <w:tc>
          <w:tcPr>
            <w:tcW w:w="3720" w:type="dxa"/>
            <w:vAlign w:val="bottom"/>
            <w:gridSpan w:val="2"/>
          </w:tcPr>
          <w:p>
            <w:pPr>
              <w:ind w:left="180"/>
              <w:spacing w:after="0" w:line="192" w:lineRule="exact"/>
              <w:rPr>
                <w:sz w:val="20"/>
                <w:szCs w:val="20"/>
                <w:color w:val="auto"/>
              </w:rPr>
            </w:pPr>
            <w:r>
              <w:rPr>
                <w:rFonts w:ascii="Arial" w:cs="Arial" w:eastAsia="Arial" w:hAnsi="Arial"/>
                <w:sz w:val="14"/>
                <w:szCs w:val="14"/>
                <w:color w:val="auto"/>
              </w:rPr>
              <w:t>Swaptions:</w:t>
            </w:r>
            <w:r>
              <w:rPr>
                <w:rFonts w:ascii="Arial" w:cs="Arial" w:eastAsia="Arial" w:hAnsi="Arial"/>
                <w:sz w:val="17"/>
                <w:szCs w:val="17"/>
                <w:color w:val="auto"/>
                <w:vertAlign w:val="superscript"/>
              </w:rPr>
              <w:t>(1)</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720" w:type="dxa"/>
            <w:vAlign w:val="bottom"/>
            <w:gridSpan w:val="2"/>
          </w:tcPr>
          <w:p>
            <w:pPr>
              <w:ind w:left="320"/>
              <w:spacing w:after="0"/>
              <w:rPr>
                <w:sz w:val="20"/>
                <w:szCs w:val="20"/>
                <w:color w:val="auto"/>
              </w:rPr>
            </w:pPr>
            <w:r>
              <w:rPr>
                <w:rFonts w:ascii="Arial" w:cs="Arial" w:eastAsia="Arial" w:hAnsi="Arial"/>
                <w:sz w:val="14"/>
                <w:szCs w:val="14"/>
                <w:color w:val="auto"/>
              </w:rPr>
              <w:t>Pay-fixed</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5,816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176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5,286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2"/>
        </w:trPr>
        <w:tc>
          <w:tcPr>
            <w:tcW w:w="360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Receive-fixed</w:t>
            </w:r>
          </w:p>
        </w:tc>
        <w:tc>
          <w:tcPr>
            <w:tcW w:w="12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2,666</w:t>
            </w:r>
          </w:p>
        </w:tc>
        <w:tc>
          <w:tcPr>
            <w:tcW w:w="10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w:t>
            </w:r>
          </w:p>
        </w:tc>
        <w:tc>
          <w:tcPr>
            <w:tcW w:w="12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(51)</w:t>
            </w: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2,136</w:t>
            </w:r>
          </w:p>
        </w:tc>
        <w:tc>
          <w:tcPr>
            <w:tcW w:w="12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6"/>
        </w:trPr>
        <w:tc>
          <w:tcPr>
            <w:tcW w:w="360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Futures</w:t>
            </w:r>
            <w:r>
              <w:rPr>
                <w:rFonts w:ascii="Arial" w:cs="Arial" w:eastAsia="Arial" w:hAnsi="Arial"/>
                <w:sz w:val="8"/>
                <w:szCs w:val="8"/>
                <w:color w:val="auto"/>
              </w:rPr>
              <w:t>(1)</w:t>
            </w:r>
          </w:p>
        </w:tc>
        <w:tc>
          <w:tcPr>
            <w:tcW w:w="12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72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Total risk management derivatives not designated as</w:t>
            </w:r>
          </w:p>
        </w:tc>
        <w:tc>
          <w:tcPr>
            <w:tcW w:w="1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314,480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264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(4,250)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0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hedging instruments</w:t>
            </w:r>
          </w:p>
        </w:tc>
        <w:tc>
          <w:tcPr>
            <w:tcW w:w="12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246,579</w:t>
            </w:r>
          </w:p>
        </w:tc>
        <w:tc>
          <w:tcPr>
            <w:tcW w:w="12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(4,686)</w:t>
            </w:r>
          </w:p>
        </w:tc>
        <w:tc>
          <w:tcPr>
            <w:tcW w:w="0" w:type="dxa"/>
            <w:vAlign w:val="bottom"/>
          </w:tcPr>
          <w:p>
            <w:pPr>
              <w:spacing w:after="0"/>
              <w:rPr>
                <w:sz w:val="1"/>
                <w:szCs w:val="1"/>
                <w:color w:val="auto"/>
              </w:rPr>
            </w:pPr>
          </w:p>
        </w:tc>
      </w:tr>
      <w:tr>
        <w:trPr>
          <w:trHeight w:val="186"/>
        </w:trPr>
        <w:tc>
          <w:tcPr>
            <w:tcW w:w="3600" w:type="dxa"/>
            <w:vAlign w:val="bottom"/>
            <w:tcBorders>
              <w:bottom w:val="single" w:sz="8" w:color="2C6937"/>
            </w:tcBorders>
          </w:tcPr>
          <w:p>
            <w:pPr>
              <w:ind w:left="20"/>
              <w:spacing w:after="0" w:line="186" w:lineRule="exact"/>
              <w:rPr>
                <w:sz w:val="20"/>
                <w:szCs w:val="20"/>
                <w:color w:val="auto"/>
              </w:rPr>
            </w:pPr>
            <w:r>
              <w:rPr>
                <w:rFonts w:ascii="Arial" w:cs="Arial" w:eastAsia="Arial" w:hAnsi="Arial"/>
                <w:sz w:val="14"/>
                <w:szCs w:val="14"/>
                <w:color w:val="auto"/>
              </w:rPr>
              <w:t>Netting adjustment</w:t>
            </w:r>
            <w:r>
              <w:rPr>
                <w:rFonts w:ascii="Arial" w:cs="Arial" w:eastAsia="Arial" w:hAnsi="Arial"/>
                <w:sz w:val="17"/>
                <w:szCs w:val="17"/>
                <w:color w:val="auto"/>
                <w:vertAlign w:val="superscript"/>
              </w:rPr>
              <w:t>(2)</w:t>
            </w:r>
          </w:p>
        </w:tc>
        <w:tc>
          <w:tcPr>
            <w:tcW w:w="12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(218)</w:t>
            </w: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4,227</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4,662</w:t>
            </w:r>
          </w:p>
        </w:tc>
        <w:tc>
          <w:tcPr>
            <w:tcW w:w="0" w:type="dxa"/>
            <w:vAlign w:val="bottom"/>
          </w:tcPr>
          <w:p>
            <w:pPr>
              <w:spacing w:after="0"/>
              <w:rPr>
                <w:sz w:val="1"/>
                <w:szCs w:val="1"/>
                <w:color w:val="auto"/>
              </w:rPr>
            </w:pPr>
          </w:p>
        </w:tc>
      </w:tr>
      <w:tr>
        <w:trPr>
          <w:trHeight w:val="185"/>
        </w:trPr>
        <w:tc>
          <w:tcPr>
            <w:tcW w:w="360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risk management derivatives portfolio</w:t>
            </w:r>
          </w:p>
        </w:tc>
        <w:tc>
          <w:tcPr>
            <w:tcW w:w="12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345,170</w:t>
            </w: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46</w:t>
            </w: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285,437</w:t>
            </w: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75"/>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Mortgage commitment derivatives: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720" w:type="dxa"/>
            <w:vAlign w:val="bottom"/>
            <w:gridSpan w:val="2"/>
          </w:tcPr>
          <w:p>
            <w:pPr>
              <w:ind w:left="180"/>
              <w:spacing w:after="0"/>
              <w:rPr>
                <w:sz w:val="20"/>
                <w:szCs w:val="20"/>
                <w:color w:val="auto"/>
              </w:rPr>
            </w:pPr>
            <w:r>
              <w:rPr>
                <w:rFonts w:ascii="Arial" w:cs="Arial" w:eastAsia="Arial" w:hAnsi="Arial"/>
                <w:sz w:val="14"/>
                <w:szCs w:val="14"/>
                <w:color w:val="auto"/>
              </w:rPr>
              <w:t>Mortgage commitments to purchase whole loans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4,495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7"/>
        </w:trPr>
        <w:tc>
          <w:tcPr>
            <w:tcW w:w="3720" w:type="dxa"/>
            <w:vAlign w:val="bottom"/>
            <w:gridSpan w:val="2"/>
          </w:tcPr>
          <w:p>
            <w:pPr>
              <w:ind w:left="180"/>
              <w:spacing w:after="0"/>
              <w:rPr>
                <w:sz w:val="20"/>
                <w:szCs w:val="20"/>
                <w:color w:val="auto"/>
              </w:rPr>
            </w:pPr>
            <w:r>
              <w:rPr>
                <w:rFonts w:ascii="Arial" w:cs="Arial" w:eastAsia="Arial" w:hAnsi="Arial"/>
                <w:sz w:val="14"/>
                <w:szCs w:val="14"/>
                <w:color w:val="auto"/>
              </w:rPr>
              <w:t>Forward contracts to purchase mortgage-related</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720" w:type="dxa"/>
            <w:vAlign w:val="bottom"/>
            <w:gridSpan w:val="2"/>
          </w:tcPr>
          <w:p>
            <w:pPr>
              <w:ind w:left="320"/>
              <w:spacing w:after="0"/>
              <w:rPr>
                <w:sz w:val="20"/>
                <w:szCs w:val="20"/>
                <w:color w:val="auto"/>
              </w:rPr>
            </w:pPr>
            <w:r>
              <w:rPr>
                <w:rFonts w:ascii="Arial" w:cs="Arial" w:eastAsia="Arial" w:hAnsi="Arial"/>
                <w:sz w:val="14"/>
                <w:szCs w:val="14"/>
                <w:color w:val="auto"/>
              </w:rPr>
              <w:t>securities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24,325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17,808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20"/>
        </w:trPr>
        <w:tc>
          <w:tcPr>
            <w:tcW w:w="360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Forward contracts to sell mortgage-related securities</w:t>
            </w:r>
          </w:p>
        </w:tc>
        <w:tc>
          <w:tcPr>
            <w:tcW w:w="12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47,712</w:t>
            </w:r>
          </w:p>
        </w:tc>
        <w:tc>
          <w:tcPr>
            <w:tcW w:w="10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32</w:t>
            </w:r>
          </w:p>
        </w:tc>
        <w:tc>
          <w:tcPr>
            <w:tcW w:w="12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(102)</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35,302</w:t>
            </w:r>
          </w:p>
        </w:tc>
        <w:tc>
          <w:tcPr>
            <w:tcW w:w="12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0"/>
        </w:trPr>
        <w:tc>
          <w:tcPr>
            <w:tcW w:w="360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mortgage commitment derivatives</w:t>
            </w:r>
          </w:p>
        </w:tc>
        <w:tc>
          <w:tcPr>
            <w:tcW w:w="12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76,532</w:t>
            </w:r>
          </w:p>
        </w:tc>
        <w:tc>
          <w:tcPr>
            <w:tcW w:w="10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52</w:t>
            </w:r>
          </w:p>
        </w:tc>
        <w:tc>
          <w:tcPr>
            <w:tcW w:w="12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(204)</w:t>
            </w: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55,706</w:t>
            </w:r>
          </w:p>
        </w:tc>
        <w:tc>
          <w:tcPr>
            <w:tcW w:w="12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85"/>
        </w:trPr>
        <w:tc>
          <w:tcPr>
            <w:tcW w:w="360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Credit enhancement derivatives</w:t>
            </w:r>
          </w:p>
        </w:tc>
        <w:tc>
          <w:tcPr>
            <w:tcW w:w="12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26,364</w:t>
            </w: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47</w:t>
            </w: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(70)</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23,784</w:t>
            </w: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86"/>
        </w:trPr>
        <w:tc>
          <w:tcPr>
            <w:tcW w:w="3720" w:type="dxa"/>
            <w:vAlign w:val="bottom"/>
            <w:gridSpan w:val="2"/>
          </w:tcPr>
          <w:p>
            <w:pPr>
              <w:ind w:left="180"/>
              <w:spacing w:after="0"/>
              <w:rPr>
                <w:sz w:val="20"/>
                <w:szCs w:val="20"/>
                <w:color w:val="auto"/>
              </w:rPr>
            </w:pPr>
            <w:r>
              <w:rPr>
                <w:rFonts w:ascii="Arial" w:cs="Arial" w:eastAsia="Arial" w:hAnsi="Arial"/>
                <w:sz w:val="14"/>
                <w:szCs w:val="14"/>
                <w:color w:val="auto"/>
              </w:rPr>
              <w:t>Derivatives at fair value</w:t>
            </w:r>
          </w:p>
        </w:tc>
        <w:tc>
          <w:tcPr>
            <w:tcW w:w="180" w:type="dxa"/>
            <w:vAlign w:val="bottom"/>
          </w:tcPr>
          <w:p>
            <w:pPr>
              <w:jc w:val="right"/>
              <w:ind w:right="31"/>
              <w:spacing w:after="0"/>
              <w:rPr>
                <w:sz w:val="20"/>
                <w:szCs w:val="20"/>
                <w:color w:val="auto"/>
              </w:rPr>
            </w:pPr>
            <w:r>
              <w:rPr>
                <w:rFonts w:ascii="Arial" w:cs="Arial" w:eastAsia="Arial" w:hAnsi="Arial"/>
                <w:sz w:val="14"/>
                <w:szCs w:val="14"/>
                <w:b w:val="1"/>
                <w:bCs w:val="1"/>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448,066</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145</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(297)</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364,927</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175</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20"/>
        </w:trPr>
        <w:tc>
          <w:tcPr>
            <w:tcW w:w="360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left="240" w:hanging="237"/>
        <w:spacing w:after="0"/>
        <w:tabs>
          <w:tab w:leader="none" w:pos="240" w:val="left"/>
        </w:tabs>
        <w:numPr>
          <w:ilvl w:val="0"/>
          <w:numId w:val="95"/>
        </w:numPr>
        <w:rPr>
          <w:rFonts w:ascii="Arial" w:cs="Arial" w:eastAsia="Arial" w:hAnsi="Arial"/>
          <w:sz w:val="9"/>
          <w:szCs w:val="9"/>
          <w:color w:val="auto"/>
        </w:rPr>
      </w:pPr>
      <w:r>
        <w:rPr>
          <w:rFonts w:ascii="Arial" w:cs="Arial" w:eastAsia="Arial" w:hAnsi="Arial"/>
          <w:sz w:val="14"/>
          <w:szCs w:val="14"/>
          <w:color w:val="auto"/>
        </w:rPr>
        <w:t>Centrally cleared derivatives have no ascribable fair value because the positions are settled daily.</w:t>
      </w:r>
    </w:p>
    <w:p>
      <w:pPr>
        <w:spacing w:after="0" w:line="45" w:lineRule="exact"/>
        <w:rPr>
          <w:rFonts w:ascii="Arial" w:cs="Arial" w:eastAsia="Arial" w:hAnsi="Arial"/>
          <w:sz w:val="9"/>
          <w:szCs w:val="9"/>
          <w:color w:val="auto"/>
        </w:rPr>
      </w:pPr>
    </w:p>
    <w:p>
      <w:pPr>
        <w:ind w:left="240" w:right="180" w:hanging="237"/>
        <w:spacing w:after="0" w:line="259" w:lineRule="auto"/>
        <w:tabs>
          <w:tab w:leader="none" w:pos="240" w:val="left"/>
        </w:tabs>
        <w:numPr>
          <w:ilvl w:val="0"/>
          <w:numId w:val="95"/>
        </w:numPr>
        <w:rPr>
          <w:rFonts w:ascii="Arial" w:cs="Arial" w:eastAsia="Arial" w:hAnsi="Arial"/>
          <w:sz w:val="9"/>
          <w:szCs w:val="9"/>
          <w:color w:val="auto"/>
        </w:rPr>
      </w:pPr>
      <w:r>
        <w:rPr>
          <w:rFonts w:ascii="Arial" w:cs="Arial" w:eastAsia="Arial" w:hAnsi="Arial"/>
          <w:sz w:val="14"/>
          <w:szCs w:val="14"/>
          <w:color w:val="auto"/>
        </w:rPr>
        <w:t>The netting adjustment represents the effect of the legal right to offset under legally enforceable master netting arrangements to settle with the same counterparty on a net basis, including cash collateral posted and received. Cash collateral posted was $4.0 billion and $4.5 billion as of June 30, 2023 and December 31, 2022, respectively. Cash collateral received was $26 million and $5 million as of June 30, 2023 and December 31, 2022,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360045</wp:posOffset>
            </wp:positionV>
            <wp:extent cx="681101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250" w:right="439" w:bottom="1440" w:gutter="0" w:footer="0" w:header="0"/>
        </w:sectPr>
      </w:pPr>
    </w:p>
    <w:bookmarkStart w:id="98" w:name="page99"/>
    <w:bookmarkEnd w:id="98"/>
    <w:p>
      <w:pPr>
        <w:ind w:left="6240"/>
        <w:spacing w:after="0"/>
        <w:rPr>
          <w:sz w:val="20"/>
          <w:szCs w:val="20"/>
          <w:color w:val="auto"/>
        </w:rPr>
      </w:pPr>
      <w:r>
        <w:rPr>
          <w:rFonts w:ascii="Arial" w:cs="Arial" w:eastAsia="Arial" w:hAnsi="Arial"/>
          <w:sz w:val="13"/>
          <w:szCs w:val="13"/>
          <w:color w:val="05314D"/>
        </w:rPr>
        <w:t>Notes to Condensed Consolidated Financial Statements |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22860</wp:posOffset>
            </wp:positionV>
            <wp:extent cx="702373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220"/>
        <w:spacing w:after="0" w:line="267" w:lineRule="auto"/>
        <w:rPr>
          <w:sz w:val="20"/>
          <w:szCs w:val="20"/>
          <w:color w:val="auto"/>
        </w:rPr>
      </w:pPr>
      <w:r>
        <w:rPr>
          <w:rFonts w:ascii="Arial" w:cs="Arial" w:eastAsia="Arial" w:hAnsi="Arial"/>
          <w:sz w:val="16"/>
          <w:szCs w:val="16"/>
          <w:color w:val="auto"/>
        </w:rPr>
        <w:t>We record all gains and losses, including accrued interest, on derivatives while they are not in a qualifying designated hedging relationship in “Fair value gains, net” in our condensed consolidated statements of operations and comprehensive income. The following table displays, by type of derivative instrument, the fair value gains and losses, net on our derivatives.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4"/>
          </w:tcPr>
          <w:p>
            <w:pPr>
              <w:jc w:val="right"/>
              <w:ind w:right="124"/>
              <w:spacing w:after="0"/>
              <w:rPr>
                <w:sz w:val="20"/>
                <w:szCs w:val="20"/>
                <w:color w:val="auto"/>
              </w:rPr>
            </w:pPr>
            <w:r>
              <w:rPr>
                <w:rFonts w:ascii="Arial" w:cs="Arial" w:eastAsia="Arial" w:hAnsi="Arial"/>
                <w:sz w:val="14"/>
                <w:szCs w:val="14"/>
                <w:b w:val="1"/>
                <w:bCs w:val="1"/>
                <w:color w:val="auto"/>
                <w:w w:val="99"/>
              </w:rPr>
              <w:t>For the Three Months Ended</w:t>
            </w:r>
          </w:p>
        </w:tc>
        <w:tc>
          <w:tcPr>
            <w:tcW w:w="140" w:type="dxa"/>
            <w:vAlign w:val="bottom"/>
          </w:tcPr>
          <w:p>
            <w:pPr>
              <w:spacing w:after="0"/>
              <w:rPr>
                <w:sz w:val="14"/>
                <w:szCs w:val="14"/>
                <w:color w:val="auto"/>
              </w:rPr>
            </w:pPr>
          </w:p>
        </w:tc>
        <w:tc>
          <w:tcPr>
            <w:tcW w:w="22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7"/>
              </w:rPr>
              <w:t>For the Six Months Ended June</w:t>
            </w:r>
          </w:p>
        </w:tc>
        <w:tc>
          <w:tcPr>
            <w:tcW w:w="0" w:type="dxa"/>
            <w:vAlign w:val="bottom"/>
          </w:tcPr>
          <w:p>
            <w:pPr>
              <w:spacing w:after="0"/>
              <w:rPr>
                <w:sz w:val="1"/>
                <w:szCs w:val="1"/>
                <w:color w:val="auto"/>
              </w:rPr>
            </w:pPr>
          </w:p>
        </w:tc>
      </w:tr>
      <w:tr>
        <w:trPr>
          <w:trHeight w:val="180"/>
        </w:trPr>
        <w:tc>
          <w:tcPr>
            <w:tcW w:w="6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320" w:type="dxa"/>
            <w:vAlign w:val="bottom"/>
            <w:tcBorders>
              <w:bottom w:val="single" w:sz="8" w:color="2C6937"/>
            </w:tcBorders>
            <w:gridSpan w:val="3"/>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2C6937"/>
            </w:tcBorders>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bottom w:val="single" w:sz="8" w:color="2C6937"/>
            </w:tcBorders>
          </w:tcPr>
          <w:p>
            <w:pPr>
              <w:spacing w:after="0"/>
              <w:rPr>
                <w:sz w:val="15"/>
                <w:szCs w:val="15"/>
                <w:color w:val="auto"/>
              </w:rPr>
            </w:pPr>
          </w:p>
        </w:tc>
        <w:tc>
          <w:tcPr>
            <w:tcW w:w="540" w:type="dxa"/>
            <w:vAlign w:val="bottom"/>
            <w:tcBorders>
              <w:bottom w:val="single" w:sz="8" w:color="2C6937"/>
            </w:tcBorders>
            <w:gridSpan w:val="2"/>
          </w:tcPr>
          <w:p>
            <w:pPr>
              <w:jc w:val="right"/>
              <w:ind w:right="20"/>
              <w:spacing w:after="0"/>
              <w:rPr>
                <w:sz w:val="20"/>
                <w:szCs w:val="20"/>
                <w:color w:val="auto"/>
              </w:rPr>
            </w:pPr>
            <w:r>
              <w:rPr>
                <w:rFonts w:ascii="Arial" w:cs="Arial" w:eastAsia="Arial" w:hAnsi="Arial"/>
                <w:sz w:val="14"/>
                <w:szCs w:val="14"/>
                <w:b w:val="1"/>
                <w:bCs w:val="1"/>
                <w:color w:val="auto"/>
              </w:rPr>
              <w:t>30,</w:t>
            </w:r>
          </w:p>
        </w:tc>
        <w:tc>
          <w:tcPr>
            <w:tcW w:w="220" w:type="dxa"/>
            <w:vAlign w:val="bottom"/>
            <w:tcBorders>
              <w:bottom w:val="single" w:sz="8" w:color="2C6937"/>
            </w:tcBorders>
          </w:tcPr>
          <w:p>
            <w:pPr>
              <w:spacing w:after="0"/>
              <w:rPr>
                <w:sz w:val="15"/>
                <w:szCs w:val="15"/>
                <w:color w:val="auto"/>
              </w:rPr>
            </w:pPr>
          </w:p>
        </w:tc>
        <w:tc>
          <w:tcPr>
            <w:tcW w:w="780" w:type="dxa"/>
            <w:vAlign w:val="bottom"/>
            <w:tcBorders>
              <w:bottom w:val="single" w:sz="8" w:color="2C6937"/>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ind w:right="264"/>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2C6937"/>
            </w:tcBorders>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jc w:val="right"/>
              <w:ind w:right="324"/>
              <w:spacing w:after="0"/>
              <w:rPr>
                <w:sz w:val="20"/>
                <w:szCs w:val="20"/>
                <w:color w:val="auto"/>
              </w:rPr>
            </w:pPr>
            <w:r>
              <w:rPr>
                <w:rFonts w:ascii="Arial" w:cs="Arial" w:eastAsia="Arial" w:hAnsi="Arial"/>
                <w:sz w:val="14"/>
                <w:szCs w:val="14"/>
                <w:b w:val="1"/>
                <w:bCs w:val="1"/>
                <w:color w:val="auto"/>
              </w:rPr>
              <w:t>2022</w:t>
            </w:r>
          </w:p>
        </w:tc>
        <w:tc>
          <w:tcPr>
            <w:tcW w:w="84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jc w:val="right"/>
              <w:ind w:right="28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5"/>
        </w:trPr>
        <w:tc>
          <w:tcPr>
            <w:tcW w:w="6560" w:type="dxa"/>
            <w:vAlign w:val="bottom"/>
            <w:gridSpan w:val="2"/>
            <w:vMerge w:val="restart"/>
          </w:tcPr>
          <w:p>
            <w:pPr>
              <w:ind w:left="20"/>
              <w:spacing w:after="0"/>
              <w:rPr>
                <w:sz w:val="20"/>
                <w:szCs w:val="20"/>
                <w:color w:val="auto"/>
              </w:rPr>
            </w:pPr>
            <w:r>
              <w:rPr>
                <w:rFonts w:ascii="Arial" w:cs="Arial" w:eastAsia="Arial" w:hAnsi="Arial"/>
                <w:sz w:val="15"/>
                <w:szCs w:val="15"/>
                <w:color w:val="auto"/>
              </w:rPr>
              <w:t>Risk management derivatives:</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ind w:right="67"/>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560" w:type="dxa"/>
            <w:vAlign w:val="bottom"/>
            <w:gridSpan w:val="2"/>
          </w:tcPr>
          <w:p>
            <w:pPr>
              <w:ind w:left="180"/>
              <w:spacing w:after="0"/>
              <w:rPr>
                <w:sz w:val="20"/>
                <w:szCs w:val="20"/>
                <w:color w:val="auto"/>
              </w:rPr>
            </w:pPr>
            <w:r>
              <w:rPr>
                <w:rFonts w:ascii="Arial" w:cs="Arial" w:eastAsia="Arial" w:hAnsi="Arial"/>
                <w:sz w:val="15"/>
                <w:szCs w:val="15"/>
                <w:color w:val="auto"/>
              </w:rPr>
              <w:t>Swaps:</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560" w:type="dxa"/>
            <w:vAlign w:val="bottom"/>
            <w:gridSpan w:val="2"/>
          </w:tcPr>
          <w:p>
            <w:pPr>
              <w:ind w:left="320"/>
              <w:spacing w:after="0"/>
              <w:rPr>
                <w:sz w:val="20"/>
                <w:szCs w:val="20"/>
                <w:color w:val="auto"/>
              </w:rPr>
            </w:pPr>
            <w:r>
              <w:rPr>
                <w:rFonts w:ascii="Arial" w:cs="Arial" w:eastAsia="Arial" w:hAnsi="Arial"/>
                <w:sz w:val="15"/>
                <w:szCs w:val="15"/>
                <w:color w:val="auto"/>
              </w:rPr>
              <w:t>Pay-fixed</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1,858</w:t>
            </w:r>
          </w:p>
        </w:tc>
        <w:tc>
          <w:tcPr>
            <w:tcW w:w="4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1,174</w:t>
            </w:r>
          </w:p>
        </w:tc>
        <w:tc>
          <w:tcPr>
            <w:tcW w:w="840" w:type="dxa"/>
            <w:vAlign w:val="bottom"/>
            <w:gridSpan w:val="2"/>
          </w:tcPr>
          <w:p>
            <w:pPr>
              <w:jc w:val="right"/>
              <w:ind w:right="527"/>
              <w:spacing w:after="0"/>
              <w:rPr>
                <w:sz w:val="20"/>
                <w:szCs w:val="20"/>
                <w:color w:val="auto"/>
              </w:rPr>
            </w:pPr>
            <w:r>
              <w:rPr>
                <w:rFonts w:ascii="Arial" w:cs="Arial" w:eastAsia="Arial" w:hAnsi="Arial"/>
                <w:sz w:val="15"/>
                <w:szCs w:val="15"/>
                <w:b w:val="1"/>
                <w:bCs w:val="1"/>
                <w:color w:val="auto"/>
              </w:rPr>
              <w:t>$</w:t>
            </w:r>
          </w:p>
        </w:tc>
        <w:tc>
          <w:tcPr>
            <w:tcW w:w="380" w:type="dxa"/>
            <w:vAlign w:val="bottom"/>
          </w:tcPr>
          <w:p>
            <w:pPr>
              <w:jc w:val="right"/>
              <w:spacing w:after="0"/>
              <w:rPr>
                <w:sz w:val="20"/>
                <w:szCs w:val="20"/>
                <w:color w:val="auto"/>
              </w:rPr>
            </w:pPr>
            <w:r>
              <w:rPr>
                <w:rFonts w:ascii="Arial" w:cs="Arial" w:eastAsia="Arial" w:hAnsi="Arial"/>
                <w:sz w:val="15"/>
                <w:szCs w:val="15"/>
                <w:b w:val="1"/>
                <w:bCs w:val="1"/>
                <w:color w:val="auto"/>
              </w:rPr>
              <w:t>268</w:t>
            </w:r>
          </w:p>
        </w:tc>
        <w:tc>
          <w:tcPr>
            <w:tcW w:w="160" w:type="dxa"/>
            <w:vAlign w:val="bottom"/>
          </w:tcPr>
          <w:p>
            <w:pPr>
              <w:spacing w:after="0"/>
              <w:rPr>
                <w:sz w:val="18"/>
                <w:szCs w:val="18"/>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3,299</w:t>
            </w:r>
          </w:p>
        </w:tc>
        <w:tc>
          <w:tcPr>
            <w:tcW w:w="0" w:type="dxa"/>
            <w:vAlign w:val="bottom"/>
          </w:tcPr>
          <w:p>
            <w:pPr>
              <w:spacing w:after="0"/>
              <w:rPr>
                <w:sz w:val="1"/>
                <w:szCs w:val="1"/>
                <w:color w:val="auto"/>
              </w:rPr>
            </w:pPr>
          </w:p>
        </w:tc>
      </w:tr>
      <w:tr>
        <w:trPr>
          <w:trHeight w:val="206"/>
        </w:trPr>
        <w:tc>
          <w:tcPr>
            <w:tcW w:w="6560" w:type="dxa"/>
            <w:vAlign w:val="bottom"/>
            <w:gridSpan w:val="2"/>
          </w:tcPr>
          <w:p>
            <w:pPr>
              <w:ind w:left="320"/>
              <w:spacing w:after="0"/>
              <w:rPr>
                <w:sz w:val="20"/>
                <w:szCs w:val="20"/>
                <w:color w:val="auto"/>
              </w:rPr>
            </w:pPr>
            <w:r>
              <w:rPr>
                <w:rFonts w:ascii="Arial" w:cs="Arial" w:eastAsia="Arial" w:hAnsi="Arial"/>
                <w:sz w:val="15"/>
                <w:szCs w:val="15"/>
                <w:color w:val="auto"/>
              </w:rPr>
              <w:t>Receive-fixed</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(1,010)</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(1,106)</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5"/>
                <w:szCs w:val="15"/>
                <w:b w:val="1"/>
                <w:bCs w:val="1"/>
                <w:color w:val="auto"/>
              </w:rPr>
              <w:t>562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(3,366)</w:t>
            </w:r>
          </w:p>
        </w:tc>
        <w:tc>
          <w:tcPr>
            <w:tcW w:w="0" w:type="dxa"/>
            <w:vAlign w:val="bottom"/>
          </w:tcPr>
          <w:p>
            <w:pPr>
              <w:spacing w:after="0"/>
              <w:rPr>
                <w:sz w:val="1"/>
                <w:szCs w:val="1"/>
                <w:color w:val="auto"/>
              </w:rPr>
            </w:pPr>
          </w:p>
        </w:tc>
      </w:tr>
      <w:tr>
        <w:trPr>
          <w:trHeight w:val="206"/>
        </w:trPr>
        <w:tc>
          <w:tcPr>
            <w:tcW w:w="6560" w:type="dxa"/>
            <w:vAlign w:val="bottom"/>
            <w:gridSpan w:val="2"/>
          </w:tcPr>
          <w:p>
            <w:pPr>
              <w:ind w:left="320"/>
              <w:spacing w:after="0"/>
              <w:rPr>
                <w:sz w:val="20"/>
                <w:szCs w:val="20"/>
                <w:color w:val="auto"/>
              </w:rPr>
            </w:pPr>
            <w:r>
              <w:rPr>
                <w:rFonts w:ascii="Arial" w:cs="Arial" w:eastAsia="Arial" w:hAnsi="Arial"/>
                <w:sz w:val="15"/>
                <w:szCs w:val="15"/>
                <w:color w:val="auto"/>
              </w:rPr>
              <w:t>Basis</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15</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(63)</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5"/>
                <w:szCs w:val="15"/>
                <w:b w:val="1"/>
                <w:bCs w:val="1"/>
                <w:color w:val="auto"/>
              </w:rPr>
              <w:t>28</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(131)</w:t>
            </w:r>
          </w:p>
        </w:tc>
        <w:tc>
          <w:tcPr>
            <w:tcW w:w="0" w:type="dxa"/>
            <w:vAlign w:val="bottom"/>
          </w:tcPr>
          <w:p>
            <w:pPr>
              <w:spacing w:after="0"/>
              <w:rPr>
                <w:sz w:val="1"/>
                <w:szCs w:val="1"/>
                <w:color w:val="auto"/>
              </w:rPr>
            </w:pPr>
          </w:p>
        </w:tc>
      </w:tr>
      <w:tr>
        <w:trPr>
          <w:trHeight w:val="214"/>
        </w:trPr>
        <w:tc>
          <w:tcPr>
            <w:tcW w:w="6560" w:type="dxa"/>
            <w:vAlign w:val="bottom"/>
            <w:gridSpan w:val="2"/>
          </w:tcPr>
          <w:p>
            <w:pPr>
              <w:ind w:left="320"/>
              <w:spacing w:after="0"/>
              <w:rPr>
                <w:sz w:val="20"/>
                <w:szCs w:val="20"/>
                <w:color w:val="auto"/>
              </w:rPr>
            </w:pPr>
            <w:r>
              <w:rPr>
                <w:rFonts w:ascii="Arial" w:cs="Arial" w:eastAsia="Arial" w:hAnsi="Arial"/>
                <w:sz w:val="15"/>
                <w:szCs w:val="15"/>
                <w:color w:val="auto"/>
              </w:rPr>
              <w:t>Foreign currency</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(36)</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5"/>
                <w:szCs w:val="15"/>
                <w:b w:val="1"/>
                <w:bCs w:val="1"/>
                <w:color w:val="auto"/>
              </w:rPr>
              <w:t>10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196"/>
        </w:trPr>
        <w:tc>
          <w:tcPr>
            <w:tcW w:w="6560" w:type="dxa"/>
            <w:vAlign w:val="bottom"/>
            <w:gridSpan w:val="2"/>
          </w:tcPr>
          <w:p>
            <w:pPr>
              <w:ind w:left="180"/>
              <w:spacing w:after="0"/>
              <w:rPr>
                <w:sz w:val="20"/>
                <w:szCs w:val="20"/>
                <w:color w:val="auto"/>
              </w:rPr>
            </w:pPr>
            <w:r>
              <w:rPr>
                <w:rFonts w:ascii="Arial" w:cs="Arial" w:eastAsia="Arial" w:hAnsi="Arial"/>
                <w:sz w:val="15"/>
                <w:szCs w:val="15"/>
                <w:color w:val="auto"/>
              </w:rPr>
              <w:t>Swaptions:</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560" w:type="dxa"/>
            <w:vAlign w:val="bottom"/>
            <w:gridSpan w:val="2"/>
          </w:tcPr>
          <w:p>
            <w:pPr>
              <w:ind w:left="320"/>
              <w:spacing w:after="0"/>
              <w:rPr>
                <w:sz w:val="20"/>
                <w:szCs w:val="20"/>
                <w:color w:val="auto"/>
              </w:rPr>
            </w:pPr>
            <w:r>
              <w:rPr>
                <w:rFonts w:ascii="Arial" w:cs="Arial" w:eastAsia="Arial" w:hAnsi="Arial"/>
                <w:sz w:val="15"/>
                <w:szCs w:val="15"/>
                <w:color w:val="auto"/>
              </w:rPr>
              <w:t>Pay-fixed</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54</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5"/>
                <w:szCs w:val="15"/>
                <w:b w:val="1"/>
                <w:bCs w:val="1"/>
                <w:color w:val="auto"/>
              </w:rPr>
              <w:t>(21)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98</w:t>
            </w:r>
          </w:p>
        </w:tc>
        <w:tc>
          <w:tcPr>
            <w:tcW w:w="0" w:type="dxa"/>
            <w:vAlign w:val="bottom"/>
          </w:tcPr>
          <w:p>
            <w:pPr>
              <w:spacing w:after="0"/>
              <w:rPr>
                <w:sz w:val="1"/>
                <w:szCs w:val="1"/>
                <w:color w:val="auto"/>
              </w:rPr>
            </w:pPr>
          </w:p>
        </w:tc>
      </w:tr>
      <w:tr>
        <w:trPr>
          <w:trHeight w:val="206"/>
        </w:trPr>
        <w:tc>
          <w:tcPr>
            <w:tcW w:w="6560" w:type="dxa"/>
            <w:vAlign w:val="bottom"/>
            <w:gridSpan w:val="2"/>
          </w:tcPr>
          <w:p>
            <w:pPr>
              <w:ind w:left="320"/>
              <w:spacing w:after="0"/>
              <w:rPr>
                <w:sz w:val="20"/>
                <w:szCs w:val="20"/>
                <w:color w:val="auto"/>
              </w:rPr>
            </w:pPr>
            <w:r>
              <w:rPr>
                <w:rFonts w:ascii="Arial" w:cs="Arial" w:eastAsia="Arial" w:hAnsi="Arial"/>
                <w:sz w:val="15"/>
                <w:szCs w:val="15"/>
                <w:color w:val="auto"/>
              </w:rPr>
              <w:t>Receive-fixed</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(2)</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5"/>
                <w:szCs w:val="15"/>
                <w:b w:val="1"/>
                <w:bCs w:val="1"/>
                <w:color w:val="auto"/>
              </w:rPr>
              <w:t>(3)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06"/>
        </w:trPr>
        <w:tc>
          <w:tcPr>
            <w:tcW w:w="6560" w:type="dxa"/>
            <w:vAlign w:val="bottom"/>
            <w:gridSpan w:val="2"/>
          </w:tcPr>
          <w:p>
            <w:pPr>
              <w:ind w:left="180"/>
              <w:spacing w:after="0"/>
              <w:rPr>
                <w:sz w:val="20"/>
                <w:szCs w:val="20"/>
                <w:color w:val="auto"/>
              </w:rPr>
            </w:pPr>
            <w:r>
              <w:rPr>
                <w:rFonts w:ascii="Arial" w:cs="Arial" w:eastAsia="Arial" w:hAnsi="Arial"/>
                <w:sz w:val="15"/>
                <w:szCs w:val="15"/>
                <w:color w:val="auto"/>
              </w:rPr>
              <w:t>Futures</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0"/>
        </w:trPr>
        <w:tc>
          <w:tcPr>
            <w:tcW w:w="634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Net contractual interest expense on interest-rate swaps</w:t>
            </w:r>
          </w:p>
        </w:tc>
        <w:tc>
          <w:tcPr>
            <w:tcW w:w="22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(128)</w:t>
            </w:r>
          </w:p>
        </w:tc>
        <w:tc>
          <w:tcPr>
            <w:tcW w:w="14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(28)</w:t>
            </w:r>
          </w:p>
        </w:tc>
        <w:tc>
          <w:tcPr>
            <w:tcW w:w="140" w:type="dxa"/>
            <w:vAlign w:val="bottom"/>
          </w:tcPr>
          <w:p>
            <w:pPr>
              <w:spacing w:after="0"/>
              <w:rPr>
                <w:sz w:val="18"/>
                <w:szCs w:val="18"/>
                <w:color w:val="auto"/>
              </w:rPr>
            </w:pPr>
          </w:p>
        </w:tc>
        <w:tc>
          <w:tcPr>
            <w:tcW w:w="700" w:type="dxa"/>
            <w:vAlign w:val="bottom"/>
            <w:tcBorders>
              <w:bottom w:val="single" w:sz="8" w:color="2C6937"/>
            </w:tcBorders>
          </w:tcPr>
          <w:p>
            <w:pPr>
              <w:spacing w:after="0"/>
              <w:rPr>
                <w:sz w:val="18"/>
                <w:szCs w:val="18"/>
                <w:color w:val="auto"/>
              </w:rPr>
            </w:pPr>
          </w:p>
        </w:tc>
        <w:tc>
          <w:tcPr>
            <w:tcW w:w="3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6"/>
              </w:rPr>
              <w:t>(306)</w:t>
            </w:r>
          </w:p>
        </w:tc>
        <w:tc>
          <w:tcPr>
            <w:tcW w:w="16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196"/>
        </w:trPr>
        <w:tc>
          <w:tcPr>
            <w:tcW w:w="6560" w:type="dxa"/>
            <w:vAlign w:val="bottom"/>
            <w:gridSpan w:val="2"/>
          </w:tcPr>
          <w:p>
            <w:pPr>
              <w:ind w:left="20"/>
              <w:spacing w:after="0"/>
              <w:rPr>
                <w:sz w:val="20"/>
                <w:szCs w:val="20"/>
                <w:color w:val="auto"/>
              </w:rPr>
            </w:pPr>
            <w:r>
              <w:rPr>
                <w:rFonts w:ascii="Arial" w:cs="Arial" w:eastAsia="Arial" w:hAnsi="Arial"/>
                <w:sz w:val="15"/>
                <w:szCs w:val="15"/>
                <w:color w:val="auto"/>
              </w:rPr>
              <w:t>Total risk management derivatives fair value gains (losses), net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748</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(16)</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5"/>
                <w:szCs w:val="15"/>
                <w:b w:val="1"/>
                <w:bCs w:val="1"/>
                <w:color w:val="auto"/>
              </w:rPr>
              <w:t>539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(213)</w:t>
            </w:r>
          </w:p>
        </w:tc>
        <w:tc>
          <w:tcPr>
            <w:tcW w:w="0" w:type="dxa"/>
            <w:vAlign w:val="bottom"/>
          </w:tcPr>
          <w:p>
            <w:pPr>
              <w:spacing w:after="0"/>
              <w:rPr>
                <w:sz w:val="1"/>
                <w:szCs w:val="1"/>
                <w:color w:val="auto"/>
              </w:rPr>
            </w:pPr>
          </w:p>
        </w:tc>
      </w:tr>
      <w:tr>
        <w:trPr>
          <w:trHeight w:val="206"/>
        </w:trPr>
        <w:tc>
          <w:tcPr>
            <w:tcW w:w="6560" w:type="dxa"/>
            <w:vAlign w:val="bottom"/>
            <w:gridSpan w:val="2"/>
          </w:tcPr>
          <w:p>
            <w:pPr>
              <w:ind w:left="20"/>
              <w:spacing w:after="0"/>
              <w:rPr>
                <w:sz w:val="20"/>
                <w:szCs w:val="20"/>
                <w:color w:val="auto"/>
              </w:rPr>
            </w:pPr>
            <w:r>
              <w:rPr>
                <w:rFonts w:ascii="Arial" w:cs="Arial" w:eastAsia="Arial" w:hAnsi="Arial"/>
                <w:sz w:val="15"/>
                <w:szCs w:val="15"/>
                <w:color w:val="auto"/>
              </w:rPr>
              <w:t>Mortgage commitment derivatives fair value gains, net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198</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844</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5"/>
                <w:szCs w:val="15"/>
                <w:b w:val="1"/>
                <w:bCs w:val="1"/>
                <w:color w:val="auto"/>
              </w:rPr>
              <w:t>84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2,416</w:t>
            </w:r>
          </w:p>
        </w:tc>
        <w:tc>
          <w:tcPr>
            <w:tcW w:w="0" w:type="dxa"/>
            <w:vAlign w:val="bottom"/>
          </w:tcPr>
          <w:p>
            <w:pPr>
              <w:spacing w:after="0"/>
              <w:rPr>
                <w:sz w:val="1"/>
                <w:szCs w:val="1"/>
                <w:color w:val="auto"/>
              </w:rPr>
            </w:pPr>
          </w:p>
        </w:tc>
      </w:tr>
      <w:tr>
        <w:trPr>
          <w:trHeight w:val="210"/>
        </w:trPr>
        <w:tc>
          <w:tcPr>
            <w:tcW w:w="63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Credit enhancement derivatives fair value gains (losses), net</w:t>
            </w:r>
          </w:p>
        </w:tc>
        <w:tc>
          <w:tcPr>
            <w:tcW w:w="22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29</w:t>
            </w:r>
          </w:p>
        </w:tc>
        <w:tc>
          <w:tcPr>
            <w:tcW w:w="14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(29)</w:t>
            </w:r>
          </w:p>
        </w:tc>
        <w:tc>
          <w:tcPr>
            <w:tcW w:w="140" w:type="dxa"/>
            <w:vAlign w:val="bottom"/>
          </w:tcPr>
          <w:p>
            <w:pPr>
              <w:spacing w:after="0"/>
              <w:rPr>
                <w:sz w:val="18"/>
                <w:szCs w:val="18"/>
                <w:color w:val="auto"/>
              </w:rPr>
            </w:pPr>
          </w:p>
        </w:tc>
        <w:tc>
          <w:tcPr>
            <w:tcW w:w="700" w:type="dxa"/>
            <w:vAlign w:val="bottom"/>
            <w:tcBorders>
              <w:bottom w:val="single" w:sz="8" w:color="2C6937"/>
            </w:tcBorders>
          </w:tcPr>
          <w:p>
            <w:pPr>
              <w:spacing w:after="0"/>
              <w:rPr>
                <w:sz w:val="18"/>
                <w:szCs w:val="18"/>
                <w:color w:val="auto"/>
              </w:rPr>
            </w:pPr>
          </w:p>
        </w:tc>
        <w:tc>
          <w:tcPr>
            <w:tcW w:w="3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14</w:t>
            </w:r>
          </w:p>
        </w:tc>
        <w:tc>
          <w:tcPr>
            <w:tcW w:w="16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199"/>
        </w:trPr>
        <w:tc>
          <w:tcPr>
            <w:tcW w:w="6560" w:type="dxa"/>
            <w:vAlign w:val="bottom"/>
            <w:gridSpan w:val="2"/>
          </w:tcPr>
          <w:p>
            <w:pPr>
              <w:ind w:left="180"/>
              <w:spacing w:after="0"/>
              <w:rPr>
                <w:sz w:val="20"/>
                <w:szCs w:val="20"/>
                <w:color w:val="auto"/>
              </w:rPr>
            </w:pPr>
            <w:r>
              <w:rPr>
                <w:rFonts w:ascii="Arial" w:cs="Arial" w:eastAsia="Arial" w:hAnsi="Arial"/>
                <w:sz w:val="15"/>
                <w:szCs w:val="15"/>
                <w:color w:val="auto"/>
              </w:rPr>
              <w:t>Total derivatives fair value gains, net</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975</w:t>
            </w:r>
          </w:p>
        </w:tc>
        <w:tc>
          <w:tcPr>
            <w:tcW w:w="4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799</w:t>
            </w:r>
          </w:p>
        </w:tc>
        <w:tc>
          <w:tcPr>
            <w:tcW w:w="140" w:type="dxa"/>
            <w:vAlign w:val="bottom"/>
          </w:tcPr>
          <w:p>
            <w:pPr>
              <w:spacing w:after="0"/>
              <w:rPr>
                <w:sz w:val="17"/>
                <w:szCs w:val="17"/>
                <w:color w:val="auto"/>
              </w:rPr>
            </w:pPr>
          </w:p>
        </w:tc>
        <w:tc>
          <w:tcPr>
            <w:tcW w:w="700" w:type="dxa"/>
            <w:vAlign w:val="bottom"/>
          </w:tcPr>
          <w:p>
            <w:pPr>
              <w:jc w:val="right"/>
              <w:ind w:right="527"/>
              <w:spacing w:after="0"/>
              <w:rPr>
                <w:sz w:val="20"/>
                <w:szCs w:val="20"/>
                <w:color w:val="auto"/>
              </w:rPr>
            </w:pPr>
            <w:r>
              <w:rPr>
                <w:rFonts w:ascii="Arial" w:cs="Arial" w:eastAsia="Arial" w:hAnsi="Arial"/>
                <w:sz w:val="15"/>
                <w:szCs w:val="15"/>
                <w:b w:val="1"/>
                <w:bCs w:val="1"/>
                <w:color w:val="auto"/>
                <w:w w:val="95"/>
              </w:rPr>
              <w:t>$</w:t>
            </w:r>
          </w:p>
        </w:tc>
        <w:tc>
          <w:tcPr>
            <w:tcW w:w="380" w:type="dxa"/>
            <w:vAlign w:val="bottom"/>
          </w:tcPr>
          <w:p>
            <w:pPr>
              <w:jc w:val="right"/>
              <w:spacing w:after="0"/>
              <w:rPr>
                <w:sz w:val="20"/>
                <w:szCs w:val="20"/>
                <w:color w:val="auto"/>
              </w:rPr>
            </w:pPr>
            <w:r>
              <w:rPr>
                <w:rFonts w:ascii="Arial" w:cs="Arial" w:eastAsia="Arial" w:hAnsi="Arial"/>
                <w:sz w:val="15"/>
                <w:szCs w:val="15"/>
                <w:b w:val="1"/>
                <w:bCs w:val="1"/>
                <w:color w:val="auto"/>
              </w:rPr>
              <w:t>637</w:t>
            </w:r>
          </w:p>
        </w:tc>
        <w:tc>
          <w:tcPr>
            <w:tcW w:w="16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2,152</w:t>
            </w:r>
          </w:p>
        </w:tc>
        <w:tc>
          <w:tcPr>
            <w:tcW w:w="0" w:type="dxa"/>
            <w:vAlign w:val="bottom"/>
          </w:tcPr>
          <w:p>
            <w:pPr>
              <w:spacing w:after="0"/>
              <w:rPr>
                <w:sz w:val="1"/>
                <w:szCs w:val="1"/>
                <w:color w:val="auto"/>
              </w:rPr>
            </w:pPr>
          </w:p>
        </w:tc>
      </w:tr>
      <w:tr>
        <w:trPr>
          <w:trHeight w:val="20"/>
        </w:trPr>
        <w:tc>
          <w:tcPr>
            <w:tcW w:w="6340" w:type="dxa"/>
            <w:vAlign w:val="bottom"/>
            <w:tcBorders>
              <w:top w:val="single" w:sz="8" w:color="2C6937"/>
              <w:bottom w:val="single" w:sz="8" w:color="2C6937"/>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380" w:type="dxa"/>
            <w:vAlign w:val="bottom"/>
            <w:tcBorders>
              <w:top w:val="single" w:sz="8" w:color="2C6937"/>
              <w:bottom w:val="single" w:sz="8" w:color="2C6937"/>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441960</wp:posOffset>
            </wp:positionV>
            <wp:extent cx="681101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164070" cy="4191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250" w:right="399" w:bottom="1440" w:gutter="0" w:footer="0" w:header="0"/>
        </w:sectPr>
      </w:pPr>
    </w:p>
    <w:bookmarkStart w:id="99" w:name="page100"/>
    <w:bookmarkEnd w:id="99"/>
    <w:p>
      <w:pPr>
        <w:ind w:left="6240"/>
        <w:spacing w:after="0"/>
        <w:rPr>
          <w:sz w:val="20"/>
          <w:szCs w:val="20"/>
          <w:color w:val="auto"/>
        </w:rPr>
      </w:pPr>
      <w:r>
        <w:rPr>
          <w:rFonts w:ascii="Arial" w:cs="Arial" w:eastAsia="Arial" w:hAnsi="Arial"/>
          <w:sz w:val="14"/>
          <w:szCs w:val="14"/>
          <w:color w:val="05314D"/>
        </w:rPr>
        <w:t>Notes to Condensed Consolidated Financial Statements |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15875</wp:posOffset>
            </wp:positionV>
            <wp:extent cx="702373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Effect of Fair Value Hedge Accounting</w:t>
      </w:r>
    </w:p>
    <w:p>
      <w:pPr>
        <w:spacing w:after="0" w:line="8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following table displays the effect of fair value hedge accounting on our condensed consolidated statements of operations and comprehensive income, including gains and losses recognized on fair value hedging relationships.</w:t>
      </w:r>
    </w:p>
    <w:tbl>
      <w:tblPr>
        <w:tblLayout w:type="fixed"/>
        <w:tblInd w:w="20" w:type="dxa"/>
        <w:tblCellMar>
          <w:top w:w="0" w:type="dxa"/>
          <w:left w:w="0" w:type="dxa"/>
          <w:bottom w:w="0" w:type="dxa"/>
          <w:right w:w="0" w:type="dxa"/>
        </w:tblCellMar>
      </w:tblPr>
      <w:tr>
        <w:trPr>
          <w:trHeight w:val="179"/>
        </w:trPr>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3840" w:type="dxa"/>
            <w:vAlign w:val="bottom"/>
            <w:tcBorders>
              <w:bottom w:val="single" w:sz="8" w:color="2C6937"/>
            </w:tcBorders>
            <w:gridSpan w:val="10"/>
          </w:tcPr>
          <w:p>
            <w:pPr>
              <w:jc w:val="right"/>
              <w:ind w:right="691"/>
              <w:spacing w:after="0"/>
              <w:rPr>
                <w:sz w:val="20"/>
                <w:szCs w:val="20"/>
                <w:color w:val="auto"/>
              </w:rPr>
            </w:pPr>
            <w:r>
              <w:rPr>
                <w:rFonts w:ascii="Arial" w:cs="Arial" w:eastAsia="Arial" w:hAnsi="Arial"/>
                <w:sz w:val="14"/>
                <w:szCs w:val="14"/>
                <w:b w:val="1"/>
                <w:bCs w:val="1"/>
                <w:color w:val="auto"/>
              </w:rPr>
              <w:t>For the Three Months Ended June 30,</w:t>
            </w: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3060" w:type="dxa"/>
            <w:vAlign w:val="bottom"/>
            <w:tcBorders>
              <w:bottom w:val="single" w:sz="8" w:color="2C6937"/>
            </w:tcBorders>
            <w:gridSpan w:val="9"/>
          </w:tcPr>
          <w:p>
            <w:pPr>
              <w:jc w:val="right"/>
              <w:spacing w:after="0"/>
              <w:rPr>
                <w:sz w:val="20"/>
                <w:szCs w:val="20"/>
                <w:color w:val="auto"/>
              </w:rPr>
            </w:pPr>
            <w:r>
              <w:rPr>
                <w:rFonts w:ascii="Arial" w:cs="Arial" w:eastAsia="Arial" w:hAnsi="Arial"/>
                <w:sz w:val="14"/>
                <w:szCs w:val="14"/>
                <w:b w:val="1"/>
                <w:bCs w:val="1"/>
                <w:color w:val="auto"/>
              </w:rPr>
              <w:t>For the Six Months Ended June 30,</w:t>
            </w:r>
          </w:p>
        </w:tc>
        <w:tc>
          <w:tcPr>
            <w:tcW w:w="820" w:type="dxa"/>
            <w:vAlign w:val="bottom"/>
            <w:tcBorders>
              <w:bottom w:val="single" w:sz="8" w:color="2C6937"/>
            </w:tcBorders>
          </w:tcPr>
          <w:p>
            <w:pPr>
              <w:spacing w:after="0"/>
              <w:rPr>
                <w:sz w:val="15"/>
                <w:szCs w:val="15"/>
                <w:color w:val="auto"/>
              </w:rPr>
            </w:pPr>
          </w:p>
        </w:tc>
      </w:tr>
      <w:tr>
        <w:trPr>
          <w:trHeight w:val="185"/>
        </w:trPr>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800" w:type="dxa"/>
            <w:vAlign w:val="bottom"/>
            <w:tcBorders>
              <w:bottom w:val="single" w:sz="8" w:color="2C6937"/>
            </w:tcBorders>
            <w:gridSpan w:val="4"/>
          </w:tcPr>
          <w:p>
            <w:pPr>
              <w:jc w:val="right"/>
              <w:ind w:right="73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80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820" w:type="dxa"/>
            <w:vAlign w:val="bottom"/>
            <w:tcBorders>
              <w:bottom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820" w:type="dxa"/>
            <w:vAlign w:val="bottom"/>
            <w:tcBorders>
              <w:bottom w:val="single" w:sz="8" w:color="2C6937"/>
            </w:tcBorders>
          </w:tcPr>
          <w:p>
            <w:pPr>
              <w:spacing w:after="0"/>
              <w:rPr>
                <w:sz w:val="16"/>
                <w:szCs w:val="16"/>
                <w:color w:val="auto"/>
              </w:rPr>
            </w:pPr>
          </w:p>
        </w:tc>
      </w:tr>
      <w:tr>
        <w:trPr>
          <w:trHeight w:val="176"/>
        </w:trPr>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51"/>
              <w:spacing w:after="0"/>
              <w:rPr>
                <w:sz w:val="20"/>
                <w:szCs w:val="20"/>
                <w:color w:val="auto"/>
              </w:rPr>
            </w:pPr>
            <w:r>
              <w:rPr>
                <w:rFonts w:ascii="Arial" w:cs="Arial" w:eastAsia="Arial" w:hAnsi="Arial"/>
                <w:sz w:val="14"/>
                <w:szCs w:val="14"/>
                <w:b w:val="1"/>
                <w:bCs w:val="1"/>
                <w:color w:val="auto"/>
                <w:w w:val="98"/>
              </w:rPr>
              <w:t>Interest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11"/>
              <w:spacing w:after="0"/>
              <w:rPr>
                <w:sz w:val="20"/>
                <w:szCs w:val="20"/>
                <w:color w:val="auto"/>
              </w:rPr>
            </w:pPr>
            <w:r>
              <w:rPr>
                <w:rFonts w:ascii="Arial" w:cs="Arial" w:eastAsia="Arial" w:hAnsi="Arial"/>
                <w:sz w:val="14"/>
                <w:szCs w:val="14"/>
                <w:b w:val="1"/>
                <w:bCs w:val="1"/>
                <w:color w:val="auto"/>
                <w:w w:val="98"/>
              </w:rPr>
              <w:t>Interest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31"/>
              <w:spacing w:after="0"/>
              <w:rPr>
                <w:sz w:val="20"/>
                <w:szCs w:val="20"/>
                <w:color w:val="auto"/>
              </w:rPr>
            </w:pPr>
            <w:r>
              <w:rPr>
                <w:rFonts w:ascii="Arial" w:cs="Arial" w:eastAsia="Arial" w:hAnsi="Arial"/>
                <w:sz w:val="14"/>
                <w:szCs w:val="14"/>
                <w:b w:val="1"/>
                <w:bCs w:val="1"/>
                <w:color w:val="auto"/>
                <w:w w:val="98"/>
              </w:rPr>
              <w:t>Interest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31"/>
              <w:spacing w:after="0"/>
              <w:rPr>
                <w:sz w:val="20"/>
                <w:szCs w:val="20"/>
                <w:color w:val="auto"/>
              </w:rPr>
            </w:pPr>
            <w:r>
              <w:rPr>
                <w:rFonts w:ascii="Arial" w:cs="Arial" w:eastAsia="Arial" w:hAnsi="Arial"/>
                <w:sz w:val="14"/>
                <w:szCs w:val="14"/>
                <w:b w:val="1"/>
                <w:bCs w:val="1"/>
                <w:color w:val="auto"/>
                <w:w w:val="98"/>
              </w:rPr>
              <w:t>Interest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51"/>
              <w:spacing w:after="0"/>
              <w:rPr>
                <w:sz w:val="20"/>
                <w:szCs w:val="20"/>
                <w:color w:val="auto"/>
              </w:rPr>
            </w:pPr>
            <w:r>
              <w:rPr>
                <w:rFonts w:ascii="Arial" w:cs="Arial" w:eastAsia="Arial" w:hAnsi="Arial"/>
                <w:sz w:val="14"/>
                <w:szCs w:val="14"/>
                <w:b w:val="1"/>
                <w:bCs w:val="1"/>
                <w:color w:val="auto"/>
                <w:w w:val="98"/>
              </w:rPr>
              <w:t>Interest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51"/>
              <w:spacing w:after="0"/>
              <w:rPr>
                <w:sz w:val="20"/>
                <w:szCs w:val="20"/>
                <w:color w:val="auto"/>
              </w:rPr>
            </w:pPr>
            <w:r>
              <w:rPr>
                <w:rFonts w:ascii="Arial" w:cs="Arial" w:eastAsia="Arial" w:hAnsi="Arial"/>
                <w:sz w:val="14"/>
                <w:szCs w:val="14"/>
                <w:b w:val="1"/>
                <w:bCs w:val="1"/>
                <w:color w:val="auto"/>
                <w:w w:val="98"/>
              </w:rPr>
              <w:t>Interest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51"/>
              <w:spacing w:after="0"/>
              <w:rPr>
                <w:sz w:val="20"/>
                <w:szCs w:val="20"/>
                <w:color w:val="auto"/>
              </w:rPr>
            </w:pPr>
            <w:r>
              <w:rPr>
                <w:rFonts w:ascii="Arial" w:cs="Arial" w:eastAsia="Arial" w:hAnsi="Arial"/>
                <w:sz w:val="14"/>
                <w:szCs w:val="14"/>
                <w:b w:val="1"/>
                <w:bCs w:val="1"/>
                <w:color w:val="auto"/>
                <w:w w:val="98"/>
              </w:rPr>
              <w:t>Interest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51"/>
              <w:spacing w:after="0"/>
              <w:rPr>
                <w:sz w:val="20"/>
                <w:szCs w:val="20"/>
                <w:color w:val="auto"/>
              </w:rPr>
            </w:pPr>
            <w:r>
              <w:rPr>
                <w:rFonts w:ascii="Arial" w:cs="Arial" w:eastAsia="Arial" w:hAnsi="Arial"/>
                <w:sz w:val="14"/>
                <w:szCs w:val="14"/>
                <w:b w:val="1"/>
                <w:bCs w:val="1"/>
                <w:color w:val="auto"/>
                <w:w w:val="98"/>
              </w:rPr>
              <w:t>Interest</w:t>
            </w:r>
          </w:p>
        </w:tc>
      </w:tr>
      <w:tr>
        <w:trPr>
          <w:trHeight w:val="168"/>
        </w:trPr>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51"/>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1"/>
              <w:spacing w:after="0"/>
              <w:rPr>
                <w:sz w:val="20"/>
                <w:szCs w:val="20"/>
                <w:color w:val="auto"/>
              </w:rPr>
            </w:pPr>
            <w:r>
              <w:rPr>
                <w:rFonts w:ascii="Arial" w:cs="Arial" w:eastAsia="Arial" w:hAnsi="Arial"/>
                <w:sz w:val="14"/>
                <w:szCs w:val="14"/>
                <w:b w:val="1"/>
                <w:bCs w:val="1"/>
                <w:color w:val="auto"/>
                <w:w w:val="99"/>
              </w:rPr>
              <w:t>Expense: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51"/>
              <w:spacing w:after="0"/>
              <w:rPr>
                <w:sz w:val="20"/>
                <w:szCs w:val="20"/>
                <w:color w:val="auto"/>
              </w:rPr>
            </w:pPr>
            <w:r>
              <w:rPr>
                <w:rFonts w:ascii="Arial" w:cs="Arial" w:eastAsia="Arial" w:hAnsi="Arial"/>
                <w:sz w:val="14"/>
                <w:szCs w:val="14"/>
                <w:b w:val="1"/>
                <w:bCs w:val="1"/>
                <w:color w:val="auto"/>
                <w:w w:val="96"/>
              </w:rPr>
              <w:t>Income: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31"/>
              <w:spacing w:after="0"/>
              <w:rPr>
                <w:sz w:val="20"/>
                <w:szCs w:val="20"/>
                <w:color w:val="auto"/>
              </w:rPr>
            </w:pPr>
            <w:r>
              <w:rPr>
                <w:rFonts w:ascii="Arial" w:cs="Arial" w:eastAsia="Arial" w:hAnsi="Arial"/>
                <w:sz w:val="14"/>
                <w:szCs w:val="14"/>
                <w:b w:val="1"/>
                <w:bCs w:val="1"/>
                <w:color w:val="auto"/>
                <w:w w:val="99"/>
              </w:rPr>
              <w:t>Expense: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51"/>
              <w:spacing w:after="0"/>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51"/>
              <w:spacing w:after="0"/>
              <w:rPr>
                <w:sz w:val="20"/>
                <w:szCs w:val="20"/>
                <w:color w:val="auto"/>
              </w:rPr>
            </w:pPr>
            <w:r>
              <w:rPr>
                <w:rFonts w:ascii="Arial" w:cs="Arial" w:eastAsia="Arial" w:hAnsi="Arial"/>
                <w:sz w:val="14"/>
                <w:szCs w:val="14"/>
                <w:b w:val="1"/>
                <w:bCs w:val="1"/>
                <w:color w:val="auto"/>
                <w:w w:val="99"/>
              </w:rPr>
              <w:t>Expense: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51"/>
              <w:spacing w:after="0"/>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51"/>
              <w:spacing w:after="0"/>
              <w:rPr>
                <w:sz w:val="20"/>
                <w:szCs w:val="20"/>
                <w:color w:val="auto"/>
              </w:rPr>
            </w:pPr>
            <w:r>
              <w:rPr>
                <w:rFonts w:ascii="Arial" w:cs="Arial" w:eastAsia="Arial" w:hAnsi="Arial"/>
                <w:sz w:val="14"/>
                <w:szCs w:val="14"/>
                <w:b w:val="1"/>
                <w:bCs w:val="1"/>
                <w:color w:val="auto"/>
                <w:w w:val="99"/>
              </w:rPr>
              <w:t>Expense:</w:t>
            </w:r>
          </w:p>
        </w:tc>
      </w:tr>
      <w:tr>
        <w:trPr>
          <w:trHeight w:val="155"/>
        </w:trPr>
        <w:tc>
          <w:tcPr>
            <w:tcW w:w="3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51"/>
              <w:spacing w:after="0" w:line="155" w:lineRule="exact"/>
              <w:rPr>
                <w:sz w:val="20"/>
                <w:szCs w:val="20"/>
                <w:color w:val="auto"/>
              </w:rPr>
            </w:pPr>
            <w:r>
              <w:rPr>
                <w:rFonts w:ascii="Arial" w:cs="Arial" w:eastAsia="Arial" w:hAnsi="Arial"/>
                <w:sz w:val="14"/>
                <w:szCs w:val="14"/>
                <w:b w:val="1"/>
                <w:bCs w:val="1"/>
                <w:color w:val="auto"/>
                <w:w w:val="98"/>
              </w:rPr>
              <w:t>Mortgage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11"/>
              <w:spacing w:after="0" w:line="155" w:lineRule="exact"/>
              <w:rPr>
                <w:sz w:val="20"/>
                <w:szCs w:val="20"/>
                <w:color w:val="auto"/>
              </w:rPr>
            </w:pPr>
            <w:r>
              <w:rPr>
                <w:rFonts w:ascii="Arial" w:cs="Arial" w:eastAsia="Arial" w:hAnsi="Arial"/>
                <w:sz w:val="14"/>
                <w:szCs w:val="14"/>
                <w:b w:val="1"/>
                <w:bCs w:val="1"/>
                <w:color w:val="auto"/>
                <w:w w:val="95"/>
              </w:rPr>
              <w:t>Long-Term</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31"/>
              <w:spacing w:after="0" w:line="155" w:lineRule="exact"/>
              <w:rPr>
                <w:sz w:val="20"/>
                <w:szCs w:val="20"/>
                <w:color w:val="auto"/>
              </w:rPr>
            </w:pPr>
            <w:r>
              <w:rPr>
                <w:rFonts w:ascii="Arial" w:cs="Arial" w:eastAsia="Arial" w:hAnsi="Arial"/>
                <w:sz w:val="14"/>
                <w:szCs w:val="14"/>
                <w:b w:val="1"/>
                <w:bCs w:val="1"/>
                <w:color w:val="auto"/>
                <w:w w:val="98"/>
              </w:rPr>
              <w:t>Mortgage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31"/>
              <w:spacing w:after="0" w:line="155" w:lineRule="exact"/>
              <w:rPr>
                <w:sz w:val="20"/>
                <w:szCs w:val="20"/>
                <w:color w:val="auto"/>
              </w:rPr>
            </w:pPr>
            <w:r>
              <w:rPr>
                <w:rFonts w:ascii="Arial" w:cs="Arial" w:eastAsia="Arial" w:hAnsi="Arial"/>
                <w:sz w:val="14"/>
                <w:szCs w:val="14"/>
                <w:b w:val="1"/>
                <w:bCs w:val="1"/>
                <w:color w:val="auto"/>
                <w:w w:val="95"/>
              </w:rPr>
              <w:t>Long-Term</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51"/>
              <w:spacing w:after="0" w:line="155" w:lineRule="exact"/>
              <w:rPr>
                <w:sz w:val="20"/>
                <w:szCs w:val="20"/>
                <w:color w:val="auto"/>
              </w:rPr>
            </w:pPr>
            <w:r>
              <w:rPr>
                <w:rFonts w:ascii="Arial" w:cs="Arial" w:eastAsia="Arial" w:hAnsi="Arial"/>
                <w:sz w:val="14"/>
                <w:szCs w:val="14"/>
                <w:b w:val="1"/>
                <w:bCs w:val="1"/>
                <w:color w:val="auto"/>
                <w:w w:val="98"/>
              </w:rPr>
              <w:t>Mortgage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51"/>
              <w:spacing w:after="0" w:line="155" w:lineRule="exact"/>
              <w:rPr>
                <w:sz w:val="20"/>
                <w:szCs w:val="20"/>
                <w:color w:val="auto"/>
              </w:rPr>
            </w:pPr>
            <w:r>
              <w:rPr>
                <w:rFonts w:ascii="Arial" w:cs="Arial" w:eastAsia="Arial" w:hAnsi="Arial"/>
                <w:sz w:val="14"/>
                <w:szCs w:val="14"/>
                <w:b w:val="1"/>
                <w:bCs w:val="1"/>
                <w:color w:val="auto"/>
                <w:w w:val="95"/>
              </w:rPr>
              <w:t>Long-Term</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51"/>
              <w:spacing w:after="0" w:line="155" w:lineRule="exact"/>
              <w:rPr>
                <w:sz w:val="20"/>
                <w:szCs w:val="20"/>
                <w:color w:val="auto"/>
              </w:rPr>
            </w:pPr>
            <w:r>
              <w:rPr>
                <w:rFonts w:ascii="Arial" w:cs="Arial" w:eastAsia="Arial" w:hAnsi="Arial"/>
                <w:sz w:val="14"/>
                <w:szCs w:val="14"/>
                <w:b w:val="1"/>
                <w:bCs w:val="1"/>
                <w:color w:val="auto"/>
                <w:w w:val="98"/>
              </w:rPr>
              <w:t>Mortgage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51"/>
              <w:spacing w:after="0" w:line="155" w:lineRule="exact"/>
              <w:rPr>
                <w:sz w:val="20"/>
                <w:szCs w:val="20"/>
                <w:color w:val="auto"/>
              </w:rPr>
            </w:pPr>
            <w:r>
              <w:rPr>
                <w:rFonts w:ascii="Arial" w:cs="Arial" w:eastAsia="Arial" w:hAnsi="Arial"/>
                <w:sz w:val="14"/>
                <w:szCs w:val="14"/>
                <w:b w:val="1"/>
                <w:bCs w:val="1"/>
                <w:color w:val="auto"/>
                <w:w w:val="95"/>
              </w:rPr>
              <w:t>Long-Term</w:t>
            </w:r>
          </w:p>
        </w:tc>
      </w:tr>
      <w:tr>
        <w:trPr>
          <w:trHeight w:val="198"/>
        </w:trPr>
        <w:tc>
          <w:tcPr>
            <w:tcW w:w="3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780" w:type="dxa"/>
            <w:vAlign w:val="bottom"/>
            <w:tcBorders>
              <w:bottom w:val="single" w:sz="8" w:color="2C6937"/>
            </w:tcBorders>
          </w:tcPr>
          <w:p>
            <w:pPr>
              <w:jc w:val="center"/>
              <w:ind w:right="51"/>
              <w:spacing w:after="0"/>
              <w:rPr>
                <w:sz w:val="20"/>
                <w:szCs w:val="20"/>
                <w:color w:val="auto"/>
              </w:rPr>
            </w:pPr>
            <w:r>
              <w:rPr>
                <w:rFonts w:ascii="Arial" w:cs="Arial" w:eastAsia="Arial" w:hAnsi="Arial"/>
                <w:sz w:val="14"/>
                <w:szCs w:val="14"/>
                <w:b w:val="1"/>
                <w:bCs w:val="1"/>
                <w:color w:val="auto"/>
              </w:rPr>
              <w:t>Loans</w:t>
            </w:r>
          </w:p>
        </w:tc>
        <w:tc>
          <w:tcPr>
            <w:tcW w:w="1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820" w:type="dxa"/>
            <w:vAlign w:val="bottom"/>
            <w:tcBorders>
              <w:bottom w:val="single" w:sz="8" w:color="2C6937"/>
            </w:tcBorders>
          </w:tcPr>
          <w:p>
            <w:pPr>
              <w:jc w:val="center"/>
              <w:ind w:right="11"/>
              <w:spacing w:after="0"/>
              <w:rPr>
                <w:sz w:val="20"/>
                <w:szCs w:val="20"/>
                <w:color w:val="auto"/>
              </w:rPr>
            </w:pPr>
            <w:r>
              <w:rPr>
                <w:rFonts w:ascii="Arial" w:cs="Arial" w:eastAsia="Arial" w:hAnsi="Arial"/>
                <w:sz w:val="14"/>
                <w:szCs w:val="14"/>
                <w:b w:val="1"/>
                <w:bCs w:val="1"/>
                <w:color w:val="auto"/>
                <w:w w:val="96"/>
              </w:rPr>
              <w:t>Debt</w:t>
            </w:r>
          </w:p>
        </w:tc>
        <w:tc>
          <w:tcPr>
            <w:tcW w:w="10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800" w:type="dxa"/>
            <w:vAlign w:val="bottom"/>
            <w:tcBorders>
              <w:bottom w:val="single" w:sz="8" w:color="2C6937"/>
            </w:tcBorders>
          </w:tcPr>
          <w:p>
            <w:pPr>
              <w:jc w:val="center"/>
              <w:ind w:right="51"/>
              <w:spacing w:after="0"/>
              <w:rPr>
                <w:sz w:val="20"/>
                <w:szCs w:val="20"/>
                <w:color w:val="auto"/>
              </w:rPr>
            </w:pPr>
            <w:r>
              <w:rPr>
                <w:rFonts w:ascii="Arial" w:cs="Arial" w:eastAsia="Arial" w:hAnsi="Arial"/>
                <w:sz w:val="14"/>
                <w:szCs w:val="14"/>
                <w:b w:val="1"/>
                <w:bCs w:val="1"/>
                <w:color w:val="auto"/>
                <w:w w:val="96"/>
              </w:rPr>
              <w:t>Loans</w:t>
            </w:r>
          </w:p>
        </w:tc>
        <w:tc>
          <w:tcPr>
            <w:tcW w:w="10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800" w:type="dxa"/>
            <w:vAlign w:val="bottom"/>
            <w:tcBorders>
              <w:bottom w:val="single" w:sz="8" w:color="2C6937"/>
            </w:tcBorders>
          </w:tcPr>
          <w:p>
            <w:pPr>
              <w:jc w:val="center"/>
              <w:ind w:right="31"/>
              <w:spacing w:after="0"/>
              <w:rPr>
                <w:sz w:val="20"/>
                <w:szCs w:val="20"/>
                <w:color w:val="auto"/>
              </w:rPr>
            </w:pPr>
            <w:r>
              <w:rPr>
                <w:rFonts w:ascii="Arial" w:cs="Arial" w:eastAsia="Arial" w:hAnsi="Arial"/>
                <w:sz w:val="14"/>
                <w:szCs w:val="14"/>
                <w:b w:val="1"/>
                <w:bCs w:val="1"/>
                <w:color w:val="auto"/>
                <w:w w:val="96"/>
              </w:rPr>
              <w:t>Debt</w:t>
            </w:r>
          </w:p>
        </w:tc>
        <w:tc>
          <w:tcPr>
            <w:tcW w:w="10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820" w:type="dxa"/>
            <w:vAlign w:val="bottom"/>
            <w:tcBorders>
              <w:bottom w:val="single" w:sz="8" w:color="2C6937"/>
            </w:tcBorders>
          </w:tcPr>
          <w:p>
            <w:pPr>
              <w:jc w:val="center"/>
              <w:ind w:right="51"/>
              <w:spacing w:after="0"/>
              <w:rPr>
                <w:sz w:val="20"/>
                <w:szCs w:val="20"/>
                <w:color w:val="auto"/>
              </w:rPr>
            </w:pPr>
            <w:r>
              <w:rPr>
                <w:rFonts w:ascii="Arial" w:cs="Arial" w:eastAsia="Arial" w:hAnsi="Arial"/>
                <w:sz w:val="14"/>
                <w:szCs w:val="14"/>
                <w:b w:val="1"/>
                <w:bCs w:val="1"/>
                <w:color w:val="auto"/>
              </w:rPr>
              <w:t>Loans</w:t>
            </w:r>
          </w:p>
        </w:tc>
        <w:tc>
          <w:tcPr>
            <w:tcW w:w="8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820" w:type="dxa"/>
            <w:vAlign w:val="bottom"/>
            <w:tcBorders>
              <w:bottom w:val="single" w:sz="8" w:color="2C6937"/>
            </w:tcBorders>
          </w:tcPr>
          <w:p>
            <w:pPr>
              <w:jc w:val="center"/>
              <w:ind w:right="51"/>
              <w:spacing w:after="0"/>
              <w:rPr>
                <w:sz w:val="20"/>
                <w:szCs w:val="20"/>
                <w:color w:val="auto"/>
              </w:rPr>
            </w:pPr>
            <w:r>
              <w:rPr>
                <w:rFonts w:ascii="Arial" w:cs="Arial" w:eastAsia="Arial" w:hAnsi="Arial"/>
                <w:sz w:val="14"/>
                <w:szCs w:val="14"/>
                <w:b w:val="1"/>
                <w:bCs w:val="1"/>
                <w:color w:val="auto"/>
                <w:w w:val="96"/>
              </w:rPr>
              <w:t>Debt</w:t>
            </w:r>
          </w:p>
        </w:tc>
        <w:tc>
          <w:tcPr>
            <w:tcW w:w="8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820" w:type="dxa"/>
            <w:vAlign w:val="bottom"/>
            <w:tcBorders>
              <w:bottom w:val="single" w:sz="8" w:color="2C6937"/>
            </w:tcBorders>
          </w:tcPr>
          <w:p>
            <w:pPr>
              <w:jc w:val="center"/>
              <w:ind w:right="51"/>
              <w:spacing w:after="0"/>
              <w:rPr>
                <w:sz w:val="20"/>
                <w:szCs w:val="20"/>
                <w:color w:val="auto"/>
              </w:rPr>
            </w:pPr>
            <w:r>
              <w:rPr>
                <w:rFonts w:ascii="Arial" w:cs="Arial" w:eastAsia="Arial" w:hAnsi="Arial"/>
                <w:sz w:val="14"/>
                <w:szCs w:val="14"/>
                <w:b w:val="1"/>
                <w:bCs w:val="1"/>
                <w:color w:val="auto"/>
              </w:rPr>
              <w:t>Loans</w:t>
            </w:r>
          </w:p>
        </w:tc>
        <w:tc>
          <w:tcPr>
            <w:tcW w:w="8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820" w:type="dxa"/>
            <w:vAlign w:val="bottom"/>
            <w:tcBorders>
              <w:bottom w:val="single" w:sz="8" w:color="2C6937"/>
            </w:tcBorders>
          </w:tcPr>
          <w:p>
            <w:pPr>
              <w:jc w:val="center"/>
              <w:ind w:right="51"/>
              <w:spacing w:after="0"/>
              <w:rPr>
                <w:sz w:val="20"/>
                <w:szCs w:val="20"/>
                <w:color w:val="auto"/>
              </w:rPr>
            </w:pPr>
            <w:r>
              <w:rPr>
                <w:rFonts w:ascii="Arial" w:cs="Arial" w:eastAsia="Arial" w:hAnsi="Arial"/>
                <w:sz w:val="14"/>
                <w:szCs w:val="14"/>
                <w:b w:val="1"/>
                <w:bCs w:val="1"/>
                <w:color w:val="auto"/>
                <w:w w:val="96"/>
              </w:rPr>
              <w:t>Debt</w:t>
            </w:r>
          </w:p>
        </w:tc>
      </w:tr>
      <w:tr>
        <w:trPr>
          <w:trHeight w:val="192"/>
        </w:trPr>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rPr>
              <w:t>(Dollars in millions)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2"/>
        </w:trPr>
        <w:tc>
          <w:tcPr>
            <w:tcW w:w="3160" w:type="dxa"/>
            <w:vAlign w:val="bottom"/>
            <w:gridSpan w:val="2"/>
          </w:tcPr>
          <w:p>
            <w:pPr>
              <w:spacing w:after="0"/>
              <w:rPr>
                <w:sz w:val="20"/>
                <w:szCs w:val="20"/>
                <w:color w:val="auto"/>
              </w:rPr>
            </w:pPr>
            <w:r>
              <w:rPr>
                <w:rFonts w:ascii="Arial" w:cs="Arial" w:eastAsia="Arial" w:hAnsi="Arial"/>
                <w:sz w:val="15"/>
                <w:szCs w:val="15"/>
                <w:b w:val="1"/>
                <w:bCs w:val="1"/>
                <w:color w:val="auto"/>
              </w:rPr>
              <w:t>Total amounts presented in our</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3"/>
        </w:trPr>
        <w:tc>
          <w:tcPr>
            <w:tcW w:w="3160" w:type="dxa"/>
            <w:vAlign w:val="bottom"/>
            <w:gridSpan w:val="2"/>
          </w:tcPr>
          <w:p>
            <w:pPr>
              <w:ind w:left="160"/>
              <w:spacing w:after="0"/>
              <w:rPr>
                <w:sz w:val="20"/>
                <w:szCs w:val="20"/>
                <w:color w:val="auto"/>
              </w:rPr>
            </w:pPr>
            <w:r>
              <w:rPr>
                <w:rFonts w:ascii="Arial" w:cs="Arial" w:eastAsia="Arial" w:hAnsi="Arial"/>
                <w:sz w:val="15"/>
                <w:szCs w:val="15"/>
                <w:b w:val="1"/>
                <w:bCs w:val="1"/>
                <w:color w:val="auto"/>
              </w:rPr>
              <w:t>condensed consolidated statements of</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0"/>
        </w:trPr>
        <w:tc>
          <w:tcPr>
            <w:tcW w:w="3160" w:type="dxa"/>
            <w:vAlign w:val="bottom"/>
            <w:gridSpan w:val="2"/>
          </w:tcPr>
          <w:p>
            <w:pPr>
              <w:ind w:left="160"/>
              <w:spacing w:after="0"/>
              <w:rPr>
                <w:sz w:val="20"/>
                <w:szCs w:val="20"/>
                <w:color w:val="auto"/>
              </w:rPr>
            </w:pPr>
            <w:r>
              <w:rPr>
                <w:rFonts w:ascii="Arial" w:cs="Arial" w:eastAsia="Arial" w:hAnsi="Arial"/>
                <w:sz w:val="15"/>
                <w:szCs w:val="15"/>
                <w:b w:val="1"/>
                <w:bCs w:val="1"/>
                <w:color w:val="auto"/>
              </w:rPr>
              <w:t>operations and comprehensive</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22"/>
        </w:trPr>
        <w:tc>
          <w:tcPr>
            <w:tcW w:w="3060" w:type="dxa"/>
            <w:vAlign w:val="bottom"/>
            <w:tcBorders>
              <w:bottom w:val="single" w:sz="8" w:color="2C6937"/>
            </w:tcBorders>
          </w:tcPr>
          <w:p>
            <w:pPr>
              <w:ind w:left="160"/>
              <w:spacing w:after="0"/>
              <w:rPr>
                <w:sz w:val="20"/>
                <w:szCs w:val="20"/>
                <w:color w:val="auto"/>
              </w:rPr>
            </w:pPr>
            <w:r>
              <w:rPr>
                <w:rFonts w:ascii="Arial" w:cs="Arial" w:eastAsia="Arial" w:hAnsi="Arial"/>
                <w:sz w:val="15"/>
                <w:szCs w:val="15"/>
                <w:b w:val="1"/>
                <w:bCs w:val="1"/>
                <w:color w:val="auto"/>
              </w:rPr>
              <w:t>income</w:t>
            </w:r>
          </w:p>
        </w:tc>
        <w:tc>
          <w:tcPr>
            <w:tcW w:w="100" w:type="dxa"/>
            <w:vAlign w:val="bottom"/>
          </w:tcPr>
          <w:p>
            <w:pPr>
              <w:spacing w:after="0"/>
              <w:rPr>
                <w:sz w:val="19"/>
                <w:szCs w:val="19"/>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32,655</w:t>
            </w:r>
          </w:p>
        </w:tc>
        <w:tc>
          <w:tcPr>
            <w:tcW w:w="100" w:type="dxa"/>
            <w:vAlign w:val="bottom"/>
          </w:tcPr>
          <w:p>
            <w:pPr>
              <w:spacing w:after="0"/>
              <w:rPr>
                <w:sz w:val="19"/>
                <w:szCs w:val="19"/>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(27,122)</w:t>
            </w:r>
          </w:p>
        </w:tc>
        <w:tc>
          <w:tcPr>
            <w:tcW w:w="100" w:type="dxa"/>
            <w:vAlign w:val="bottom"/>
          </w:tcPr>
          <w:p>
            <w:pPr>
              <w:spacing w:after="0"/>
              <w:rPr>
                <w:sz w:val="19"/>
                <w:szCs w:val="19"/>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29,082</w:t>
            </w:r>
          </w:p>
        </w:tc>
        <w:tc>
          <w:tcPr>
            <w:tcW w:w="100" w:type="dxa"/>
            <w:vAlign w:val="bottom"/>
          </w:tcPr>
          <w:p>
            <w:pPr>
              <w:spacing w:after="0"/>
              <w:rPr>
                <w:sz w:val="19"/>
                <w:szCs w:val="19"/>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(21,642)</w:t>
            </w:r>
          </w:p>
        </w:tc>
        <w:tc>
          <w:tcPr>
            <w:tcW w:w="100" w:type="dxa"/>
            <w:vAlign w:val="bottom"/>
          </w:tcPr>
          <w:p>
            <w:pPr>
              <w:spacing w:after="0"/>
              <w:rPr>
                <w:sz w:val="19"/>
                <w:szCs w:val="19"/>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64,792</w:t>
            </w:r>
          </w:p>
        </w:tc>
        <w:tc>
          <w:tcPr>
            <w:tcW w:w="80" w:type="dxa"/>
            <w:vAlign w:val="bottom"/>
          </w:tcPr>
          <w:p>
            <w:pPr>
              <w:spacing w:after="0"/>
              <w:rPr>
                <w:sz w:val="19"/>
                <w:szCs w:val="19"/>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(53,787)</w:t>
            </w:r>
          </w:p>
        </w:tc>
        <w:tc>
          <w:tcPr>
            <w:tcW w:w="80" w:type="dxa"/>
            <w:vAlign w:val="bottom"/>
          </w:tcPr>
          <w:p>
            <w:pPr>
              <w:spacing w:after="0"/>
              <w:rPr>
                <w:sz w:val="19"/>
                <w:szCs w:val="19"/>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56,224</w:t>
            </w:r>
          </w:p>
        </w:tc>
        <w:tc>
          <w:tcPr>
            <w:tcW w:w="80" w:type="dxa"/>
            <w:vAlign w:val="bottom"/>
          </w:tcPr>
          <w:p>
            <w:pPr>
              <w:spacing w:after="0"/>
              <w:rPr>
                <w:sz w:val="19"/>
                <w:szCs w:val="19"/>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(41,582)</w:t>
            </w:r>
          </w:p>
        </w:tc>
      </w:tr>
      <w:tr>
        <w:trPr>
          <w:trHeight w:val="325"/>
        </w:trPr>
        <w:tc>
          <w:tcPr>
            <w:tcW w:w="3160" w:type="dxa"/>
            <w:vAlign w:val="bottom"/>
            <w:gridSpan w:val="2"/>
          </w:tcPr>
          <w:p>
            <w:pPr>
              <w:spacing w:after="0"/>
              <w:rPr>
                <w:sz w:val="20"/>
                <w:szCs w:val="20"/>
                <w:color w:val="auto"/>
              </w:rPr>
            </w:pPr>
            <w:r>
              <w:rPr>
                <w:rFonts w:ascii="Arial" w:cs="Arial" w:eastAsia="Arial" w:hAnsi="Arial"/>
                <w:sz w:val="15"/>
                <w:szCs w:val="15"/>
                <w:b w:val="1"/>
                <w:bCs w:val="1"/>
                <w:color w:val="auto"/>
              </w:rPr>
              <w:t>Gains (losses) from fair value hedging</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6"/>
        </w:trPr>
        <w:tc>
          <w:tcPr>
            <w:tcW w:w="3160" w:type="dxa"/>
            <w:vAlign w:val="bottom"/>
            <w:gridSpan w:val="2"/>
          </w:tcPr>
          <w:p>
            <w:pPr>
              <w:ind w:left="160"/>
              <w:spacing w:after="0"/>
              <w:rPr>
                <w:sz w:val="20"/>
                <w:szCs w:val="20"/>
                <w:color w:val="auto"/>
              </w:rPr>
            </w:pPr>
            <w:r>
              <w:rPr>
                <w:rFonts w:ascii="Arial" w:cs="Arial" w:eastAsia="Arial" w:hAnsi="Arial"/>
                <w:sz w:val="15"/>
                <w:szCs w:val="15"/>
                <w:b w:val="1"/>
                <w:bCs w:val="1"/>
                <w:color w:val="auto"/>
              </w:rPr>
              <w:t>relationships: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7"/>
        </w:trPr>
        <w:tc>
          <w:tcPr>
            <w:tcW w:w="3160" w:type="dxa"/>
            <w:vAlign w:val="bottom"/>
            <w:gridSpan w:val="2"/>
          </w:tcPr>
          <w:p>
            <w:pPr>
              <w:ind w:left="120"/>
              <w:spacing w:after="0"/>
              <w:rPr>
                <w:sz w:val="20"/>
                <w:szCs w:val="20"/>
                <w:color w:val="auto"/>
              </w:rPr>
            </w:pPr>
            <w:r>
              <w:rPr>
                <w:rFonts w:ascii="Arial" w:cs="Arial" w:eastAsia="Arial" w:hAnsi="Arial"/>
                <w:sz w:val="15"/>
                <w:szCs w:val="15"/>
                <w:color w:val="auto"/>
              </w:rPr>
              <w:t>Mortgage loans HFI and related interest-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96"/>
        </w:trPr>
        <w:tc>
          <w:tcPr>
            <w:tcW w:w="3160" w:type="dxa"/>
            <w:vAlign w:val="bottom"/>
            <w:gridSpan w:val="2"/>
          </w:tcPr>
          <w:p>
            <w:pPr>
              <w:ind w:left="220"/>
              <w:spacing w:after="0"/>
              <w:rPr>
                <w:sz w:val="20"/>
                <w:szCs w:val="20"/>
                <w:color w:val="auto"/>
              </w:rPr>
            </w:pPr>
            <w:r>
              <w:rPr>
                <w:rFonts w:ascii="Arial" w:cs="Arial" w:eastAsia="Arial" w:hAnsi="Arial"/>
                <w:sz w:val="15"/>
                <w:szCs w:val="15"/>
                <w:color w:val="auto"/>
              </w:rPr>
              <w:t>rate contracts: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6"/>
        </w:trPr>
        <w:tc>
          <w:tcPr>
            <w:tcW w:w="3160" w:type="dxa"/>
            <w:vAlign w:val="bottom"/>
            <w:gridSpan w:val="2"/>
          </w:tcPr>
          <w:p>
            <w:pPr>
              <w:ind w:left="320"/>
              <w:spacing w:after="0"/>
              <w:rPr>
                <w:sz w:val="20"/>
                <w:szCs w:val="20"/>
                <w:color w:val="auto"/>
              </w:rPr>
            </w:pPr>
            <w:r>
              <w:rPr>
                <w:rFonts w:ascii="Arial" w:cs="Arial" w:eastAsia="Arial" w:hAnsi="Arial"/>
                <w:sz w:val="15"/>
                <w:szCs w:val="15"/>
                <w:color w:val="auto"/>
              </w:rPr>
              <w:t>Hedged items</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(144)</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(344)</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33</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(582)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w:t>
            </w:r>
          </w:p>
        </w:tc>
      </w:tr>
      <w:tr>
        <w:trPr>
          <w:trHeight w:val="200"/>
        </w:trPr>
        <w:tc>
          <w:tcPr>
            <w:tcW w:w="3160" w:type="dxa"/>
            <w:vAlign w:val="bottom"/>
            <w:gridSpan w:val="2"/>
          </w:tcPr>
          <w:p>
            <w:pPr>
              <w:ind w:left="320"/>
              <w:spacing w:after="0"/>
              <w:rPr>
                <w:sz w:val="20"/>
                <w:szCs w:val="20"/>
                <w:color w:val="auto"/>
              </w:rPr>
            </w:pPr>
            <w:r>
              <w:rPr>
                <w:rFonts w:ascii="Arial" w:cs="Arial" w:eastAsia="Arial" w:hAnsi="Arial"/>
                <w:sz w:val="15"/>
                <w:szCs w:val="15"/>
                <w:color w:val="auto"/>
              </w:rPr>
              <w:t>Discontinued hedge related basis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3"/>
        </w:trPr>
        <w:tc>
          <w:tcPr>
            <w:tcW w:w="3160" w:type="dxa"/>
            <w:vAlign w:val="bottom"/>
            <w:gridSpan w:val="2"/>
          </w:tcPr>
          <w:p>
            <w:pPr>
              <w:ind w:left="440"/>
              <w:spacing w:after="0"/>
              <w:rPr>
                <w:sz w:val="20"/>
                <w:szCs w:val="20"/>
                <w:color w:val="auto"/>
              </w:rPr>
            </w:pPr>
            <w:r>
              <w:rPr>
                <w:rFonts w:ascii="Arial" w:cs="Arial" w:eastAsia="Arial" w:hAnsi="Arial"/>
                <w:sz w:val="15"/>
                <w:szCs w:val="15"/>
                <w:color w:val="auto"/>
              </w:rPr>
              <w:t>adjustment amortization</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w:t>
            </w:r>
          </w:p>
        </w:tc>
      </w:tr>
      <w:tr>
        <w:trPr>
          <w:trHeight w:val="200"/>
        </w:trPr>
        <w:tc>
          <w:tcPr>
            <w:tcW w:w="3160" w:type="dxa"/>
            <w:vAlign w:val="bottom"/>
            <w:gridSpan w:val="2"/>
          </w:tcPr>
          <w:p>
            <w:pPr>
              <w:ind w:left="320"/>
              <w:spacing w:after="0"/>
              <w:rPr>
                <w:sz w:val="20"/>
                <w:szCs w:val="20"/>
                <w:color w:val="auto"/>
              </w:rPr>
            </w:pPr>
            <w:r>
              <w:rPr>
                <w:rFonts w:ascii="Arial" w:cs="Arial" w:eastAsia="Arial" w:hAnsi="Arial"/>
                <w:sz w:val="15"/>
                <w:szCs w:val="15"/>
                <w:color w:val="auto"/>
              </w:rPr>
              <w:t>Derivatives designated as hedging</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6"/>
        </w:trPr>
        <w:tc>
          <w:tcPr>
            <w:tcW w:w="3160" w:type="dxa"/>
            <w:vAlign w:val="bottom"/>
            <w:gridSpan w:val="2"/>
          </w:tcPr>
          <w:p>
            <w:pPr>
              <w:ind w:left="440"/>
              <w:spacing w:after="0"/>
              <w:rPr>
                <w:sz w:val="20"/>
                <w:szCs w:val="20"/>
                <w:color w:val="auto"/>
              </w:rPr>
            </w:pPr>
            <w:r>
              <w:rPr>
                <w:rFonts w:ascii="Arial" w:cs="Arial" w:eastAsia="Arial" w:hAnsi="Arial"/>
                <w:sz w:val="15"/>
                <w:szCs w:val="15"/>
                <w:color w:val="auto"/>
              </w:rPr>
              <w:t>instruments</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132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564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w:t>
            </w:r>
          </w:p>
        </w:tc>
      </w:tr>
      <w:tr>
        <w:trPr>
          <w:trHeight w:val="200"/>
        </w:trPr>
        <w:tc>
          <w:tcPr>
            <w:tcW w:w="3160" w:type="dxa"/>
            <w:vAlign w:val="bottom"/>
            <w:gridSpan w:val="2"/>
          </w:tcPr>
          <w:p>
            <w:pPr>
              <w:ind w:left="320"/>
              <w:spacing w:after="0"/>
              <w:rPr>
                <w:sz w:val="20"/>
                <w:szCs w:val="20"/>
                <w:color w:val="auto"/>
              </w:rPr>
            </w:pPr>
            <w:r>
              <w:rPr>
                <w:rFonts w:ascii="Arial" w:cs="Arial" w:eastAsia="Arial" w:hAnsi="Arial"/>
                <w:sz w:val="15"/>
                <w:szCs w:val="15"/>
                <w:color w:val="auto"/>
              </w:rPr>
              <w:t>Interest accruals on hedging</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4"/>
        </w:trPr>
        <w:tc>
          <w:tcPr>
            <w:tcW w:w="3160" w:type="dxa"/>
            <w:vAlign w:val="bottom"/>
            <w:gridSpan w:val="2"/>
          </w:tcPr>
          <w:p>
            <w:pPr>
              <w:ind w:left="440"/>
              <w:spacing w:after="0"/>
              <w:rPr>
                <w:sz w:val="20"/>
                <w:szCs w:val="20"/>
                <w:color w:val="auto"/>
              </w:rPr>
            </w:pPr>
            <w:r>
              <w:rPr>
                <w:rFonts w:ascii="Arial" w:cs="Arial" w:eastAsia="Arial" w:hAnsi="Arial"/>
                <w:sz w:val="15"/>
                <w:szCs w:val="15"/>
                <w:color w:val="auto"/>
              </w:rPr>
              <w:t>instruments</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53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w:t>
            </w:r>
          </w:p>
        </w:tc>
      </w:tr>
      <w:tr>
        <w:trPr>
          <w:trHeight w:val="192"/>
        </w:trPr>
        <w:tc>
          <w:tcPr>
            <w:tcW w:w="3160" w:type="dxa"/>
            <w:vAlign w:val="bottom"/>
            <w:gridSpan w:val="2"/>
          </w:tcPr>
          <w:p>
            <w:pPr>
              <w:ind w:left="120"/>
              <w:spacing w:after="0"/>
              <w:rPr>
                <w:sz w:val="20"/>
                <w:szCs w:val="20"/>
                <w:color w:val="auto"/>
              </w:rPr>
            </w:pPr>
            <w:r>
              <w:rPr>
                <w:rFonts w:ascii="Arial" w:cs="Arial" w:eastAsia="Arial" w:hAnsi="Arial"/>
                <w:sz w:val="15"/>
                <w:szCs w:val="15"/>
                <w:color w:val="auto"/>
              </w:rPr>
              <w:t>Debt of Fannie Mae and related interest-</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6"/>
        </w:trPr>
        <w:tc>
          <w:tcPr>
            <w:tcW w:w="3160" w:type="dxa"/>
            <w:vAlign w:val="bottom"/>
            <w:gridSpan w:val="2"/>
          </w:tcPr>
          <w:p>
            <w:pPr>
              <w:ind w:left="220"/>
              <w:spacing w:after="0"/>
              <w:rPr>
                <w:sz w:val="20"/>
                <w:szCs w:val="20"/>
                <w:color w:val="auto"/>
              </w:rPr>
            </w:pPr>
            <w:r>
              <w:rPr>
                <w:rFonts w:ascii="Arial" w:cs="Arial" w:eastAsia="Arial" w:hAnsi="Arial"/>
                <w:sz w:val="15"/>
                <w:szCs w:val="15"/>
                <w:color w:val="auto"/>
              </w:rPr>
              <w:t>rate contracts: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6"/>
        </w:trPr>
        <w:tc>
          <w:tcPr>
            <w:tcW w:w="3160" w:type="dxa"/>
            <w:vAlign w:val="bottom"/>
            <w:gridSpan w:val="2"/>
          </w:tcPr>
          <w:p>
            <w:pPr>
              <w:ind w:left="320"/>
              <w:spacing w:after="0"/>
              <w:rPr>
                <w:sz w:val="20"/>
                <w:szCs w:val="20"/>
                <w:color w:val="auto"/>
              </w:rPr>
            </w:pPr>
            <w:r>
              <w:rPr>
                <w:rFonts w:ascii="Arial" w:cs="Arial" w:eastAsia="Arial" w:hAnsi="Arial"/>
                <w:sz w:val="15"/>
                <w:szCs w:val="15"/>
                <w:color w:val="auto"/>
              </w:rPr>
              <w:t>Hedged items</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669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748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430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2,371</w:t>
            </w:r>
          </w:p>
        </w:tc>
      </w:tr>
      <w:tr>
        <w:trPr>
          <w:trHeight w:val="200"/>
        </w:trPr>
        <w:tc>
          <w:tcPr>
            <w:tcW w:w="3160" w:type="dxa"/>
            <w:vAlign w:val="bottom"/>
            <w:gridSpan w:val="2"/>
          </w:tcPr>
          <w:p>
            <w:pPr>
              <w:ind w:left="320"/>
              <w:spacing w:after="0"/>
              <w:rPr>
                <w:sz w:val="20"/>
                <w:szCs w:val="20"/>
                <w:color w:val="auto"/>
              </w:rPr>
            </w:pPr>
            <w:r>
              <w:rPr>
                <w:rFonts w:ascii="Arial" w:cs="Arial" w:eastAsia="Arial" w:hAnsi="Arial"/>
                <w:sz w:val="15"/>
                <w:szCs w:val="15"/>
                <w:color w:val="auto"/>
              </w:rPr>
              <w:t>Discontinued hedge-related basis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3"/>
        </w:trPr>
        <w:tc>
          <w:tcPr>
            <w:tcW w:w="3160" w:type="dxa"/>
            <w:vAlign w:val="bottom"/>
            <w:gridSpan w:val="2"/>
          </w:tcPr>
          <w:p>
            <w:pPr>
              <w:ind w:left="440"/>
              <w:spacing w:after="0"/>
              <w:rPr>
                <w:sz w:val="20"/>
                <w:szCs w:val="20"/>
                <w:color w:val="auto"/>
              </w:rPr>
            </w:pPr>
            <w:r>
              <w:rPr>
                <w:rFonts w:ascii="Arial" w:cs="Arial" w:eastAsia="Arial" w:hAnsi="Arial"/>
                <w:sz w:val="15"/>
                <w:szCs w:val="15"/>
                <w:color w:val="auto"/>
              </w:rPr>
              <w:t>adjustment amortization</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(184)</w:t>
            </w:r>
          </w:p>
        </w:tc>
      </w:tr>
      <w:tr>
        <w:trPr>
          <w:trHeight w:val="213"/>
        </w:trPr>
        <w:tc>
          <w:tcPr>
            <w:tcW w:w="3160" w:type="dxa"/>
            <w:vAlign w:val="bottom"/>
            <w:gridSpan w:val="2"/>
          </w:tcPr>
          <w:p>
            <w:pPr>
              <w:ind w:left="320"/>
              <w:spacing w:after="0"/>
              <w:rPr>
                <w:sz w:val="20"/>
                <w:szCs w:val="20"/>
                <w:color w:val="auto"/>
              </w:rPr>
            </w:pPr>
            <w:r>
              <w:rPr>
                <w:rFonts w:ascii="Arial" w:cs="Arial" w:eastAsia="Arial" w:hAnsi="Arial"/>
                <w:sz w:val="15"/>
                <w:szCs w:val="15"/>
                <w:color w:val="auto"/>
              </w:rPr>
              <w:t>Derivatives designated as hedging</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3"/>
        </w:trPr>
        <w:tc>
          <w:tcPr>
            <w:tcW w:w="3160" w:type="dxa"/>
            <w:vAlign w:val="bottom"/>
            <w:gridSpan w:val="2"/>
          </w:tcPr>
          <w:p>
            <w:pPr>
              <w:ind w:left="440"/>
              <w:spacing w:after="0"/>
              <w:rPr>
                <w:sz w:val="20"/>
                <w:szCs w:val="20"/>
                <w:color w:val="auto"/>
              </w:rPr>
            </w:pPr>
            <w:r>
              <w:rPr>
                <w:rFonts w:ascii="Arial" w:cs="Arial" w:eastAsia="Arial" w:hAnsi="Arial"/>
                <w:sz w:val="15"/>
                <w:szCs w:val="15"/>
                <w:color w:val="auto"/>
              </w:rPr>
              <w:t>instruments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(2,092)</w:t>
            </w:r>
          </w:p>
        </w:tc>
      </w:tr>
      <w:tr>
        <w:trPr>
          <w:trHeight w:val="200"/>
        </w:trPr>
        <w:tc>
          <w:tcPr>
            <w:tcW w:w="3160" w:type="dxa"/>
            <w:vAlign w:val="bottom"/>
            <w:gridSpan w:val="2"/>
          </w:tcPr>
          <w:p>
            <w:pPr>
              <w:ind w:left="320"/>
              <w:spacing w:after="0"/>
              <w:rPr>
                <w:sz w:val="20"/>
                <w:szCs w:val="20"/>
                <w:color w:val="auto"/>
              </w:rPr>
            </w:pPr>
            <w:r>
              <w:rPr>
                <w:rFonts w:ascii="Arial" w:cs="Arial" w:eastAsia="Arial" w:hAnsi="Arial"/>
                <w:sz w:val="15"/>
                <w:szCs w:val="15"/>
                <w:color w:val="auto"/>
              </w:rPr>
              <w:t>Interest accruals on derivative hedging</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7"/>
        </w:trPr>
        <w:tc>
          <w:tcPr>
            <w:tcW w:w="3060" w:type="dxa"/>
            <w:vAlign w:val="bottom"/>
            <w:tcBorders>
              <w:bottom w:val="single" w:sz="8" w:color="2C6937"/>
            </w:tcBorders>
          </w:tcPr>
          <w:p>
            <w:pPr>
              <w:ind w:left="440"/>
              <w:spacing w:after="0"/>
              <w:rPr>
                <w:sz w:val="20"/>
                <w:szCs w:val="20"/>
                <w:color w:val="auto"/>
              </w:rPr>
            </w:pPr>
            <w:r>
              <w:rPr>
                <w:rFonts w:ascii="Arial" w:cs="Arial" w:eastAsia="Arial" w:hAnsi="Arial"/>
                <w:sz w:val="15"/>
                <w:szCs w:val="15"/>
                <w:color w:val="auto"/>
              </w:rPr>
              <w:t>instruments</w:t>
            </w:r>
          </w:p>
        </w:tc>
        <w:tc>
          <w:tcPr>
            <w:tcW w:w="10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(293)</w:t>
            </w:r>
          </w:p>
        </w:tc>
        <w:tc>
          <w:tcPr>
            <w:tcW w:w="10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82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(522)</w:t>
            </w:r>
          </w:p>
        </w:tc>
        <w:tc>
          <w:tcPr>
            <w:tcW w:w="8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82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82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54</w:t>
            </w:r>
          </w:p>
        </w:tc>
      </w:tr>
      <w:tr>
        <w:trPr>
          <w:trHeight w:val="225"/>
        </w:trPr>
        <w:tc>
          <w:tcPr>
            <w:tcW w:w="3160" w:type="dxa"/>
            <w:vAlign w:val="bottom"/>
            <w:gridSpan w:val="2"/>
          </w:tcPr>
          <w:p>
            <w:pPr>
              <w:spacing w:after="0"/>
              <w:rPr>
                <w:sz w:val="20"/>
                <w:szCs w:val="20"/>
                <w:color w:val="auto"/>
              </w:rPr>
            </w:pPr>
            <w:r>
              <w:rPr>
                <w:rFonts w:ascii="Arial" w:cs="Arial" w:eastAsia="Arial" w:hAnsi="Arial"/>
                <w:sz w:val="15"/>
                <w:szCs w:val="15"/>
                <w:color w:val="auto"/>
              </w:rPr>
              <w:t>Total effect of fair value hedges</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(326)</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68</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24</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(558)</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149</w:t>
            </w:r>
          </w:p>
        </w:tc>
      </w:tr>
      <w:tr>
        <w:trPr>
          <w:trHeight w:val="20"/>
        </w:trPr>
        <w:tc>
          <w:tcPr>
            <w:tcW w:w="30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425450</wp:posOffset>
            </wp:positionV>
            <wp:extent cx="681101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00" w:name="page101"/>
    <w:bookmarkEnd w:id="100"/>
    <w:p>
      <w:pPr>
        <w:ind w:left="6240"/>
        <w:spacing w:after="0"/>
        <w:rPr>
          <w:sz w:val="20"/>
          <w:szCs w:val="20"/>
          <w:color w:val="auto"/>
        </w:rPr>
      </w:pPr>
      <w:r>
        <w:rPr>
          <w:rFonts w:ascii="Arial" w:cs="Arial" w:eastAsia="Arial" w:hAnsi="Arial"/>
          <w:sz w:val="14"/>
          <w:szCs w:val="14"/>
          <w:color w:val="05314D"/>
        </w:rPr>
        <w:t>Notes to Condensed Consolidated Financial Statements |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15875</wp:posOffset>
            </wp:positionV>
            <wp:extent cx="702373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Hedged Items in Fair Value Hedging Relationships</w:t>
      </w:r>
    </w:p>
    <w:p>
      <w:pPr>
        <w:spacing w:after="0" w:line="82"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The following table displays the carrying amounts of the hedged items that have been in qualifying fair value hedges recorded in our condensed consolidated balance sheets, including the hedged item’s cumulative basis adjustments and the closed portfolio balances under the portfolio layer method. The hedged item carrying amounts and total basis adjustments include both open and discontinued hedges. The amortized cost and designated UPB consists only of open hedges as of June 30, 2023 and December 31, 2022.</w:t>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28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44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46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1720" w:type="dxa"/>
            <w:vAlign w:val="bottom"/>
            <w:tcBorders>
              <w:bottom w:val="single" w:sz="8" w:color="2C6937"/>
            </w:tcBorders>
          </w:tcPr>
          <w:p>
            <w:pPr>
              <w:jc w:val="center"/>
              <w:ind w:right="8"/>
              <w:spacing w:after="0"/>
              <w:rPr>
                <w:sz w:val="20"/>
                <w:szCs w:val="20"/>
                <w:color w:val="auto"/>
              </w:rPr>
            </w:pPr>
            <w:r>
              <w:rPr>
                <w:rFonts w:ascii="Arial" w:cs="Arial" w:eastAsia="Arial" w:hAnsi="Arial"/>
                <w:sz w:val="14"/>
                <w:szCs w:val="14"/>
                <w:b w:val="1"/>
                <w:bCs w:val="1"/>
                <w:color w:val="auto"/>
                <w:w w:val="98"/>
              </w:rPr>
              <w:t>As of June 30, 2023</w:t>
            </w:r>
          </w:p>
        </w:tc>
        <w:tc>
          <w:tcPr>
            <w:tcW w:w="2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38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340" w:type="dxa"/>
            <w:vAlign w:val="bottom"/>
            <w:tcBorders>
              <w:bottom w:val="single" w:sz="8" w:color="2C6937"/>
            </w:tcBorders>
          </w:tcPr>
          <w:p>
            <w:pPr>
              <w:spacing w:after="0"/>
              <w:rPr>
                <w:sz w:val="16"/>
                <w:szCs w:val="16"/>
                <w:color w:val="auto"/>
              </w:rPr>
            </w:pPr>
          </w:p>
        </w:tc>
      </w:tr>
      <w:tr>
        <w:trPr>
          <w:trHeight w:val="330"/>
        </w:trPr>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80" w:type="dxa"/>
            <w:vAlign w:val="bottom"/>
            <w:gridSpan w:val="3"/>
          </w:tcPr>
          <w:p>
            <w:pPr>
              <w:jc w:val="center"/>
              <w:ind w:right="88"/>
              <w:spacing w:after="0"/>
              <w:rPr>
                <w:sz w:val="20"/>
                <w:szCs w:val="20"/>
                <w:color w:val="auto"/>
              </w:rPr>
            </w:pPr>
            <w:r>
              <w:rPr>
                <w:rFonts w:ascii="Arial" w:cs="Arial" w:eastAsia="Arial" w:hAnsi="Arial"/>
                <w:sz w:val="14"/>
                <w:szCs w:val="14"/>
                <w:b w:val="1"/>
                <w:bCs w:val="1"/>
                <w:color w:val="auto"/>
                <w:w w:val="97"/>
              </w:rPr>
              <w:t>Cumulative Amount of Fair Value Hedging Basis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4"/>
          </w:tcPr>
          <w:p>
            <w:pPr>
              <w:jc w:val="center"/>
              <w:ind w:right="66"/>
              <w:spacing w:after="0"/>
              <w:rPr>
                <w:sz w:val="20"/>
                <w:szCs w:val="20"/>
                <w:color w:val="auto"/>
              </w:rPr>
            </w:pPr>
            <w:r>
              <w:rPr>
                <w:rFonts w:ascii="Arial" w:cs="Arial" w:eastAsia="Arial" w:hAnsi="Arial"/>
                <w:sz w:val="14"/>
                <w:szCs w:val="14"/>
                <w:b w:val="1"/>
                <w:bCs w:val="1"/>
                <w:color w:val="auto"/>
                <w:w w:val="98"/>
              </w:rPr>
              <w:t>Closed Portfolio of Mortgage Loans Under</w:t>
            </w:r>
          </w:p>
        </w:tc>
      </w:tr>
      <w:tr>
        <w:trPr>
          <w:trHeight w:val="191"/>
        </w:trPr>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3"/>
          </w:tcPr>
          <w:p>
            <w:pPr>
              <w:jc w:val="center"/>
              <w:ind w:right="68"/>
              <w:spacing w:after="0"/>
              <w:rPr>
                <w:sz w:val="20"/>
                <w:szCs w:val="20"/>
                <w:color w:val="auto"/>
              </w:rPr>
            </w:pPr>
            <w:r>
              <w:rPr>
                <w:rFonts w:ascii="Arial" w:cs="Arial" w:eastAsia="Arial" w:hAnsi="Arial"/>
                <w:sz w:val="14"/>
                <w:szCs w:val="14"/>
                <w:b w:val="1"/>
                <w:bCs w:val="1"/>
                <w:color w:val="auto"/>
                <w:w w:val="98"/>
              </w:rPr>
              <w:t>Adjustments Included in the Carrying Amount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20" w:type="dxa"/>
            <w:vAlign w:val="bottom"/>
            <w:gridSpan w:val="4"/>
          </w:tcPr>
          <w:p>
            <w:pPr>
              <w:jc w:val="center"/>
              <w:ind w:right="86"/>
              <w:spacing w:after="0"/>
              <w:rPr>
                <w:sz w:val="20"/>
                <w:szCs w:val="20"/>
                <w:color w:val="auto"/>
              </w:rPr>
            </w:pPr>
            <w:r>
              <w:rPr>
                <w:rFonts w:ascii="Arial" w:cs="Arial" w:eastAsia="Arial" w:hAnsi="Arial"/>
                <w:sz w:val="14"/>
                <w:szCs w:val="14"/>
                <w:b w:val="1"/>
                <w:bCs w:val="1"/>
                <w:color w:val="auto"/>
                <w:w w:val="98"/>
              </w:rPr>
              <w:t>Portfolio Layer Method</w:t>
            </w:r>
          </w:p>
        </w:tc>
      </w:tr>
      <w:tr>
        <w:trPr>
          <w:trHeight w:val="330"/>
        </w:trPr>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center"/>
              <w:ind w:right="206"/>
              <w:spacing w:after="0"/>
              <w:rPr>
                <w:sz w:val="20"/>
                <w:szCs w:val="20"/>
                <w:color w:val="auto"/>
              </w:rPr>
            </w:pPr>
            <w:r>
              <w:rPr>
                <w:rFonts w:ascii="Arial" w:cs="Arial" w:eastAsia="Arial" w:hAnsi="Arial"/>
                <w:sz w:val="14"/>
                <w:szCs w:val="14"/>
                <w:b w:val="1"/>
                <w:bCs w:val="1"/>
                <w:color w:val="auto"/>
                <w:w w:val="97"/>
              </w:rPr>
              <w:t>Carrying Amount</w:t>
            </w:r>
          </w:p>
        </w:tc>
        <w:tc>
          <w:tcPr>
            <w:tcW w:w="40" w:type="dxa"/>
            <w:vAlign w:val="bottom"/>
            <w:tcBorders>
              <w:top w:val="single" w:sz="8" w:color="2C6937"/>
            </w:tcBorders>
          </w:tcPr>
          <w:p>
            <w:pPr>
              <w:spacing w:after="0"/>
              <w:rPr>
                <w:sz w:val="24"/>
                <w:szCs w:val="24"/>
                <w:color w:val="auto"/>
              </w:rPr>
            </w:pPr>
          </w:p>
        </w:tc>
        <w:tc>
          <w:tcPr>
            <w:tcW w:w="120" w:type="dxa"/>
            <w:vAlign w:val="bottom"/>
            <w:tcBorders>
              <w:top w:val="single" w:sz="8" w:color="2C6937"/>
            </w:tcBorders>
          </w:tcPr>
          <w:p>
            <w:pPr>
              <w:spacing w:after="0"/>
              <w:rPr>
                <w:sz w:val="24"/>
                <w:szCs w:val="24"/>
                <w:color w:val="auto"/>
              </w:rPr>
            </w:pPr>
          </w:p>
        </w:tc>
        <w:tc>
          <w:tcPr>
            <w:tcW w:w="1460" w:type="dxa"/>
            <w:vAlign w:val="bottom"/>
            <w:tcBorders>
              <w:top w:val="single" w:sz="8" w:color="2C6937"/>
            </w:tcBorders>
          </w:tcPr>
          <w:p>
            <w:pPr>
              <w:jc w:val="center"/>
              <w:ind w:right="148"/>
              <w:spacing w:after="0"/>
              <w:rPr>
                <w:sz w:val="20"/>
                <w:szCs w:val="20"/>
                <w:color w:val="auto"/>
              </w:rPr>
            </w:pPr>
            <w:r>
              <w:rPr>
                <w:rFonts w:ascii="Arial" w:cs="Arial" w:eastAsia="Arial" w:hAnsi="Arial"/>
                <w:sz w:val="14"/>
                <w:szCs w:val="14"/>
                <w:b w:val="1"/>
                <w:bCs w:val="1"/>
                <w:color w:val="auto"/>
                <w:w w:val="96"/>
              </w:rPr>
              <w:t>Total Basis</w:t>
            </w:r>
          </w:p>
        </w:tc>
        <w:tc>
          <w:tcPr>
            <w:tcW w:w="1920" w:type="dxa"/>
            <w:vAlign w:val="bottom"/>
            <w:tcBorders>
              <w:top w:val="single" w:sz="8" w:color="2C6937"/>
            </w:tcBorders>
            <w:gridSpan w:val="2"/>
          </w:tcPr>
          <w:p>
            <w:pPr>
              <w:jc w:val="right"/>
              <w:ind w:right="28"/>
              <w:spacing w:after="0"/>
              <w:rPr>
                <w:sz w:val="20"/>
                <w:szCs w:val="20"/>
                <w:color w:val="auto"/>
              </w:rPr>
            </w:pPr>
            <w:r>
              <w:rPr>
                <w:rFonts w:ascii="Arial" w:cs="Arial" w:eastAsia="Arial" w:hAnsi="Arial"/>
                <w:sz w:val="14"/>
                <w:szCs w:val="14"/>
                <w:b w:val="1"/>
                <w:bCs w:val="1"/>
                <w:color w:val="auto"/>
              </w:rPr>
              <w:t>Remaining Adjustments -</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2C6937"/>
            </w:tcBorders>
          </w:tcPr>
          <w:p>
            <w:pPr>
              <w:spacing w:after="0"/>
              <w:rPr>
                <w:sz w:val="24"/>
                <w:szCs w:val="24"/>
                <w:color w:val="auto"/>
              </w:rPr>
            </w:pPr>
          </w:p>
        </w:tc>
        <w:tc>
          <w:tcPr>
            <w:tcW w:w="140" w:type="dxa"/>
            <w:vAlign w:val="bottom"/>
            <w:tcBorders>
              <w:top w:val="single" w:sz="8" w:color="2C6937"/>
            </w:tcBorders>
          </w:tcPr>
          <w:p>
            <w:pPr>
              <w:spacing w:after="0"/>
              <w:rPr>
                <w:sz w:val="24"/>
                <w:szCs w:val="24"/>
                <w:color w:val="auto"/>
              </w:rPr>
            </w:pPr>
          </w:p>
        </w:tc>
        <w:tc>
          <w:tcPr>
            <w:tcW w:w="1380" w:type="dxa"/>
            <w:vAlign w:val="bottom"/>
            <w:tcBorders>
              <w:top w:val="single" w:sz="8" w:color="2C6937"/>
            </w:tcBorders>
          </w:tcPr>
          <w:p>
            <w:pPr>
              <w:spacing w:after="0"/>
              <w:rPr>
                <w:sz w:val="24"/>
                <w:szCs w:val="24"/>
                <w:color w:val="auto"/>
              </w:rPr>
            </w:pPr>
          </w:p>
        </w:tc>
        <w:tc>
          <w:tcPr>
            <w:tcW w:w="140" w:type="dxa"/>
            <w:vAlign w:val="bottom"/>
            <w:tcBorders>
              <w:top w:val="single" w:sz="8" w:color="1F5122"/>
            </w:tcBorders>
          </w:tcPr>
          <w:p>
            <w:pPr>
              <w:spacing w:after="0"/>
              <w:rPr>
                <w:sz w:val="24"/>
                <w:szCs w:val="24"/>
                <w:color w:val="auto"/>
              </w:rPr>
            </w:pPr>
          </w:p>
        </w:tc>
        <w:tc>
          <w:tcPr>
            <w:tcW w:w="160" w:type="dxa"/>
            <w:vAlign w:val="bottom"/>
            <w:tcBorders>
              <w:top w:val="single" w:sz="8" w:color="2C6937"/>
            </w:tcBorders>
          </w:tcPr>
          <w:p>
            <w:pPr>
              <w:spacing w:after="0"/>
              <w:rPr>
                <w:sz w:val="24"/>
                <w:szCs w:val="24"/>
                <w:color w:val="auto"/>
              </w:rPr>
            </w:pPr>
          </w:p>
        </w:tc>
        <w:tc>
          <w:tcPr>
            <w:tcW w:w="1340" w:type="dxa"/>
            <w:vAlign w:val="bottom"/>
            <w:tcBorders>
              <w:top w:val="single" w:sz="8" w:color="2C6937"/>
            </w:tcBorders>
          </w:tcPr>
          <w:p>
            <w:pPr>
              <w:spacing w:after="0"/>
              <w:rPr>
                <w:sz w:val="24"/>
                <w:szCs w:val="24"/>
                <w:color w:val="auto"/>
              </w:rPr>
            </w:pPr>
          </w:p>
        </w:tc>
      </w:tr>
      <w:tr>
        <w:trPr>
          <w:trHeight w:val="198"/>
        </w:trPr>
        <w:tc>
          <w:tcPr>
            <w:tcW w:w="2800" w:type="dxa"/>
            <w:vAlign w:val="bottom"/>
          </w:tcPr>
          <w:p>
            <w:pPr>
              <w:spacing w:after="0"/>
              <w:rPr>
                <w:sz w:val="17"/>
                <w:szCs w:val="17"/>
                <w:color w:val="auto"/>
              </w:rPr>
            </w:pPr>
          </w:p>
        </w:tc>
        <w:tc>
          <w:tcPr>
            <w:tcW w:w="1560" w:type="dxa"/>
            <w:vAlign w:val="bottom"/>
            <w:tcBorders>
              <w:bottom w:val="single" w:sz="8" w:color="2C6937"/>
            </w:tcBorders>
            <w:gridSpan w:val="2"/>
          </w:tcPr>
          <w:p>
            <w:pPr>
              <w:jc w:val="center"/>
              <w:ind w:right="66"/>
              <w:spacing w:after="0"/>
              <w:rPr>
                <w:sz w:val="20"/>
                <w:szCs w:val="20"/>
                <w:color w:val="auto"/>
              </w:rPr>
            </w:pPr>
            <w:r>
              <w:rPr>
                <w:rFonts w:ascii="Arial" w:cs="Arial" w:eastAsia="Arial" w:hAnsi="Arial"/>
                <w:sz w:val="14"/>
                <w:szCs w:val="14"/>
                <w:b w:val="1"/>
                <w:bCs w:val="1"/>
                <w:color w:val="auto"/>
                <w:w w:val="98"/>
              </w:rPr>
              <w:t>Assets (Liabilities)</w:t>
            </w:r>
          </w:p>
        </w:tc>
        <w:tc>
          <w:tcPr>
            <w:tcW w:w="4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460" w:type="dxa"/>
            <w:vAlign w:val="bottom"/>
            <w:tcBorders>
              <w:bottom w:val="single" w:sz="8" w:color="2C6937"/>
            </w:tcBorders>
          </w:tcPr>
          <w:p>
            <w:pPr>
              <w:jc w:val="center"/>
              <w:ind w:right="148"/>
              <w:spacing w:after="0"/>
              <w:rPr>
                <w:sz w:val="20"/>
                <w:szCs w:val="20"/>
                <w:color w:val="auto"/>
              </w:rPr>
            </w:pPr>
            <w:r>
              <w:rPr>
                <w:rFonts w:ascii="Arial" w:cs="Arial" w:eastAsia="Arial" w:hAnsi="Arial"/>
                <w:sz w:val="14"/>
                <w:szCs w:val="14"/>
                <w:b w:val="1"/>
                <w:bCs w:val="1"/>
                <w:color w:val="auto"/>
                <w:w w:val="99"/>
              </w:rPr>
              <w:t>Adjustments</w:t>
            </w:r>
            <w:r>
              <w:rPr>
                <w:rFonts w:ascii="Arial" w:cs="Arial" w:eastAsia="Arial" w:hAnsi="Arial"/>
                <w:sz w:val="8"/>
                <w:szCs w:val="8"/>
                <w:b w:val="1"/>
                <w:bCs w:val="1"/>
                <w:color w:val="auto"/>
                <w:w w:val="99"/>
              </w:rPr>
              <w:t>(1)(2)</w:t>
            </w:r>
          </w:p>
        </w:tc>
        <w:tc>
          <w:tcPr>
            <w:tcW w:w="200" w:type="dxa"/>
            <w:vAlign w:val="bottom"/>
            <w:tcBorders>
              <w:bottom w:val="single" w:sz="8" w:color="2C6937"/>
            </w:tcBorders>
          </w:tcPr>
          <w:p>
            <w:pPr>
              <w:spacing w:after="0"/>
              <w:rPr>
                <w:sz w:val="17"/>
                <w:szCs w:val="17"/>
                <w:color w:val="auto"/>
              </w:rPr>
            </w:pPr>
          </w:p>
        </w:tc>
        <w:tc>
          <w:tcPr>
            <w:tcW w:w="1720" w:type="dxa"/>
            <w:vAlign w:val="bottom"/>
            <w:tcBorders>
              <w:bottom w:val="single" w:sz="8" w:color="2C6937"/>
            </w:tcBorders>
          </w:tcPr>
          <w:p>
            <w:pPr>
              <w:jc w:val="center"/>
              <w:ind w:right="48"/>
              <w:spacing w:after="0"/>
              <w:rPr>
                <w:sz w:val="20"/>
                <w:szCs w:val="20"/>
                <w:color w:val="auto"/>
              </w:rPr>
            </w:pPr>
            <w:r>
              <w:rPr>
                <w:rFonts w:ascii="Arial" w:cs="Arial" w:eastAsia="Arial" w:hAnsi="Arial"/>
                <w:sz w:val="14"/>
                <w:szCs w:val="14"/>
                <w:b w:val="1"/>
                <w:bCs w:val="1"/>
                <w:color w:val="auto"/>
                <w:w w:val="97"/>
              </w:rPr>
              <w:t>Discontinued Hedge</w:t>
            </w:r>
          </w:p>
        </w:tc>
        <w:tc>
          <w:tcPr>
            <w:tcW w:w="2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520" w:type="dxa"/>
            <w:vAlign w:val="bottom"/>
            <w:tcBorders>
              <w:bottom w:val="single" w:sz="8" w:color="2C6937"/>
            </w:tcBorders>
            <w:gridSpan w:val="2"/>
          </w:tcPr>
          <w:p>
            <w:pPr>
              <w:jc w:val="right"/>
              <w:ind w:right="27"/>
              <w:spacing w:after="0"/>
              <w:rPr>
                <w:sz w:val="20"/>
                <w:szCs w:val="20"/>
                <w:color w:val="auto"/>
              </w:rPr>
            </w:pPr>
            <w:r>
              <w:rPr>
                <w:rFonts w:ascii="Arial" w:cs="Arial" w:eastAsia="Arial" w:hAnsi="Arial"/>
                <w:sz w:val="14"/>
                <w:szCs w:val="14"/>
                <w:b w:val="1"/>
                <w:bCs w:val="1"/>
                <w:color w:val="auto"/>
                <w:w w:val="99"/>
              </w:rPr>
              <w:t>Total Amortized Cost</w:t>
            </w:r>
          </w:p>
        </w:tc>
        <w:tc>
          <w:tcPr>
            <w:tcW w:w="14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340" w:type="dxa"/>
            <w:vAlign w:val="bottom"/>
            <w:tcBorders>
              <w:bottom w:val="single" w:sz="8" w:color="2C6937"/>
            </w:tcBorders>
          </w:tcPr>
          <w:p>
            <w:pPr>
              <w:jc w:val="right"/>
              <w:ind w:right="146"/>
              <w:spacing w:after="0"/>
              <w:rPr>
                <w:sz w:val="20"/>
                <w:szCs w:val="20"/>
                <w:color w:val="auto"/>
              </w:rPr>
            </w:pPr>
            <w:r>
              <w:rPr>
                <w:rFonts w:ascii="Arial" w:cs="Arial" w:eastAsia="Arial" w:hAnsi="Arial"/>
                <w:sz w:val="14"/>
                <w:szCs w:val="14"/>
                <w:b w:val="1"/>
                <w:bCs w:val="1"/>
                <w:color w:val="auto"/>
              </w:rPr>
              <w:t>Designated UPB</w:t>
            </w:r>
          </w:p>
        </w:tc>
      </w:tr>
      <w:tr>
        <w:trPr>
          <w:trHeight w:val="192"/>
        </w:trPr>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jc w:val="center"/>
              <w:ind w:right="8"/>
              <w:spacing w:after="0"/>
              <w:rPr>
                <w:sz w:val="20"/>
                <w:szCs w:val="20"/>
                <w:color w:val="auto"/>
              </w:rPr>
            </w:pPr>
            <w:r>
              <w:rPr>
                <w:rFonts w:ascii="Arial" w:cs="Arial" w:eastAsia="Arial" w:hAnsi="Arial"/>
                <w:sz w:val="14"/>
                <w:szCs w:val="14"/>
                <w:b w:val="1"/>
                <w:bCs w:val="1"/>
                <w:color w:val="auto"/>
                <w:w w:val="98"/>
              </w:rPr>
              <w:t>(Dollars in millions)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2"/>
        </w:trPr>
        <w:tc>
          <w:tcPr>
            <w:tcW w:w="2800" w:type="dxa"/>
            <w:vAlign w:val="bottom"/>
          </w:tcPr>
          <w:p>
            <w:pPr>
              <w:spacing w:after="0"/>
              <w:rPr>
                <w:sz w:val="20"/>
                <w:szCs w:val="20"/>
                <w:color w:val="auto"/>
              </w:rPr>
            </w:pPr>
            <w:r>
              <w:rPr>
                <w:rFonts w:ascii="Arial" w:cs="Arial" w:eastAsia="Arial" w:hAnsi="Arial"/>
                <w:sz w:val="15"/>
                <w:szCs w:val="15"/>
                <w:color w:val="auto"/>
              </w:rPr>
              <w:t>Mortgage loans HFI</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126"/>
              <w:spacing w:after="0"/>
              <w:rPr>
                <w:sz w:val="20"/>
                <w:szCs w:val="20"/>
                <w:color w:val="auto"/>
              </w:rPr>
            </w:pPr>
            <w:r>
              <w:rPr>
                <w:rFonts w:ascii="Arial" w:cs="Arial" w:eastAsia="Arial" w:hAnsi="Arial"/>
                <w:sz w:val="15"/>
                <w:szCs w:val="15"/>
                <w:color w:val="auto"/>
              </w:rPr>
              <w:t>356,930</w:t>
            </w:r>
          </w:p>
        </w:tc>
        <w:tc>
          <w:tcPr>
            <w:tcW w:w="1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28"/>
              <w:spacing w:after="0"/>
              <w:rPr>
                <w:sz w:val="20"/>
                <w:szCs w:val="20"/>
                <w:color w:val="auto"/>
              </w:rPr>
            </w:pPr>
            <w:r>
              <w:rPr>
                <w:rFonts w:ascii="Arial" w:cs="Arial" w:eastAsia="Arial" w:hAnsi="Arial"/>
                <w:sz w:val="15"/>
                <w:szCs w:val="15"/>
                <w:color w:val="auto"/>
              </w:rPr>
              <w:t>(575)</w:t>
            </w:r>
          </w:p>
        </w:tc>
        <w:tc>
          <w:tcPr>
            <w:tcW w:w="200" w:type="dxa"/>
            <w:vAlign w:val="bottom"/>
          </w:tcPr>
          <w:p>
            <w:pPr>
              <w:jc w:val="center"/>
              <w:spacing w:after="0"/>
              <w:rPr>
                <w:sz w:val="20"/>
                <w:szCs w:val="20"/>
                <w:color w:val="auto"/>
              </w:rPr>
            </w:pPr>
            <w:r>
              <w:rPr>
                <w:rFonts w:ascii="Arial" w:cs="Arial" w:eastAsia="Arial" w:hAnsi="Arial"/>
                <w:sz w:val="15"/>
                <w:szCs w:val="15"/>
                <w:color w:val="auto"/>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(575)</w:t>
            </w:r>
          </w:p>
        </w:tc>
        <w:tc>
          <w:tcPr>
            <w:tcW w:w="30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7"/>
              <w:spacing w:after="0"/>
              <w:rPr>
                <w:sz w:val="20"/>
                <w:szCs w:val="20"/>
                <w:color w:val="auto"/>
              </w:rPr>
            </w:pPr>
            <w:r>
              <w:rPr>
                <w:rFonts w:ascii="Arial" w:cs="Arial" w:eastAsia="Arial" w:hAnsi="Arial"/>
                <w:sz w:val="15"/>
                <w:szCs w:val="15"/>
                <w:color w:val="auto"/>
              </w:rPr>
              <w:t>171,706</w:t>
            </w:r>
          </w:p>
        </w:tc>
        <w:tc>
          <w:tcPr>
            <w:tcW w:w="3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3,186</w:t>
            </w:r>
          </w:p>
        </w:tc>
      </w:tr>
      <w:tr>
        <w:trPr>
          <w:trHeight w:val="232"/>
        </w:trPr>
        <w:tc>
          <w:tcPr>
            <w:tcW w:w="2800" w:type="dxa"/>
            <w:vAlign w:val="bottom"/>
          </w:tcPr>
          <w:p>
            <w:pPr>
              <w:spacing w:after="0"/>
              <w:rPr>
                <w:sz w:val="20"/>
                <w:szCs w:val="20"/>
                <w:color w:val="auto"/>
              </w:rPr>
            </w:pPr>
            <w:r>
              <w:rPr>
                <w:rFonts w:ascii="Arial" w:cs="Arial" w:eastAsia="Arial" w:hAnsi="Arial"/>
                <w:sz w:val="15"/>
                <w:szCs w:val="15"/>
                <w:color w:val="auto"/>
              </w:rPr>
              <w:t>Debt of Fannie Mae</w:t>
            </w:r>
          </w:p>
        </w:tc>
        <w:tc>
          <w:tcPr>
            <w:tcW w:w="120" w:type="dxa"/>
            <w:vAlign w:val="bottom"/>
          </w:tcPr>
          <w:p>
            <w:pPr>
              <w:spacing w:after="0"/>
              <w:rPr>
                <w:sz w:val="20"/>
                <w:szCs w:val="20"/>
                <w:color w:val="auto"/>
              </w:rPr>
            </w:pPr>
          </w:p>
        </w:tc>
        <w:tc>
          <w:tcPr>
            <w:tcW w:w="1440" w:type="dxa"/>
            <w:vAlign w:val="bottom"/>
          </w:tcPr>
          <w:p>
            <w:pPr>
              <w:ind w:left="700"/>
              <w:spacing w:after="0"/>
              <w:rPr>
                <w:sz w:val="20"/>
                <w:szCs w:val="20"/>
                <w:color w:val="auto"/>
              </w:rPr>
            </w:pPr>
            <w:r>
              <w:rPr>
                <w:rFonts w:ascii="Arial" w:cs="Arial" w:eastAsia="Arial" w:hAnsi="Arial"/>
                <w:sz w:val="15"/>
                <w:szCs w:val="15"/>
                <w:color w:val="auto"/>
              </w:rPr>
              <w:t>(70,459)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68"/>
              <w:spacing w:after="0"/>
              <w:rPr>
                <w:sz w:val="20"/>
                <w:szCs w:val="20"/>
                <w:color w:val="auto"/>
              </w:rPr>
            </w:pPr>
            <w:r>
              <w:rPr>
                <w:rFonts w:ascii="Arial" w:cs="Arial" w:eastAsia="Arial" w:hAnsi="Arial"/>
                <w:sz w:val="15"/>
                <w:szCs w:val="15"/>
                <w:color w:val="auto"/>
              </w:rPr>
              <w:t>4,747</w:t>
            </w:r>
          </w:p>
        </w:tc>
        <w:tc>
          <w:tcPr>
            <w:tcW w:w="200" w:type="dxa"/>
            <w:vAlign w:val="bottom"/>
          </w:tcPr>
          <w:p>
            <w:pPr>
              <w:spacing w:after="0"/>
              <w:rPr>
                <w:sz w:val="20"/>
                <w:szCs w:val="20"/>
                <w:color w:val="auto"/>
              </w:rPr>
            </w:pPr>
          </w:p>
        </w:tc>
        <w:tc>
          <w:tcPr>
            <w:tcW w:w="1720" w:type="dxa"/>
            <w:vAlign w:val="bottom"/>
          </w:tcPr>
          <w:p>
            <w:pPr>
              <w:jc w:val="right"/>
              <w:ind w:right="8"/>
              <w:spacing w:after="0"/>
              <w:rPr>
                <w:sz w:val="20"/>
                <w:szCs w:val="20"/>
                <w:color w:val="auto"/>
              </w:rPr>
            </w:pPr>
            <w:r>
              <w:rPr>
                <w:rFonts w:ascii="Arial" w:cs="Arial" w:eastAsia="Arial" w:hAnsi="Arial"/>
                <w:sz w:val="15"/>
                <w:szCs w:val="15"/>
                <w:color w:val="auto"/>
              </w:rPr>
              <w:t>4,747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27"/>
              <w:spacing w:after="0"/>
              <w:rPr>
                <w:sz w:val="20"/>
                <w:szCs w:val="20"/>
                <w:color w:val="auto"/>
              </w:rPr>
            </w:pPr>
            <w:r>
              <w:rPr>
                <w:rFonts w:ascii="Arial" w:cs="Arial" w:eastAsia="Arial" w:hAnsi="Arial"/>
                <w:sz w:val="15"/>
                <w:szCs w:val="15"/>
                <w:color w:val="auto"/>
              </w:rPr>
              <w:t>N/A</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6"/>
              <w:spacing w:after="0"/>
              <w:rPr>
                <w:sz w:val="20"/>
                <w:szCs w:val="20"/>
                <w:color w:val="auto"/>
              </w:rPr>
            </w:pPr>
            <w:r>
              <w:rPr>
                <w:rFonts w:ascii="Arial" w:cs="Arial" w:eastAsia="Arial" w:hAnsi="Arial"/>
                <w:sz w:val="15"/>
                <w:szCs w:val="15"/>
                <w:color w:val="auto"/>
              </w:rPr>
              <w:t>N/A</w:t>
            </w:r>
          </w:p>
        </w:tc>
      </w:tr>
      <w:tr>
        <w:trPr>
          <w:trHeight w:val="379"/>
        </w:trPr>
        <w:tc>
          <w:tcPr>
            <w:tcW w:w="2800" w:type="dxa"/>
            <w:vAlign w:val="bottom"/>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44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460" w:type="dxa"/>
            <w:vAlign w:val="bottom"/>
            <w:tcBorders>
              <w:bottom w:val="single" w:sz="8" w:color="2C6937"/>
            </w:tcBorders>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1720" w:type="dxa"/>
            <w:vAlign w:val="bottom"/>
            <w:tcBorders>
              <w:bottom w:val="single" w:sz="8" w:color="2C6937"/>
            </w:tcBorders>
          </w:tcPr>
          <w:p>
            <w:pPr>
              <w:jc w:val="right"/>
              <w:ind w:right="8"/>
              <w:spacing w:after="0"/>
              <w:rPr>
                <w:sz w:val="20"/>
                <w:szCs w:val="20"/>
                <w:color w:val="auto"/>
              </w:rPr>
            </w:pPr>
            <w:r>
              <w:rPr>
                <w:rFonts w:ascii="Arial" w:cs="Arial" w:eastAsia="Arial" w:hAnsi="Arial"/>
                <w:sz w:val="14"/>
                <w:szCs w:val="14"/>
                <w:b w:val="1"/>
                <w:bCs w:val="1"/>
                <w:color w:val="auto"/>
                <w:w w:val="98"/>
              </w:rPr>
              <w:t>As of December 31, 2022</w:t>
            </w:r>
          </w:p>
        </w:tc>
        <w:tc>
          <w:tcPr>
            <w:tcW w:w="2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380" w:type="dxa"/>
            <w:vAlign w:val="bottom"/>
            <w:tcBorders>
              <w:bottom w:val="single" w:sz="8" w:color="2C6937"/>
            </w:tcBorders>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60" w:type="dxa"/>
            <w:vAlign w:val="bottom"/>
            <w:tcBorders>
              <w:bottom w:val="single" w:sz="8" w:color="2C6937"/>
            </w:tcBorders>
          </w:tcPr>
          <w:p>
            <w:pPr>
              <w:spacing w:after="0"/>
              <w:rPr>
                <w:sz w:val="24"/>
                <w:szCs w:val="24"/>
                <w:color w:val="auto"/>
              </w:rPr>
            </w:pPr>
          </w:p>
        </w:tc>
        <w:tc>
          <w:tcPr>
            <w:tcW w:w="1340" w:type="dxa"/>
            <w:vAlign w:val="bottom"/>
            <w:tcBorders>
              <w:bottom w:val="single" w:sz="8" w:color="2C6937"/>
            </w:tcBorders>
          </w:tcPr>
          <w:p>
            <w:pPr>
              <w:spacing w:after="0"/>
              <w:rPr>
                <w:sz w:val="24"/>
                <w:szCs w:val="24"/>
                <w:color w:val="auto"/>
              </w:rPr>
            </w:pPr>
          </w:p>
        </w:tc>
      </w:tr>
      <w:tr>
        <w:trPr>
          <w:trHeight w:val="330"/>
        </w:trPr>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80" w:type="dxa"/>
            <w:vAlign w:val="bottom"/>
            <w:gridSpan w:val="3"/>
          </w:tcPr>
          <w:p>
            <w:pPr>
              <w:jc w:val="center"/>
              <w:ind w:right="48"/>
              <w:spacing w:after="0"/>
              <w:rPr>
                <w:sz w:val="20"/>
                <w:szCs w:val="20"/>
                <w:color w:val="auto"/>
              </w:rPr>
            </w:pPr>
            <w:r>
              <w:rPr>
                <w:rFonts w:ascii="Arial" w:cs="Arial" w:eastAsia="Arial" w:hAnsi="Arial"/>
                <w:sz w:val="14"/>
                <w:szCs w:val="14"/>
                <w:b w:val="1"/>
                <w:bCs w:val="1"/>
                <w:color w:val="auto"/>
                <w:w w:val="97"/>
              </w:rPr>
              <w:t>Cumulative Amount of Fair Value Hedging Basis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4"/>
          </w:tcPr>
          <w:p>
            <w:pPr>
              <w:jc w:val="center"/>
              <w:ind w:right="66"/>
              <w:spacing w:after="0"/>
              <w:rPr>
                <w:sz w:val="20"/>
                <w:szCs w:val="20"/>
                <w:color w:val="auto"/>
              </w:rPr>
            </w:pPr>
            <w:r>
              <w:rPr>
                <w:rFonts w:ascii="Arial" w:cs="Arial" w:eastAsia="Arial" w:hAnsi="Arial"/>
                <w:sz w:val="14"/>
                <w:szCs w:val="14"/>
                <w:b w:val="1"/>
                <w:bCs w:val="1"/>
                <w:color w:val="auto"/>
                <w:w w:val="98"/>
              </w:rPr>
              <w:t>Closed Portfolio of Mortgage Loans Under</w:t>
            </w:r>
          </w:p>
        </w:tc>
      </w:tr>
      <w:tr>
        <w:trPr>
          <w:trHeight w:val="198"/>
        </w:trPr>
        <w:tc>
          <w:tcPr>
            <w:tcW w:w="2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3"/>
          </w:tcPr>
          <w:p>
            <w:pPr>
              <w:jc w:val="center"/>
              <w:ind w:right="48"/>
              <w:spacing w:after="0"/>
              <w:rPr>
                <w:sz w:val="20"/>
                <w:szCs w:val="20"/>
                <w:color w:val="auto"/>
              </w:rPr>
            </w:pPr>
            <w:r>
              <w:rPr>
                <w:rFonts w:ascii="Arial" w:cs="Arial" w:eastAsia="Arial" w:hAnsi="Arial"/>
                <w:sz w:val="14"/>
                <w:szCs w:val="14"/>
                <w:b w:val="1"/>
                <w:bCs w:val="1"/>
                <w:color w:val="auto"/>
                <w:w w:val="97"/>
              </w:rPr>
              <w:t>Adjustments Included in the Carrying Amount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20" w:type="dxa"/>
            <w:vAlign w:val="bottom"/>
            <w:gridSpan w:val="4"/>
          </w:tcPr>
          <w:p>
            <w:pPr>
              <w:jc w:val="center"/>
              <w:ind w:right="66"/>
              <w:spacing w:after="0"/>
              <w:rPr>
                <w:sz w:val="20"/>
                <w:szCs w:val="20"/>
                <w:color w:val="auto"/>
              </w:rPr>
            </w:pPr>
            <w:r>
              <w:rPr>
                <w:rFonts w:ascii="Arial" w:cs="Arial" w:eastAsia="Arial" w:hAnsi="Arial"/>
                <w:sz w:val="14"/>
                <w:szCs w:val="14"/>
                <w:b w:val="1"/>
                <w:bCs w:val="1"/>
                <w:color w:val="auto"/>
                <w:w w:val="97"/>
              </w:rPr>
              <w:t>Portfolio Layer Method</w:t>
            </w:r>
          </w:p>
        </w:tc>
      </w:tr>
      <w:tr>
        <w:trPr>
          <w:trHeight w:val="335"/>
        </w:trPr>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center"/>
              <w:ind w:right="166"/>
              <w:spacing w:after="0"/>
              <w:rPr>
                <w:sz w:val="20"/>
                <w:szCs w:val="20"/>
                <w:color w:val="auto"/>
              </w:rPr>
            </w:pPr>
            <w:r>
              <w:rPr>
                <w:rFonts w:ascii="Arial" w:cs="Arial" w:eastAsia="Arial" w:hAnsi="Arial"/>
                <w:sz w:val="14"/>
                <w:szCs w:val="14"/>
                <w:b w:val="1"/>
                <w:bCs w:val="1"/>
                <w:color w:val="auto"/>
                <w:w w:val="97"/>
              </w:rPr>
              <w:t>Carrying Amount</w:t>
            </w:r>
          </w:p>
        </w:tc>
        <w:tc>
          <w:tcPr>
            <w:tcW w:w="40" w:type="dxa"/>
            <w:vAlign w:val="bottom"/>
          </w:tcPr>
          <w:p>
            <w:pPr>
              <w:spacing w:after="0"/>
              <w:rPr>
                <w:sz w:val="24"/>
                <w:szCs w:val="24"/>
                <w:color w:val="auto"/>
              </w:rPr>
            </w:pPr>
          </w:p>
        </w:tc>
        <w:tc>
          <w:tcPr>
            <w:tcW w:w="120" w:type="dxa"/>
            <w:vAlign w:val="bottom"/>
            <w:tcBorders>
              <w:top w:val="single" w:sz="8" w:color="2C6937"/>
            </w:tcBorders>
          </w:tcPr>
          <w:p>
            <w:pPr>
              <w:spacing w:after="0"/>
              <w:rPr>
                <w:sz w:val="24"/>
                <w:szCs w:val="24"/>
                <w:color w:val="auto"/>
              </w:rPr>
            </w:pPr>
          </w:p>
        </w:tc>
        <w:tc>
          <w:tcPr>
            <w:tcW w:w="1460" w:type="dxa"/>
            <w:vAlign w:val="bottom"/>
            <w:tcBorders>
              <w:top w:val="single" w:sz="8" w:color="2C6937"/>
            </w:tcBorders>
          </w:tcPr>
          <w:p>
            <w:pPr>
              <w:jc w:val="center"/>
              <w:ind w:right="108"/>
              <w:spacing w:after="0"/>
              <w:rPr>
                <w:sz w:val="20"/>
                <w:szCs w:val="20"/>
                <w:color w:val="auto"/>
              </w:rPr>
            </w:pPr>
            <w:r>
              <w:rPr>
                <w:rFonts w:ascii="Arial" w:cs="Arial" w:eastAsia="Arial" w:hAnsi="Arial"/>
                <w:sz w:val="14"/>
                <w:szCs w:val="14"/>
                <w:b w:val="1"/>
                <w:bCs w:val="1"/>
                <w:color w:val="auto"/>
                <w:w w:val="96"/>
              </w:rPr>
              <w:t>Total Basis</w:t>
            </w:r>
          </w:p>
        </w:tc>
        <w:tc>
          <w:tcPr>
            <w:tcW w:w="1920" w:type="dxa"/>
            <w:vAlign w:val="bottom"/>
            <w:tcBorders>
              <w:top w:val="single" w:sz="8" w:color="2C6937"/>
            </w:tcBorders>
            <w:gridSpan w:val="2"/>
          </w:tcPr>
          <w:p>
            <w:pPr>
              <w:jc w:val="center"/>
              <w:ind w:left="27"/>
              <w:spacing w:after="0"/>
              <w:rPr>
                <w:sz w:val="20"/>
                <w:szCs w:val="20"/>
                <w:color w:val="auto"/>
              </w:rPr>
            </w:pPr>
            <w:r>
              <w:rPr>
                <w:rFonts w:ascii="Arial" w:cs="Arial" w:eastAsia="Arial" w:hAnsi="Arial"/>
                <w:sz w:val="14"/>
                <w:szCs w:val="14"/>
                <w:b w:val="1"/>
                <w:bCs w:val="1"/>
                <w:color w:val="auto"/>
                <w:w w:val="98"/>
              </w:rPr>
              <w:t>Remaining Adjustments -</w:t>
            </w:r>
          </w:p>
        </w:tc>
        <w:tc>
          <w:tcPr>
            <w:tcW w:w="20" w:type="dxa"/>
            <w:vAlign w:val="bottom"/>
            <w:tcBorders>
              <w:top w:val="single" w:sz="8" w:color="2C6937"/>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2C6937"/>
            </w:tcBorders>
          </w:tcPr>
          <w:p>
            <w:pPr>
              <w:spacing w:after="0"/>
              <w:rPr>
                <w:sz w:val="24"/>
                <w:szCs w:val="24"/>
                <w:color w:val="auto"/>
              </w:rPr>
            </w:pPr>
          </w:p>
        </w:tc>
        <w:tc>
          <w:tcPr>
            <w:tcW w:w="1380" w:type="dxa"/>
            <w:vAlign w:val="bottom"/>
            <w:tcBorders>
              <w:top w:val="single" w:sz="8" w:color="2C6937"/>
            </w:tcBorders>
          </w:tcPr>
          <w:p>
            <w:pPr>
              <w:spacing w:after="0"/>
              <w:rPr>
                <w:sz w:val="24"/>
                <w:szCs w:val="24"/>
                <w:color w:val="auto"/>
              </w:rPr>
            </w:pPr>
          </w:p>
        </w:tc>
        <w:tc>
          <w:tcPr>
            <w:tcW w:w="140" w:type="dxa"/>
            <w:vAlign w:val="bottom"/>
            <w:tcBorders>
              <w:top w:val="single" w:sz="8" w:color="1F5122"/>
            </w:tcBorders>
          </w:tcPr>
          <w:p>
            <w:pPr>
              <w:spacing w:after="0"/>
              <w:rPr>
                <w:sz w:val="24"/>
                <w:szCs w:val="24"/>
                <w:color w:val="auto"/>
              </w:rPr>
            </w:pPr>
          </w:p>
        </w:tc>
        <w:tc>
          <w:tcPr>
            <w:tcW w:w="160" w:type="dxa"/>
            <w:vAlign w:val="bottom"/>
            <w:tcBorders>
              <w:top w:val="single" w:sz="8" w:color="2C6937"/>
            </w:tcBorders>
          </w:tcPr>
          <w:p>
            <w:pPr>
              <w:spacing w:after="0"/>
              <w:rPr>
                <w:sz w:val="24"/>
                <w:szCs w:val="24"/>
                <w:color w:val="auto"/>
              </w:rPr>
            </w:pPr>
          </w:p>
        </w:tc>
        <w:tc>
          <w:tcPr>
            <w:tcW w:w="1340" w:type="dxa"/>
            <w:vAlign w:val="bottom"/>
            <w:tcBorders>
              <w:top w:val="single" w:sz="8" w:color="2C6937"/>
            </w:tcBorders>
          </w:tcPr>
          <w:p>
            <w:pPr>
              <w:spacing w:after="0"/>
              <w:rPr>
                <w:sz w:val="24"/>
                <w:szCs w:val="24"/>
                <w:color w:val="auto"/>
              </w:rPr>
            </w:pPr>
          </w:p>
        </w:tc>
      </w:tr>
      <w:tr>
        <w:trPr>
          <w:trHeight w:val="207"/>
        </w:trPr>
        <w:tc>
          <w:tcPr>
            <w:tcW w:w="280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440" w:type="dxa"/>
            <w:vAlign w:val="bottom"/>
            <w:tcBorders>
              <w:bottom w:val="single" w:sz="8" w:color="2C6937"/>
            </w:tcBorders>
          </w:tcPr>
          <w:p>
            <w:pPr>
              <w:jc w:val="center"/>
              <w:ind w:right="146"/>
              <w:spacing w:after="0"/>
              <w:rPr>
                <w:sz w:val="20"/>
                <w:szCs w:val="20"/>
                <w:color w:val="auto"/>
              </w:rPr>
            </w:pPr>
            <w:r>
              <w:rPr>
                <w:rFonts w:ascii="Arial" w:cs="Arial" w:eastAsia="Arial" w:hAnsi="Arial"/>
                <w:sz w:val="14"/>
                <w:szCs w:val="14"/>
                <w:b w:val="1"/>
                <w:bCs w:val="1"/>
                <w:color w:val="auto"/>
                <w:w w:val="98"/>
              </w:rPr>
              <w:t>Assets (Liabilities)</w:t>
            </w:r>
          </w:p>
        </w:tc>
        <w:tc>
          <w:tcPr>
            <w:tcW w:w="4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460" w:type="dxa"/>
            <w:vAlign w:val="bottom"/>
            <w:tcBorders>
              <w:bottom w:val="single" w:sz="8" w:color="2C6937"/>
            </w:tcBorders>
          </w:tcPr>
          <w:p>
            <w:pPr>
              <w:jc w:val="center"/>
              <w:ind w:right="108"/>
              <w:spacing w:after="0"/>
              <w:rPr>
                <w:sz w:val="20"/>
                <w:szCs w:val="20"/>
                <w:color w:val="auto"/>
              </w:rPr>
            </w:pPr>
            <w:r>
              <w:rPr>
                <w:rFonts w:ascii="Arial" w:cs="Arial" w:eastAsia="Arial" w:hAnsi="Arial"/>
                <w:sz w:val="14"/>
                <w:szCs w:val="14"/>
                <w:b w:val="1"/>
                <w:bCs w:val="1"/>
                <w:color w:val="auto"/>
                <w:w w:val="92"/>
              </w:rPr>
              <w:t>Adjustments</w:t>
            </w:r>
            <w:r>
              <w:rPr>
                <w:rFonts w:ascii="Arial" w:cs="Arial" w:eastAsia="Arial" w:hAnsi="Arial"/>
                <w:sz w:val="17"/>
                <w:szCs w:val="17"/>
                <w:b w:val="1"/>
                <w:bCs w:val="1"/>
                <w:color w:val="auto"/>
                <w:w w:val="92"/>
                <w:vertAlign w:val="superscript"/>
              </w:rPr>
              <w:t>(1)(2)</w:t>
            </w:r>
          </w:p>
        </w:tc>
        <w:tc>
          <w:tcPr>
            <w:tcW w:w="200" w:type="dxa"/>
            <w:vAlign w:val="bottom"/>
            <w:tcBorders>
              <w:bottom w:val="single" w:sz="8" w:color="2C6937"/>
            </w:tcBorders>
          </w:tcPr>
          <w:p>
            <w:pPr>
              <w:spacing w:after="0"/>
              <w:rPr>
                <w:sz w:val="17"/>
                <w:szCs w:val="17"/>
                <w:color w:val="auto"/>
              </w:rPr>
            </w:pPr>
          </w:p>
        </w:tc>
        <w:tc>
          <w:tcPr>
            <w:tcW w:w="1720" w:type="dxa"/>
            <w:vAlign w:val="bottom"/>
            <w:tcBorders>
              <w:bottom w:val="single" w:sz="8" w:color="2C6937"/>
            </w:tcBorders>
          </w:tcPr>
          <w:p>
            <w:pPr>
              <w:jc w:val="center"/>
              <w:ind w:right="28"/>
              <w:spacing w:after="0"/>
              <w:rPr>
                <w:sz w:val="20"/>
                <w:szCs w:val="20"/>
                <w:color w:val="auto"/>
              </w:rPr>
            </w:pPr>
            <w:r>
              <w:rPr>
                <w:rFonts w:ascii="Arial" w:cs="Arial" w:eastAsia="Arial" w:hAnsi="Arial"/>
                <w:sz w:val="14"/>
                <w:szCs w:val="14"/>
                <w:b w:val="1"/>
                <w:bCs w:val="1"/>
                <w:color w:val="auto"/>
                <w:w w:val="98"/>
              </w:rPr>
              <w:t>Discontinued Hedge</w:t>
            </w:r>
          </w:p>
        </w:tc>
        <w:tc>
          <w:tcPr>
            <w:tcW w:w="2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520" w:type="dxa"/>
            <w:vAlign w:val="bottom"/>
            <w:tcBorders>
              <w:bottom w:val="single" w:sz="8" w:color="2C6937"/>
            </w:tcBorders>
            <w:gridSpan w:val="2"/>
          </w:tcPr>
          <w:p>
            <w:pPr>
              <w:jc w:val="right"/>
              <w:ind w:right="7"/>
              <w:spacing w:after="0"/>
              <w:rPr>
                <w:sz w:val="20"/>
                <w:szCs w:val="20"/>
                <w:color w:val="auto"/>
              </w:rPr>
            </w:pPr>
            <w:r>
              <w:rPr>
                <w:rFonts w:ascii="Arial" w:cs="Arial" w:eastAsia="Arial" w:hAnsi="Arial"/>
                <w:sz w:val="14"/>
                <w:szCs w:val="14"/>
                <w:b w:val="1"/>
                <w:bCs w:val="1"/>
                <w:color w:val="auto"/>
              </w:rPr>
              <w:t>Total Amortized Cost</w:t>
            </w:r>
          </w:p>
        </w:tc>
        <w:tc>
          <w:tcPr>
            <w:tcW w:w="14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340" w:type="dxa"/>
            <w:vAlign w:val="bottom"/>
            <w:tcBorders>
              <w:bottom w:val="single" w:sz="8" w:color="2C6937"/>
            </w:tcBorders>
          </w:tcPr>
          <w:p>
            <w:pPr>
              <w:jc w:val="right"/>
              <w:ind w:right="146"/>
              <w:spacing w:after="0"/>
              <w:rPr>
                <w:sz w:val="20"/>
                <w:szCs w:val="20"/>
                <w:color w:val="auto"/>
              </w:rPr>
            </w:pPr>
            <w:r>
              <w:rPr>
                <w:rFonts w:ascii="Arial" w:cs="Arial" w:eastAsia="Arial" w:hAnsi="Arial"/>
                <w:sz w:val="14"/>
                <w:szCs w:val="14"/>
                <w:b w:val="1"/>
                <w:bCs w:val="1"/>
                <w:color w:val="auto"/>
              </w:rPr>
              <w:t>Designated UPB</w:t>
            </w:r>
          </w:p>
        </w:tc>
      </w:tr>
      <w:tr>
        <w:trPr>
          <w:trHeight w:val="178"/>
        </w:trPr>
        <w:tc>
          <w:tcPr>
            <w:tcW w:w="2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Pr>
          <w:p>
            <w:pPr>
              <w:jc w:val="right"/>
              <w:ind w:right="168"/>
              <w:spacing w:after="0"/>
              <w:rPr>
                <w:sz w:val="20"/>
                <w:szCs w:val="20"/>
                <w:color w:val="auto"/>
              </w:rPr>
            </w:pPr>
            <w:r>
              <w:rPr>
                <w:rFonts w:ascii="Arial" w:cs="Arial" w:eastAsia="Arial" w:hAnsi="Arial"/>
                <w:sz w:val="14"/>
                <w:szCs w:val="14"/>
                <w:b w:val="1"/>
                <w:bCs w:val="1"/>
                <w:color w:val="auto"/>
              </w:rPr>
              <w:t>(Dollars in millions)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96"/>
        </w:trPr>
        <w:tc>
          <w:tcPr>
            <w:tcW w:w="2800" w:type="dxa"/>
            <w:vAlign w:val="bottom"/>
          </w:tcPr>
          <w:p>
            <w:pPr>
              <w:spacing w:after="0"/>
              <w:rPr>
                <w:sz w:val="20"/>
                <w:szCs w:val="20"/>
                <w:color w:val="auto"/>
              </w:rPr>
            </w:pPr>
            <w:r>
              <w:rPr>
                <w:rFonts w:ascii="Arial" w:cs="Arial" w:eastAsia="Arial" w:hAnsi="Arial"/>
                <w:sz w:val="15"/>
                <w:szCs w:val="15"/>
                <w:color w:val="auto"/>
              </w:rPr>
              <w:t>Mortgage loans HFI</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Pr>
          <w:p>
            <w:pPr>
              <w:ind w:left="700"/>
              <w:spacing w:after="0"/>
              <w:rPr>
                <w:sz w:val="20"/>
                <w:szCs w:val="20"/>
                <w:color w:val="auto"/>
              </w:rPr>
            </w:pPr>
            <w:r>
              <w:rPr>
                <w:rFonts w:ascii="Arial" w:cs="Arial" w:eastAsia="Arial" w:hAnsi="Arial"/>
                <w:sz w:val="15"/>
                <w:szCs w:val="15"/>
                <w:color w:val="auto"/>
              </w:rPr>
              <w:t>293,788</w:t>
            </w:r>
          </w:p>
        </w:tc>
        <w:tc>
          <w:tcPr>
            <w:tcW w:w="1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8"/>
              <w:spacing w:after="0"/>
              <w:rPr>
                <w:sz w:val="20"/>
                <w:szCs w:val="20"/>
                <w:color w:val="auto"/>
              </w:rPr>
            </w:pPr>
            <w:r>
              <w:rPr>
                <w:rFonts w:ascii="Arial" w:cs="Arial" w:eastAsia="Arial" w:hAnsi="Arial"/>
                <w:sz w:val="15"/>
                <w:szCs w:val="15"/>
                <w:color w:val="auto"/>
              </w:rPr>
              <w:t>(628)</w:t>
            </w:r>
          </w:p>
        </w:tc>
        <w:tc>
          <w:tcPr>
            <w:tcW w:w="200" w:type="dxa"/>
            <w:vAlign w:val="bottom"/>
          </w:tcPr>
          <w:p>
            <w:pPr>
              <w:jc w:val="center"/>
              <w:ind w:left="27"/>
              <w:spacing w:after="0"/>
              <w:rPr>
                <w:sz w:val="20"/>
                <w:szCs w:val="20"/>
                <w:color w:val="auto"/>
              </w:rPr>
            </w:pPr>
            <w:r>
              <w:rPr>
                <w:rFonts w:ascii="Arial" w:cs="Arial" w:eastAsia="Arial" w:hAnsi="Arial"/>
                <w:sz w:val="15"/>
                <w:szCs w:val="15"/>
                <w:color w:val="auto"/>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(628)</w:t>
            </w:r>
          </w:p>
        </w:tc>
        <w:tc>
          <w:tcPr>
            <w:tcW w:w="30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98,377</w:t>
            </w:r>
          </w:p>
        </w:tc>
        <w:tc>
          <w:tcPr>
            <w:tcW w:w="3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5,187</w:t>
            </w:r>
          </w:p>
        </w:tc>
      </w:tr>
      <w:tr>
        <w:trPr>
          <w:trHeight w:val="245"/>
        </w:trPr>
        <w:tc>
          <w:tcPr>
            <w:tcW w:w="2800" w:type="dxa"/>
            <w:vAlign w:val="bottom"/>
          </w:tcPr>
          <w:p>
            <w:pPr>
              <w:spacing w:after="0"/>
              <w:rPr>
                <w:sz w:val="20"/>
                <w:szCs w:val="20"/>
                <w:color w:val="auto"/>
              </w:rPr>
            </w:pPr>
            <w:r>
              <w:rPr>
                <w:rFonts w:ascii="Arial" w:cs="Arial" w:eastAsia="Arial" w:hAnsi="Arial"/>
                <w:sz w:val="15"/>
                <w:szCs w:val="15"/>
                <w:color w:val="auto"/>
              </w:rPr>
              <w:t>Debt of Fannie Mae</w:t>
            </w:r>
          </w:p>
        </w:tc>
        <w:tc>
          <w:tcPr>
            <w:tcW w:w="120" w:type="dxa"/>
            <w:vAlign w:val="bottom"/>
          </w:tcPr>
          <w:p>
            <w:pPr>
              <w:spacing w:after="0"/>
              <w:rPr>
                <w:sz w:val="21"/>
                <w:szCs w:val="21"/>
                <w:color w:val="auto"/>
              </w:rPr>
            </w:pPr>
          </w:p>
        </w:tc>
        <w:tc>
          <w:tcPr>
            <w:tcW w:w="1440" w:type="dxa"/>
            <w:vAlign w:val="bottom"/>
          </w:tcPr>
          <w:p>
            <w:pPr>
              <w:ind w:left="720"/>
              <w:spacing w:after="0"/>
              <w:rPr>
                <w:sz w:val="20"/>
                <w:szCs w:val="20"/>
                <w:color w:val="auto"/>
              </w:rPr>
            </w:pPr>
            <w:r>
              <w:rPr>
                <w:rFonts w:ascii="Arial" w:cs="Arial" w:eastAsia="Arial" w:hAnsi="Arial"/>
                <w:sz w:val="15"/>
                <w:szCs w:val="15"/>
                <w:color w:val="auto"/>
              </w:rPr>
              <w:t>(73,790)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48"/>
              <w:spacing w:after="0"/>
              <w:rPr>
                <w:sz w:val="20"/>
                <w:szCs w:val="20"/>
                <w:color w:val="auto"/>
              </w:rPr>
            </w:pPr>
            <w:r>
              <w:rPr>
                <w:rFonts w:ascii="Arial" w:cs="Arial" w:eastAsia="Arial" w:hAnsi="Arial"/>
                <w:sz w:val="15"/>
                <w:szCs w:val="15"/>
                <w:color w:val="auto"/>
              </w:rPr>
              <w:t>4,713</w:t>
            </w: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4,713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7"/>
              <w:spacing w:after="0"/>
              <w:rPr>
                <w:sz w:val="20"/>
                <w:szCs w:val="20"/>
                <w:color w:val="auto"/>
              </w:rPr>
            </w:pPr>
            <w:r>
              <w:rPr>
                <w:rFonts w:ascii="Arial" w:cs="Arial" w:eastAsia="Arial" w:hAnsi="Arial"/>
                <w:sz w:val="15"/>
                <w:szCs w:val="15"/>
                <w:color w:val="auto"/>
              </w:rPr>
              <w:t>N/A</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6"/>
              <w:spacing w:after="0"/>
              <w:rPr>
                <w:sz w:val="20"/>
                <w:szCs w:val="20"/>
                <w:color w:val="auto"/>
              </w:rPr>
            </w:pPr>
            <w:r>
              <w:rPr>
                <w:rFonts w:ascii="Arial" w:cs="Arial" w:eastAsia="Arial" w:hAnsi="Arial"/>
                <w:sz w:val="15"/>
                <w:szCs w:val="15"/>
                <w:color w:val="auto"/>
              </w:rPr>
              <w:t>N/A</w:t>
            </w:r>
          </w:p>
        </w:tc>
      </w:tr>
    </w:tbl>
    <w:p>
      <w:pPr>
        <w:spacing w:after="0" w:line="96" w:lineRule="exact"/>
        <w:rPr>
          <w:sz w:val="20"/>
          <w:szCs w:val="20"/>
          <w:color w:val="auto"/>
        </w:rPr>
      </w:pPr>
    </w:p>
    <w:p>
      <w:pPr>
        <w:ind w:left="220" w:hanging="217"/>
        <w:spacing w:after="0"/>
        <w:tabs>
          <w:tab w:leader="none" w:pos="220" w:val="left"/>
        </w:tabs>
        <w:numPr>
          <w:ilvl w:val="0"/>
          <w:numId w:val="96"/>
        </w:numPr>
        <w:rPr>
          <w:rFonts w:ascii="Arial" w:cs="Arial" w:eastAsia="Arial" w:hAnsi="Arial"/>
          <w:sz w:val="18"/>
          <w:szCs w:val="18"/>
          <w:color w:val="auto"/>
          <w:vertAlign w:val="superscript"/>
        </w:rPr>
      </w:pPr>
      <w:r>
        <w:rPr>
          <w:rFonts w:ascii="Arial" w:cs="Arial" w:eastAsia="Arial" w:hAnsi="Arial"/>
          <w:sz w:val="14"/>
          <w:szCs w:val="14"/>
          <w:color w:val="auto"/>
        </w:rPr>
        <w:t>No basis adjustment associated with open hedges, as all hedges are designated at the close of business with a one-day term.</w:t>
      </w:r>
    </w:p>
    <w:p>
      <w:pPr>
        <w:spacing w:after="0" w:line="29"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96"/>
        </w:numPr>
        <w:rPr>
          <w:rFonts w:ascii="Arial" w:cs="Arial" w:eastAsia="Arial" w:hAnsi="Arial"/>
          <w:sz w:val="9"/>
          <w:szCs w:val="9"/>
          <w:color w:val="auto"/>
        </w:rPr>
      </w:pPr>
      <w:r>
        <w:rPr>
          <w:rFonts w:ascii="Arial" w:cs="Arial" w:eastAsia="Arial" w:hAnsi="Arial"/>
          <w:sz w:val="14"/>
          <w:szCs w:val="14"/>
          <w:color w:val="auto"/>
        </w:rPr>
        <w:t>Based on the unamortized balance of the hedge-related cost basis.</w:t>
      </w:r>
    </w:p>
    <w:p>
      <w:pPr>
        <w:spacing w:after="0" w:line="193"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Derivative Counterparty Credit Exposure</w:t>
      </w:r>
    </w:p>
    <w:p>
      <w:pPr>
        <w:spacing w:after="0" w:line="95"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Our derivative counterparty credit exposure relates principally to interest-rate derivative contracts. We are exposed to the risk that a counterparty in a derivative transaction will default on payments due to us, which may require us to seek a replacement derivative from a different counterparty. This replacement may be at a higher cost, or we may be unable to find a suitable replacement. We manage our derivative counterparty credit exposure relating to our risk management derivative transactions mainly through enforceable master netting arrangements, which allow us to net derivative assets and liabilities with the same counterparty or clearing organization and clearing member. For our OTC derivative transactions, we require counterparties to post collateral, which may include cash, U.S. Treasury securities, agency debt and agency mortgage-related securities.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See “Note 11, Netting Arrangements” for information on our rights to offset assets and liabilities as of June 30, 2023 and December 31, 2022.</w:t>
      </w:r>
    </w:p>
    <w:p>
      <w:pPr>
        <w:spacing w:after="0" w:line="154" w:lineRule="exact"/>
        <w:rPr>
          <w:sz w:val="20"/>
          <w:szCs w:val="20"/>
          <w:color w:val="auto"/>
        </w:rPr>
      </w:pPr>
    </w:p>
    <w:p>
      <w:pPr>
        <w:spacing w:after="0"/>
        <w:rPr>
          <w:sz w:val="20"/>
          <w:szCs w:val="20"/>
          <w:color w:val="auto"/>
        </w:rPr>
      </w:pPr>
      <w:r>
        <w:rPr>
          <w:rFonts w:ascii="Arial" w:cs="Arial" w:eastAsia="Arial" w:hAnsi="Arial"/>
          <w:sz w:val="31"/>
          <w:szCs w:val="31"/>
          <w:b w:val="1"/>
          <w:bCs w:val="1"/>
          <w:color w:val="05314D"/>
        </w:rPr>
        <w:t>9. Segment Reporting</w:t>
      </w:r>
    </w:p>
    <w:p>
      <w:pPr>
        <w:spacing w:after="0" w:line="105"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We have two reportable business segments, which are based on the type of business activities each perform: Single-Family and Multifamily. Results of our two business segments are intended to reflect each segment as if it were a stand-alone business. The sum of the results for our two business segments equals our condensed consolidated results of operations. For additional information related to our business segments, including basis of organization and other segment activities, see “Note 10, Segment Reporting” in our 2022 Form 10-K.</w:t>
      </w:r>
    </w:p>
    <w:p>
      <w:pPr>
        <w:spacing w:after="0" w:line="50"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Segment Allocations and Results</w:t>
      </w:r>
    </w:p>
    <w:p>
      <w:pPr>
        <w:spacing w:after="0" w:line="95"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color w:val="auto"/>
        </w:rPr>
        <w:t>The majority of our revenues and expenses are directly associated with each respective business segment and are included in determining its operating results. Those revenues and expenses that are not directly attributable to a particular business segment are allocated based on the size of each segment’s guaranty book of business.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366395</wp:posOffset>
            </wp:positionV>
            <wp:extent cx="681101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164070" cy="4191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01" w:name="page102"/>
    <w:bookmarkEnd w:id="101"/>
    <w:p>
      <w:pPr>
        <w:ind w:left="6420"/>
        <w:spacing w:after="0"/>
        <w:rPr>
          <w:sz w:val="20"/>
          <w:szCs w:val="20"/>
          <w:color w:val="auto"/>
        </w:rPr>
      </w:pPr>
      <w:r>
        <w:rPr>
          <w:rFonts w:ascii="Arial" w:cs="Arial" w:eastAsia="Arial" w:hAnsi="Arial"/>
          <w:sz w:val="14"/>
          <w:szCs w:val="14"/>
          <w:color w:val="05314D"/>
        </w:rPr>
        <w:t>Notes to Condensed Consolidated Financial Statements | 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15875</wp:posOffset>
            </wp:positionV>
            <wp:extent cx="70237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substantial majority of the gains and losses associated with our risk management derivatives, including the impact of hedge accounting, are allocated to our Single-Family business segment.</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display our segment results.</w:t>
      </w:r>
    </w:p>
    <w:p>
      <w:pPr>
        <w:spacing w:after="0" w:line="200" w:lineRule="exact"/>
        <w:rPr>
          <w:sz w:val="20"/>
          <w:szCs w:val="20"/>
          <w:color w:val="auto"/>
        </w:rPr>
      </w:pP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bottom w:val="single" w:sz="8" w:color="2C6937"/>
            </w:tcBorders>
          </w:tcPr>
          <w:p>
            <w:pPr>
              <w:spacing w:after="0"/>
              <w:rPr>
                <w:sz w:val="17"/>
                <w:szCs w:val="17"/>
                <w:color w:val="auto"/>
              </w:rPr>
            </w:pPr>
          </w:p>
        </w:tc>
        <w:tc>
          <w:tcPr>
            <w:tcW w:w="34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spacing w:after="0"/>
              <w:rPr>
                <w:sz w:val="17"/>
                <w:szCs w:val="17"/>
                <w:color w:val="auto"/>
              </w:rPr>
            </w:pPr>
          </w:p>
        </w:tc>
        <w:tc>
          <w:tcPr>
            <w:tcW w:w="60" w:type="dxa"/>
            <w:vAlign w:val="bottom"/>
            <w:tcBorders>
              <w:bottom w:val="single" w:sz="8" w:color="2C6937"/>
            </w:tcBorders>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6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3600" w:type="dxa"/>
            <w:vAlign w:val="bottom"/>
            <w:tcBorders>
              <w:bottom w:val="single" w:sz="8" w:color="2C6937"/>
            </w:tcBorders>
            <w:gridSpan w:val="13"/>
          </w:tcPr>
          <w:p>
            <w:pPr>
              <w:ind w:left="1000"/>
              <w:spacing w:after="0"/>
              <w:rPr>
                <w:sz w:val="20"/>
                <w:szCs w:val="20"/>
                <w:color w:val="auto"/>
              </w:rPr>
            </w:pPr>
            <w:r>
              <w:rPr>
                <w:rFonts w:ascii="Arial" w:cs="Arial" w:eastAsia="Arial" w:hAnsi="Arial"/>
                <w:sz w:val="15"/>
                <w:szCs w:val="15"/>
                <w:b w:val="1"/>
                <w:bCs w:val="1"/>
                <w:color w:val="auto"/>
                <w:w w:val="96"/>
              </w:rPr>
              <w:t>For the Three Months Ended June 30,</w:t>
            </w:r>
          </w:p>
        </w:tc>
        <w:tc>
          <w:tcPr>
            <w:tcW w:w="6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spacing w:after="0"/>
              <w:rPr>
                <w:sz w:val="17"/>
                <w:szCs w:val="17"/>
                <w:color w:val="auto"/>
              </w:rPr>
            </w:pPr>
          </w:p>
        </w:tc>
        <w:tc>
          <w:tcPr>
            <w:tcW w:w="60" w:type="dxa"/>
            <w:vAlign w:val="bottom"/>
            <w:tcBorders>
              <w:bottom w:val="single" w:sz="8" w:color="2C6937"/>
            </w:tcBorders>
          </w:tcPr>
          <w:p>
            <w:pPr>
              <w:spacing w:after="0"/>
              <w:rPr>
                <w:sz w:val="17"/>
                <w:szCs w:val="17"/>
                <w:color w:val="auto"/>
              </w:rPr>
            </w:pPr>
          </w:p>
        </w:tc>
        <w:tc>
          <w:tcPr>
            <w:tcW w:w="60" w:type="dxa"/>
            <w:vAlign w:val="bottom"/>
            <w:tcBorders>
              <w:bottom w:val="single" w:sz="8" w:color="2C6937"/>
            </w:tcBorders>
          </w:tcPr>
          <w:p>
            <w:pPr>
              <w:spacing w:after="0"/>
              <w:rPr>
                <w:sz w:val="17"/>
                <w:szCs w:val="17"/>
                <w:color w:val="auto"/>
              </w:rPr>
            </w:pPr>
          </w:p>
        </w:tc>
        <w:tc>
          <w:tcPr>
            <w:tcW w:w="60" w:type="dxa"/>
            <w:vAlign w:val="bottom"/>
            <w:tcBorders>
              <w:bottom w:val="single" w:sz="8" w:color="2C6937"/>
            </w:tcBorders>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34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ind w:right="347"/>
              <w:spacing w:after="0"/>
              <w:rPr>
                <w:sz w:val="20"/>
                <w:szCs w:val="20"/>
                <w:color w:val="auto"/>
              </w:rPr>
            </w:pPr>
            <w:r>
              <w:rPr>
                <w:rFonts w:ascii="Arial" w:cs="Arial" w:eastAsia="Arial" w:hAnsi="Arial"/>
                <w:sz w:val="15"/>
                <w:szCs w:val="15"/>
                <w:b w:val="1"/>
                <w:bCs w:val="1"/>
                <w:color w:val="auto"/>
              </w:rPr>
              <w:t>2023</w:t>
            </w:r>
          </w:p>
        </w:tc>
        <w:tc>
          <w:tcPr>
            <w:tcW w:w="4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560" w:type="dxa"/>
            <w:vAlign w:val="bottom"/>
            <w:tcBorders>
              <w:bottom w:val="single" w:sz="8" w:color="2C6937"/>
            </w:tcBorders>
          </w:tcPr>
          <w:p>
            <w:pPr>
              <w:spacing w:after="0"/>
              <w:rPr>
                <w:sz w:val="16"/>
                <w:szCs w:val="16"/>
                <w:color w:val="auto"/>
              </w:rPr>
            </w:pPr>
          </w:p>
        </w:tc>
        <w:tc>
          <w:tcPr>
            <w:tcW w:w="50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ind w:right="347"/>
              <w:spacing w:after="0"/>
              <w:rPr>
                <w:sz w:val="20"/>
                <w:szCs w:val="20"/>
                <w:color w:val="auto"/>
              </w:rPr>
            </w:pPr>
            <w:r>
              <w:rPr>
                <w:rFonts w:ascii="Arial" w:cs="Arial" w:eastAsia="Arial" w:hAnsi="Arial"/>
                <w:sz w:val="15"/>
                <w:szCs w:val="15"/>
                <w:b w:val="1"/>
                <w:bCs w:val="1"/>
                <w:color w:val="auto"/>
              </w:rPr>
              <w:t>2022</w:t>
            </w:r>
          </w:p>
        </w:tc>
        <w:tc>
          <w:tcPr>
            <w:tcW w:w="6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spacing w:after="0"/>
              <w:rPr>
                <w:sz w:val="16"/>
                <w:szCs w:val="16"/>
                <w:color w:val="auto"/>
              </w:rPr>
            </w:pPr>
          </w:p>
        </w:tc>
      </w:tr>
      <w:tr>
        <w:trPr>
          <w:trHeight w:val="220"/>
        </w:trPr>
        <w:tc>
          <w:tcPr>
            <w:tcW w:w="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bottom w:val="single" w:sz="8" w:color="2C6937"/>
            </w:tcBorders>
          </w:tcPr>
          <w:p>
            <w:pPr>
              <w:spacing w:after="0"/>
              <w:rPr>
                <w:sz w:val="19"/>
                <w:szCs w:val="19"/>
                <w:color w:val="auto"/>
              </w:rPr>
            </w:pPr>
          </w:p>
        </w:tc>
        <w:tc>
          <w:tcPr>
            <w:tcW w:w="1180" w:type="dxa"/>
            <w:vAlign w:val="bottom"/>
            <w:tcBorders>
              <w:bottom w:val="single" w:sz="8" w:color="2C6937"/>
            </w:tcBorders>
            <w:gridSpan w:val="4"/>
          </w:tcPr>
          <w:p>
            <w:pPr>
              <w:ind w:left="40"/>
              <w:spacing w:after="0"/>
              <w:rPr>
                <w:sz w:val="20"/>
                <w:szCs w:val="20"/>
                <w:color w:val="auto"/>
              </w:rPr>
            </w:pPr>
            <w:r>
              <w:rPr>
                <w:rFonts w:ascii="Arial" w:cs="Arial" w:eastAsia="Arial" w:hAnsi="Arial"/>
                <w:sz w:val="15"/>
                <w:szCs w:val="15"/>
                <w:b w:val="1"/>
                <w:bCs w:val="1"/>
                <w:color w:val="auto"/>
              </w:rPr>
              <w:t>Single-Family</w:t>
            </w:r>
          </w:p>
        </w:tc>
        <w:tc>
          <w:tcPr>
            <w:tcW w:w="60" w:type="dxa"/>
            <w:vAlign w:val="bottom"/>
            <w:tcBorders>
              <w:bottom w:val="single" w:sz="8" w:color="2C6937"/>
            </w:tcBorders>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1100" w:type="dxa"/>
            <w:vAlign w:val="bottom"/>
            <w:tcBorders>
              <w:bottom w:val="single" w:sz="8" w:color="2C6937"/>
            </w:tcBorders>
            <w:gridSpan w:val="3"/>
          </w:tcPr>
          <w:p>
            <w:pPr>
              <w:ind w:left="20"/>
              <w:spacing w:after="0"/>
              <w:rPr>
                <w:sz w:val="20"/>
                <w:szCs w:val="20"/>
                <w:color w:val="auto"/>
              </w:rPr>
            </w:pPr>
            <w:r>
              <w:rPr>
                <w:rFonts w:ascii="Arial" w:cs="Arial" w:eastAsia="Arial" w:hAnsi="Arial"/>
                <w:sz w:val="15"/>
                <w:szCs w:val="15"/>
                <w:b w:val="1"/>
                <w:bCs w:val="1"/>
                <w:color w:val="auto"/>
              </w:rPr>
              <w:t>Multifamily</w:t>
            </w:r>
          </w:p>
        </w:tc>
        <w:tc>
          <w:tcPr>
            <w:tcW w:w="60" w:type="dxa"/>
            <w:vAlign w:val="bottom"/>
            <w:tcBorders>
              <w:bottom w:val="single" w:sz="8" w:color="2C6937"/>
            </w:tcBorders>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gridSpan w:val="3"/>
          </w:tcPr>
          <w:p>
            <w:pPr>
              <w:ind w:left="120"/>
              <w:spacing w:after="0"/>
              <w:rPr>
                <w:sz w:val="20"/>
                <w:szCs w:val="20"/>
                <w:color w:val="auto"/>
              </w:rPr>
            </w:pPr>
            <w:r>
              <w:rPr>
                <w:rFonts w:ascii="Arial" w:cs="Arial" w:eastAsia="Arial" w:hAnsi="Arial"/>
                <w:sz w:val="15"/>
                <w:szCs w:val="15"/>
                <w:b w:val="1"/>
                <w:bCs w:val="1"/>
                <w:color w:val="auto"/>
              </w:rPr>
              <w:t>Total</w:t>
            </w:r>
          </w:p>
        </w:tc>
        <w:tc>
          <w:tcPr>
            <w:tcW w:w="60" w:type="dxa"/>
            <w:vAlign w:val="bottom"/>
            <w:tcBorders>
              <w:bottom w:val="single" w:sz="8" w:color="2C6937"/>
            </w:tcBorders>
          </w:tcPr>
          <w:p>
            <w:pPr>
              <w:spacing w:after="0"/>
              <w:rPr>
                <w:sz w:val="19"/>
                <w:szCs w:val="19"/>
                <w:color w:val="auto"/>
              </w:rPr>
            </w:pPr>
          </w:p>
        </w:tc>
        <w:tc>
          <w:tcPr>
            <w:tcW w:w="1180" w:type="dxa"/>
            <w:vAlign w:val="bottom"/>
            <w:tcBorders>
              <w:bottom w:val="single" w:sz="8" w:color="2C6937"/>
            </w:tcBorders>
            <w:gridSpan w:val="4"/>
          </w:tcPr>
          <w:p>
            <w:pPr>
              <w:ind w:left="20"/>
              <w:spacing w:after="0"/>
              <w:rPr>
                <w:sz w:val="20"/>
                <w:szCs w:val="20"/>
                <w:color w:val="auto"/>
              </w:rPr>
            </w:pPr>
            <w:r>
              <w:rPr>
                <w:rFonts w:ascii="Arial" w:cs="Arial" w:eastAsia="Arial" w:hAnsi="Arial"/>
                <w:sz w:val="15"/>
                <w:szCs w:val="15"/>
                <w:b w:val="1"/>
                <w:bCs w:val="1"/>
                <w:color w:val="auto"/>
              </w:rPr>
              <w:t>Single-Family</w:t>
            </w:r>
          </w:p>
        </w:tc>
        <w:tc>
          <w:tcPr>
            <w:tcW w:w="60" w:type="dxa"/>
            <w:vAlign w:val="bottom"/>
            <w:tcBorders>
              <w:bottom w:val="single" w:sz="8" w:color="2C6937"/>
            </w:tcBorders>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1100" w:type="dxa"/>
            <w:vAlign w:val="bottom"/>
            <w:tcBorders>
              <w:bottom w:val="single" w:sz="8" w:color="2C6937"/>
            </w:tcBorders>
            <w:gridSpan w:val="3"/>
          </w:tcPr>
          <w:p>
            <w:pPr>
              <w:ind w:left="20"/>
              <w:spacing w:after="0"/>
              <w:rPr>
                <w:sz w:val="20"/>
                <w:szCs w:val="20"/>
                <w:color w:val="auto"/>
              </w:rPr>
            </w:pPr>
            <w:r>
              <w:rPr>
                <w:rFonts w:ascii="Arial" w:cs="Arial" w:eastAsia="Arial" w:hAnsi="Arial"/>
                <w:sz w:val="15"/>
                <w:szCs w:val="15"/>
                <w:b w:val="1"/>
                <w:bCs w:val="1"/>
                <w:color w:val="auto"/>
              </w:rPr>
              <w:t>Multifamily</w:t>
            </w:r>
          </w:p>
        </w:tc>
        <w:tc>
          <w:tcPr>
            <w:tcW w:w="60" w:type="dxa"/>
            <w:vAlign w:val="bottom"/>
            <w:tcBorders>
              <w:bottom w:val="single" w:sz="8" w:color="2C6937"/>
            </w:tcBorders>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860" w:type="dxa"/>
            <w:vAlign w:val="bottom"/>
            <w:tcBorders>
              <w:bottom w:val="single" w:sz="8" w:color="2C6937"/>
            </w:tcBorders>
          </w:tcPr>
          <w:p>
            <w:pPr>
              <w:jc w:val="right"/>
              <w:ind w:right="327"/>
              <w:spacing w:after="0"/>
              <w:rPr>
                <w:sz w:val="20"/>
                <w:szCs w:val="20"/>
                <w:color w:val="auto"/>
              </w:rPr>
            </w:pPr>
            <w:r>
              <w:rPr>
                <w:rFonts w:ascii="Arial" w:cs="Arial" w:eastAsia="Arial" w:hAnsi="Arial"/>
                <w:sz w:val="15"/>
                <w:szCs w:val="15"/>
                <w:b w:val="1"/>
                <w:bCs w:val="1"/>
                <w:color w:val="auto"/>
              </w:rPr>
              <w:t>Total</w:t>
            </w:r>
          </w:p>
        </w:tc>
      </w:tr>
      <w:tr>
        <w:trPr>
          <w:trHeight w:val="202"/>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5"/>
          </w:tcPr>
          <w:p>
            <w:pPr>
              <w:jc w:val="right"/>
              <w:spacing w:after="0"/>
              <w:rPr>
                <w:sz w:val="20"/>
                <w:szCs w:val="20"/>
                <w:color w:val="auto"/>
              </w:rPr>
            </w:pPr>
            <w:r>
              <w:rPr>
                <w:rFonts w:ascii="Arial" w:cs="Arial" w:eastAsia="Arial" w:hAnsi="Arial"/>
                <w:sz w:val="15"/>
                <w:szCs w:val="15"/>
                <w:b w:val="1"/>
                <w:bCs w:val="1"/>
                <w:color w:val="auto"/>
              </w:rPr>
              <w:t>(Dollars in millions)</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26"/>
        </w:trPr>
        <w:tc>
          <w:tcPr>
            <w:tcW w:w="20" w:type="dxa"/>
            <w:vAlign w:val="bottom"/>
          </w:tcPr>
          <w:p>
            <w:pPr>
              <w:spacing w:after="0"/>
              <w:rPr>
                <w:sz w:val="24"/>
                <w:szCs w:val="24"/>
                <w:color w:val="auto"/>
              </w:rPr>
            </w:pPr>
          </w:p>
        </w:tc>
        <w:tc>
          <w:tcPr>
            <w:tcW w:w="3700" w:type="dxa"/>
            <w:vAlign w:val="bottom"/>
            <w:gridSpan w:val="3"/>
          </w:tcPr>
          <w:p>
            <w:pPr>
              <w:ind w:left="20"/>
              <w:spacing w:after="0"/>
              <w:rPr>
                <w:sz w:val="20"/>
                <w:szCs w:val="20"/>
                <w:color w:val="auto"/>
              </w:rPr>
            </w:pPr>
            <w:r>
              <w:rPr>
                <w:rFonts w:ascii="Arial" w:cs="Arial" w:eastAsia="Arial" w:hAnsi="Arial"/>
                <w:sz w:val="15"/>
                <w:szCs w:val="15"/>
                <w:color w:val="auto"/>
              </w:rPr>
              <w:t>Net interest income</w:t>
            </w:r>
            <w:r>
              <w:rPr>
                <w:rFonts w:ascii="Arial" w:cs="Arial" w:eastAsia="Arial" w:hAnsi="Arial"/>
                <w:sz w:val="18"/>
                <w:szCs w:val="18"/>
                <w:color w:val="auto"/>
                <w:vertAlign w:val="superscript"/>
              </w:rPr>
              <w:t>(1)</w:t>
            </w:r>
          </w:p>
        </w:tc>
        <w:tc>
          <w:tcPr>
            <w:tcW w:w="400" w:type="dxa"/>
            <w:vAlign w:val="bottom"/>
            <w:gridSpan w:val="2"/>
          </w:tcPr>
          <w:p>
            <w:pPr>
              <w:jc w:val="right"/>
              <w:ind w:right="227"/>
              <w:spacing w:after="0"/>
              <w:rPr>
                <w:sz w:val="20"/>
                <w:szCs w:val="20"/>
                <w:color w:val="auto"/>
              </w:rPr>
            </w:pPr>
            <w:r>
              <w:rPr>
                <w:rFonts w:ascii="Arial" w:cs="Arial" w:eastAsia="Arial" w:hAnsi="Arial"/>
                <w:sz w:val="15"/>
                <w:szCs w:val="15"/>
                <w:b w:val="1"/>
                <w:bCs w:val="1"/>
                <w:color w:val="auto"/>
                <w:w w:val="95"/>
              </w:rPr>
              <w:t>$</w:t>
            </w:r>
          </w:p>
        </w:tc>
        <w:tc>
          <w:tcPr>
            <w:tcW w:w="740" w:type="dxa"/>
            <w:vAlign w:val="bottom"/>
          </w:tcPr>
          <w:p>
            <w:pPr>
              <w:jc w:val="right"/>
              <w:ind w:right="7"/>
              <w:spacing w:after="0"/>
              <w:rPr>
                <w:sz w:val="20"/>
                <w:szCs w:val="20"/>
                <w:color w:val="auto"/>
              </w:rPr>
            </w:pPr>
            <w:r>
              <w:rPr>
                <w:rFonts w:ascii="Arial" w:cs="Arial" w:eastAsia="Arial" w:hAnsi="Arial"/>
                <w:sz w:val="15"/>
                <w:szCs w:val="15"/>
                <w:b w:val="1"/>
                <w:bCs w:val="1"/>
                <w:color w:val="auto"/>
              </w:rPr>
              <w:t>5,917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5"/>
                <w:szCs w:val="15"/>
                <w:b w:val="1"/>
                <w:bCs w:val="1"/>
                <w:color w:val="auto"/>
                <w:w w:val="95"/>
              </w:rPr>
              <w:t>$</w:t>
            </w:r>
          </w:p>
        </w:tc>
        <w:tc>
          <w:tcPr>
            <w:tcW w:w="1000" w:type="dxa"/>
            <w:vAlign w:val="bottom"/>
          </w:tcPr>
          <w:p>
            <w:pPr>
              <w:jc w:val="right"/>
              <w:ind w:right="7"/>
              <w:spacing w:after="0"/>
              <w:rPr>
                <w:sz w:val="20"/>
                <w:szCs w:val="20"/>
                <w:color w:val="auto"/>
              </w:rPr>
            </w:pPr>
            <w:r>
              <w:rPr>
                <w:rFonts w:ascii="Arial" w:cs="Arial" w:eastAsia="Arial" w:hAnsi="Arial"/>
                <w:sz w:val="15"/>
                <w:szCs w:val="15"/>
                <w:b w:val="1"/>
                <w:bCs w:val="1"/>
                <w:color w:val="auto"/>
              </w:rPr>
              <w:t>1,118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gridSpan w:val="2"/>
          </w:tcPr>
          <w:p>
            <w:pPr>
              <w:ind w:left="20"/>
              <w:spacing w:after="0"/>
              <w:rPr>
                <w:sz w:val="20"/>
                <w:szCs w:val="20"/>
                <w:color w:val="auto"/>
              </w:rPr>
            </w:pPr>
            <w:r>
              <w:rPr>
                <w:rFonts w:ascii="Arial" w:cs="Arial" w:eastAsia="Arial" w:hAnsi="Arial"/>
                <w:sz w:val="15"/>
                <w:szCs w:val="15"/>
                <w:b w:val="1"/>
                <w:bCs w:val="1"/>
                <w:color w:val="auto"/>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7,035</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gridSpan w:val="2"/>
          </w:tcPr>
          <w:p>
            <w:pPr>
              <w:jc w:val="right"/>
              <w:ind w:right="467"/>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6,573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1,235</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gridSpan w:val="2"/>
          </w:tcPr>
          <w:p>
            <w:pPr>
              <w:jc w:val="right"/>
              <w:ind w:right="107"/>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7,808</w:t>
            </w:r>
          </w:p>
        </w:tc>
      </w:tr>
      <w:tr>
        <w:trPr>
          <w:trHeight w:val="269"/>
        </w:trPr>
        <w:tc>
          <w:tcPr>
            <w:tcW w:w="20" w:type="dxa"/>
            <w:vAlign w:val="bottom"/>
          </w:tcPr>
          <w:p>
            <w:pPr>
              <w:spacing w:after="0"/>
              <w:rPr>
                <w:sz w:val="23"/>
                <w:szCs w:val="23"/>
                <w:color w:val="auto"/>
              </w:rPr>
            </w:pPr>
          </w:p>
        </w:tc>
        <w:tc>
          <w:tcPr>
            <w:tcW w:w="3700" w:type="dxa"/>
            <w:vAlign w:val="bottom"/>
            <w:gridSpan w:val="3"/>
          </w:tcPr>
          <w:p>
            <w:pPr>
              <w:ind w:left="20"/>
              <w:spacing w:after="0"/>
              <w:rPr>
                <w:sz w:val="20"/>
                <w:szCs w:val="20"/>
                <w:color w:val="auto"/>
              </w:rPr>
            </w:pPr>
            <w:r>
              <w:rPr>
                <w:rFonts w:ascii="Arial" w:cs="Arial" w:eastAsia="Arial" w:hAnsi="Arial"/>
                <w:sz w:val="15"/>
                <w:szCs w:val="15"/>
                <w:color w:val="auto"/>
              </w:rPr>
              <w:t>Fee and other income</w:t>
            </w:r>
            <w:r>
              <w:rPr>
                <w:rFonts w:ascii="Arial" w:cs="Arial" w:eastAsia="Arial" w:hAnsi="Arial"/>
                <w:sz w:val="18"/>
                <w:szCs w:val="18"/>
                <w:color w:val="auto"/>
                <w:vertAlign w:val="superscript"/>
              </w:rPr>
              <w:t>(2)</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jc w:val="right"/>
              <w:ind w:right="7"/>
              <w:spacing w:after="0"/>
              <w:rPr>
                <w:sz w:val="20"/>
                <w:szCs w:val="20"/>
                <w:color w:val="auto"/>
              </w:rPr>
            </w:pPr>
            <w:r>
              <w:rPr>
                <w:rFonts w:ascii="Arial" w:cs="Arial" w:eastAsia="Arial" w:hAnsi="Arial"/>
                <w:sz w:val="15"/>
                <w:szCs w:val="15"/>
                <w:b w:val="1"/>
                <w:bCs w:val="1"/>
                <w:color w:val="auto"/>
              </w:rPr>
              <w:t>52</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b w:val="1"/>
                <w:bCs w:val="1"/>
                <w:color w:val="auto"/>
              </w:rPr>
              <w:t>18</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70</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60</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21</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81</w:t>
            </w:r>
          </w:p>
        </w:tc>
      </w:tr>
      <w:tr>
        <w:trPr>
          <w:trHeight w:val="197"/>
        </w:trPr>
        <w:tc>
          <w:tcPr>
            <w:tcW w:w="20" w:type="dxa"/>
            <w:vAlign w:val="bottom"/>
          </w:tcPr>
          <w:p>
            <w:pPr>
              <w:spacing w:after="0"/>
              <w:rPr>
                <w:sz w:val="17"/>
                <w:szCs w:val="17"/>
                <w:color w:val="auto"/>
              </w:rPr>
            </w:pPr>
          </w:p>
        </w:tc>
        <w:tc>
          <w:tcPr>
            <w:tcW w:w="3600" w:type="dxa"/>
            <w:vAlign w:val="bottom"/>
            <w:tcBorders>
              <w:top w:val="single" w:sz="8" w:color="2C6937"/>
            </w:tcBorders>
          </w:tcPr>
          <w:p>
            <w:pPr>
              <w:ind w:left="160"/>
              <w:spacing w:after="0"/>
              <w:rPr>
                <w:sz w:val="20"/>
                <w:szCs w:val="20"/>
                <w:color w:val="auto"/>
              </w:rPr>
            </w:pPr>
            <w:r>
              <w:rPr>
                <w:rFonts w:ascii="Arial" w:cs="Arial" w:eastAsia="Arial" w:hAnsi="Arial"/>
                <w:sz w:val="15"/>
                <w:szCs w:val="15"/>
                <w:color w:val="auto"/>
              </w:rPr>
              <w:t>Net revenues</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top w:val="single" w:sz="8" w:color="2C6937"/>
            </w:tcBorders>
          </w:tcPr>
          <w:p>
            <w:pPr>
              <w:spacing w:after="0"/>
              <w:rPr>
                <w:sz w:val="17"/>
                <w:szCs w:val="17"/>
                <w:color w:val="auto"/>
              </w:rPr>
            </w:pPr>
          </w:p>
        </w:tc>
        <w:tc>
          <w:tcPr>
            <w:tcW w:w="340" w:type="dxa"/>
            <w:vAlign w:val="bottom"/>
            <w:tcBorders>
              <w:top w:val="single" w:sz="8" w:color="2C6937"/>
            </w:tcBorders>
          </w:tcPr>
          <w:p>
            <w:pPr>
              <w:spacing w:after="0"/>
              <w:rPr>
                <w:sz w:val="17"/>
                <w:szCs w:val="17"/>
                <w:color w:val="auto"/>
              </w:rPr>
            </w:pPr>
          </w:p>
        </w:tc>
        <w:tc>
          <w:tcPr>
            <w:tcW w:w="74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5,969</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top w:val="single" w:sz="8" w:color="2C6937"/>
            </w:tcBorders>
          </w:tcPr>
          <w:p>
            <w:pPr>
              <w:spacing w:after="0"/>
              <w:rPr>
                <w:sz w:val="17"/>
                <w:szCs w:val="17"/>
                <w:color w:val="auto"/>
              </w:rPr>
            </w:pPr>
          </w:p>
        </w:tc>
        <w:tc>
          <w:tcPr>
            <w:tcW w:w="120" w:type="dxa"/>
            <w:vAlign w:val="bottom"/>
            <w:tcBorders>
              <w:top w:val="single" w:sz="8" w:color="2C6937"/>
            </w:tcBorders>
          </w:tcPr>
          <w:p>
            <w:pPr>
              <w:spacing w:after="0"/>
              <w:rPr>
                <w:sz w:val="17"/>
                <w:szCs w:val="17"/>
                <w:color w:val="auto"/>
              </w:rPr>
            </w:pPr>
          </w:p>
        </w:tc>
        <w:tc>
          <w:tcPr>
            <w:tcW w:w="100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1,136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top w:val="single" w:sz="8" w:color="2C6937"/>
            </w:tcBorders>
          </w:tcPr>
          <w:p>
            <w:pPr>
              <w:spacing w:after="0"/>
              <w:rPr>
                <w:sz w:val="17"/>
                <w:szCs w:val="17"/>
                <w:color w:val="auto"/>
              </w:rPr>
            </w:pPr>
          </w:p>
        </w:tc>
        <w:tc>
          <w:tcPr>
            <w:tcW w:w="220" w:type="dxa"/>
            <w:vAlign w:val="bottom"/>
            <w:tcBorders>
              <w:top w:val="single" w:sz="8" w:color="2C6937"/>
            </w:tcBorders>
          </w:tcPr>
          <w:p>
            <w:pPr>
              <w:spacing w:after="0"/>
              <w:rPr>
                <w:sz w:val="17"/>
                <w:szCs w:val="17"/>
                <w:color w:val="auto"/>
              </w:rPr>
            </w:pPr>
          </w:p>
        </w:tc>
        <w:tc>
          <w:tcPr>
            <w:tcW w:w="86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7,105</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top w:val="single" w:sz="8" w:color="2C6937"/>
            </w:tcBorders>
          </w:tcPr>
          <w:p>
            <w:pPr>
              <w:spacing w:after="0"/>
              <w:rPr>
                <w:sz w:val="17"/>
                <w:szCs w:val="17"/>
                <w:color w:val="auto"/>
              </w:rPr>
            </w:pPr>
          </w:p>
        </w:tc>
        <w:tc>
          <w:tcPr>
            <w:tcW w:w="560" w:type="dxa"/>
            <w:vAlign w:val="bottom"/>
            <w:tcBorders>
              <w:top w:val="single" w:sz="8" w:color="2C6937"/>
            </w:tcBorders>
          </w:tcPr>
          <w:p>
            <w:pPr>
              <w:spacing w:after="0"/>
              <w:rPr>
                <w:sz w:val="17"/>
                <w:szCs w:val="17"/>
                <w:color w:val="auto"/>
              </w:rPr>
            </w:pPr>
          </w:p>
        </w:tc>
        <w:tc>
          <w:tcPr>
            <w:tcW w:w="50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6,633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top w:val="single" w:sz="8" w:color="2C6937"/>
            </w:tcBorders>
          </w:tcPr>
          <w:p>
            <w:pPr>
              <w:spacing w:after="0"/>
              <w:rPr>
                <w:sz w:val="17"/>
                <w:szCs w:val="17"/>
                <w:color w:val="auto"/>
              </w:rPr>
            </w:pPr>
          </w:p>
        </w:tc>
        <w:tc>
          <w:tcPr>
            <w:tcW w:w="120" w:type="dxa"/>
            <w:vAlign w:val="bottom"/>
            <w:tcBorders>
              <w:top w:val="single" w:sz="8" w:color="2C6937"/>
            </w:tcBorders>
          </w:tcPr>
          <w:p>
            <w:pPr>
              <w:spacing w:after="0"/>
              <w:rPr>
                <w:sz w:val="17"/>
                <w:szCs w:val="17"/>
                <w:color w:val="auto"/>
              </w:rPr>
            </w:pPr>
          </w:p>
        </w:tc>
        <w:tc>
          <w:tcPr>
            <w:tcW w:w="98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1,256</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top w:val="single" w:sz="8" w:color="2C6937"/>
            </w:tcBorders>
          </w:tcPr>
          <w:p>
            <w:pPr>
              <w:spacing w:after="0"/>
              <w:rPr>
                <w:sz w:val="17"/>
                <w:szCs w:val="17"/>
                <w:color w:val="auto"/>
              </w:rPr>
            </w:pPr>
          </w:p>
        </w:tc>
        <w:tc>
          <w:tcPr>
            <w:tcW w:w="220" w:type="dxa"/>
            <w:vAlign w:val="bottom"/>
            <w:tcBorders>
              <w:top w:val="single" w:sz="8" w:color="2C6937"/>
            </w:tcBorders>
          </w:tcPr>
          <w:p>
            <w:pPr>
              <w:spacing w:after="0"/>
              <w:rPr>
                <w:sz w:val="17"/>
                <w:szCs w:val="17"/>
                <w:color w:val="auto"/>
              </w:rPr>
            </w:pPr>
          </w:p>
        </w:tc>
        <w:tc>
          <w:tcPr>
            <w:tcW w:w="86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color w:val="auto"/>
              </w:rPr>
              <w:t>7,889</w:t>
            </w:r>
          </w:p>
        </w:tc>
      </w:tr>
      <w:tr>
        <w:trPr>
          <w:trHeight w:val="339"/>
        </w:trPr>
        <w:tc>
          <w:tcPr>
            <w:tcW w:w="20" w:type="dxa"/>
            <w:vAlign w:val="bottom"/>
          </w:tcPr>
          <w:p>
            <w:pPr>
              <w:spacing w:after="0"/>
              <w:rPr>
                <w:sz w:val="24"/>
                <w:szCs w:val="24"/>
                <w:color w:val="auto"/>
              </w:rPr>
            </w:pPr>
          </w:p>
        </w:tc>
        <w:tc>
          <w:tcPr>
            <w:tcW w:w="3700" w:type="dxa"/>
            <w:vAlign w:val="bottom"/>
            <w:gridSpan w:val="3"/>
          </w:tcPr>
          <w:p>
            <w:pPr>
              <w:ind w:left="20"/>
              <w:spacing w:after="0"/>
              <w:rPr>
                <w:sz w:val="20"/>
                <w:szCs w:val="20"/>
                <w:color w:val="auto"/>
              </w:rPr>
            </w:pPr>
            <w:r>
              <w:rPr>
                <w:rFonts w:ascii="Arial" w:cs="Arial" w:eastAsia="Arial" w:hAnsi="Arial"/>
                <w:sz w:val="15"/>
                <w:szCs w:val="15"/>
                <w:color w:val="auto"/>
              </w:rPr>
              <w:t>Investment gains (losses), net</w:t>
            </w:r>
            <w:r>
              <w:rPr>
                <w:rFonts w:ascii="Arial" w:cs="Arial" w:eastAsia="Arial" w:hAnsi="Arial"/>
                <w:sz w:val="18"/>
                <w:szCs w:val="18"/>
                <w:color w:val="auto"/>
                <w:vertAlign w:val="superscript"/>
              </w:rPr>
              <w:t>(3)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Arial" w:cs="Arial" w:eastAsia="Arial" w:hAnsi="Arial"/>
                <w:sz w:val="15"/>
                <w:szCs w:val="15"/>
                <w:b w:val="1"/>
                <w:bCs w:val="1"/>
                <w:color w:val="auto"/>
              </w:rPr>
              <w:t>27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25</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(49)</w:t>
            </w:r>
          </w:p>
        </w:tc>
      </w:tr>
      <w:tr>
        <w:trPr>
          <w:trHeight w:val="260"/>
        </w:trPr>
        <w:tc>
          <w:tcPr>
            <w:tcW w:w="20" w:type="dxa"/>
            <w:vAlign w:val="bottom"/>
          </w:tcPr>
          <w:p>
            <w:pPr>
              <w:spacing w:after="0"/>
              <w:rPr>
                <w:sz w:val="22"/>
                <w:szCs w:val="22"/>
                <w:color w:val="auto"/>
              </w:rPr>
            </w:pPr>
          </w:p>
        </w:tc>
        <w:tc>
          <w:tcPr>
            <w:tcW w:w="3700" w:type="dxa"/>
            <w:vAlign w:val="bottom"/>
            <w:gridSpan w:val="3"/>
          </w:tcPr>
          <w:p>
            <w:pPr>
              <w:ind w:left="20"/>
              <w:spacing w:after="0"/>
              <w:rPr>
                <w:sz w:val="20"/>
                <w:szCs w:val="20"/>
                <w:color w:val="auto"/>
              </w:rPr>
            </w:pPr>
            <w:r>
              <w:rPr>
                <w:rFonts w:ascii="Arial" w:cs="Arial" w:eastAsia="Arial" w:hAnsi="Arial"/>
                <w:sz w:val="15"/>
                <w:szCs w:val="15"/>
                <w:color w:val="auto"/>
              </w:rPr>
              <w:t>Fair value gains (losses), net</w:t>
            </w:r>
            <w:r>
              <w:rPr>
                <w:rFonts w:ascii="Arial" w:cs="Arial" w:eastAsia="Arial" w:hAnsi="Arial"/>
                <w:sz w:val="18"/>
                <w:szCs w:val="18"/>
                <w:color w:val="auto"/>
                <w:vertAlign w:val="superscript"/>
              </w:rPr>
              <w:t>(4)</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jc w:val="right"/>
              <w:ind w:right="7"/>
              <w:spacing w:after="0"/>
              <w:rPr>
                <w:sz w:val="20"/>
                <w:szCs w:val="20"/>
                <w:color w:val="auto"/>
              </w:rPr>
            </w:pPr>
            <w:r>
              <w:rPr>
                <w:rFonts w:ascii="Arial" w:cs="Arial" w:eastAsia="Arial" w:hAnsi="Arial"/>
                <w:sz w:val="15"/>
                <w:szCs w:val="15"/>
                <w:b w:val="1"/>
                <w:bCs w:val="1"/>
                <w:color w:val="auto"/>
              </w:rPr>
              <w:t>460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(56)</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404</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543</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(14)</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529</w:t>
            </w:r>
          </w:p>
        </w:tc>
      </w:tr>
      <w:tr>
        <w:trPr>
          <w:trHeight w:val="193"/>
        </w:trPr>
        <w:tc>
          <w:tcPr>
            <w:tcW w:w="20" w:type="dxa"/>
            <w:vAlign w:val="bottom"/>
          </w:tcPr>
          <w:p>
            <w:pPr>
              <w:spacing w:after="0"/>
              <w:rPr>
                <w:sz w:val="16"/>
                <w:szCs w:val="16"/>
                <w:color w:val="auto"/>
              </w:rPr>
            </w:pPr>
          </w:p>
        </w:tc>
        <w:tc>
          <w:tcPr>
            <w:tcW w:w="3700" w:type="dxa"/>
            <w:vAlign w:val="bottom"/>
            <w:gridSpan w:val="3"/>
          </w:tcPr>
          <w:p>
            <w:pPr>
              <w:ind w:left="20"/>
              <w:spacing w:after="0"/>
              <w:rPr>
                <w:sz w:val="20"/>
                <w:szCs w:val="20"/>
                <w:color w:val="auto"/>
              </w:rPr>
            </w:pPr>
            <w:r>
              <w:rPr>
                <w:rFonts w:ascii="Arial" w:cs="Arial" w:eastAsia="Arial" w:hAnsi="Arial"/>
                <w:sz w:val="15"/>
                <w:szCs w:val="15"/>
                <w:color w:val="auto"/>
              </w:rPr>
              <w:t>Administrative expenses</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ind w:left="360"/>
              <w:spacing w:after="0"/>
              <w:rPr>
                <w:sz w:val="20"/>
                <w:szCs w:val="20"/>
                <w:color w:val="auto"/>
              </w:rPr>
            </w:pPr>
            <w:r>
              <w:rPr>
                <w:rFonts w:ascii="Arial" w:cs="Arial" w:eastAsia="Arial" w:hAnsi="Arial"/>
                <w:sz w:val="15"/>
                <w:szCs w:val="15"/>
                <w:b w:val="1"/>
                <w:bCs w:val="1"/>
                <w:color w:val="auto"/>
              </w:rPr>
              <w:t>(718)</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(146)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center"/>
              <w:ind w:left="407"/>
              <w:spacing w:after="0"/>
              <w:rPr>
                <w:sz w:val="20"/>
                <w:szCs w:val="20"/>
                <w:color w:val="auto"/>
              </w:rPr>
            </w:pPr>
            <w:r>
              <w:rPr>
                <w:rFonts w:ascii="Arial" w:cs="Arial" w:eastAsia="Arial" w:hAnsi="Arial"/>
                <w:sz w:val="15"/>
                <w:szCs w:val="15"/>
                <w:b w:val="1"/>
                <w:bCs w:val="1"/>
                <w:color w:val="auto"/>
                <w:w w:val="96"/>
              </w:rPr>
              <w:t>(864)</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(671)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(124)</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(795)</w:t>
            </w:r>
          </w:p>
        </w:tc>
      </w:tr>
      <w:tr>
        <w:trPr>
          <w:trHeight w:val="255"/>
        </w:trPr>
        <w:tc>
          <w:tcPr>
            <w:tcW w:w="20" w:type="dxa"/>
            <w:vAlign w:val="bottom"/>
          </w:tcPr>
          <w:p>
            <w:pPr>
              <w:spacing w:after="0"/>
              <w:rPr>
                <w:sz w:val="22"/>
                <w:szCs w:val="22"/>
                <w:color w:val="auto"/>
              </w:rPr>
            </w:pPr>
          </w:p>
        </w:tc>
        <w:tc>
          <w:tcPr>
            <w:tcW w:w="3700" w:type="dxa"/>
            <w:vAlign w:val="bottom"/>
            <w:gridSpan w:val="3"/>
          </w:tcPr>
          <w:p>
            <w:pPr>
              <w:ind w:left="20"/>
              <w:spacing w:after="0"/>
              <w:rPr>
                <w:sz w:val="20"/>
                <w:szCs w:val="20"/>
                <w:color w:val="auto"/>
              </w:rPr>
            </w:pPr>
            <w:r>
              <w:rPr>
                <w:rFonts w:ascii="Arial" w:cs="Arial" w:eastAsia="Arial" w:hAnsi="Arial"/>
                <w:sz w:val="15"/>
                <w:szCs w:val="15"/>
                <w:color w:val="auto"/>
              </w:rPr>
              <w:t>Benefit (provision) for credit losses</w:t>
            </w:r>
            <w:r>
              <w:rPr>
                <w:rFonts w:ascii="Arial" w:cs="Arial" w:eastAsia="Arial" w:hAnsi="Arial"/>
                <w:sz w:val="18"/>
                <w:szCs w:val="18"/>
                <w:color w:val="auto"/>
                <w:vertAlign w:val="superscript"/>
              </w:rPr>
              <w:t>(5)</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jc w:val="right"/>
              <w:ind w:right="7"/>
              <w:spacing w:after="0"/>
              <w:rPr>
                <w:sz w:val="20"/>
                <w:szCs w:val="20"/>
                <w:color w:val="auto"/>
              </w:rPr>
            </w:pPr>
            <w:r>
              <w:rPr>
                <w:rFonts w:ascii="Arial" w:cs="Arial" w:eastAsia="Arial" w:hAnsi="Arial"/>
                <w:sz w:val="15"/>
                <w:szCs w:val="15"/>
                <w:b w:val="1"/>
                <w:bCs w:val="1"/>
                <w:color w:val="auto"/>
              </w:rPr>
              <w:t>1,418</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(152)</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1,266</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(206)</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(12)</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(218)</w:t>
            </w:r>
          </w:p>
        </w:tc>
      </w:tr>
      <w:tr>
        <w:trPr>
          <w:trHeight w:val="297"/>
        </w:trPr>
        <w:tc>
          <w:tcPr>
            <w:tcW w:w="20" w:type="dxa"/>
            <w:vAlign w:val="bottom"/>
          </w:tcPr>
          <w:p>
            <w:pPr>
              <w:spacing w:after="0"/>
              <w:rPr>
                <w:sz w:val="24"/>
                <w:szCs w:val="24"/>
                <w:color w:val="auto"/>
              </w:rPr>
            </w:pPr>
          </w:p>
        </w:tc>
        <w:tc>
          <w:tcPr>
            <w:tcW w:w="3700" w:type="dxa"/>
            <w:vAlign w:val="bottom"/>
            <w:gridSpan w:val="3"/>
          </w:tcPr>
          <w:p>
            <w:pPr>
              <w:ind w:left="20"/>
              <w:spacing w:after="0"/>
              <w:rPr>
                <w:sz w:val="20"/>
                <w:szCs w:val="20"/>
                <w:color w:val="auto"/>
              </w:rPr>
            </w:pPr>
            <w:r>
              <w:rPr>
                <w:rFonts w:ascii="Arial" w:cs="Arial" w:eastAsia="Arial" w:hAnsi="Arial"/>
                <w:sz w:val="15"/>
                <w:szCs w:val="15"/>
                <w:color w:val="auto"/>
              </w:rPr>
              <w:t>TCCA fees</w:t>
            </w:r>
            <w:r>
              <w:rPr>
                <w:rFonts w:ascii="Arial" w:cs="Arial" w:eastAsia="Arial" w:hAnsi="Arial"/>
                <w:sz w:val="18"/>
                <w:szCs w:val="18"/>
                <w:color w:val="auto"/>
                <w:vertAlign w:val="superscript"/>
              </w:rPr>
              <w:t>(6)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ind w:left="360"/>
              <w:spacing w:after="0"/>
              <w:rPr>
                <w:sz w:val="20"/>
                <w:szCs w:val="20"/>
                <w:color w:val="auto"/>
              </w:rPr>
            </w:pPr>
            <w:r>
              <w:rPr>
                <w:rFonts w:ascii="Arial" w:cs="Arial" w:eastAsia="Arial" w:hAnsi="Arial"/>
                <w:sz w:val="15"/>
                <w:szCs w:val="15"/>
                <w:b w:val="1"/>
                <w:bCs w:val="1"/>
                <w:color w:val="auto"/>
              </w:rPr>
              <w:t>(856)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center"/>
              <w:ind w:left="407"/>
              <w:spacing w:after="0"/>
              <w:rPr>
                <w:sz w:val="20"/>
                <w:szCs w:val="20"/>
                <w:color w:val="auto"/>
              </w:rPr>
            </w:pPr>
            <w:r>
              <w:rPr>
                <w:rFonts w:ascii="Arial" w:cs="Arial" w:eastAsia="Arial" w:hAnsi="Arial"/>
                <w:sz w:val="15"/>
                <w:szCs w:val="15"/>
                <w:b w:val="1"/>
                <w:bCs w:val="1"/>
                <w:color w:val="auto"/>
                <w:w w:val="96"/>
              </w:rPr>
              <w:t>(856)</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(841)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(841)</w:t>
            </w:r>
          </w:p>
        </w:tc>
      </w:tr>
      <w:tr>
        <w:trPr>
          <w:trHeight w:val="297"/>
        </w:trPr>
        <w:tc>
          <w:tcPr>
            <w:tcW w:w="20" w:type="dxa"/>
            <w:vAlign w:val="bottom"/>
          </w:tcPr>
          <w:p>
            <w:pPr>
              <w:spacing w:after="0"/>
              <w:rPr>
                <w:sz w:val="24"/>
                <w:szCs w:val="24"/>
                <w:color w:val="auto"/>
              </w:rPr>
            </w:pPr>
          </w:p>
        </w:tc>
        <w:tc>
          <w:tcPr>
            <w:tcW w:w="3700" w:type="dxa"/>
            <w:vAlign w:val="bottom"/>
            <w:gridSpan w:val="3"/>
          </w:tcPr>
          <w:p>
            <w:pPr>
              <w:ind w:left="20"/>
              <w:spacing w:after="0"/>
              <w:rPr>
                <w:sz w:val="20"/>
                <w:szCs w:val="20"/>
                <w:color w:val="auto"/>
              </w:rPr>
            </w:pPr>
            <w:r>
              <w:rPr>
                <w:rFonts w:ascii="Arial" w:cs="Arial" w:eastAsia="Arial" w:hAnsi="Arial"/>
                <w:sz w:val="15"/>
                <w:szCs w:val="15"/>
                <w:color w:val="auto"/>
              </w:rPr>
              <w:t>Credit enhancement expense</w:t>
            </w:r>
            <w:r>
              <w:rPr>
                <w:rFonts w:ascii="Arial" w:cs="Arial" w:eastAsia="Arial" w:hAnsi="Arial"/>
                <w:sz w:val="18"/>
                <w:szCs w:val="18"/>
                <w:color w:val="auto"/>
                <w:vertAlign w:val="superscript"/>
              </w:rPr>
              <w:t>(7)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ind w:left="360"/>
              <w:spacing w:after="0"/>
              <w:rPr>
                <w:sz w:val="20"/>
                <w:szCs w:val="20"/>
                <w:color w:val="auto"/>
              </w:rPr>
            </w:pPr>
            <w:r>
              <w:rPr>
                <w:rFonts w:ascii="Arial" w:cs="Arial" w:eastAsia="Arial" w:hAnsi="Arial"/>
                <w:sz w:val="15"/>
                <w:szCs w:val="15"/>
                <w:b w:val="1"/>
                <w:bCs w:val="1"/>
                <w:color w:val="auto"/>
              </w:rPr>
              <w:t>(327)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(57)</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center"/>
              <w:ind w:left="407"/>
              <w:spacing w:after="0"/>
              <w:rPr>
                <w:sz w:val="20"/>
                <w:szCs w:val="20"/>
                <w:color w:val="auto"/>
              </w:rPr>
            </w:pPr>
            <w:r>
              <w:rPr>
                <w:rFonts w:ascii="Arial" w:cs="Arial" w:eastAsia="Arial" w:hAnsi="Arial"/>
                <w:sz w:val="15"/>
                <w:szCs w:val="15"/>
                <w:b w:val="1"/>
                <w:bCs w:val="1"/>
                <w:color w:val="auto"/>
                <w:w w:val="96"/>
              </w:rPr>
              <w:t>(384)</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(270)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(332)</w:t>
            </w:r>
          </w:p>
        </w:tc>
      </w:tr>
      <w:tr>
        <w:trPr>
          <w:trHeight w:val="260"/>
        </w:trPr>
        <w:tc>
          <w:tcPr>
            <w:tcW w:w="20" w:type="dxa"/>
            <w:vAlign w:val="bottom"/>
          </w:tcPr>
          <w:p>
            <w:pPr>
              <w:spacing w:after="0"/>
              <w:rPr>
                <w:sz w:val="22"/>
                <w:szCs w:val="22"/>
                <w:color w:val="auto"/>
              </w:rPr>
            </w:pPr>
          </w:p>
        </w:tc>
        <w:tc>
          <w:tcPr>
            <w:tcW w:w="3700" w:type="dxa"/>
            <w:vAlign w:val="bottom"/>
            <w:gridSpan w:val="3"/>
          </w:tcPr>
          <w:p>
            <w:pPr>
              <w:ind w:left="20"/>
              <w:spacing w:after="0"/>
              <w:rPr>
                <w:sz w:val="20"/>
                <w:szCs w:val="20"/>
                <w:color w:val="auto"/>
              </w:rPr>
            </w:pPr>
            <w:r>
              <w:rPr>
                <w:rFonts w:ascii="Arial" w:cs="Arial" w:eastAsia="Arial" w:hAnsi="Arial"/>
                <w:sz w:val="15"/>
                <w:szCs w:val="15"/>
                <w:color w:val="auto"/>
              </w:rPr>
              <w:t>Change in expected credit enhancement recoveries</w:t>
            </w:r>
            <w:r>
              <w:rPr>
                <w:rFonts w:ascii="Arial" w:cs="Arial" w:eastAsia="Arial" w:hAnsi="Arial"/>
                <w:sz w:val="18"/>
                <w:szCs w:val="18"/>
                <w:color w:val="auto"/>
                <w:vertAlign w:val="superscript"/>
              </w:rPr>
              <w:t>(8)</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ind w:left="360"/>
              <w:spacing w:after="0"/>
              <w:rPr>
                <w:sz w:val="20"/>
                <w:szCs w:val="20"/>
                <w:color w:val="auto"/>
              </w:rPr>
            </w:pPr>
            <w:r>
              <w:rPr>
                <w:rFonts w:ascii="Arial" w:cs="Arial" w:eastAsia="Arial" w:hAnsi="Arial"/>
                <w:sz w:val="15"/>
                <w:szCs w:val="15"/>
                <w:b w:val="1"/>
                <w:bCs w:val="1"/>
                <w:color w:val="auto"/>
              </w:rPr>
              <w:t>(223)</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b w:val="1"/>
                <w:bCs w:val="1"/>
                <w:color w:val="auto"/>
              </w:rPr>
              <w:t>63</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center"/>
              <w:ind w:left="407"/>
              <w:spacing w:after="0"/>
              <w:rPr>
                <w:sz w:val="20"/>
                <w:szCs w:val="20"/>
                <w:color w:val="auto"/>
              </w:rPr>
            </w:pPr>
            <w:r>
              <w:rPr>
                <w:rFonts w:ascii="Arial" w:cs="Arial" w:eastAsia="Arial" w:hAnsi="Arial"/>
                <w:sz w:val="15"/>
                <w:szCs w:val="15"/>
                <w:b w:val="1"/>
                <w:bCs w:val="1"/>
                <w:color w:val="auto"/>
                <w:w w:val="96"/>
              </w:rPr>
              <w:t>(160)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(43)</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(47)</w:t>
            </w:r>
          </w:p>
        </w:tc>
      </w:tr>
      <w:tr>
        <w:trPr>
          <w:trHeight w:val="209"/>
        </w:trPr>
        <w:tc>
          <w:tcPr>
            <w:tcW w:w="20" w:type="dxa"/>
            <w:vAlign w:val="bottom"/>
          </w:tcPr>
          <w:p>
            <w:pPr>
              <w:spacing w:after="0"/>
              <w:rPr>
                <w:sz w:val="18"/>
                <w:szCs w:val="18"/>
                <w:color w:val="auto"/>
              </w:rPr>
            </w:pPr>
          </w:p>
        </w:tc>
        <w:tc>
          <w:tcPr>
            <w:tcW w:w="3700" w:type="dxa"/>
            <w:vAlign w:val="bottom"/>
            <w:gridSpan w:val="3"/>
          </w:tcPr>
          <w:p>
            <w:pPr>
              <w:ind w:left="20"/>
              <w:spacing w:after="0"/>
              <w:rPr>
                <w:sz w:val="20"/>
                <w:szCs w:val="20"/>
                <w:color w:val="auto"/>
              </w:rPr>
            </w:pPr>
            <w:r>
              <w:rPr>
                <w:rFonts w:ascii="Arial" w:cs="Arial" w:eastAsia="Arial" w:hAnsi="Arial"/>
                <w:sz w:val="15"/>
                <w:szCs w:val="15"/>
                <w:color w:val="auto"/>
              </w:rPr>
              <w:t>Other expenses, net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ind w:left="360"/>
              <w:spacing w:after="0"/>
              <w:rPr>
                <w:sz w:val="20"/>
                <w:szCs w:val="20"/>
                <w:color w:val="auto"/>
              </w:rPr>
            </w:pPr>
            <w:r>
              <w:rPr>
                <w:rFonts w:ascii="Arial" w:cs="Arial" w:eastAsia="Arial" w:hAnsi="Arial"/>
                <w:sz w:val="15"/>
                <w:szCs w:val="15"/>
                <w:b w:val="1"/>
                <w:bCs w:val="1"/>
                <w:color w:val="auto"/>
              </w:rPr>
              <w:t>(203)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(54)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center"/>
              <w:ind w:left="407"/>
              <w:spacing w:after="0"/>
              <w:rPr>
                <w:sz w:val="20"/>
                <w:szCs w:val="20"/>
                <w:color w:val="auto"/>
              </w:rPr>
            </w:pPr>
            <w:r>
              <w:rPr>
                <w:rFonts w:ascii="Arial" w:cs="Arial" w:eastAsia="Arial" w:hAnsi="Arial"/>
                <w:sz w:val="15"/>
                <w:szCs w:val="15"/>
                <w:b w:val="1"/>
                <w:bCs w:val="1"/>
                <w:color w:val="auto"/>
                <w:w w:val="96"/>
              </w:rPr>
              <w:t>(257)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(224)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(261)</w:t>
            </w:r>
          </w:p>
        </w:tc>
      </w:tr>
      <w:tr>
        <w:trPr>
          <w:trHeight w:val="183"/>
        </w:trPr>
        <w:tc>
          <w:tcPr>
            <w:tcW w:w="20" w:type="dxa"/>
            <w:vAlign w:val="bottom"/>
          </w:tcPr>
          <w:p>
            <w:pPr>
              <w:spacing w:after="0"/>
              <w:rPr>
                <w:sz w:val="15"/>
                <w:szCs w:val="15"/>
                <w:color w:val="auto"/>
              </w:rPr>
            </w:pPr>
          </w:p>
        </w:tc>
        <w:tc>
          <w:tcPr>
            <w:tcW w:w="3600" w:type="dxa"/>
            <w:vAlign w:val="bottom"/>
            <w:tcBorders>
              <w:top w:val="single" w:sz="8" w:color="2C6937"/>
            </w:tcBorders>
          </w:tcPr>
          <w:p>
            <w:pPr>
              <w:ind w:left="20"/>
              <w:spacing w:after="0"/>
              <w:rPr>
                <w:sz w:val="20"/>
                <w:szCs w:val="20"/>
                <w:color w:val="auto"/>
              </w:rPr>
            </w:pPr>
            <w:r>
              <w:rPr>
                <w:rFonts w:ascii="Arial" w:cs="Arial" w:eastAsia="Arial" w:hAnsi="Arial"/>
                <w:sz w:val="15"/>
                <w:szCs w:val="15"/>
                <w:color w:val="auto"/>
              </w:rPr>
              <w:t>Income before federal income taxes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top w:val="single" w:sz="8" w:color="2C6937"/>
            </w:tcBorders>
          </w:tcPr>
          <w:p>
            <w:pPr>
              <w:spacing w:after="0"/>
              <w:rPr>
                <w:sz w:val="15"/>
                <w:szCs w:val="15"/>
                <w:color w:val="auto"/>
              </w:rPr>
            </w:pPr>
          </w:p>
        </w:tc>
        <w:tc>
          <w:tcPr>
            <w:tcW w:w="340" w:type="dxa"/>
            <w:vAlign w:val="bottom"/>
            <w:tcBorders>
              <w:top w:val="single" w:sz="8" w:color="2C6937"/>
            </w:tcBorders>
          </w:tcPr>
          <w:p>
            <w:pPr>
              <w:spacing w:after="0"/>
              <w:rPr>
                <w:sz w:val="15"/>
                <w:szCs w:val="15"/>
                <w:color w:val="auto"/>
              </w:rPr>
            </w:pPr>
          </w:p>
        </w:tc>
        <w:tc>
          <w:tcPr>
            <w:tcW w:w="74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5,547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top w:val="single" w:sz="8" w:color="2C6937"/>
            </w:tcBorders>
          </w:tcPr>
          <w:p>
            <w:pPr>
              <w:spacing w:after="0"/>
              <w:rPr>
                <w:sz w:val="15"/>
                <w:szCs w:val="15"/>
                <w:color w:val="auto"/>
              </w:rPr>
            </w:pPr>
          </w:p>
        </w:tc>
        <w:tc>
          <w:tcPr>
            <w:tcW w:w="120" w:type="dxa"/>
            <w:vAlign w:val="bottom"/>
            <w:tcBorders>
              <w:top w:val="single" w:sz="8" w:color="2C6937"/>
            </w:tcBorders>
          </w:tcPr>
          <w:p>
            <w:pPr>
              <w:spacing w:after="0"/>
              <w:rPr>
                <w:sz w:val="15"/>
                <w:szCs w:val="15"/>
                <w:color w:val="auto"/>
              </w:rPr>
            </w:pPr>
          </w:p>
        </w:tc>
        <w:tc>
          <w:tcPr>
            <w:tcW w:w="100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732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top w:val="single" w:sz="8" w:color="2C6937"/>
            </w:tcBorders>
          </w:tcPr>
          <w:p>
            <w:pPr>
              <w:spacing w:after="0"/>
              <w:rPr>
                <w:sz w:val="15"/>
                <w:szCs w:val="15"/>
                <w:color w:val="auto"/>
              </w:rPr>
            </w:pPr>
          </w:p>
        </w:tc>
        <w:tc>
          <w:tcPr>
            <w:tcW w:w="220" w:type="dxa"/>
            <w:vAlign w:val="bottom"/>
            <w:tcBorders>
              <w:top w:val="single" w:sz="8" w:color="2C6937"/>
            </w:tcBorders>
          </w:tcPr>
          <w:p>
            <w:pPr>
              <w:spacing w:after="0"/>
              <w:rPr>
                <w:sz w:val="15"/>
                <w:szCs w:val="15"/>
                <w:color w:val="auto"/>
              </w:rPr>
            </w:pPr>
          </w:p>
        </w:tc>
        <w:tc>
          <w:tcPr>
            <w:tcW w:w="86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6,279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top w:val="single" w:sz="8" w:color="2C6937"/>
            </w:tcBorders>
          </w:tcPr>
          <w:p>
            <w:pPr>
              <w:spacing w:after="0"/>
              <w:rPr>
                <w:sz w:val="15"/>
                <w:szCs w:val="15"/>
                <w:color w:val="auto"/>
              </w:rPr>
            </w:pPr>
          </w:p>
        </w:tc>
        <w:tc>
          <w:tcPr>
            <w:tcW w:w="560" w:type="dxa"/>
            <w:vAlign w:val="bottom"/>
            <w:tcBorders>
              <w:top w:val="single" w:sz="8" w:color="2C6937"/>
            </w:tcBorders>
          </w:tcPr>
          <w:p>
            <w:pPr>
              <w:spacing w:after="0"/>
              <w:rPr>
                <w:sz w:val="15"/>
                <w:szCs w:val="15"/>
                <w:color w:val="auto"/>
              </w:rPr>
            </w:pPr>
          </w:p>
        </w:tc>
        <w:tc>
          <w:tcPr>
            <w:tcW w:w="50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4,894</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top w:val="single" w:sz="8" w:color="2C6937"/>
            </w:tcBorders>
          </w:tcPr>
          <w:p>
            <w:pPr>
              <w:spacing w:after="0"/>
              <w:rPr>
                <w:sz w:val="15"/>
                <w:szCs w:val="15"/>
                <w:color w:val="auto"/>
              </w:rPr>
            </w:pPr>
          </w:p>
        </w:tc>
        <w:tc>
          <w:tcPr>
            <w:tcW w:w="120" w:type="dxa"/>
            <w:vAlign w:val="bottom"/>
            <w:tcBorders>
              <w:top w:val="single" w:sz="8" w:color="2C6937"/>
            </w:tcBorders>
          </w:tcPr>
          <w:p>
            <w:pPr>
              <w:spacing w:after="0"/>
              <w:rPr>
                <w:sz w:val="15"/>
                <w:szCs w:val="15"/>
                <w:color w:val="auto"/>
              </w:rPr>
            </w:pPr>
          </w:p>
        </w:tc>
        <w:tc>
          <w:tcPr>
            <w:tcW w:w="98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981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top w:val="single" w:sz="8" w:color="2C6937"/>
            </w:tcBorders>
          </w:tcPr>
          <w:p>
            <w:pPr>
              <w:spacing w:after="0"/>
              <w:rPr>
                <w:sz w:val="15"/>
                <w:szCs w:val="15"/>
                <w:color w:val="auto"/>
              </w:rPr>
            </w:pPr>
          </w:p>
        </w:tc>
        <w:tc>
          <w:tcPr>
            <w:tcW w:w="220" w:type="dxa"/>
            <w:vAlign w:val="bottom"/>
            <w:tcBorders>
              <w:top w:val="single" w:sz="8" w:color="2C6937"/>
            </w:tcBorders>
          </w:tcPr>
          <w:p>
            <w:pPr>
              <w:spacing w:after="0"/>
              <w:rPr>
                <w:sz w:val="15"/>
                <w:szCs w:val="15"/>
                <w:color w:val="auto"/>
              </w:rPr>
            </w:pPr>
          </w:p>
        </w:tc>
        <w:tc>
          <w:tcPr>
            <w:tcW w:w="86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color w:val="auto"/>
              </w:rPr>
              <w:t>5,875</w:t>
            </w:r>
          </w:p>
        </w:tc>
      </w:tr>
      <w:tr>
        <w:trPr>
          <w:trHeight w:val="202"/>
        </w:trPr>
        <w:tc>
          <w:tcPr>
            <w:tcW w:w="20" w:type="dxa"/>
            <w:vAlign w:val="bottom"/>
          </w:tcPr>
          <w:p>
            <w:pPr>
              <w:spacing w:after="0"/>
              <w:rPr>
                <w:sz w:val="17"/>
                <w:szCs w:val="17"/>
                <w:color w:val="auto"/>
              </w:rPr>
            </w:pPr>
          </w:p>
        </w:tc>
        <w:tc>
          <w:tcPr>
            <w:tcW w:w="3700" w:type="dxa"/>
            <w:vAlign w:val="bottom"/>
            <w:gridSpan w:val="3"/>
          </w:tcPr>
          <w:p>
            <w:pPr>
              <w:ind w:left="20"/>
              <w:spacing w:after="0"/>
              <w:rPr>
                <w:sz w:val="20"/>
                <w:szCs w:val="20"/>
                <w:color w:val="auto"/>
              </w:rPr>
            </w:pPr>
            <w:r>
              <w:rPr>
                <w:rFonts w:ascii="Arial" w:cs="Arial" w:eastAsia="Arial" w:hAnsi="Arial"/>
                <w:sz w:val="15"/>
                <w:szCs w:val="15"/>
                <w:color w:val="auto"/>
              </w:rPr>
              <w:t>Provision for federal income taxes</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(1,153)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(132)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(1,285)</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96"/>
              </w:rPr>
              <w:t>(1,008)</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(214)</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(1,222)</w:t>
            </w:r>
          </w:p>
        </w:tc>
      </w:tr>
      <w:tr>
        <w:trPr>
          <w:trHeight w:val="198"/>
        </w:trPr>
        <w:tc>
          <w:tcPr>
            <w:tcW w:w="20" w:type="dxa"/>
            <w:vAlign w:val="bottom"/>
          </w:tcPr>
          <w:p>
            <w:pPr>
              <w:spacing w:after="0"/>
              <w:rPr>
                <w:sz w:val="17"/>
                <w:szCs w:val="17"/>
                <w:color w:val="auto"/>
              </w:rPr>
            </w:pPr>
          </w:p>
        </w:tc>
        <w:tc>
          <w:tcPr>
            <w:tcW w:w="3600" w:type="dxa"/>
            <w:vAlign w:val="bottom"/>
            <w:tcBorders>
              <w:top w:val="single" w:sz="8" w:color="2C6937"/>
              <w:bottom w:val="single" w:sz="8" w:color="2C6937"/>
            </w:tcBorders>
          </w:tcPr>
          <w:p>
            <w:pPr>
              <w:ind w:left="160"/>
              <w:spacing w:after="0"/>
              <w:rPr>
                <w:sz w:val="20"/>
                <w:szCs w:val="20"/>
                <w:color w:val="auto"/>
              </w:rPr>
            </w:pPr>
            <w:r>
              <w:rPr>
                <w:rFonts w:ascii="Arial" w:cs="Arial" w:eastAsia="Arial" w:hAnsi="Arial"/>
                <w:sz w:val="15"/>
                <w:szCs w:val="15"/>
                <w:color w:val="auto"/>
              </w:rPr>
              <w:t>Net income</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Borders>
              <w:top w:val="single" w:sz="8" w:color="2C6937"/>
              <w:bottom w:val="single" w:sz="8" w:color="2C6937"/>
            </w:tcBorders>
            <w:gridSpan w:val="2"/>
          </w:tcPr>
          <w:p>
            <w:pPr>
              <w:jc w:val="right"/>
              <w:ind w:right="227"/>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4,394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2C6937"/>
              <w:bottom w:val="single" w:sz="8" w:color="2C6937"/>
            </w:tcBorders>
            <w:gridSpan w:val="2"/>
          </w:tcPr>
          <w:p>
            <w:pPr>
              <w:jc w:val="right"/>
              <w:ind w:right="7"/>
              <w:spacing w:after="0"/>
              <w:rPr>
                <w:sz w:val="20"/>
                <w:szCs w:val="20"/>
                <w:color w:val="auto"/>
              </w:rPr>
            </w:pPr>
            <w:r>
              <w:rPr>
                <w:rFonts w:ascii="Arial" w:cs="Arial" w:eastAsia="Arial" w:hAnsi="Arial"/>
                <w:sz w:val="15"/>
                <w:szCs w:val="15"/>
                <w:b w:val="1"/>
                <w:bCs w:val="1"/>
                <w:color w:val="auto"/>
                <w:w w:val="95"/>
              </w:rPr>
              <w:t>$</w:t>
            </w:r>
          </w:p>
        </w:tc>
        <w:tc>
          <w:tcPr>
            <w:tcW w:w="100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600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top w:val="single" w:sz="8" w:color="2C6937"/>
              <w:bottom w:val="single" w:sz="8" w:color="2C6937"/>
            </w:tcBorders>
            <w:gridSpan w:val="2"/>
          </w:tcPr>
          <w:p>
            <w:pPr>
              <w:ind w:left="20"/>
              <w:spacing w:after="0"/>
              <w:rPr>
                <w:sz w:val="20"/>
                <w:szCs w:val="20"/>
                <w:color w:val="auto"/>
              </w:rPr>
            </w:pPr>
            <w:r>
              <w:rPr>
                <w:rFonts w:ascii="Arial" w:cs="Arial" w:eastAsia="Arial" w:hAnsi="Arial"/>
                <w:sz w:val="15"/>
                <w:szCs w:val="15"/>
                <w:b w:val="1"/>
                <w:bCs w:val="1"/>
                <w:color w:val="auto"/>
              </w:rPr>
              <w:t>$</w:t>
            </w:r>
          </w:p>
        </w:tc>
        <w:tc>
          <w:tcPr>
            <w:tcW w:w="8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4,994</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top w:val="single" w:sz="8" w:color="2C6937"/>
              <w:bottom w:val="single" w:sz="8" w:color="2C6937"/>
            </w:tcBorders>
            <w:gridSpan w:val="2"/>
          </w:tcPr>
          <w:p>
            <w:pPr>
              <w:jc w:val="right"/>
              <w:ind w:right="46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3,886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2C6937"/>
              <w:bottom w:val="single" w:sz="8" w:color="2C6937"/>
            </w:tcBorders>
            <w:gridSpan w:val="2"/>
          </w:tcPr>
          <w:p>
            <w:pPr>
              <w:jc w:val="right"/>
              <w:ind w:right="7"/>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767</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top w:val="single" w:sz="8" w:color="2C6937"/>
              <w:bottom w:val="single" w:sz="8" w:color="2C6937"/>
            </w:tcBorders>
            <w:gridSpan w:val="2"/>
          </w:tcPr>
          <w:p>
            <w:pPr>
              <w:jc w:val="right"/>
              <w:ind w:right="107"/>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color w:val="auto"/>
              </w:rPr>
              <w:t>4,653</w:t>
            </w:r>
          </w:p>
        </w:tc>
      </w:tr>
      <w:tr>
        <w:trPr>
          <w:trHeight w:val="20"/>
        </w:trPr>
        <w:tc>
          <w:tcPr>
            <w:tcW w:w="20" w:type="dxa"/>
            <w:vAlign w:val="bottom"/>
          </w:tcPr>
          <w:p>
            <w:pPr>
              <w:spacing w:after="0" w:line="20" w:lineRule="exact"/>
              <w:rPr>
                <w:sz w:val="1"/>
                <w:szCs w:val="1"/>
                <w:color w:val="auto"/>
              </w:rPr>
            </w:pPr>
          </w:p>
        </w:tc>
        <w:tc>
          <w:tcPr>
            <w:tcW w:w="3600" w:type="dxa"/>
            <w:vAlign w:val="bottom"/>
            <w:tcBorders>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34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000" w:type="dxa"/>
            <w:vAlign w:val="bottom"/>
            <w:tcBorders>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1060" w:type="dxa"/>
            <w:vAlign w:val="bottom"/>
            <w:tcBorders>
              <w:bottom w:val="single" w:sz="8" w:color="2C6937"/>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22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r>
      <w:tr>
        <w:trPr>
          <w:trHeight w:val="374"/>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00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2500" w:type="dxa"/>
            <w:vAlign w:val="bottom"/>
            <w:tcBorders>
              <w:bottom w:val="single" w:sz="8" w:color="2C6937"/>
            </w:tcBorders>
            <w:gridSpan w:val="10"/>
          </w:tcPr>
          <w:p>
            <w:pPr>
              <w:ind w:left="20"/>
              <w:spacing w:after="0"/>
              <w:rPr>
                <w:sz w:val="20"/>
                <w:szCs w:val="20"/>
                <w:color w:val="auto"/>
              </w:rPr>
            </w:pPr>
            <w:r>
              <w:rPr>
                <w:rFonts w:ascii="Arial" w:cs="Arial" w:eastAsia="Arial" w:hAnsi="Arial"/>
                <w:sz w:val="15"/>
                <w:szCs w:val="15"/>
                <w:b w:val="1"/>
                <w:bCs w:val="1"/>
                <w:color w:val="auto"/>
                <w:w w:val="98"/>
              </w:rPr>
              <w:t>For the Six Months Ended June 30,</w:t>
            </w:r>
          </w:p>
        </w:tc>
        <w:tc>
          <w:tcPr>
            <w:tcW w:w="6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98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220" w:type="dxa"/>
            <w:vAlign w:val="bottom"/>
            <w:tcBorders>
              <w:bottom w:val="single" w:sz="8" w:color="2C6937"/>
            </w:tcBorders>
          </w:tcPr>
          <w:p>
            <w:pPr>
              <w:spacing w:after="0"/>
              <w:rPr>
                <w:sz w:val="24"/>
                <w:szCs w:val="24"/>
                <w:color w:val="auto"/>
              </w:rPr>
            </w:pPr>
          </w:p>
        </w:tc>
        <w:tc>
          <w:tcPr>
            <w:tcW w:w="860" w:type="dxa"/>
            <w:vAlign w:val="bottom"/>
            <w:tcBorders>
              <w:bottom w:val="single" w:sz="8" w:color="2C6937"/>
            </w:tcBorders>
          </w:tcPr>
          <w:p>
            <w:pPr>
              <w:spacing w:after="0"/>
              <w:rPr>
                <w:sz w:val="24"/>
                <w:szCs w:val="24"/>
                <w:color w:val="auto"/>
              </w:rPr>
            </w:pPr>
          </w:p>
        </w:tc>
      </w:tr>
      <w:tr>
        <w:trPr>
          <w:trHeight w:val="192"/>
        </w:trPr>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ind w:right="287"/>
              <w:spacing w:after="0"/>
              <w:rPr>
                <w:sz w:val="20"/>
                <w:szCs w:val="20"/>
                <w:color w:val="auto"/>
              </w:rPr>
            </w:pPr>
            <w:r>
              <w:rPr>
                <w:rFonts w:ascii="Arial" w:cs="Arial" w:eastAsia="Arial" w:hAnsi="Arial"/>
                <w:sz w:val="15"/>
                <w:szCs w:val="15"/>
                <w:b w:val="1"/>
                <w:bCs w:val="1"/>
                <w:color w:val="auto"/>
              </w:rPr>
              <w:t>2023</w:t>
            </w:r>
          </w:p>
        </w:tc>
        <w:tc>
          <w:tcPr>
            <w:tcW w:w="4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Borders>
              <w:bottom w:val="single" w:sz="8" w:color="2C6937"/>
            </w:tcBorders>
          </w:tcPr>
          <w:p>
            <w:pPr>
              <w:spacing w:after="0"/>
              <w:rPr>
                <w:sz w:val="16"/>
                <w:szCs w:val="16"/>
                <w:color w:val="auto"/>
              </w:rPr>
            </w:pPr>
          </w:p>
        </w:tc>
        <w:tc>
          <w:tcPr>
            <w:tcW w:w="50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ind w:right="307"/>
              <w:spacing w:after="0"/>
              <w:rPr>
                <w:sz w:val="20"/>
                <w:szCs w:val="20"/>
                <w:color w:val="auto"/>
              </w:rPr>
            </w:pPr>
            <w:r>
              <w:rPr>
                <w:rFonts w:ascii="Arial" w:cs="Arial" w:eastAsia="Arial" w:hAnsi="Arial"/>
                <w:sz w:val="15"/>
                <w:szCs w:val="15"/>
                <w:b w:val="1"/>
                <w:bCs w:val="1"/>
                <w:color w:val="auto"/>
              </w:rPr>
              <w:t>2022</w:t>
            </w:r>
          </w:p>
        </w:tc>
        <w:tc>
          <w:tcPr>
            <w:tcW w:w="6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spacing w:after="0"/>
              <w:rPr>
                <w:sz w:val="16"/>
                <w:szCs w:val="16"/>
                <w:color w:val="auto"/>
              </w:rPr>
            </w:pPr>
          </w:p>
        </w:tc>
      </w:tr>
      <w:tr>
        <w:trPr>
          <w:trHeight w:val="220"/>
        </w:trPr>
        <w:tc>
          <w:tcPr>
            <w:tcW w:w="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Borders>
              <w:bottom w:val="single" w:sz="8" w:color="2C6937"/>
            </w:tcBorders>
            <w:gridSpan w:val="4"/>
          </w:tcPr>
          <w:p>
            <w:pPr>
              <w:ind w:left="100"/>
              <w:spacing w:after="0"/>
              <w:rPr>
                <w:sz w:val="20"/>
                <w:szCs w:val="20"/>
                <w:color w:val="auto"/>
              </w:rPr>
            </w:pPr>
            <w:r>
              <w:rPr>
                <w:rFonts w:ascii="Arial" w:cs="Arial" w:eastAsia="Arial" w:hAnsi="Arial"/>
                <w:sz w:val="15"/>
                <w:szCs w:val="15"/>
                <w:b w:val="1"/>
                <w:bCs w:val="1"/>
                <w:color w:val="auto"/>
              </w:rPr>
              <w:t>Single-Family</w:t>
            </w:r>
          </w:p>
        </w:tc>
        <w:tc>
          <w:tcPr>
            <w:tcW w:w="60" w:type="dxa"/>
            <w:vAlign w:val="bottom"/>
            <w:tcBorders>
              <w:bottom w:val="single" w:sz="8" w:color="2C6937"/>
            </w:tcBorders>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1100" w:type="dxa"/>
            <w:vAlign w:val="bottom"/>
            <w:tcBorders>
              <w:bottom w:val="single" w:sz="8" w:color="2C6937"/>
            </w:tcBorders>
            <w:gridSpan w:val="3"/>
          </w:tcPr>
          <w:p>
            <w:pPr>
              <w:ind w:left="80"/>
              <w:spacing w:after="0"/>
              <w:rPr>
                <w:sz w:val="20"/>
                <w:szCs w:val="20"/>
                <w:color w:val="auto"/>
              </w:rPr>
            </w:pPr>
            <w:r>
              <w:rPr>
                <w:rFonts w:ascii="Arial" w:cs="Arial" w:eastAsia="Arial" w:hAnsi="Arial"/>
                <w:sz w:val="15"/>
                <w:szCs w:val="15"/>
                <w:b w:val="1"/>
                <w:bCs w:val="1"/>
                <w:color w:val="auto"/>
              </w:rPr>
              <w:t>Multifamily</w:t>
            </w:r>
          </w:p>
        </w:tc>
        <w:tc>
          <w:tcPr>
            <w:tcW w:w="60" w:type="dxa"/>
            <w:vAlign w:val="bottom"/>
            <w:tcBorders>
              <w:bottom w:val="single" w:sz="8" w:color="2C6937"/>
            </w:tcBorders>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gridSpan w:val="3"/>
          </w:tcPr>
          <w:p>
            <w:pPr>
              <w:ind w:left="180"/>
              <w:spacing w:after="0"/>
              <w:rPr>
                <w:sz w:val="20"/>
                <w:szCs w:val="20"/>
                <w:color w:val="auto"/>
              </w:rPr>
            </w:pPr>
            <w:r>
              <w:rPr>
                <w:rFonts w:ascii="Arial" w:cs="Arial" w:eastAsia="Arial" w:hAnsi="Arial"/>
                <w:sz w:val="15"/>
                <w:szCs w:val="15"/>
                <w:b w:val="1"/>
                <w:bCs w:val="1"/>
                <w:color w:val="auto"/>
              </w:rPr>
              <w:t>Total</w:t>
            </w:r>
          </w:p>
        </w:tc>
        <w:tc>
          <w:tcPr>
            <w:tcW w:w="60" w:type="dxa"/>
            <w:vAlign w:val="bottom"/>
            <w:tcBorders>
              <w:bottom w:val="single" w:sz="8" w:color="2C6937"/>
            </w:tcBorders>
          </w:tcPr>
          <w:p>
            <w:pPr>
              <w:spacing w:after="0"/>
              <w:rPr>
                <w:sz w:val="19"/>
                <w:szCs w:val="19"/>
                <w:color w:val="auto"/>
              </w:rPr>
            </w:pPr>
          </w:p>
        </w:tc>
        <w:tc>
          <w:tcPr>
            <w:tcW w:w="1180" w:type="dxa"/>
            <w:vAlign w:val="bottom"/>
            <w:tcBorders>
              <w:bottom w:val="single" w:sz="8" w:color="2C6937"/>
            </w:tcBorders>
            <w:gridSpan w:val="4"/>
          </w:tcPr>
          <w:p>
            <w:pPr>
              <w:ind w:left="80"/>
              <w:spacing w:after="0"/>
              <w:rPr>
                <w:sz w:val="20"/>
                <w:szCs w:val="20"/>
                <w:color w:val="auto"/>
              </w:rPr>
            </w:pPr>
            <w:r>
              <w:rPr>
                <w:rFonts w:ascii="Arial" w:cs="Arial" w:eastAsia="Arial" w:hAnsi="Arial"/>
                <w:sz w:val="15"/>
                <w:szCs w:val="15"/>
                <w:b w:val="1"/>
                <w:bCs w:val="1"/>
                <w:color w:val="auto"/>
              </w:rPr>
              <w:t>Single-Family</w:t>
            </w:r>
          </w:p>
        </w:tc>
        <w:tc>
          <w:tcPr>
            <w:tcW w:w="60" w:type="dxa"/>
            <w:vAlign w:val="bottom"/>
            <w:tcBorders>
              <w:bottom w:val="single" w:sz="8" w:color="2C6937"/>
            </w:tcBorders>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1100" w:type="dxa"/>
            <w:vAlign w:val="bottom"/>
            <w:tcBorders>
              <w:bottom w:val="single" w:sz="8" w:color="2C6937"/>
            </w:tcBorders>
            <w:gridSpan w:val="3"/>
          </w:tcPr>
          <w:p>
            <w:pPr>
              <w:ind w:left="80"/>
              <w:spacing w:after="0"/>
              <w:rPr>
                <w:sz w:val="20"/>
                <w:szCs w:val="20"/>
                <w:color w:val="auto"/>
              </w:rPr>
            </w:pPr>
            <w:r>
              <w:rPr>
                <w:rFonts w:ascii="Arial" w:cs="Arial" w:eastAsia="Arial" w:hAnsi="Arial"/>
                <w:sz w:val="15"/>
                <w:szCs w:val="15"/>
                <w:b w:val="1"/>
                <w:bCs w:val="1"/>
                <w:color w:val="auto"/>
              </w:rPr>
              <w:t>Multifamily</w:t>
            </w:r>
          </w:p>
        </w:tc>
        <w:tc>
          <w:tcPr>
            <w:tcW w:w="60" w:type="dxa"/>
            <w:vAlign w:val="bottom"/>
            <w:tcBorders>
              <w:bottom w:val="single" w:sz="8" w:color="2C6937"/>
            </w:tcBorders>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860" w:type="dxa"/>
            <w:vAlign w:val="bottom"/>
            <w:tcBorders>
              <w:bottom w:val="single" w:sz="8" w:color="2C6937"/>
            </w:tcBorders>
          </w:tcPr>
          <w:p>
            <w:pPr>
              <w:jc w:val="right"/>
              <w:ind w:right="287"/>
              <w:spacing w:after="0"/>
              <w:rPr>
                <w:sz w:val="20"/>
                <w:szCs w:val="20"/>
                <w:color w:val="auto"/>
              </w:rPr>
            </w:pPr>
            <w:r>
              <w:rPr>
                <w:rFonts w:ascii="Arial" w:cs="Arial" w:eastAsia="Arial" w:hAnsi="Arial"/>
                <w:sz w:val="15"/>
                <w:szCs w:val="15"/>
                <w:b w:val="1"/>
                <w:bCs w:val="1"/>
                <w:color w:val="auto"/>
              </w:rPr>
              <w:t>Total</w:t>
            </w:r>
          </w:p>
        </w:tc>
      </w:tr>
      <w:tr>
        <w:trPr>
          <w:trHeight w:val="202"/>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8"/>
          </w:tcPr>
          <w:p>
            <w:pPr>
              <w:ind w:left="280"/>
              <w:spacing w:after="0"/>
              <w:rPr>
                <w:sz w:val="20"/>
                <w:szCs w:val="20"/>
                <w:color w:val="auto"/>
              </w:rPr>
            </w:pPr>
            <w:r>
              <w:rPr>
                <w:rFonts w:ascii="Arial" w:cs="Arial" w:eastAsia="Arial" w:hAnsi="Arial"/>
                <w:sz w:val="15"/>
                <w:szCs w:val="15"/>
                <w:b w:val="1"/>
                <w:bCs w:val="1"/>
                <w:color w:val="auto"/>
              </w:rPr>
              <w:t>(Dollars in millions)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26"/>
        </w:trPr>
        <w:tc>
          <w:tcPr>
            <w:tcW w:w="3720" w:type="dxa"/>
            <w:vAlign w:val="bottom"/>
            <w:gridSpan w:val="4"/>
          </w:tcPr>
          <w:p>
            <w:pPr>
              <w:ind w:left="20"/>
              <w:spacing w:after="0"/>
              <w:rPr>
                <w:sz w:val="20"/>
                <w:szCs w:val="20"/>
                <w:color w:val="auto"/>
              </w:rPr>
            </w:pPr>
            <w:r>
              <w:rPr>
                <w:rFonts w:ascii="Arial" w:cs="Arial" w:eastAsia="Arial" w:hAnsi="Arial"/>
                <w:sz w:val="15"/>
                <w:szCs w:val="15"/>
                <w:color w:val="auto"/>
              </w:rPr>
              <w:t>Net interest income</w:t>
            </w:r>
            <w:r>
              <w:rPr>
                <w:rFonts w:ascii="Arial" w:cs="Arial" w:eastAsia="Arial" w:hAnsi="Arial"/>
                <w:sz w:val="18"/>
                <w:szCs w:val="18"/>
                <w:color w:val="auto"/>
                <w:vertAlign w:val="superscript"/>
              </w:rPr>
              <w:t>(1)</w:t>
            </w:r>
          </w:p>
        </w:tc>
        <w:tc>
          <w:tcPr>
            <w:tcW w:w="400" w:type="dxa"/>
            <w:vAlign w:val="bottom"/>
            <w:gridSpan w:val="2"/>
          </w:tcPr>
          <w:p>
            <w:pPr>
              <w:ind w:left="80"/>
              <w:spacing w:after="0"/>
              <w:rPr>
                <w:sz w:val="20"/>
                <w:szCs w:val="20"/>
                <w:color w:val="auto"/>
              </w:rPr>
            </w:pPr>
            <w:r>
              <w:rPr>
                <w:rFonts w:ascii="Arial" w:cs="Arial" w:eastAsia="Arial" w:hAnsi="Arial"/>
                <w:sz w:val="15"/>
                <w:szCs w:val="15"/>
                <w:b w:val="1"/>
                <w:bCs w:val="1"/>
                <w:color w:val="auto"/>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11,589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2,232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gridSpan w:val="2"/>
          </w:tcPr>
          <w:p>
            <w:pPr>
              <w:jc w:val="right"/>
              <w:ind w:right="47"/>
              <w:spacing w:after="0"/>
              <w:rPr>
                <w:sz w:val="20"/>
                <w:szCs w:val="20"/>
                <w:color w:val="auto"/>
              </w:rPr>
            </w:pPr>
            <w:r>
              <w:rPr>
                <w:rFonts w:ascii="Arial" w:cs="Arial" w:eastAsia="Arial" w:hAnsi="Arial"/>
                <w:sz w:val="15"/>
                <w:szCs w:val="15"/>
                <w:b w:val="1"/>
                <w:bCs w:val="1"/>
                <w:color w:val="auto"/>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13,821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12,828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2,379</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gridSpan w:val="2"/>
          </w:tcPr>
          <w:p>
            <w:pPr>
              <w:jc w:val="right"/>
              <w:ind w:right="47"/>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15,207</w:t>
            </w:r>
          </w:p>
        </w:tc>
      </w:tr>
      <w:tr>
        <w:trPr>
          <w:trHeight w:val="269"/>
        </w:trPr>
        <w:tc>
          <w:tcPr>
            <w:tcW w:w="3720" w:type="dxa"/>
            <w:vAlign w:val="bottom"/>
            <w:gridSpan w:val="4"/>
          </w:tcPr>
          <w:p>
            <w:pPr>
              <w:ind w:left="20"/>
              <w:spacing w:after="0"/>
              <w:rPr>
                <w:sz w:val="20"/>
                <w:szCs w:val="20"/>
                <w:color w:val="auto"/>
              </w:rPr>
            </w:pPr>
            <w:r>
              <w:rPr>
                <w:rFonts w:ascii="Arial" w:cs="Arial" w:eastAsia="Arial" w:hAnsi="Arial"/>
                <w:sz w:val="15"/>
                <w:szCs w:val="15"/>
                <w:color w:val="auto"/>
              </w:rPr>
              <w:t>Fee and other income</w:t>
            </w:r>
            <w:r>
              <w:rPr>
                <w:rFonts w:ascii="Arial" w:cs="Arial" w:eastAsia="Arial" w:hAnsi="Arial"/>
                <w:sz w:val="18"/>
                <w:szCs w:val="18"/>
                <w:color w:val="auto"/>
                <w:vertAlign w:val="superscript"/>
              </w:rPr>
              <w:t>(2)</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100</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33</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133</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121</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43</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164</w:t>
            </w:r>
          </w:p>
        </w:tc>
      </w:tr>
      <w:tr>
        <w:trPr>
          <w:trHeight w:val="197"/>
        </w:trPr>
        <w:tc>
          <w:tcPr>
            <w:tcW w:w="20" w:type="dxa"/>
            <w:vAlign w:val="bottom"/>
            <w:tcBorders>
              <w:top w:val="single" w:sz="8" w:color="2C6937"/>
            </w:tcBorders>
          </w:tcPr>
          <w:p>
            <w:pPr>
              <w:spacing w:after="0"/>
              <w:rPr>
                <w:sz w:val="17"/>
                <w:szCs w:val="17"/>
                <w:color w:val="auto"/>
              </w:rPr>
            </w:pPr>
          </w:p>
        </w:tc>
        <w:tc>
          <w:tcPr>
            <w:tcW w:w="3640" w:type="dxa"/>
            <w:vAlign w:val="bottom"/>
            <w:tcBorders>
              <w:top w:val="single" w:sz="8" w:color="2C6937"/>
            </w:tcBorders>
            <w:gridSpan w:val="2"/>
          </w:tcPr>
          <w:p>
            <w:pPr>
              <w:ind w:left="140"/>
              <w:spacing w:after="0"/>
              <w:rPr>
                <w:sz w:val="20"/>
                <w:szCs w:val="20"/>
                <w:color w:val="auto"/>
              </w:rPr>
            </w:pPr>
            <w:r>
              <w:rPr>
                <w:rFonts w:ascii="Arial" w:cs="Arial" w:eastAsia="Arial" w:hAnsi="Arial"/>
                <w:sz w:val="15"/>
                <w:szCs w:val="15"/>
                <w:color w:val="auto"/>
              </w:rPr>
              <w:t>Net revenues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Borders>
              <w:top w:val="single" w:sz="8" w:color="2C6937"/>
            </w:tcBorders>
          </w:tcPr>
          <w:p>
            <w:pPr>
              <w:spacing w:after="0"/>
              <w:rPr>
                <w:sz w:val="17"/>
                <w:szCs w:val="17"/>
                <w:color w:val="auto"/>
              </w:rPr>
            </w:pPr>
          </w:p>
        </w:tc>
        <w:tc>
          <w:tcPr>
            <w:tcW w:w="74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11,689</w:t>
            </w:r>
          </w:p>
        </w:tc>
        <w:tc>
          <w:tcPr>
            <w:tcW w:w="60" w:type="dxa"/>
            <w:vAlign w:val="bottom"/>
            <w:tcBorders>
              <w:top w:val="single" w:sz="8" w:color="2C6937"/>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2C6937"/>
            </w:tcBorders>
          </w:tcPr>
          <w:p>
            <w:pPr>
              <w:spacing w:after="0"/>
              <w:rPr>
                <w:sz w:val="17"/>
                <w:szCs w:val="17"/>
                <w:color w:val="auto"/>
              </w:rPr>
            </w:pPr>
          </w:p>
        </w:tc>
        <w:tc>
          <w:tcPr>
            <w:tcW w:w="100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2,265</w:t>
            </w:r>
          </w:p>
        </w:tc>
        <w:tc>
          <w:tcPr>
            <w:tcW w:w="40" w:type="dxa"/>
            <w:vAlign w:val="bottom"/>
            <w:tcBorders>
              <w:top w:val="single" w:sz="8" w:color="2C6937"/>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2C6937"/>
            </w:tcBorders>
          </w:tcPr>
          <w:p>
            <w:pPr>
              <w:spacing w:after="0"/>
              <w:rPr>
                <w:sz w:val="17"/>
                <w:szCs w:val="17"/>
                <w:color w:val="auto"/>
              </w:rPr>
            </w:pPr>
          </w:p>
        </w:tc>
        <w:tc>
          <w:tcPr>
            <w:tcW w:w="86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13,954</w:t>
            </w:r>
          </w:p>
        </w:tc>
        <w:tc>
          <w:tcPr>
            <w:tcW w:w="60" w:type="dxa"/>
            <w:vAlign w:val="bottom"/>
            <w:tcBorders>
              <w:top w:val="single" w:sz="8" w:color="2C6937"/>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Borders>
              <w:top w:val="single" w:sz="8" w:color="2C6937"/>
            </w:tcBorders>
          </w:tcPr>
          <w:p>
            <w:pPr>
              <w:spacing w:after="0"/>
              <w:rPr>
                <w:sz w:val="17"/>
                <w:szCs w:val="17"/>
                <w:color w:val="auto"/>
              </w:rPr>
            </w:pPr>
          </w:p>
        </w:tc>
        <w:tc>
          <w:tcPr>
            <w:tcW w:w="50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12,949</w:t>
            </w:r>
          </w:p>
        </w:tc>
        <w:tc>
          <w:tcPr>
            <w:tcW w:w="80" w:type="dxa"/>
            <w:vAlign w:val="bottom"/>
            <w:tcBorders>
              <w:top w:val="single" w:sz="8" w:color="2C6937"/>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2C6937"/>
            </w:tcBorders>
          </w:tcPr>
          <w:p>
            <w:pPr>
              <w:spacing w:after="0"/>
              <w:rPr>
                <w:sz w:val="17"/>
                <w:szCs w:val="17"/>
                <w:color w:val="auto"/>
              </w:rPr>
            </w:pPr>
          </w:p>
        </w:tc>
        <w:tc>
          <w:tcPr>
            <w:tcW w:w="98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2,422</w:t>
            </w:r>
          </w:p>
        </w:tc>
        <w:tc>
          <w:tcPr>
            <w:tcW w:w="60" w:type="dxa"/>
            <w:vAlign w:val="bottom"/>
            <w:tcBorders>
              <w:top w:val="single" w:sz="8" w:color="2C6937"/>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2C6937"/>
            </w:tcBorders>
          </w:tcPr>
          <w:p>
            <w:pPr>
              <w:spacing w:after="0"/>
              <w:rPr>
                <w:sz w:val="17"/>
                <w:szCs w:val="17"/>
                <w:color w:val="auto"/>
              </w:rPr>
            </w:pPr>
          </w:p>
        </w:tc>
        <w:tc>
          <w:tcPr>
            <w:tcW w:w="86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15,371</w:t>
            </w:r>
          </w:p>
        </w:tc>
      </w:tr>
      <w:tr>
        <w:trPr>
          <w:trHeight w:val="326"/>
        </w:trPr>
        <w:tc>
          <w:tcPr>
            <w:tcW w:w="3720" w:type="dxa"/>
            <w:vAlign w:val="bottom"/>
            <w:gridSpan w:val="4"/>
          </w:tcPr>
          <w:p>
            <w:pPr>
              <w:ind w:left="20"/>
              <w:spacing w:after="0"/>
              <w:rPr>
                <w:sz w:val="20"/>
                <w:szCs w:val="20"/>
                <w:color w:val="auto"/>
              </w:rPr>
            </w:pPr>
            <w:r>
              <w:rPr>
                <w:rFonts w:ascii="Arial" w:cs="Arial" w:eastAsia="Arial" w:hAnsi="Arial"/>
                <w:sz w:val="15"/>
                <w:szCs w:val="15"/>
                <w:color w:val="auto"/>
              </w:rPr>
              <w:t>Investment gains (losses), net</w:t>
            </w:r>
            <w:r>
              <w:rPr>
                <w:rFonts w:ascii="Arial" w:cs="Arial" w:eastAsia="Arial" w:hAnsi="Arial"/>
                <w:sz w:val="18"/>
                <w:szCs w:val="18"/>
                <w:color w:val="auto"/>
                <w:vertAlign w:val="superscript"/>
              </w:rPr>
              <w:t>(3)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(44)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(42)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5"/>
                <w:szCs w:val="15"/>
                <w:color w:val="auto"/>
              </w:rPr>
              <w:t>(93)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color w:val="auto"/>
              </w:rPr>
              <w:t>(58)</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(151)</w:t>
            </w:r>
          </w:p>
        </w:tc>
      </w:tr>
      <w:tr>
        <w:trPr>
          <w:trHeight w:val="273"/>
        </w:trPr>
        <w:tc>
          <w:tcPr>
            <w:tcW w:w="3720" w:type="dxa"/>
            <w:vAlign w:val="bottom"/>
            <w:gridSpan w:val="4"/>
          </w:tcPr>
          <w:p>
            <w:pPr>
              <w:ind w:left="20"/>
              <w:spacing w:after="0"/>
              <w:rPr>
                <w:sz w:val="20"/>
                <w:szCs w:val="20"/>
                <w:color w:val="auto"/>
              </w:rPr>
            </w:pPr>
            <w:r>
              <w:rPr>
                <w:rFonts w:ascii="Arial" w:cs="Arial" w:eastAsia="Arial" w:hAnsi="Arial"/>
                <w:sz w:val="15"/>
                <w:szCs w:val="15"/>
                <w:color w:val="auto"/>
              </w:rPr>
              <w:t>Fair value gains (losses), net</w:t>
            </w:r>
            <w:r>
              <w:rPr>
                <w:rFonts w:ascii="Arial" w:cs="Arial" w:eastAsia="Arial" w:hAnsi="Arial"/>
                <w:sz w:val="18"/>
                <w:szCs w:val="18"/>
                <w:color w:val="auto"/>
                <w:vertAlign w:val="superscript"/>
              </w:rPr>
              <w:t>(4)</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626</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(18)</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608</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1,070</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color w:val="auto"/>
              </w:rPr>
              <w:t>(61)</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1,009</w:t>
            </w:r>
          </w:p>
        </w:tc>
      </w:tr>
      <w:tr>
        <w:trPr>
          <w:trHeight w:val="193"/>
        </w:trPr>
        <w:tc>
          <w:tcPr>
            <w:tcW w:w="3720" w:type="dxa"/>
            <w:vAlign w:val="bottom"/>
            <w:gridSpan w:val="4"/>
          </w:tcPr>
          <w:p>
            <w:pPr>
              <w:ind w:left="20"/>
              <w:spacing w:after="0"/>
              <w:rPr>
                <w:sz w:val="20"/>
                <w:szCs w:val="20"/>
                <w:color w:val="auto"/>
              </w:rPr>
            </w:pPr>
            <w:r>
              <w:rPr>
                <w:rFonts w:ascii="Arial" w:cs="Arial" w:eastAsia="Arial" w:hAnsi="Arial"/>
                <w:sz w:val="15"/>
                <w:szCs w:val="15"/>
                <w:color w:val="auto"/>
              </w:rPr>
              <w:t>Administrative expenses</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(1,438)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(294)</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center"/>
              <w:ind w:left="347"/>
              <w:spacing w:after="0"/>
              <w:rPr>
                <w:sz w:val="20"/>
                <w:szCs w:val="20"/>
                <w:color w:val="auto"/>
              </w:rPr>
            </w:pPr>
            <w:r>
              <w:rPr>
                <w:rFonts w:ascii="Arial" w:cs="Arial" w:eastAsia="Arial" w:hAnsi="Arial"/>
                <w:sz w:val="15"/>
                <w:szCs w:val="15"/>
                <w:b w:val="1"/>
                <w:bCs w:val="1"/>
                <w:color w:val="auto"/>
                <w:w w:val="96"/>
              </w:rPr>
              <w:t>(1,732)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5"/>
                <w:szCs w:val="15"/>
                <w:color w:val="auto"/>
              </w:rPr>
              <w:t>(1,354)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color w:val="auto"/>
              </w:rPr>
              <w:t>(249)</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(1,603)</w:t>
            </w:r>
          </w:p>
        </w:tc>
      </w:tr>
      <w:tr>
        <w:trPr>
          <w:trHeight w:val="255"/>
        </w:trPr>
        <w:tc>
          <w:tcPr>
            <w:tcW w:w="3720" w:type="dxa"/>
            <w:vAlign w:val="bottom"/>
            <w:gridSpan w:val="4"/>
          </w:tcPr>
          <w:p>
            <w:pPr>
              <w:ind w:left="20"/>
              <w:spacing w:after="0"/>
              <w:rPr>
                <w:sz w:val="20"/>
                <w:szCs w:val="20"/>
                <w:color w:val="auto"/>
              </w:rPr>
            </w:pPr>
            <w:r>
              <w:rPr>
                <w:rFonts w:ascii="Arial" w:cs="Arial" w:eastAsia="Arial" w:hAnsi="Arial"/>
                <w:sz w:val="15"/>
                <w:szCs w:val="15"/>
                <w:color w:val="auto"/>
              </w:rPr>
              <w:t>Benefit (provision) for credit losses</w:t>
            </w:r>
            <w:r>
              <w:rPr>
                <w:rFonts w:ascii="Arial" w:cs="Arial" w:eastAsia="Arial" w:hAnsi="Arial"/>
                <w:sz w:val="18"/>
                <w:szCs w:val="18"/>
                <w:color w:val="auto"/>
                <w:vertAlign w:val="superscript"/>
              </w:rPr>
              <w:t>(5)</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ind w:left="360"/>
              <w:spacing w:after="0"/>
              <w:rPr>
                <w:sz w:val="20"/>
                <w:szCs w:val="20"/>
                <w:color w:val="auto"/>
              </w:rPr>
            </w:pPr>
            <w:r>
              <w:rPr>
                <w:rFonts w:ascii="Arial" w:cs="Arial" w:eastAsia="Arial" w:hAnsi="Arial"/>
                <w:sz w:val="15"/>
                <w:szCs w:val="15"/>
                <w:b w:val="1"/>
                <w:bCs w:val="1"/>
                <w:color w:val="auto"/>
                <w:w w:val="95"/>
              </w:rPr>
              <w:t>1,465</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(331)</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1,134</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5"/>
                <w:szCs w:val="15"/>
                <w:color w:val="auto"/>
              </w:rPr>
              <w:t>(476)</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18</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(458)</w:t>
            </w:r>
          </w:p>
        </w:tc>
      </w:tr>
      <w:tr>
        <w:trPr>
          <w:trHeight w:val="284"/>
        </w:trPr>
        <w:tc>
          <w:tcPr>
            <w:tcW w:w="3720" w:type="dxa"/>
            <w:vAlign w:val="bottom"/>
            <w:gridSpan w:val="4"/>
          </w:tcPr>
          <w:p>
            <w:pPr>
              <w:ind w:left="20"/>
              <w:spacing w:after="0"/>
              <w:rPr>
                <w:sz w:val="20"/>
                <w:szCs w:val="20"/>
                <w:color w:val="auto"/>
              </w:rPr>
            </w:pPr>
            <w:r>
              <w:rPr>
                <w:rFonts w:ascii="Arial" w:cs="Arial" w:eastAsia="Arial" w:hAnsi="Arial"/>
                <w:sz w:val="15"/>
                <w:szCs w:val="15"/>
                <w:color w:val="auto"/>
              </w:rPr>
              <w:t>TCCA fees</w:t>
            </w:r>
            <w:r>
              <w:rPr>
                <w:rFonts w:ascii="Arial" w:cs="Arial" w:eastAsia="Arial" w:hAnsi="Arial"/>
                <w:sz w:val="18"/>
                <w:szCs w:val="18"/>
                <w:color w:val="auto"/>
                <w:vertAlign w:val="superscript"/>
              </w:rPr>
              <w:t>(6)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(1,711)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center"/>
              <w:ind w:left="347"/>
              <w:spacing w:after="0"/>
              <w:rPr>
                <w:sz w:val="20"/>
                <w:szCs w:val="20"/>
                <w:color w:val="auto"/>
              </w:rPr>
            </w:pPr>
            <w:r>
              <w:rPr>
                <w:rFonts w:ascii="Arial" w:cs="Arial" w:eastAsia="Arial" w:hAnsi="Arial"/>
                <w:sz w:val="15"/>
                <w:szCs w:val="15"/>
                <w:b w:val="1"/>
                <w:bCs w:val="1"/>
                <w:color w:val="auto"/>
                <w:w w:val="96"/>
              </w:rPr>
              <w:t>(1,711)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5"/>
                <w:szCs w:val="15"/>
                <w:color w:val="auto"/>
              </w:rPr>
              <w:t>(1,665)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(1,665)</w:t>
            </w:r>
          </w:p>
        </w:tc>
      </w:tr>
      <w:tr>
        <w:trPr>
          <w:trHeight w:val="309"/>
        </w:trPr>
        <w:tc>
          <w:tcPr>
            <w:tcW w:w="3720" w:type="dxa"/>
            <w:vAlign w:val="bottom"/>
            <w:gridSpan w:val="4"/>
          </w:tcPr>
          <w:p>
            <w:pPr>
              <w:ind w:left="20"/>
              <w:spacing w:after="0"/>
              <w:rPr>
                <w:sz w:val="20"/>
                <w:szCs w:val="20"/>
                <w:color w:val="auto"/>
              </w:rPr>
            </w:pPr>
            <w:r>
              <w:rPr>
                <w:rFonts w:ascii="Arial" w:cs="Arial" w:eastAsia="Arial" w:hAnsi="Arial"/>
                <w:sz w:val="15"/>
                <w:szCs w:val="15"/>
                <w:color w:val="auto"/>
              </w:rPr>
              <w:t>Credit enhancement expense</w:t>
            </w:r>
            <w:r>
              <w:rPr>
                <w:rFonts w:ascii="Arial" w:cs="Arial" w:eastAsia="Arial" w:hAnsi="Arial"/>
                <w:sz w:val="18"/>
                <w:szCs w:val="18"/>
                <w:color w:val="auto"/>
                <w:vertAlign w:val="superscript"/>
              </w:rPr>
              <w:t>(7)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(614)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(111)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(725)</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5"/>
                <w:szCs w:val="15"/>
                <w:color w:val="auto"/>
              </w:rPr>
              <w:t>(480)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color w:val="auto"/>
              </w:rPr>
              <w:t>(130)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(610)</w:t>
            </w:r>
          </w:p>
        </w:tc>
      </w:tr>
      <w:tr>
        <w:trPr>
          <w:trHeight w:val="260"/>
        </w:trPr>
        <w:tc>
          <w:tcPr>
            <w:tcW w:w="3720" w:type="dxa"/>
            <w:vAlign w:val="bottom"/>
            <w:gridSpan w:val="4"/>
          </w:tcPr>
          <w:p>
            <w:pPr>
              <w:ind w:left="20"/>
              <w:spacing w:after="0"/>
              <w:rPr>
                <w:sz w:val="20"/>
                <w:szCs w:val="20"/>
                <w:color w:val="auto"/>
              </w:rPr>
            </w:pPr>
            <w:r>
              <w:rPr>
                <w:rFonts w:ascii="Arial" w:cs="Arial" w:eastAsia="Arial" w:hAnsi="Arial"/>
                <w:sz w:val="15"/>
                <w:szCs w:val="15"/>
                <w:color w:val="auto"/>
              </w:rPr>
              <w:t>Change in expected credit enhancement recoveries</w:t>
            </w:r>
            <w:r>
              <w:rPr>
                <w:rFonts w:ascii="Arial" w:cs="Arial" w:eastAsia="Arial" w:hAnsi="Arial"/>
                <w:sz w:val="18"/>
                <w:szCs w:val="18"/>
                <w:color w:val="auto"/>
                <w:vertAlign w:val="superscript"/>
              </w:rPr>
              <w:t>(8)</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(128)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88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(40)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26</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color w:val="auto"/>
              </w:rPr>
              <w:t>(13)</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202"/>
        </w:trPr>
        <w:tc>
          <w:tcPr>
            <w:tcW w:w="3720" w:type="dxa"/>
            <w:vAlign w:val="bottom"/>
            <w:gridSpan w:val="4"/>
          </w:tcPr>
          <w:p>
            <w:pPr>
              <w:ind w:left="20"/>
              <w:spacing w:after="0"/>
              <w:rPr>
                <w:sz w:val="20"/>
                <w:szCs w:val="20"/>
                <w:color w:val="auto"/>
              </w:rPr>
            </w:pPr>
            <w:r>
              <w:rPr>
                <w:rFonts w:ascii="Arial" w:cs="Arial" w:eastAsia="Arial" w:hAnsi="Arial"/>
                <w:sz w:val="15"/>
                <w:szCs w:val="15"/>
                <w:color w:val="auto"/>
              </w:rPr>
              <w:t>Other expenses, net</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(319)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(68)</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(387)</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5"/>
                <w:szCs w:val="15"/>
                <w:color w:val="auto"/>
              </w:rPr>
              <w:t>(388)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color w:val="auto"/>
              </w:rPr>
              <w:t>(70)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(458)</w:t>
            </w:r>
          </w:p>
        </w:tc>
      </w:tr>
      <w:tr>
        <w:trPr>
          <w:trHeight w:val="191"/>
        </w:trPr>
        <w:tc>
          <w:tcPr>
            <w:tcW w:w="3660" w:type="dxa"/>
            <w:vAlign w:val="bottom"/>
            <w:tcBorders>
              <w:top w:val="single" w:sz="8" w:color="2C6937"/>
            </w:tcBorders>
            <w:gridSpan w:val="3"/>
          </w:tcPr>
          <w:p>
            <w:pPr>
              <w:ind w:left="20"/>
              <w:spacing w:after="0"/>
              <w:rPr>
                <w:sz w:val="20"/>
                <w:szCs w:val="20"/>
                <w:color w:val="auto"/>
              </w:rPr>
            </w:pPr>
            <w:r>
              <w:rPr>
                <w:rFonts w:ascii="Arial" w:cs="Arial" w:eastAsia="Arial" w:hAnsi="Arial"/>
                <w:sz w:val="15"/>
                <w:szCs w:val="15"/>
                <w:color w:val="auto"/>
              </w:rPr>
              <w:t>Income before federal income taxes</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Borders>
              <w:top w:val="single" w:sz="8" w:color="2C6937"/>
            </w:tcBorders>
          </w:tcPr>
          <w:p>
            <w:pPr>
              <w:spacing w:after="0"/>
              <w:rPr>
                <w:sz w:val="16"/>
                <w:szCs w:val="16"/>
                <w:color w:val="auto"/>
              </w:rPr>
            </w:pPr>
          </w:p>
        </w:tc>
        <w:tc>
          <w:tcPr>
            <w:tcW w:w="740" w:type="dxa"/>
            <w:vAlign w:val="bottom"/>
            <w:tcBorders>
              <w:top w:val="single" w:sz="8" w:color="2C6937"/>
            </w:tcBorders>
          </w:tcPr>
          <w:p>
            <w:pPr>
              <w:ind w:left="360"/>
              <w:spacing w:after="0"/>
              <w:rPr>
                <w:sz w:val="20"/>
                <w:szCs w:val="20"/>
                <w:color w:val="auto"/>
              </w:rPr>
            </w:pPr>
            <w:r>
              <w:rPr>
                <w:rFonts w:ascii="Arial" w:cs="Arial" w:eastAsia="Arial" w:hAnsi="Arial"/>
                <w:sz w:val="15"/>
                <w:szCs w:val="15"/>
                <w:b w:val="1"/>
                <w:bCs w:val="1"/>
                <w:color w:val="auto"/>
                <w:w w:val="95"/>
              </w:rPr>
              <w:t>9,526</w:t>
            </w:r>
          </w:p>
        </w:tc>
        <w:tc>
          <w:tcPr>
            <w:tcW w:w="60" w:type="dxa"/>
            <w:vAlign w:val="bottom"/>
            <w:tcBorders>
              <w:top w:val="single" w:sz="8" w:color="2C6937"/>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2C6937"/>
            </w:tcBorders>
          </w:tcPr>
          <w:p>
            <w:pPr>
              <w:spacing w:after="0"/>
              <w:rPr>
                <w:sz w:val="16"/>
                <w:szCs w:val="16"/>
                <w:color w:val="auto"/>
              </w:rPr>
            </w:pPr>
          </w:p>
        </w:tc>
        <w:tc>
          <w:tcPr>
            <w:tcW w:w="100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1,533</w:t>
            </w:r>
          </w:p>
        </w:tc>
        <w:tc>
          <w:tcPr>
            <w:tcW w:w="40" w:type="dxa"/>
            <w:vAlign w:val="bottom"/>
            <w:tcBorders>
              <w:top w:val="single" w:sz="8" w:color="2C6937"/>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top w:val="single" w:sz="8" w:color="2C6937"/>
            </w:tcBorders>
          </w:tcPr>
          <w:p>
            <w:pPr>
              <w:spacing w:after="0"/>
              <w:rPr>
                <w:sz w:val="16"/>
                <w:szCs w:val="16"/>
                <w:color w:val="auto"/>
              </w:rPr>
            </w:pPr>
          </w:p>
        </w:tc>
        <w:tc>
          <w:tcPr>
            <w:tcW w:w="86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11,059</w:t>
            </w:r>
          </w:p>
        </w:tc>
        <w:tc>
          <w:tcPr>
            <w:tcW w:w="60" w:type="dxa"/>
            <w:vAlign w:val="bottom"/>
            <w:tcBorders>
              <w:top w:val="single" w:sz="8" w:color="2C6937"/>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Borders>
              <w:top w:val="single" w:sz="8" w:color="2C6937"/>
            </w:tcBorders>
          </w:tcPr>
          <w:p>
            <w:pPr>
              <w:spacing w:after="0"/>
              <w:rPr>
                <w:sz w:val="16"/>
                <w:szCs w:val="16"/>
                <w:color w:val="auto"/>
              </w:rPr>
            </w:pPr>
          </w:p>
        </w:tc>
        <w:tc>
          <w:tcPr>
            <w:tcW w:w="50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9,589</w:t>
            </w:r>
          </w:p>
        </w:tc>
        <w:tc>
          <w:tcPr>
            <w:tcW w:w="80" w:type="dxa"/>
            <w:vAlign w:val="bottom"/>
            <w:tcBorders>
              <w:top w:val="single" w:sz="8" w:color="2C6937"/>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2C6937"/>
            </w:tcBorders>
          </w:tcPr>
          <w:p>
            <w:pPr>
              <w:spacing w:after="0"/>
              <w:rPr>
                <w:sz w:val="16"/>
                <w:szCs w:val="16"/>
                <w:color w:val="auto"/>
              </w:rPr>
            </w:pPr>
          </w:p>
        </w:tc>
        <w:tc>
          <w:tcPr>
            <w:tcW w:w="98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1,859</w:t>
            </w:r>
          </w:p>
        </w:tc>
        <w:tc>
          <w:tcPr>
            <w:tcW w:w="60" w:type="dxa"/>
            <w:vAlign w:val="bottom"/>
            <w:tcBorders>
              <w:top w:val="single" w:sz="8" w:color="2C6937"/>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top w:val="single" w:sz="8" w:color="2C6937"/>
            </w:tcBorders>
          </w:tcPr>
          <w:p>
            <w:pPr>
              <w:spacing w:after="0"/>
              <w:rPr>
                <w:sz w:val="16"/>
                <w:szCs w:val="16"/>
                <w:color w:val="auto"/>
              </w:rPr>
            </w:pPr>
          </w:p>
        </w:tc>
        <w:tc>
          <w:tcPr>
            <w:tcW w:w="86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11,448</w:t>
            </w:r>
          </w:p>
        </w:tc>
      </w:tr>
      <w:tr>
        <w:trPr>
          <w:trHeight w:val="202"/>
        </w:trPr>
        <w:tc>
          <w:tcPr>
            <w:tcW w:w="3720" w:type="dxa"/>
            <w:vAlign w:val="bottom"/>
            <w:gridSpan w:val="4"/>
          </w:tcPr>
          <w:p>
            <w:pPr>
              <w:ind w:left="20"/>
              <w:spacing w:after="0"/>
              <w:rPr>
                <w:sz w:val="20"/>
                <w:szCs w:val="20"/>
                <w:color w:val="auto"/>
              </w:rPr>
            </w:pPr>
            <w:r>
              <w:rPr>
                <w:rFonts w:ascii="Arial" w:cs="Arial" w:eastAsia="Arial" w:hAnsi="Arial"/>
                <w:sz w:val="15"/>
                <w:szCs w:val="15"/>
                <w:color w:val="auto"/>
              </w:rPr>
              <w:t>Provision for federal income taxes</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(2,000)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(293)</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center"/>
              <w:ind w:left="347"/>
              <w:spacing w:after="0"/>
              <w:rPr>
                <w:sz w:val="20"/>
                <w:szCs w:val="20"/>
                <w:color w:val="auto"/>
              </w:rPr>
            </w:pPr>
            <w:r>
              <w:rPr>
                <w:rFonts w:ascii="Arial" w:cs="Arial" w:eastAsia="Arial" w:hAnsi="Arial"/>
                <w:sz w:val="15"/>
                <w:szCs w:val="15"/>
                <w:b w:val="1"/>
                <w:bCs w:val="1"/>
                <w:color w:val="auto"/>
                <w:w w:val="96"/>
              </w:rPr>
              <w:t>(2,293)</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5"/>
                <w:szCs w:val="15"/>
                <w:color w:val="auto"/>
              </w:rPr>
              <w:t>(1,994)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color w:val="auto"/>
              </w:rPr>
              <w:t>(393)</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(2,387)</w:t>
            </w:r>
          </w:p>
        </w:tc>
      </w:tr>
      <w:tr>
        <w:trPr>
          <w:trHeight w:val="186"/>
        </w:trPr>
        <w:tc>
          <w:tcPr>
            <w:tcW w:w="20" w:type="dxa"/>
            <w:vAlign w:val="bottom"/>
            <w:tcBorders>
              <w:top w:val="single" w:sz="8" w:color="2C6937"/>
              <w:bottom w:val="single" w:sz="8" w:color="2C6937"/>
            </w:tcBorders>
          </w:tcPr>
          <w:p>
            <w:pPr>
              <w:spacing w:after="0"/>
              <w:rPr>
                <w:sz w:val="16"/>
                <w:szCs w:val="16"/>
                <w:color w:val="auto"/>
              </w:rPr>
            </w:pPr>
          </w:p>
        </w:tc>
        <w:tc>
          <w:tcPr>
            <w:tcW w:w="3640" w:type="dxa"/>
            <w:vAlign w:val="bottom"/>
            <w:tcBorders>
              <w:top w:val="single" w:sz="8" w:color="2C6937"/>
              <w:bottom w:val="single" w:sz="8" w:color="2C6937"/>
            </w:tcBorders>
            <w:gridSpan w:val="2"/>
          </w:tcPr>
          <w:p>
            <w:pPr>
              <w:ind w:left="140"/>
              <w:spacing w:after="0"/>
              <w:rPr>
                <w:sz w:val="20"/>
                <w:szCs w:val="20"/>
                <w:color w:val="auto"/>
              </w:rPr>
            </w:pPr>
            <w:r>
              <w:rPr>
                <w:rFonts w:ascii="Arial" w:cs="Arial" w:eastAsia="Arial" w:hAnsi="Arial"/>
                <w:sz w:val="15"/>
                <w:szCs w:val="15"/>
                <w:color w:val="auto"/>
              </w:rPr>
              <w:t>Net income</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5"/>
                <w:szCs w:val="15"/>
                <w:b w:val="1"/>
                <w:bCs w:val="1"/>
                <w:color w:val="auto"/>
              </w:rPr>
              <w:t>$</w:t>
            </w:r>
          </w:p>
        </w:tc>
        <w:tc>
          <w:tcPr>
            <w:tcW w:w="740" w:type="dxa"/>
            <w:vAlign w:val="bottom"/>
            <w:tcBorders>
              <w:top w:val="single" w:sz="8" w:color="2C6937"/>
              <w:bottom w:val="single" w:sz="8" w:color="2C6937"/>
            </w:tcBorders>
          </w:tcPr>
          <w:p>
            <w:pPr>
              <w:ind w:left="360"/>
              <w:spacing w:after="0"/>
              <w:rPr>
                <w:sz w:val="20"/>
                <w:szCs w:val="20"/>
                <w:color w:val="auto"/>
              </w:rPr>
            </w:pPr>
            <w:r>
              <w:rPr>
                <w:rFonts w:ascii="Arial" w:cs="Arial" w:eastAsia="Arial" w:hAnsi="Arial"/>
                <w:sz w:val="15"/>
                <w:szCs w:val="15"/>
                <w:b w:val="1"/>
                <w:bCs w:val="1"/>
                <w:color w:val="auto"/>
                <w:w w:val="95"/>
              </w:rPr>
              <w:t>7,526</w:t>
            </w:r>
          </w:p>
        </w:tc>
        <w:tc>
          <w:tcPr>
            <w:tcW w:w="60" w:type="dxa"/>
            <w:vAlign w:val="bottom"/>
            <w:tcBorders>
              <w:top w:val="single" w:sz="8" w:color="2C6937"/>
              <w:bottom w:val="single" w:sz="8" w:color="2C6937"/>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0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1,240</w:t>
            </w:r>
          </w:p>
        </w:tc>
        <w:tc>
          <w:tcPr>
            <w:tcW w:w="40" w:type="dxa"/>
            <w:vAlign w:val="bottom"/>
            <w:tcBorders>
              <w:top w:val="single" w:sz="8" w:color="2C6937"/>
              <w:bottom w:val="single" w:sz="8" w:color="2C6937"/>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top w:val="single" w:sz="8" w:color="2C6937"/>
              <w:bottom w:val="single" w:sz="8" w:color="2C6937"/>
            </w:tcBorders>
          </w:tcPr>
          <w:p>
            <w:pPr>
              <w:jc w:val="right"/>
              <w:ind w:right="47"/>
              <w:spacing w:after="0"/>
              <w:rPr>
                <w:sz w:val="20"/>
                <w:szCs w:val="20"/>
                <w:color w:val="auto"/>
              </w:rPr>
            </w:pPr>
            <w:r>
              <w:rPr>
                <w:rFonts w:ascii="Arial" w:cs="Arial" w:eastAsia="Arial" w:hAnsi="Arial"/>
                <w:sz w:val="15"/>
                <w:szCs w:val="15"/>
                <w:b w:val="1"/>
                <w:bCs w:val="1"/>
                <w:color w:val="auto"/>
                <w:w w:val="95"/>
              </w:rPr>
              <w:t>$</w:t>
            </w:r>
          </w:p>
        </w:tc>
        <w:tc>
          <w:tcPr>
            <w:tcW w:w="8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8,766</w:t>
            </w:r>
          </w:p>
        </w:tc>
        <w:tc>
          <w:tcPr>
            <w:tcW w:w="60" w:type="dxa"/>
            <w:vAlign w:val="bottom"/>
            <w:tcBorders>
              <w:top w:val="single" w:sz="8" w:color="2C6937"/>
              <w:bottom w:val="single" w:sz="8" w:color="2C6937"/>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Borders>
              <w:top w:val="single" w:sz="8" w:color="2C6937"/>
              <w:bottom w:val="single" w:sz="8" w:color="2C6937"/>
            </w:tcBorders>
          </w:tcPr>
          <w:p>
            <w:pPr>
              <w:spacing w:after="0"/>
              <w:rPr>
                <w:sz w:val="20"/>
                <w:szCs w:val="20"/>
                <w:color w:val="auto"/>
              </w:rPr>
            </w:pPr>
            <w:r>
              <w:rPr>
                <w:rFonts w:ascii="Arial" w:cs="Arial" w:eastAsia="Arial" w:hAnsi="Arial"/>
                <w:sz w:val="15"/>
                <w:szCs w:val="15"/>
                <w:color w:val="auto"/>
              </w:rPr>
              <w:t>$</w:t>
            </w:r>
          </w:p>
        </w:tc>
        <w:tc>
          <w:tcPr>
            <w:tcW w:w="5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7,595</w:t>
            </w:r>
          </w:p>
        </w:tc>
        <w:tc>
          <w:tcPr>
            <w:tcW w:w="80" w:type="dxa"/>
            <w:vAlign w:val="bottom"/>
            <w:tcBorders>
              <w:top w:val="single" w:sz="8" w:color="2C6937"/>
              <w:bottom w:val="single" w:sz="8" w:color="2C6937"/>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1,466</w:t>
            </w:r>
          </w:p>
        </w:tc>
        <w:tc>
          <w:tcPr>
            <w:tcW w:w="60" w:type="dxa"/>
            <w:vAlign w:val="bottom"/>
            <w:tcBorders>
              <w:top w:val="single" w:sz="8" w:color="2C6937"/>
              <w:bottom w:val="single" w:sz="8" w:color="2C6937"/>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top w:val="single" w:sz="8" w:color="2C6937"/>
              <w:bottom w:val="single" w:sz="8" w:color="2C6937"/>
            </w:tcBorders>
          </w:tcPr>
          <w:p>
            <w:pPr>
              <w:jc w:val="right"/>
              <w:ind w:right="47"/>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9,061</w:t>
            </w:r>
          </w:p>
        </w:tc>
      </w:tr>
      <w:tr>
        <w:trPr>
          <w:trHeight w:val="20"/>
        </w:trPr>
        <w:tc>
          <w:tcPr>
            <w:tcW w:w="20" w:type="dxa"/>
            <w:vAlign w:val="bottom"/>
            <w:tcBorders>
              <w:bottom w:val="single" w:sz="8" w:color="2C6937"/>
            </w:tcBorders>
          </w:tcPr>
          <w:p>
            <w:pPr>
              <w:spacing w:after="0" w:line="20" w:lineRule="exact"/>
              <w:rPr>
                <w:sz w:val="1"/>
                <w:szCs w:val="1"/>
                <w:color w:val="auto"/>
              </w:rPr>
            </w:pPr>
          </w:p>
        </w:tc>
        <w:tc>
          <w:tcPr>
            <w:tcW w:w="360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00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2C6937"/>
            </w:tcBorders>
          </w:tcPr>
          <w:p>
            <w:pPr>
              <w:spacing w:after="0" w:line="20" w:lineRule="exact"/>
              <w:rPr>
                <w:sz w:val="1"/>
                <w:szCs w:val="1"/>
                <w:color w:val="auto"/>
              </w:rPr>
            </w:pPr>
          </w:p>
        </w:tc>
        <w:tc>
          <w:tcPr>
            <w:tcW w:w="500" w:type="dxa"/>
            <w:vAlign w:val="bottom"/>
            <w:tcBorders>
              <w:bottom w:val="single" w:sz="8" w:color="2C6937"/>
            </w:tcBorders>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r>
    </w:tbl>
    <w:p>
      <w:pPr>
        <w:spacing w:after="0" w:line="123" w:lineRule="exact"/>
        <w:rPr>
          <w:sz w:val="20"/>
          <w:szCs w:val="20"/>
          <w:color w:val="auto"/>
        </w:rPr>
      </w:pPr>
    </w:p>
    <w:p>
      <w:pPr>
        <w:ind w:left="240" w:right="20" w:hanging="237"/>
        <w:spacing w:after="0" w:line="250" w:lineRule="auto"/>
        <w:tabs>
          <w:tab w:leader="none" w:pos="240" w:val="left"/>
        </w:tabs>
        <w:numPr>
          <w:ilvl w:val="0"/>
          <w:numId w:val="97"/>
        </w:numPr>
        <w:rPr>
          <w:rFonts w:ascii="Arial" w:cs="Arial" w:eastAsia="Arial" w:hAnsi="Arial"/>
          <w:sz w:val="17"/>
          <w:szCs w:val="17"/>
          <w:color w:val="auto"/>
          <w:vertAlign w:val="superscript"/>
        </w:rPr>
      </w:pPr>
      <w:r>
        <w:rPr>
          <w:rFonts w:ascii="Arial" w:cs="Arial" w:eastAsia="Arial" w:hAnsi="Arial"/>
          <w:sz w:val="13"/>
          <w:szCs w:val="13"/>
          <w:color w:val="auto"/>
        </w:rPr>
        <w:t>Net interest income primarily consists of guaranty fees received as compensation for assuming and managing the credit risk on loans underlying Fannie Mae MBS held by third parties for the respective business segment, and the difference between the interest income earned on the respective business segment’s mortgage assets in our retained mortgage portfolio and our other investments portfolio and the interest expense associated with the debt funding those assets. Revenues from single-family guaranty fees include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363855</wp:posOffset>
            </wp:positionV>
            <wp:extent cx="681101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164070" cy="4191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50" w:right="359" w:bottom="1440" w:gutter="0" w:footer="0" w:header="0"/>
        </w:sectPr>
      </w:pPr>
    </w:p>
    <w:bookmarkStart w:id="102" w:name="page103"/>
    <w:bookmarkEnd w:id="102"/>
    <w:p>
      <w:pPr>
        <w:ind w:left="6420"/>
        <w:spacing w:after="0"/>
        <w:rPr>
          <w:sz w:val="20"/>
          <w:szCs w:val="20"/>
          <w:color w:val="auto"/>
        </w:rPr>
      </w:pPr>
      <w:r>
        <w:rPr>
          <w:rFonts w:ascii="Arial" w:cs="Arial" w:eastAsia="Arial" w:hAnsi="Arial"/>
          <w:sz w:val="14"/>
          <w:szCs w:val="14"/>
          <w:color w:val="05314D"/>
        </w:rPr>
        <w:t>Notes to Condensed Consolidated Financial Statements | 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15875</wp:posOffset>
            </wp:positionV>
            <wp:extent cx="702373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40" w:right="220"/>
        <w:spacing w:after="0" w:line="269" w:lineRule="auto"/>
        <w:rPr>
          <w:sz w:val="20"/>
          <w:szCs w:val="20"/>
          <w:color w:val="auto"/>
        </w:rPr>
      </w:pPr>
      <w:r>
        <w:rPr>
          <w:rFonts w:ascii="Arial" w:cs="Arial" w:eastAsia="Arial" w:hAnsi="Arial"/>
          <w:sz w:val="14"/>
          <w:szCs w:val="14"/>
          <w:color w:val="auto"/>
        </w:rPr>
        <w:t>generated by the 10 basis point increase in guaranty fees pursuant to the TCCA, the incremental revenue from which is remitted to Treasury and not retained by us. Also includes yield maintenance revenue we recognized on the prepayment of multifamily loans.</w:t>
      </w:r>
    </w:p>
    <w:p>
      <w:pPr>
        <w:spacing w:after="0" w:line="13" w:lineRule="exact"/>
        <w:rPr>
          <w:sz w:val="20"/>
          <w:szCs w:val="20"/>
          <w:color w:val="auto"/>
        </w:rPr>
      </w:pPr>
    </w:p>
    <w:p>
      <w:pPr>
        <w:ind w:left="240" w:right="140" w:hanging="237"/>
        <w:spacing w:after="0" w:line="214" w:lineRule="auto"/>
        <w:tabs>
          <w:tab w:leader="none" w:pos="240" w:val="left"/>
        </w:tabs>
        <w:numPr>
          <w:ilvl w:val="0"/>
          <w:numId w:val="98"/>
        </w:numPr>
        <w:rPr>
          <w:rFonts w:ascii="Arial" w:cs="Arial" w:eastAsia="Arial" w:hAnsi="Arial"/>
          <w:sz w:val="18"/>
          <w:szCs w:val="18"/>
          <w:color w:val="auto"/>
          <w:vertAlign w:val="superscript"/>
        </w:rPr>
      </w:pPr>
      <w:r>
        <w:rPr>
          <w:rFonts w:ascii="Arial" w:cs="Arial" w:eastAsia="Arial" w:hAnsi="Arial"/>
          <w:sz w:val="14"/>
          <w:szCs w:val="14"/>
          <w:color w:val="auto"/>
        </w:rPr>
        <w:t>Single-family fee and other income primarily consists of compensation for engaging in structured transactions and providing other lender services. Multifamily fee and other income consists of fees associated with certain Multifamily business activities such as credit enhancements for tax-exempt multifamily housing revenue bonds.</w:t>
      </w:r>
    </w:p>
    <w:p>
      <w:pPr>
        <w:spacing w:after="0" w:line="32" w:lineRule="exact"/>
        <w:rPr>
          <w:rFonts w:ascii="Arial" w:cs="Arial" w:eastAsia="Arial" w:hAnsi="Arial"/>
          <w:sz w:val="18"/>
          <w:szCs w:val="18"/>
          <w:color w:val="auto"/>
          <w:vertAlign w:val="superscript"/>
        </w:rPr>
      </w:pPr>
    </w:p>
    <w:p>
      <w:pPr>
        <w:ind w:left="240" w:hanging="237"/>
        <w:spacing w:after="0" w:line="269" w:lineRule="auto"/>
        <w:tabs>
          <w:tab w:leader="none" w:pos="240" w:val="left"/>
        </w:tabs>
        <w:numPr>
          <w:ilvl w:val="0"/>
          <w:numId w:val="98"/>
        </w:numPr>
        <w:rPr>
          <w:rFonts w:ascii="Arial" w:cs="Arial" w:eastAsia="Arial" w:hAnsi="Arial"/>
          <w:sz w:val="9"/>
          <w:szCs w:val="9"/>
          <w:color w:val="auto"/>
        </w:rPr>
      </w:pPr>
      <w:r>
        <w:rPr>
          <w:rFonts w:ascii="Arial" w:cs="Arial" w:eastAsia="Arial" w:hAnsi="Arial"/>
          <w:sz w:val="14"/>
          <w:szCs w:val="14"/>
          <w:color w:val="auto"/>
        </w:rPr>
        <w:t>Single-family investment gains and losses primarily consist of gains and losses on the sale of mortgage assets. Multifamily investment gains and losses primarily consist of gains and losses on resecuritization activity.</w:t>
      </w:r>
    </w:p>
    <w:p>
      <w:pPr>
        <w:spacing w:after="0" w:line="12" w:lineRule="exact"/>
        <w:rPr>
          <w:rFonts w:ascii="Arial" w:cs="Arial" w:eastAsia="Arial" w:hAnsi="Arial"/>
          <w:sz w:val="9"/>
          <w:szCs w:val="9"/>
          <w:color w:val="auto"/>
        </w:rPr>
      </w:pPr>
    </w:p>
    <w:p>
      <w:pPr>
        <w:ind w:left="240" w:right="200" w:hanging="237"/>
        <w:spacing w:after="0" w:line="231" w:lineRule="auto"/>
        <w:tabs>
          <w:tab w:leader="none" w:pos="240" w:val="left"/>
        </w:tabs>
        <w:numPr>
          <w:ilvl w:val="0"/>
          <w:numId w:val="98"/>
        </w:numPr>
        <w:rPr>
          <w:rFonts w:ascii="Arial" w:cs="Arial" w:eastAsia="Arial" w:hAnsi="Arial"/>
          <w:sz w:val="18"/>
          <w:szCs w:val="18"/>
          <w:color w:val="auto"/>
          <w:vertAlign w:val="superscript"/>
        </w:rPr>
      </w:pPr>
      <w:r>
        <w:rPr>
          <w:rFonts w:ascii="Arial" w:cs="Arial" w:eastAsia="Arial" w:hAnsi="Arial"/>
          <w:sz w:val="14"/>
          <w:szCs w:val="14"/>
          <w:color w:val="auto"/>
        </w:rPr>
        <w:t>Single-family fair value gains and losses primarily consist of fair value gains and losses on risk management and mortgage commitment derivatives, trading securities, fair value option debt, and other financial instruments associated with our single-family guaranty book of business. Multifamily fair value gains and losses primarily consist of fair value gains and losses on MBS commitment derivatives, trading securities and other financial instruments associated with our multifamily guaranty book of business.</w:t>
      </w:r>
    </w:p>
    <w:p>
      <w:pPr>
        <w:spacing w:after="0" w:line="19" w:lineRule="exact"/>
        <w:rPr>
          <w:rFonts w:ascii="Arial" w:cs="Arial" w:eastAsia="Arial" w:hAnsi="Arial"/>
          <w:sz w:val="18"/>
          <w:szCs w:val="18"/>
          <w:color w:val="auto"/>
          <w:vertAlign w:val="superscript"/>
        </w:rPr>
      </w:pPr>
    </w:p>
    <w:p>
      <w:pPr>
        <w:ind w:left="240" w:hanging="237"/>
        <w:spacing w:after="0"/>
        <w:tabs>
          <w:tab w:leader="none" w:pos="240" w:val="left"/>
        </w:tabs>
        <w:numPr>
          <w:ilvl w:val="0"/>
          <w:numId w:val="98"/>
        </w:numPr>
        <w:rPr>
          <w:rFonts w:ascii="Arial" w:cs="Arial" w:eastAsia="Arial" w:hAnsi="Arial"/>
          <w:sz w:val="9"/>
          <w:szCs w:val="9"/>
          <w:color w:val="auto"/>
        </w:rPr>
      </w:pPr>
      <w:r>
        <w:rPr>
          <w:rFonts w:ascii="Arial" w:cs="Arial" w:eastAsia="Arial" w:hAnsi="Arial"/>
          <w:sz w:val="14"/>
          <w:szCs w:val="14"/>
          <w:color w:val="auto"/>
        </w:rPr>
        <w:t>Benefit (provision) for credit losses is based on loans underlying the segment’s guaranty book of business.</w:t>
      </w:r>
    </w:p>
    <w:p>
      <w:pPr>
        <w:spacing w:after="0" w:line="45" w:lineRule="exact"/>
        <w:rPr>
          <w:rFonts w:ascii="Arial" w:cs="Arial" w:eastAsia="Arial" w:hAnsi="Arial"/>
          <w:sz w:val="9"/>
          <w:szCs w:val="9"/>
          <w:color w:val="auto"/>
        </w:rPr>
      </w:pPr>
    </w:p>
    <w:p>
      <w:pPr>
        <w:ind w:left="240" w:hanging="237"/>
        <w:spacing w:after="0"/>
        <w:tabs>
          <w:tab w:leader="none" w:pos="240" w:val="left"/>
        </w:tabs>
        <w:numPr>
          <w:ilvl w:val="0"/>
          <w:numId w:val="98"/>
        </w:numPr>
        <w:rPr>
          <w:rFonts w:ascii="Arial" w:cs="Arial" w:eastAsia="Arial" w:hAnsi="Arial"/>
          <w:sz w:val="9"/>
          <w:szCs w:val="9"/>
          <w:color w:val="auto"/>
        </w:rPr>
      </w:pPr>
      <w:r>
        <w:rPr>
          <w:rFonts w:ascii="Arial" w:cs="Arial" w:eastAsia="Arial" w:hAnsi="Arial"/>
          <w:sz w:val="14"/>
          <w:szCs w:val="14"/>
          <w:color w:val="auto"/>
        </w:rPr>
        <w:t>Consists of the portion of our single-family guaranty fees that is remitted to Treasury pursuant to the TCCA.</w:t>
      </w:r>
    </w:p>
    <w:p>
      <w:pPr>
        <w:spacing w:after="0" w:line="45" w:lineRule="exact"/>
        <w:rPr>
          <w:rFonts w:ascii="Arial" w:cs="Arial" w:eastAsia="Arial" w:hAnsi="Arial"/>
          <w:sz w:val="9"/>
          <w:szCs w:val="9"/>
          <w:color w:val="auto"/>
        </w:rPr>
      </w:pPr>
    </w:p>
    <w:p>
      <w:pPr>
        <w:ind w:left="240" w:right="80" w:hanging="237"/>
        <w:spacing w:after="0" w:line="217" w:lineRule="auto"/>
        <w:tabs>
          <w:tab w:leader="none" w:pos="240" w:val="left"/>
        </w:tabs>
        <w:numPr>
          <w:ilvl w:val="0"/>
          <w:numId w:val="98"/>
        </w:numPr>
        <w:rPr>
          <w:rFonts w:ascii="Arial" w:cs="Arial" w:eastAsia="Arial" w:hAnsi="Arial"/>
          <w:sz w:val="18"/>
          <w:szCs w:val="18"/>
          <w:color w:val="auto"/>
          <w:vertAlign w:val="superscript"/>
        </w:rPr>
      </w:pPr>
      <w:r>
        <w:rPr>
          <w:rFonts w:ascii="Arial" w:cs="Arial" w:eastAsia="Arial" w:hAnsi="Arial"/>
          <w:sz w:val="14"/>
          <w:szCs w:val="14"/>
          <w:color w:val="auto"/>
        </w:rPr>
        <w:t>Single-family credit enhancement expense consists of costs associated with our freestanding credit enhancements, which include primarily costs associated with our Credit Insurance Risk Transfer</w:t>
      </w:r>
      <w:r>
        <w:rPr>
          <w:rFonts w:ascii="Arial" w:cs="Arial" w:eastAsia="Arial" w:hAnsi="Arial"/>
          <w:sz w:val="17"/>
          <w:szCs w:val="17"/>
          <w:color w:val="auto"/>
          <w:vertAlign w:val="superscript"/>
        </w:rPr>
        <w:t>TM</w:t>
      </w:r>
      <w:r>
        <w:rPr>
          <w:rFonts w:ascii="Arial" w:cs="Arial" w:eastAsia="Arial" w:hAnsi="Arial"/>
          <w:sz w:val="14"/>
          <w:szCs w:val="14"/>
          <w:color w:val="auto"/>
        </w:rPr>
        <w:t xml:space="preserve"> (“CIRT</w:t>
      </w:r>
      <w:r>
        <w:rPr>
          <w:rFonts w:ascii="Arial" w:cs="Arial" w:eastAsia="Arial" w:hAnsi="Arial"/>
          <w:sz w:val="17"/>
          <w:szCs w:val="17"/>
          <w:color w:val="auto"/>
          <w:vertAlign w:val="superscript"/>
        </w:rPr>
        <w:t>TM</w:t>
      </w:r>
      <w:r>
        <w:rPr>
          <w:rFonts w:ascii="Arial" w:cs="Arial" w:eastAsia="Arial" w:hAnsi="Arial"/>
          <w:sz w:val="14"/>
          <w:szCs w:val="14"/>
          <w:color w:val="auto"/>
        </w:rPr>
        <w:t>”), Connecticut Avenue Securities</w:t>
      </w:r>
      <w:r>
        <w:rPr>
          <w:rFonts w:ascii="Arial" w:cs="Arial" w:eastAsia="Arial" w:hAnsi="Arial"/>
          <w:sz w:val="17"/>
          <w:szCs w:val="17"/>
          <w:color w:val="auto"/>
          <w:vertAlign w:val="superscript"/>
        </w:rPr>
        <w:t>®</w:t>
      </w:r>
      <w:r>
        <w:rPr>
          <w:rFonts w:ascii="Arial" w:cs="Arial" w:eastAsia="Arial" w:hAnsi="Arial"/>
          <w:sz w:val="14"/>
          <w:szCs w:val="14"/>
          <w:color w:val="auto"/>
        </w:rPr>
        <w:t xml:space="preserve"> (“CAS”) and enterprise-paid mortgage insurance (“EPMI”) programs. Multifamily credit enhancement expense primarily consists of costs associated with our Multifamily CIRT</w:t>
      </w:r>
      <w:r>
        <w:rPr>
          <w:rFonts w:ascii="Arial" w:cs="Arial" w:eastAsia="Arial" w:hAnsi="Arial"/>
          <w:sz w:val="17"/>
          <w:szCs w:val="17"/>
          <w:color w:val="auto"/>
          <w:vertAlign w:val="superscript"/>
        </w:rPr>
        <w:t>TM</w:t>
      </w:r>
      <w:r>
        <w:rPr>
          <w:rFonts w:ascii="Arial" w:cs="Arial" w:eastAsia="Arial" w:hAnsi="Arial"/>
          <w:sz w:val="14"/>
          <w:szCs w:val="14"/>
          <w:color w:val="auto"/>
        </w:rPr>
        <w:t xml:space="preserve"> (“MCIRT</w:t>
      </w:r>
      <w:r>
        <w:rPr>
          <w:rFonts w:ascii="Arial" w:cs="Arial" w:eastAsia="Arial" w:hAnsi="Arial"/>
          <w:sz w:val="17"/>
          <w:szCs w:val="17"/>
          <w:color w:val="auto"/>
          <w:vertAlign w:val="superscript"/>
        </w:rPr>
        <w:t>TM</w:t>
      </w:r>
      <w:r>
        <w:rPr>
          <w:rFonts w:ascii="Arial" w:cs="Arial" w:eastAsia="Arial" w:hAnsi="Arial"/>
          <w:sz w:val="14"/>
          <w:szCs w:val="14"/>
          <w:color w:val="auto"/>
        </w:rPr>
        <w:t>”) and Multifamily Connecticut Avenue Securities</w:t>
      </w:r>
      <w:r>
        <w:rPr>
          <w:rFonts w:ascii="Arial" w:cs="Arial" w:eastAsia="Arial" w:hAnsi="Arial"/>
          <w:sz w:val="17"/>
          <w:szCs w:val="17"/>
          <w:color w:val="auto"/>
          <w:vertAlign w:val="superscript"/>
        </w:rPr>
        <w:t>TM</w:t>
      </w:r>
      <w:r>
        <w:rPr>
          <w:rFonts w:ascii="Arial" w:cs="Arial" w:eastAsia="Arial" w:hAnsi="Arial"/>
          <w:sz w:val="14"/>
          <w:szCs w:val="14"/>
          <w:color w:val="auto"/>
        </w:rPr>
        <w:t xml:space="preserve"> (“MCAS</w:t>
      </w:r>
      <w:r>
        <w:rPr>
          <w:rFonts w:ascii="Arial" w:cs="Arial" w:eastAsia="Arial" w:hAnsi="Arial"/>
          <w:sz w:val="17"/>
          <w:szCs w:val="17"/>
          <w:color w:val="auto"/>
          <w:vertAlign w:val="superscript"/>
        </w:rPr>
        <w:t>TM</w:t>
      </w:r>
      <w:r>
        <w:rPr>
          <w:rFonts w:ascii="Arial" w:cs="Arial" w:eastAsia="Arial" w:hAnsi="Arial"/>
          <w:sz w:val="14"/>
          <w:szCs w:val="14"/>
          <w:color w:val="auto"/>
        </w:rPr>
        <w:t>”) programs as well as amortization expense for certain lender risk-sharing programs. Excludes CAS transactions accounted for as debt instruments and credit risk transfer programs accounted for as derivative instruments.</w:t>
      </w:r>
    </w:p>
    <w:p>
      <w:pPr>
        <w:spacing w:after="0" w:line="31" w:lineRule="exact"/>
        <w:rPr>
          <w:rFonts w:ascii="Arial" w:cs="Arial" w:eastAsia="Arial" w:hAnsi="Arial"/>
          <w:sz w:val="18"/>
          <w:szCs w:val="18"/>
          <w:color w:val="auto"/>
          <w:vertAlign w:val="superscript"/>
        </w:rPr>
      </w:pPr>
    </w:p>
    <w:p>
      <w:pPr>
        <w:ind w:left="240" w:right="840" w:hanging="237"/>
        <w:spacing w:after="0" w:line="237" w:lineRule="auto"/>
        <w:tabs>
          <w:tab w:leader="none" w:pos="240" w:val="left"/>
        </w:tabs>
        <w:numPr>
          <w:ilvl w:val="0"/>
          <w:numId w:val="98"/>
        </w:numPr>
        <w:rPr>
          <w:rFonts w:ascii="Arial" w:cs="Arial" w:eastAsia="Arial" w:hAnsi="Arial"/>
          <w:sz w:val="18"/>
          <w:szCs w:val="18"/>
          <w:color w:val="auto"/>
          <w:vertAlign w:val="superscript"/>
        </w:rPr>
      </w:pPr>
      <w:r>
        <w:rPr>
          <w:rFonts w:ascii="Arial" w:cs="Arial" w:eastAsia="Arial" w:hAnsi="Arial"/>
          <w:sz w:val="14"/>
          <w:szCs w:val="14"/>
          <w:color w:val="auto"/>
        </w:rPr>
        <w:t>Consists of change in benefits recognized from our freestanding credit enhancements, primarily from our CAS and CIRT programs as well as certain lender risk-sharing arrangements, including our multifamily Delegated Underwriting and Servicing (“DUS</w:t>
      </w:r>
      <w:r>
        <w:rPr>
          <w:rFonts w:ascii="Arial" w:cs="Arial" w:eastAsia="Arial" w:hAnsi="Arial"/>
          <w:sz w:val="17"/>
          <w:szCs w:val="17"/>
          <w:color w:val="auto"/>
          <w:vertAlign w:val="superscript"/>
        </w:rPr>
        <w:t>®</w:t>
      </w:r>
      <w:r>
        <w:rPr>
          <w:rFonts w:ascii="Arial" w:cs="Arial" w:eastAsia="Arial" w:hAnsi="Arial"/>
          <w:sz w:val="14"/>
          <w:szCs w:val="14"/>
          <w:color w:val="auto"/>
        </w:rPr>
        <w:t>”) program.</w:t>
      </w:r>
    </w:p>
    <w:p>
      <w:pPr>
        <w:spacing w:after="0" w:line="70" w:lineRule="exact"/>
        <w:rPr>
          <w:sz w:val="20"/>
          <w:szCs w:val="20"/>
          <w:color w:val="auto"/>
        </w:rPr>
      </w:pPr>
    </w:p>
    <w:p>
      <w:pPr>
        <w:spacing w:after="0"/>
        <w:rPr>
          <w:sz w:val="20"/>
          <w:szCs w:val="20"/>
          <w:color w:val="auto"/>
        </w:rPr>
      </w:pPr>
      <w:r>
        <w:rPr>
          <w:rFonts w:ascii="Arial" w:cs="Arial" w:eastAsia="Arial" w:hAnsi="Arial"/>
          <w:sz w:val="31"/>
          <w:szCs w:val="31"/>
          <w:b w:val="1"/>
          <w:bCs w:val="1"/>
          <w:color w:val="05314D"/>
        </w:rPr>
        <w:t>10. Concentrations of Credit Risk</w:t>
      </w:r>
    </w:p>
    <w:p>
      <w:pPr>
        <w:spacing w:after="0" w:line="133"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Risk Characteristics of our Guaranty Book of Business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One of the measures by which we gauge our credit risk is the delinquency status of the mortgage loans in our guaranty book of business.</w:t>
      </w:r>
    </w:p>
    <w:p>
      <w:pPr>
        <w:spacing w:after="0" w:line="87"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For single-family and multifamily loans, we use this information, in conjunction with housing market and other economic data, to structure our pricing and our eligibility and underwriting criteria to reflect the current risk of loans with higher-risk characteristics, and in some cases we decide to significantly reduce our participation in riskier loan product categories. Management also uses this data together with other credit risk measures to identify key trends that guide the development of our loss mitigation strategies.</w:t>
      </w:r>
    </w:p>
    <w:p>
      <w:pPr>
        <w:spacing w:after="0" w:line="42"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We report the delinquency status of our single-family and multifamily guaranty book of business below. We report loans receiving payment forbearance as delinquent according to the contractual terms of the loans.</w:t>
      </w:r>
    </w:p>
    <w:p>
      <w:pPr>
        <w:spacing w:after="0" w:line="65" w:lineRule="exact"/>
        <w:rPr>
          <w:sz w:val="20"/>
          <w:szCs w:val="20"/>
          <w:color w:val="auto"/>
        </w:rPr>
      </w:pPr>
    </w:p>
    <w:p>
      <w:pPr>
        <w:spacing w:after="0"/>
        <w:rPr>
          <w:sz w:val="20"/>
          <w:szCs w:val="20"/>
          <w:color w:val="auto"/>
        </w:rPr>
      </w:pPr>
      <w:r>
        <w:rPr>
          <w:rFonts w:ascii="Arial" w:cs="Arial" w:eastAsia="Arial" w:hAnsi="Arial"/>
          <w:sz w:val="21"/>
          <w:szCs w:val="21"/>
          <w:i w:val="1"/>
          <w:iCs w:val="1"/>
          <w:color w:val="05314D"/>
        </w:rPr>
        <w:t>Single-Family Credit Risk Characteristics</w:t>
      </w:r>
    </w:p>
    <w:p>
      <w:pPr>
        <w:spacing w:after="0" w:line="71" w:lineRule="exact"/>
        <w:rPr>
          <w:sz w:val="20"/>
          <w:szCs w:val="20"/>
          <w:color w:val="auto"/>
        </w:rPr>
      </w:pPr>
    </w:p>
    <w:p>
      <w:pPr>
        <w:ind w:right="140"/>
        <w:spacing w:after="0" w:line="300" w:lineRule="auto"/>
        <w:rPr>
          <w:sz w:val="20"/>
          <w:szCs w:val="20"/>
          <w:color w:val="auto"/>
        </w:rPr>
      </w:pPr>
      <w:r>
        <w:rPr>
          <w:rFonts w:ascii="Arial" w:cs="Arial" w:eastAsia="Arial" w:hAnsi="Arial"/>
          <w:sz w:val="16"/>
          <w:szCs w:val="16"/>
          <w:color w:val="auto"/>
        </w:rPr>
        <w:t>For single-family loans, management monitors the serious delinquency rate, which is the percentage of single-family loans, based on the number of loans, that are 90 days or more past due or in the foreclosure process, and loans that have higher risk characteristics, such as high mark-to-market LTV ratios.</w:t>
      </w:r>
    </w:p>
    <w:p>
      <w:pPr>
        <w:spacing w:after="0" w:line="17" w:lineRule="exact"/>
        <w:rPr>
          <w:sz w:val="20"/>
          <w:szCs w:val="20"/>
          <w:color w:val="auto"/>
        </w:rPr>
      </w:pPr>
    </w:p>
    <w:p>
      <w:pPr>
        <w:ind w:right="220"/>
        <w:spacing w:after="0" w:line="283" w:lineRule="auto"/>
        <w:rPr>
          <w:sz w:val="20"/>
          <w:szCs w:val="20"/>
          <w:color w:val="auto"/>
        </w:rPr>
      </w:pPr>
      <w:r>
        <w:rPr>
          <w:rFonts w:ascii="Arial" w:cs="Arial" w:eastAsia="Arial" w:hAnsi="Arial"/>
          <w:sz w:val="16"/>
          <w:szCs w:val="16"/>
          <w:color w:val="auto"/>
        </w:rPr>
        <w:t>The following tables display the delinquency status and serious delinquency rates for specified loan categories of our single-family conventional guaranty book of business.</w:t>
      </w:r>
    </w:p>
    <w:p>
      <w:pPr>
        <w:sectPr>
          <w:pgSz w:w="11900" w:h="16838" w:orient="portrait"/>
          <w:cols w:equalWidth="0" w:num="1">
            <w:col w:w="11240"/>
          </w:cols>
          <w:pgMar w:left="320" w:top="2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hanging="154"/>
        <w:spacing w:after="0" w:line="283" w:lineRule="auto"/>
        <w:rPr>
          <w:sz w:val="20"/>
          <w:szCs w:val="20"/>
          <w:color w:val="auto"/>
        </w:rPr>
      </w:pPr>
      <w:r>
        <w:rPr>
          <w:rFonts w:ascii="Arial" w:cs="Arial" w:eastAsia="Arial" w:hAnsi="Arial"/>
          <w:sz w:val="15"/>
          <w:szCs w:val="15"/>
          <w:color w:val="auto"/>
        </w:rPr>
        <w:t>Percentage of single-family conventional guaranty book of business based on UPB</w:t>
      </w:r>
    </w:p>
    <w:p>
      <w:pPr>
        <w:spacing w:after="0" w:line="6" w:lineRule="exact"/>
        <w:rPr>
          <w:sz w:val="20"/>
          <w:szCs w:val="20"/>
          <w:color w:val="auto"/>
        </w:rPr>
      </w:pPr>
    </w:p>
    <w:p>
      <w:pPr>
        <w:ind w:left="180" w:right="220" w:hanging="154"/>
        <w:spacing w:after="0" w:line="301" w:lineRule="auto"/>
        <w:rPr>
          <w:sz w:val="20"/>
          <w:szCs w:val="20"/>
          <w:color w:val="auto"/>
        </w:rPr>
      </w:pPr>
      <w:r>
        <w:rPr>
          <w:rFonts w:ascii="Arial" w:cs="Arial" w:eastAsia="Arial" w:hAnsi="Arial"/>
          <w:sz w:val="15"/>
          <w:szCs w:val="15"/>
          <w:color w:val="auto"/>
        </w:rPr>
        <w:t>Percentage of single-family conventional loans based on loan count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482155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821555"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12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140" w:type="dxa"/>
            <w:vAlign w:val="bottom"/>
            <w:tcBorders>
              <w:bottom w:val="single" w:sz="8" w:color="2C6937"/>
            </w:tcBorders>
          </w:tcPr>
          <w:p>
            <w:pPr>
              <w:ind w:left="180"/>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Borders>
              <w:bottom w:val="single" w:sz="8" w:color="2C6937"/>
            </w:tcBorders>
          </w:tcPr>
          <w:p>
            <w:pPr>
              <w:spacing w:after="0"/>
              <w:rPr>
                <w:sz w:val="17"/>
                <w:szCs w:val="17"/>
                <w:color w:val="auto"/>
              </w:rPr>
            </w:pPr>
          </w:p>
        </w:tc>
        <w:tc>
          <w:tcPr>
            <w:tcW w:w="126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360" w:type="dxa"/>
            <w:vAlign w:val="bottom"/>
            <w:tcBorders>
              <w:bottom w:val="single" w:sz="8" w:color="2C6937"/>
            </w:tcBorders>
            <w:gridSpan w:val="3"/>
          </w:tcPr>
          <w:p>
            <w:pPr>
              <w:ind w:left="20"/>
              <w:spacing w:after="0"/>
              <w:rPr>
                <w:sz w:val="20"/>
                <w:szCs w:val="20"/>
                <w:color w:val="auto"/>
              </w:rPr>
            </w:pPr>
            <w:r>
              <w:rPr>
                <w:rFonts w:ascii="Arial" w:cs="Arial" w:eastAsia="Arial" w:hAnsi="Arial"/>
                <w:sz w:val="14"/>
                <w:szCs w:val="14"/>
                <w:b w:val="1"/>
                <w:bCs w:val="1"/>
                <w:color w:val="auto"/>
              </w:rPr>
              <w:t>December 31, 2022</w:t>
            </w:r>
          </w:p>
        </w:tc>
        <w:tc>
          <w:tcPr>
            <w:tcW w:w="1140" w:type="dxa"/>
            <w:vAlign w:val="bottom"/>
            <w:tcBorders>
              <w:bottom w:val="single" w:sz="8" w:color="2C6937"/>
            </w:tcBorders>
          </w:tcPr>
          <w:p>
            <w:pPr>
              <w:spacing w:after="0"/>
              <w:rPr>
                <w:sz w:val="17"/>
                <w:szCs w:val="17"/>
                <w:color w:val="auto"/>
              </w:rPr>
            </w:pPr>
          </w:p>
        </w:tc>
      </w:tr>
      <w:tr>
        <w:trPr>
          <w:trHeight w:val="169"/>
        </w:trPr>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8"/>
              </w:rPr>
              <w:t>30 Days</w:t>
            </w: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8"/>
              </w:rPr>
              <w:t>60 Days</w:t>
            </w:r>
          </w:p>
        </w:tc>
        <w:tc>
          <w:tcPr>
            <w:tcW w:w="1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8"/>
              </w:rPr>
              <w:t>Seriously</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8"/>
              </w:rPr>
              <w:t>30 Days</w:t>
            </w:r>
          </w:p>
        </w:tc>
        <w:tc>
          <w:tcPr>
            <w:tcW w:w="100" w:type="dxa"/>
            <w:vAlign w:val="bottom"/>
          </w:tcPr>
          <w:p>
            <w:pPr>
              <w:spacing w:after="0"/>
              <w:rPr>
                <w:sz w:val="14"/>
                <w:szCs w:val="14"/>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8"/>
              </w:rPr>
              <w:t>60 Days</w:t>
            </w:r>
          </w:p>
        </w:tc>
        <w:tc>
          <w:tcPr>
            <w:tcW w:w="1140" w:type="dxa"/>
            <w:vAlign w:val="bottom"/>
          </w:tcPr>
          <w:p>
            <w:pPr>
              <w:jc w:val="center"/>
              <w:ind w:right="7"/>
              <w:spacing w:after="0"/>
              <w:rPr>
                <w:sz w:val="20"/>
                <w:szCs w:val="20"/>
                <w:color w:val="auto"/>
              </w:rPr>
            </w:pPr>
            <w:r>
              <w:rPr>
                <w:rFonts w:ascii="Arial" w:cs="Arial" w:eastAsia="Arial" w:hAnsi="Arial"/>
                <w:sz w:val="14"/>
                <w:szCs w:val="14"/>
                <w:b w:val="1"/>
                <w:bCs w:val="1"/>
                <w:color w:val="auto"/>
                <w:w w:val="98"/>
              </w:rPr>
              <w:t>Seriously</w:t>
            </w:r>
          </w:p>
        </w:tc>
      </w:tr>
      <w:tr>
        <w:trPr>
          <w:trHeight w:val="198"/>
        </w:trPr>
        <w:tc>
          <w:tcPr>
            <w:tcW w:w="112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p>
        </w:tc>
        <w:tc>
          <w:tcPr>
            <w:tcW w:w="120" w:type="dxa"/>
            <w:vAlign w:val="bottom"/>
          </w:tcPr>
          <w:p>
            <w:pPr>
              <w:spacing w:after="0"/>
              <w:rPr>
                <w:sz w:val="17"/>
                <w:szCs w:val="17"/>
                <w:color w:val="auto"/>
              </w:rPr>
            </w:pPr>
          </w:p>
        </w:tc>
        <w:tc>
          <w:tcPr>
            <w:tcW w:w="11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Delinquent</w:t>
            </w:r>
          </w:p>
        </w:tc>
        <w:tc>
          <w:tcPr>
            <w:tcW w:w="100" w:type="dxa"/>
            <w:vAlign w:val="bottom"/>
          </w:tcPr>
          <w:p>
            <w:pPr>
              <w:spacing w:after="0"/>
              <w:rPr>
                <w:sz w:val="17"/>
                <w:szCs w:val="17"/>
                <w:color w:val="auto"/>
              </w:rPr>
            </w:pPr>
          </w:p>
        </w:tc>
        <w:tc>
          <w:tcPr>
            <w:tcW w:w="12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r>
              <w:rPr>
                <w:rFonts w:ascii="Arial" w:cs="Arial" w:eastAsia="Arial" w:hAnsi="Arial"/>
                <w:sz w:val="8"/>
                <w:szCs w:val="8"/>
                <w:b w:val="1"/>
                <w:bCs w:val="1"/>
                <w:color w:val="auto"/>
                <w:w w:val="99"/>
              </w:rPr>
              <w:t>(1)</w:t>
            </w:r>
          </w:p>
        </w:tc>
        <w:tc>
          <w:tcPr>
            <w:tcW w:w="100" w:type="dxa"/>
            <w:vAlign w:val="bottom"/>
          </w:tcPr>
          <w:p>
            <w:pPr>
              <w:spacing w:after="0"/>
              <w:rPr>
                <w:sz w:val="17"/>
                <w:szCs w:val="17"/>
                <w:color w:val="auto"/>
              </w:rPr>
            </w:pPr>
          </w:p>
        </w:tc>
        <w:tc>
          <w:tcPr>
            <w:tcW w:w="11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Delinquent</w:t>
            </w:r>
          </w:p>
        </w:tc>
        <w:tc>
          <w:tcPr>
            <w:tcW w:w="100" w:type="dxa"/>
            <w:vAlign w:val="bottom"/>
          </w:tcPr>
          <w:p>
            <w:pPr>
              <w:spacing w:after="0"/>
              <w:rPr>
                <w:sz w:val="17"/>
                <w:szCs w:val="17"/>
                <w:color w:val="auto"/>
              </w:rPr>
            </w:pPr>
          </w:p>
        </w:tc>
        <w:tc>
          <w:tcPr>
            <w:tcW w:w="11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140" w:type="dxa"/>
            <w:vAlign w:val="bottom"/>
            <w:tcBorders>
              <w:bottom w:val="single" w:sz="8" w:color="2C6937"/>
            </w:tcBorders>
          </w:tcPr>
          <w:p>
            <w:pPr>
              <w:jc w:val="center"/>
              <w:ind w:right="7"/>
              <w:spacing w:after="0"/>
              <w:rPr>
                <w:sz w:val="20"/>
                <w:szCs w:val="20"/>
                <w:color w:val="auto"/>
              </w:rPr>
            </w:pPr>
            <w:r>
              <w:rPr>
                <w:rFonts w:ascii="Arial" w:cs="Arial" w:eastAsia="Arial" w:hAnsi="Arial"/>
                <w:sz w:val="14"/>
                <w:szCs w:val="14"/>
                <w:b w:val="1"/>
                <w:bCs w:val="1"/>
                <w:color w:val="auto"/>
                <w:w w:val="99"/>
              </w:rPr>
              <w:t>Delinquent</w:t>
            </w:r>
            <w:r>
              <w:rPr>
                <w:rFonts w:ascii="Arial" w:cs="Arial" w:eastAsia="Arial" w:hAnsi="Arial"/>
                <w:sz w:val="8"/>
                <w:szCs w:val="8"/>
                <w:b w:val="1"/>
                <w:bCs w:val="1"/>
                <w:color w:val="auto"/>
                <w:w w:val="99"/>
              </w:rPr>
              <w:t>(1)</w:t>
            </w:r>
          </w:p>
        </w:tc>
      </w:tr>
      <w:tr>
        <w:trPr>
          <w:trHeight w:val="419"/>
        </w:trPr>
        <w:tc>
          <w:tcPr>
            <w:tcW w:w="1120" w:type="dxa"/>
            <w:vAlign w:val="bottom"/>
          </w:tcPr>
          <w:p>
            <w:pPr>
              <w:ind w:left="640"/>
              <w:spacing w:after="0"/>
              <w:rPr>
                <w:sz w:val="20"/>
                <w:szCs w:val="20"/>
                <w:color w:val="auto"/>
              </w:rPr>
            </w:pPr>
            <w:r>
              <w:rPr>
                <w:rFonts w:ascii="Arial" w:cs="Arial" w:eastAsia="Arial" w:hAnsi="Arial"/>
                <w:sz w:val="15"/>
                <w:szCs w:val="15"/>
                <w:b w:val="1"/>
                <w:bCs w:val="1"/>
                <w:color w:val="auto"/>
                <w:w w:val="98"/>
              </w:rPr>
              <w:t>0.75 %</w:t>
            </w:r>
          </w:p>
        </w:tc>
        <w:tc>
          <w:tcPr>
            <w:tcW w:w="1260" w:type="dxa"/>
            <w:vAlign w:val="bottom"/>
            <w:gridSpan w:val="2"/>
          </w:tcPr>
          <w:p>
            <w:pPr>
              <w:ind w:left="760"/>
              <w:spacing w:after="0"/>
              <w:rPr>
                <w:sz w:val="20"/>
                <w:szCs w:val="20"/>
                <w:color w:val="auto"/>
              </w:rPr>
            </w:pPr>
            <w:r>
              <w:rPr>
                <w:rFonts w:ascii="Arial" w:cs="Arial" w:eastAsia="Arial" w:hAnsi="Arial"/>
                <w:sz w:val="15"/>
                <w:szCs w:val="15"/>
                <w:b w:val="1"/>
                <w:bCs w:val="1"/>
                <w:color w:val="auto"/>
              </w:rPr>
              <w:t>0.19 %</w:t>
            </w:r>
          </w:p>
        </w:tc>
        <w:tc>
          <w:tcPr>
            <w:tcW w:w="1360" w:type="dxa"/>
            <w:vAlign w:val="bottom"/>
            <w:gridSpan w:val="2"/>
          </w:tcPr>
          <w:p>
            <w:pPr>
              <w:ind w:left="860"/>
              <w:spacing w:after="0"/>
              <w:rPr>
                <w:sz w:val="20"/>
                <w:szCs w:val="20"/>
                <w:color w:val="auto"/>
              </w:rPr>
            </w:pPr>
            <w:r>
              <w:rPr>
                <w:rFonts w:ascii="Arial" w:cs="Arial" w:eastAsia="Arial" w:hAnsi="Arial"/>
                <w:sz w:val="15"/>
                <w:szCs w:val="15"/>
                <w:b w:val="1"/>
                <w:bCs w:val="1"/>
                <w:color w:val="auto"/>
              </w:rPr>
              <w:t>0.53 %</w:t>
            </w:r>
          </w:p>
        </w:tc>
        <w:tc>
          <w:tcPr>
            <w:tcW w:w="1240" w:type="dxa"/>
            <w:vAlign w:val="bottom"/>
            <w:gridSpan w:val="2"/>
          </w:tcPr>
          <w:p>
            <w:pPr>
              <w:ind w:left="740"/>
              <w:spacing w:after="0"/>
              <w:rPr>
                <w:sz w:val="20"/>
                <w:szCs w:val="20"/>
                <w:color w:val="auto"/>
              </w:rPr>
            </w:pPr>
            <w:r>
              <w:rPr>
                <w:rFonts w:ascii="Arial" w:cs="Arial" w:eastAsia="Arial" w:hAnsi="Arial"/>
                <w:sz w:val="15"/>
                <w:szCs w:val="15"/>
                <w:color w:val="auto"/>
              </w:rPr>
              <w:t>0.84 %</w:t>
            </w:r>
          </w:p>
        </w:tc>
        <w:tc>
          <w:tcPr>
            <w:tcW w:w="1260" w:type="dxa"/>
            <w:vAlign w:val="bottom"/>
            <w:gridSpan w:val="2"/>
          </w:tcPr>
          <w:p>
            <w:pPr>
              <w:ind w:left="740"/>
              <w:spacing w:after="0"/>
              <w:rPr>
                <w:sz w:val="20"/>
                <w:szCs w:val="20"/>
                <w:color w:val="auto"/>
              </w:rPr>
            </w:pPr>
            <w:r>
              <w:rPr>
                <w:rFonts w:ascii="Arial" w:cs="Arial" w:eastAsia="Arial" w:hAnsi="Arial"/>
                <w:sz w:val="15"/>
                <w:szCs w:val="15"/>
                <w:color w:val="auto"/>
              </w:rPr>
              <w:t>0.20 %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ind w:left="640"/>
              <w:spacing w:after="0"/>
              <w:rPr>
                <w:sz w:val="20"/>
                <w:szCs w:val="20"/>
                <w:color w:val="auto"/>
              </w:rPr>
            </w:pPr>
            <w:r>
              <w:rPr>
                <w:rFonts w:ascii="Arial" w:cs="Arial" w:eastAsia="Arial" w:hAnsi="Arial"/>
                <w:sz w:val="15"/>
                <w:szCs w:val="15"/>
                <w:color w:val="auto"/>
              </w:rPr>
              <w:t>0.60 %</w:t>
            </w:r>
          </w:p>
        </w:tc>
      </w:tr>
      <w:tr>
        <w:trPr>
          <w:trHeight w:val="425"/>
        </w:trPr>
        <w:tc>
          <w:tcPr>
            <w:tcW w:w="1120" w:type="dxa"/>
            <w:vAlign w:val="bottom"/>
          </w:tcPr>
          <w:p>
            <w:pPr>
              <w:ind w:left="640"/>
              <w:spacing w:after="0"/>
              <w:rPr>
                <w:sz w:val="20"/>
                <w:szCs w:val="20"/>
                <w:color w:val="auto"/>
              </w:rPr>
            </w:pPr>
            <w:r>
              <w:rPr>
                <w:rFonts w:ascii="Arial" w:cs="Arial" w:eastAsia="Arial" w:hAnsi="Arial"/>
                <w:sz w:val="15"/>
                <w:szCs w:val="15"/>
                <w:b w:val="1"/>
                <w:bCs w:val="1"/>
                <w:color w:val="auto"/>
              </w:rPr>
              <w:t>0.84</w:t>
            </w:r>
          </w:p>
        </w:tc>
        <w:tc>
          <w:tcPr>
            <w:tcW w:w="1260" w:type="dxa"/>
            <w:vAlign w:val="bottom"/>
            <w:gridSpan w:val="2"/>
          </w:tcPr>
          <w:p>
            <w:pPr>
              <w:ind w:left="760"/>
              <w:spacing w:after="0"/>
              <w:rPr>
                <w:sz w:val="20"/>
                <w:szCs w:val="20"/>
                <w:color w:val="auto"/>
              </w:rPr>
            </w:pPr>
            <w:r>
              <w:rPr>
                <w:rFonts w:ascii="Arial" w:cs="Arial" w:eastAsia="Arial" w:hAnsi="Arial"/>
                <w:sz w:val="15"/>
                <w:szCs w:val="15"/>
                <w:b w:val="1"/>
                <w:bCs w:val="1"/>
                <w:color w:val="auto"/>
              </w:rPr>
              <w:t>0.21</w:t>
            </w:r>
          </w:p>
        </w:tc>
        <w:tc>
          <w:tcPr>
            <w:tcW w:w="1360" w:type="dxa"/>
            <w:vAlign w:val="bottom"/>
            <w:gridSpan w:val="2"/>
          </w:tcPr>
          <w:p>
            <w:pPr>
              <w:ind w:left="860"/>
              <w:spacing w:after="0"/>
              <w:rPr>
                <w:sz w:val="20"/>
                <w:szCs w:val="20"/>
                <w:color w:val="auto"/>
              </w:rPr>
            </w:pPr>
            <w:r>
              <w:rPr>
                <w:rFonts w:ascii="Arial" w:cs="Arial" w:eastAsia="Arial" w:hAnsi="Arial"/>
                <w:sz w:val="15"/>
                <w:szCs w:val="15"/>
                <w:b w:val="1"/>
                <w:bCs w:val="1"/>
                <w:color w:val="auto"/>
              </w:rPr>
              <w:t>0.55</w:t>
            </w:r>
          </w:p>
        </w:tc>
        <w:tc>
          <w:tcPr>
            <w:tcW w:w="1240" w:type="dxa"/>
            <w:vAlign w:val="bottom"/>
            <w:gridSpan w:val="2"/>
          </w:tcPr>
          <w:p>
            <w:pPr>
              <w:ind w:left="740"/>
              <w:spacing w:after="0"/>
              <w:rPr>
                <w:sz w:val="20"/>
                <w:szCs w:val="20"/>
                <w:color w:val="auto"/>
              </w:rPr>
            </w:pPr>
            <w:r>
              <w:rPr>
                <w:rFonts w:ascii="Arial" w:cs="Arial" w:eastAsia="Arial" w:hAnsi="Arial"/>
                <w:sz w:val="15"/>
                <w:szCs w:val="15"/>
                <w:color w:val="auto"/>
              </w:rPr>
              <w:t>0.96</w:t>
            </w:r>
          </w:p>
        </w:tc>
        <w:tc>
          <w:tcPr>
            <w:tcW w:w="1260" w:type="dxa"/>
            <w:vAlign w:val="bottom"/>
            <w:gridSpan w:val="2"/>
          </w:tcPr>
          <w:p>
            <w:pPr>
              <w:ind w:left="740"/>
              <w:spacing w:after="0"/>
              <w:rPr>
                <w:sz w:val="20"/>
                <w:szCs w:val="20"/>
                <w:color w:val="auto"/>
              </w:rPr>
            </w:pPr>
            <w:r>
              <w:rPr>
                <w:rFonts w:ascii="Arial" w:cs="Arial" w:eastAsia="Arial" w:hAnsi="Arial"/>
                <w:sz w:val="15"/>
                <w:szCs w:val="15"/>
                <w:color w:val="auto"/>
              </w:rPr>
              <w:t>0.23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ind w:left="640"/>
              <w:spacing w:after="0"/>
              <w:rPr>
                <w:sz w:val="20"/>
                <w:szCs w:val="20"/>
                <w:color w:val="auto"/>
              </w:rPr>
            </w:pPr>
            <w:r>
              <w:rPr>
                <w:rFonts w:ascii="Arial" w:cs="Arial" w:eastAsia="Arial" w:hAnsi="Arial"/>
                <w:sz w:val="15"/>
                <w:szCs w:val="15"/>
                <w:color w:val="auto"/>
              </w:rPr>
              <w:t>0.65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-1903095</wp:posOffset>
            </wp:positionH>
            <wp:positionV relativeFrom="paragraph">
              <wp:posOffset>429895</wp:posOffset>
            </wp:positionV>
            <wp:extent cx="681101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3440" w:space="180"/>
            <w:col w:w="7620"/>
          </w:cols>
          <w:pgMar w:left="320" w:top="250" w:right="339" w:bottom="1440" w:gutter="0" w:footer="0" w:header="0"/>
          <w:type w:val="continuous"/>
        </w:sectPr>
      </w:pP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157480</wp:posOffset>
            </wp:positionV>
            <wp:extent cx="7164070" cy="4191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type w:val="continuous"/>
        </w:sectPr>
      </w:pPr>
    </w:p>
    <w:bookmarkStart w:id="103" w:name="page104"/>
    <w:bookmarkEnd w:id="103"/>
    <w:p>
      <w:pPr>
        <w:ind w:left="5820"/>
        <w:spacing w:after="0"/>
        <w:rPr>
          <w:sz w:val="20"/>
          <w:szCs w:val="20"/>
          <w:color w:val="auto"/>
        </w:rPr>
      </w:pPr>
      <w:r>
        <w:rPr>
          <w:rFonts w:ascii="Arial" w:cs="Arial" w:eastAsia="Arial" w:hAnsi="Arial"/>
          <w:sz w:val="14"/>
          <w:szCs w:val="14"/>
          <w:color w:val="05314D"/>
        </w:rPr>
        <w:t>Notes to Condensed Consolidated Financial Statements | Concentrations of 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15875</wp:posOffset>
            </wp:positionV>
            <wp:extent cx="702373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27940</wp:posOffset>
            </wp:positionV>
            <wp:extent cx="448627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486275" cy="8255"/>
                    </a:xfrm>
                    <a:prstGeom prst="rect">
                      <a:avLst/>
                    </a:prstGeom>
                    <a:noFill/>
                  </pic:spPr>
                </pic:pic>
              </a:graphicData>
            </a:graphic>
          </wp:anchor>
        </w:drawing>
      </w:r>
    </w:p>
    <w:p>
      <w:pPr>
        <w:spacing w:after="0" w:line="51"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4160" w:type="dxa"/>
            <w:vAlign w:val="bottom"/>
          </w:tcPr>
          <w:p>
            <w:pPr>
              <w:spacing w:after="0"/>
              <w:rPr>
                <w:sz w:val="17"/>
                <w:szCs w:val="17"/>
                <w:color w:val="auto"/>
              </w:rPr>
            </w:pPr>
          </w:p>
        </w:tc>
        <w:tc>
          <w:tcPr>
            <w:tcW w:w="3480" w:type="dxa"/>
            <w:vAlign w:val="bottom"/>
            <w:tcBorders>
              <w:bottom w:val="single" w:sz="8" w:color="2C6937"/>
            </w:tcBorders>
            <w:gridSpan w:val="3"/>
          </w:tcPr>
          <w:p>
            <w:pPr>
              <w:ind w:left="1300"/>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7"/>
                <w:szCs w:val="17"/>
                <w:color w:val="auto"/>
              </w:rPr>
            </w:pPr>
          </w:p>
        </w:tc>
        <w:tc>
          <w:tcPr>
            <w:tcW w:w="3480" w:type="dxa"/>
            <w:vAlign w:val="bottom"/>
            <w:tcBorders>
              <w:bottom w:val="single" w:sz="8" w:color="2C6937"/>
            </w:tcBorders>
            <w:gridSpan w:val="3"/>
          </w:tcPr>
          <w:p>
            <w:pPr>
              <w:ind w:left="112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9"/>
              </w:rPr>
              <w:t>Percentage of</w:t>
            </w: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7"/>
              </w:rPr>
              <w:t>Percentage of</w:t>
            </w: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160" w:type="dxa"/>
            <w:vAlign w:val="bottom"/>
          </w:tcPr>
          <w:p>
            <w:pPr>
              <w:spacing w:after="0"/>
              <w:rPr>
                <w:sz w:val="12"/>
                <w:szCs w:val="12"/>
                <w:color w:val="auto"/>
              </w:rPr>
            </w:pPr>
          </w:p>
        </w:tc>
        <w:tc>
          <w:tcPr>
            <w:tcW w:w="18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6"/>
              </w:rPr>
              <w:t>Single-Family</w:t>
            </w: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8"/>
              </w:rPr>
              <w:t>Single-Family</w:t>
            </w: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160" w:type="dxa"/>
            <w:vAlign w:val="bottom"/>
          </w:tcPr>
          <w:p>
            <w:pPr>
              <w:spacing w:after="0"/>
              <w:rPr>
                <w:sz w:val="11"/>
                <w:szCs w:val="11"/>
                <w:color w:val="auto"/>
              </w:rPr>
            </w:pPr>
          </w:p>
        </w:tc>
        <w:tc>
          <w:tcPr>
            <w:tcW w:w="184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9"/>
              </w:rPr>
              <w:t>Conventional</w:t>
            </w:r>
          </w:p>
        </w:tc>
        <w:tc>
          <w:tcPr>
            <w:tcW w:w="100" w:type="dxa"/>
            <w:vAlign w:val="bottom"/>
          </w:tcPr>
          <w:p>
            <w:pPr>
              <w:spacing w:after="0"/>
              <w:rPr>
                <w:sz w:val="11"/>
                <w:szCs w:val="11"/>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Serious Delinquency</w:t>
            </w:r>
          </w:p>
        </w:tc>
        <w:tc>
          <w:tcPr>
            <w:tcW w:w="100" w:type="dxa"/>
            <w:vAlign w:val="bottom"/>
          </w:tcPr>
          <w:p>
            <w:pPr>
              <w:spacing w:after="0"/>
              <w:rPr>
                <w:sz w:val="11"/>
                <w:szCs w:val="11"/>
                <w:color w:val="auto"/>
              </w:rPr>
            </w:pPr>
          </w:p>
        </w:tc>
        <w:tc>
          <w:tcPr>
            <w:tcW w:w="184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6"/>
              </w:rPr>
              <w:t>Conventional</w:t>
            </w:r>
          </w:p>
        </w:tc>
        <w:tc>
          <w:tcPr>
            <w:tcW w:w="120" w:type="dxa"/>
            <w:vAlign w:val="bottom"/>
          </w:tcPr>
          <w:p>
            <w:pPr>
              <w:spacing w:after="0"/>
              <w:rPr>
                <w:sz w:val="11"/>
                <w:szCs w:val="11"/>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Serious Delinquency</w:t>
            </w:r>
          </w:p>
        </w:tc>
        <w:tc>
          <w:tcPr>
            <w:tcW w:w="0" w:type="dxa"/>
            <w:vAlign w:val="bottom"/>
          </w:tcPr>
          <w:p>
            <w:pPr>
              <w:spacing w:after="0"/>
              <w:rPr>
                <w:sz w:val="1"/>
                <w:szCs w:val="1"/>
                <w:color w:val="auto"/>
              </w:rPr>
            </w:pPr>
          </w:p>
        </w:tc>
      </w:tr>
      <w:tr>
        <w:trPr>
          <w:trHeight w:val="153"/>
        </w:trPr>
        <w:tc>
          <w:tcPr>
            <w:tcW w:w="4160" w:type="dxa"/>
            <w:vAlign w:val="bottom"/>
          </w:tcPr>
          <w:p>
            <w:pPr>
              <w:spacing w:after="0"/>
              <w:rPr>
                <w:sz w:val="13"/>
                <w:szCs w:val="13"/>
                <w:color w:val="auto"/>
              </w:rPr>
            </w:pPr>
          </w:p>
        </w:tc>
        <w:tc>
          <w:tcPr>
            <w:tcW w:w="18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Guaranty Book of Business</w:t>
            </w:r>
          </w:p>
        </w:tc>
        <w:tc>
          <w:tcPr>
            <w:tcW w:w="10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Guaranty Book of Business</w:t>
            </w:r>
          </w:p>
        </w:tc>
        <w:tc>
          <w:tcPr>
            <w:tcW w:w="12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160" w:type="dxa"/>
            <w:vAlign w:val="bottom"/>
          </w:tcPr>
          <w:p>
            <w:pPr>
              <w:spacing w:after="0"/>
              <w:rPr>
                <w:sz w:val="16"/>
                <w:szCs w:val="16"/>
                <w:color w:val="auto"/>
              </w:rPr>
            </w:pPr>
          </w:p>
        </w:tc>
        <w:tc>
          <w:tcPr>
            <w:tcW w:w="18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Based on UPB</w:t>
            </w:r>
          </w:p>
        </w:tc>
        <w:tc>
          <w:tcPr>
            <w:tcW w:w="100" w:type="dxa"/>
            <w:vAlign w:val="bottom"/>
          </w:tcPr>
          <w:p>
            <w:pPr>
              <w:spacing w:after="0"/>
              <w:rPr>
                <w:sz w:val="16"/>
                <w:szCs w:val="16"/>
                <w:color w:val="auto"/>
              </w:rPr>
            </w:pPr>
          </w:p>
        </w:tc>
        <w:tc>
          <w:tcPr>
            <w:tcW w:w="1540" w:type="dxa"/>
            <w:vAlign w:val="bottom"/>
            <w:tcBorders>
              <w:bottom w:val="single" w:sz="8" w:color="2C6937"/>
            </w:tcBorders>
          </w:tcPr>
          <w:p>
            <w:pPr>
              <w:jc w:val="center"/>
              <w:spacing w:after="0" w:line="194" w:lineRule="exact"/>
              <w:rPr>
                <w:sz w:val="20"/>
                <w:szCs w:val="20"/>
                <w:color w:val="auto"/>
              </w:rPr>
            </w:pPr>
            <w:r>
              <w:rPr>
                <w:rFonts w:ascii="Arial" w:cs="Arial" w:eastAsia="Arial" w:hAnsi="Arial"/>
                <w:sz w:val="14"/>
                <w:szCs w:val="14"/>
                <w:b w:val="1"/>
                <w:bCs w:val="1"/>
                <w:color w:val="auto"/>
                <w:w w:val="90"/>
              </w:rPr>
              <w:t>Rate</w:t>
            </w:r>
            <w:r>
              <w:rPr>
                <w:rFonts w:ascii="Arial" w:cs="Arial" w:eastAsia="Arial" w:hAnsi="Arial"/>
                <w:sz w:val="17"/>
                <w:szCs w:val="17"/>
                <w:b w:val="1"/>
                <w:bCs w:val="1"/>
                <w:color w:val="auto"/>
                <w:w w:val="90"/>
                <w:vertAlign w:val="superscript"/>
              </w:rPr>
              <w:t>(1)</w:t>
            </w:r>
          </w:p>
        </w:tc>
        <w:tc>
          <w:tcPr>
            <w:tcW w:w="100" w:type="dxa"/>
            <w:vAlign w:val="bottom"/>
          </w:tcPr>
          <w:p>
            <w:pPr>
              <w:spacing w:after="0"/>
              <w:rPr>
                <w:sz w:val="16"/>
                <w:szCs w:val="16"/>
                <w:color w:val="auto"/>
              </w:rPr>
            </w:pPr>
          </w:p>
        </w:tc>
        <w:tc>
          <w:tcPr>
            <w:tcW w:w="18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7"/>
              </w:rPr>
              <w:t>Based on UPB</w:t>
            </w:r>
          </w:p>
        </w:tc>
        <w:tc>
          <w:tcPr>
            <w:tcW w:w="120" w:type="dxa"/>
            <w:vAlign w:val="bottom"/>
          </w:tcPr>
          <w:p>
            <w:pPr>
              <w:spacing w:after="0"/>
              <w:rPr>
                <w:sz w:val="16"/>
                <w:szCs w:val="16"/>
                <w:color w:val="auto"/>
              </w:rPr>
            </w:pPr>
          </w:p>
        </w:tc>
        <w:tc>
          <w:tcPr>
            <w:tcW w:w="1520" w:type="dxa"/>
            <w:vAlign w:val="bottom"/>
            <w:tcBorders>
              <w:bottom w:val="single" w:sz="8" w:color="2C6937"/>
            </w:tcBorders>
          </w:tcPr>
          <w:p>
            <w:pPr>
              <w:jc w:val="center"/>
              <w:spacing w:after="0" w:line="194" w:lineRule="exact"/>
              <w:rPr>
                <w:sz w:val="20"/>
                <w:szCs w:val="20"/>
                <w:color w:val="auto"/>
              </w:rPr>
            </w:pPr>
            <w:r>
              <w:rPr>
                <w:rFonts w:ascii="Arial" w:cs="Arial" w:eastAsia="Arial" w:hAnsi="Arial"/>
                <w:sz w:val="14"/>
                <w:szCs w:val="14"/>
                <w:b w:val="1"/>
                <w:bCs w:val="1"/>
                <w:color w:val="auto"/>
                <w:w w:val="90"/>
              </w:rPr>
              <w:t>Rate</w:t>
            </w:r>
            <w:r>
              <w:rPr>
                <w:rFonts w:ascii="Arial" w:cs="Arial" w:eastAsia="Arial" w:hAnsi="Arial"/>
                <w:sz w:val="17"/>
                <w:szCs w:val="17"/>
                <w:b w:val="1"/>
                <w:bCs w:val="1"/>
                <w:color w:val="auto"/>
                <w:w w:val="90"/>
                <w:vertAlign w:val="superscript"/>
              </w:rPr>
              <w:t>(1)</w:t>
            </w:r>
          </w:p>
        </w:tc>
        <w:tc>
          <w:tcPr>
            <w:tcW w:w="0" w:type="dxa"/>
            <w:vAlign w:val="bottom"/>
          </w:tcPr>
          <w:p>
            <w:pPr>
              <w:spacing w:after="0"/>
              <w:rPr>
                <w:sz w:val="1"/>
                <w:szCs w:val="1"/>
                <w:color w:val="auto"/>
              </w:rPr>
            </w:pPr>
          </w:p>
        </w:tc>
      </w:tr>
      <w:tr>
        <w:trPr>
          <w:trHeight w:val="218"/>
        </w:trPr>
        <w:tc>
          <w:tcPr>
            <w:tcW w:w="4160" w:type="dxa"/>
            <w:vAlign w:val="bottom"/>
          </w:tcPr>
          <w:p>
            <w:pPr>
              <w:spacing w:after="0"/>
              <w:rPr>
                <w:sz w:val="20"/>
                <w:szCs w:val="20"/>
                <w:color w:val="auto"/>
              </w:rPr>
            </w:pPr>
            <w:r>
              <w:rPr>
                <w:rFonts w:ascii="Arial" w:cs="Arial" w:eastAsia="Arial" w:hAnsi="Arial"/>
                <w:sz w:val="15"/>
                <w:szCs w:val="15"/>
                <w:b w:val="1"/>
                <w:bCs w:val="1"/>
                <w:color w:val="auto"/>
              </w:rPr>
              <w:t>Estimated mark-to-market LTV ratio:</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160" w:type="dxa"/>
            <w:vAlign w:val="bottom"/>
          </w:tcPr>
          <w:p>
            <w:pPr>
              <w:ind w:left="160"/>
              <w:spacing w:after="0"/>
              <w:rPr>
                <w:sz w:val="20"/>
                <w:szCs w:val="20"/>
                <w:color w:val="auto"/>
              </w:rPr>
            </w:pPr>
            <w:r>
              <w:rPr>
                <w:rFonts w:ascii="Arial" w:cs="Arial" w:eastAsia="Arial" w:hAnsi="Arial"/>
                <w:sz w:val="15"/>
                <w:szCs w:val="15"/>
                <w:color w:val="auto"/>
              </w:rPr>
              <w:t>80.01% to 90%</w:t>
            </w:r>
          </w:p>
        </w:tc>
        <w:tc>
          <w:tcPr>
            <w:tcW w:w="1840" w:type="dxa"/>
            <w:vAlign w:val="bottom"/>
          </w:tcPr>
          <w:p>
            <w:pPr>
              <w:jc w:val="right"/>
              <w:spacing w:after="0"/>
              <w:rPr>
                <w:sz w:val="20"/>
                <w:szCs w:val="20"/>
                <w:color w:val="auto"/>
              </w:rPr>
            </w:pPr>
            <w:r>
              <w:rPr>
                <w:rFonts w:ascii="Arial" w:cs="Arial" w:eastAsia="Arial" w:hAnsi="Arial"/>
                <w:sz w:val="15"/>
                <w:szCs w:val="15"/>
                <w:b w:val="1"/>
                <w:bCs w:val="1"/>
                <w:color w:val="auto"/>
              </w:rPr>
              <w:t>5 %</w:t>
            </w:r>
          </w:p>
        </w:tc>
        <w:tc>
          <w:tcPr>
            <w:tcW w:w="1640" w:type="dxa"/>
            <w:vAlign w:val="bottom"/>
            <w:gridSpan w:val="2"/>
          </w:tcPr>
          <w:p>
            <w:pPr>
              <w:ind w:left="1140"/>
              <w:spacing w:after="0"/>
              <w:rPr>
                <w:sz w:val="20"/>
                <w:szCs w:val="20"/>
                <w:color w:val="auto"/>
              </w:rPr>
            </w:pPr>
            <w:r>
              <w:rPr>
                <w:rFonts w:ascii="Arial" w:cs="Arial" w:eastAsia="Arial" w:hAnsi="Arial"/>
                <w:sz w:val="15"/>
                <w:szCs w:val="15"/>
                <w:b w:val="1"/>
                <w:bCs w:val="1"/>
                <w:color w:val="auto"/>
              </w:rPr>
              <w:t>0.68 %</w:t>
            </w:r>
          </w:p>
        </w:tc>
        <w:tc>
          <w:tcPr>
            <w:tcW w:w="1940" w:type="dxa"/>
            <w:vAlign w:val="bottom"/>
            <w:gridSpan w:val="2"/>
          </w:tcPr>
          <w:p>
            <w:pPr>
              <w:jc w:val="right"/>
              <w:spacing w:after="0"/>
              <w:rPr>
                <w:sz w:val="20"/>
                <w:szCs w:val="20"/>
                <w:color w:val="auto"/>
              </w:rPr>
            </w:pPr>
            <w:r>
              <w:rPr>
                <w:rFonts w:ascii="Arial" w:cs="Arial" w:eastAsia="Arial" w:hAnsi="Arial"/>
                <w:sz w:val="15"/>
                <w:szCs w:val="15"/>
                <w:color w:val="auto"/>
              </w:rPr>
              <w:t>5 %</w:t>
            </w:r>
          </w:p>
        </w:tc>
        <w:tc>
          <w:tcPr>
            <w:tcW w:w="1640" w:type="dxa"/>
            <w:vAlign w:val="bottom"/>
            <w:gridSpan w:val="2"/>
          </w:tcPr>
          <w:p>
            <w:pPr>
              <w:ind w:left="1140"/>
              <w:spacing w:after="0"/>
              <w:rPr>
                <w:sz w:val="20"/>
                <w:szCs w:val="20"/>
                <w:color w:val="auto"/>
              </w:rPr>
            </w:pPr>
            <w:r>
              <w:rPr>
                <w:rFonts w:ascii="Arial" w:cs="Arial" w:eastAsia="Arial" w:hAnsi="Arial"/>
                <w:sz w:val="15"/>
                <w:szCs w:val="15"/>
                <w:color w:val="auto"/>
              </w:rPr>
              <w:t>0.68 %</w:t>
            </w:r>
          </w:p>
        </w:tc>
        <w:tc>
          <w:tcPr>
            <w:tcW w:w="0" w:type="dxa"/>
            <w:vAlign w:val="bottom"/>
          </w:tcPr>
          <w:p>
            <w:pPr>
              <w:spacing w:after="0"/>
              <w:rPr>
                <w:sz w:val="1"/>
                <w:szCs w:val="1"/>
                <w:color w:val="auto"/>
              </w:rPr>
            </w:pPr>
          </w:p>
        </w:tc>
      </w:tr>
      <w:tr>
        <w:trPr>
          <w:trHeight w:val="232"/>
        </w:trPr>
        <w:tc>
          <w:tcPr>
            <w:tcW w:w="4160" w:type="dxa"/>
            <w:vAlign w:val="bottom"/>
          </w:tcPr>
          <w:p>
            <w:pPr>
              <w:ind w:left="160"/>
              <w:spacing w:after="0"/>
              <w:rPr>
                <w:sz w:val="20"/>
                <w:szCs w:val="20"/>
                <w:color w:val="auto"/>
              </w:rPr>
            </w:pPr>
            <w:r>
              <w:rPr>
                <w:rFonts w:ascii="Arial" w:cs="Arial" w:eastAsia="Arial" w:hAnsi="Arial"/>
                <w:sz w:val="15"/>
                <w:szCs w:val="15"/>
                <w:color w:val="auto"/>
              </w:rPr>
              <w:t>90.01% to 100%</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2</w:t>
            </w:r>
          </w:p>
        </w:tc>
        <w:tc>
          <w:tcPr>
            <w:tcW w:w="1640" w:type="dxa"/>
            <w:vAlign w:val="bottom"/>
            <w:gridSpan w:val="2"/>
          </w:tcPr>
          <w:p>
            <w:pPr>
              <w:ind w:left="1140"/>
              <w:spacing w:after="0"/>
              <w:rPr>
                <w:sz w:val="20"/>
                <w:szCs w:val="20"/>
                <w:color w:val="auto"/>
              </w:rPr>
            </w:pPr>
            <w:r>
              <w:rPr>
                <w:rFonts w:ascii="Arial" w:cs="Arial" w:eastAsia="Arial" w:hAnsi="Arial"/>
                <w:sz w:val="15"/>
                <w:szCs w:val="15"/>
                <w:b w:val="1"/>
                <w:bCs w:val="1"/>
                <w:color w:val="auto"/>
              </w:rPr>
              <w:t>0.54</w:t>
            </w:r>
          </w:p>
        </w:tc>
        <w:tc>
          <w:tcPr>
            <w:tcW w:w="1940" w:type="dxa"/>
            <w:vAlign w:val="bottom"/>
            <w:gridSpan w:val="2"/>
          </w:tcPr>
          <w:p>
            <w:pPr>
              <w:jc w:val="right"/>
              <w:ind w:right="131"/>
              <w:spacing w:after="0"/>
              <w:rPr>
                <w:sz w:val="20"/>
                <w:szCs w:val="20"/>
                <w:color w:val="auto"/>
              </w:rPr>
            </w:pPr>
            <w:r>
              <w:rPr>
                <w:rFonts w:ascii="Arial" w:cs="Arial" w:eastAsia="Arial" w:hAnsi="Arial"/>
                <w:sz w:val="15"/>
                <w:szCs w:val="15"/>
                <w:color w:val="auto"/>
              </w:rPr>
              <w:t>3</w:t>
            </w:r>
          </w:p>
        </w:tc>
        <w:tc>
          <w:tcPr>
            <w:tcW w:w="1640" w:type="dxa"/>
            <w:vAlign w:val="bottom"/>
            <w:gridSpan w:val="2"/>
          </w:tcPr>
          <w:p>
            <w:pPr>
              <w:ind w:left="1140"/>
              <w:spacing w:after="0"/>
              <w:rPr>
                <w:sz w:val="20"/>
                <w:szCs w:val="20"/>
                <w:color w:val="auto"/>
              </w:rPr>
            </w:pPr>
            <w:r>
              <w:rPr>
                <w:rFonts w:ascii="Arial" w:cs="Arial" w:eastAsia="Arial" w:hAnsi="Arial"/>
                <w:sz w:val="15"/>
                <w:szCs w:val="15"/>
                <w:color w:val="auto"/>
              </w:rPr>
              <w:t>0.40</w:t>
            </w:r>
          </w:p>
        </w:tc>
        <w:tc>
          <w:tcPr>
            <w:tcW w:w="0" w:type="dxa"/>
            <w:vAlign w:val="bottom"/>
          </w:tcPr>
          <w:p>
            <w:pPr>
              <w:spacing w:after="0"/>
              <w:rPr>
                <w:sz w:val="1"/>
                <w:szCs w:val="1"/>
                <w:color w:val="auto"/>
              </w:rPr>
            </w:pPr>
          </w:p>
        </w:tc>
      </w:tr>
      <w:tr>
        <w:trPr>
          <w:trHeight w:val="245"/>
        </w:trPr>
        <w:tc>
          <w:tcPr>
            <w:tcW w:w="4160" w:type="dxa"/>
            <w:vAlign w:val="bottom"/>
          </w:tcPr>
          <w:p>
            <w:pPr>
              <w:ind w:left="160"/>
              <w:spacing w:after="0"/>
              <w:rPr>
                <w:sz w:val="20"/>
                <w:szCs w:val="20"/>
                <w:color w:val="auto"/>
              </w:rPr>
            </w:pPr>
            <w:r>
              <w:rPr>
                <w:rFonts w:ascii="Arial" w:cs="Arial" w:eastAsia="Arial" w:hAnsi="Arial"/>
                <w:sz w:val="15"/>
                <w:szCs w:val="15"/>
                <w:color w:val="auto"/>
              </w:rPr>
              <w:t>Greater than 100%</w:t>
            </w:r>
          </w:p>
        </w:tc>
        <w:tc>
          <w:tcPr>
            <w:tcW w:w="1840" w:type="dxa"/>
            <w:vAlign w:val="bottom"/>
          </w:tcPr>
          <w:p>
            <w:pPr>
              <w:jc w:val="right"/>
              <w:ind w:right="146"/>
              <w:spacing w:after="0"/>
              <w:rPr>
                <w:sz w:val="20"/>
                <w:szCs w:val="20"/>
                <w:color w:val="auto"/>
              </w:rPr>
            </w:pPr>
            <w:r>
              <w:rPr>
                <w:rFonts w:ascii="Arial" w:cs="Arial" w:eastAsia="Arial" w:hAnsi="Arial"/>
                <w:sz w:val="15"/>
                <w:szCs w:val="15"/>
                <w:b w:val="1"/>
                <w:bCs w:val="1"/>
                <w:color w:val="auto"/>
              </w:rPr>
              <w:t>*</w:t>
            </w:r>
          </w:p>
        </w:tc>
        <w:tc>
          <w:tcPr>
            <w:tcW w:w="1640" w:type="dxa"/>
            <w:vAlign w:val="bottom"/>
            <w:gridSpan w:val="2"/>
          </w:tcPr>
          <w:p>
            <w:pPr>
              <w:ind w:left="1140"/>
              <w:spacing w:after="0"/>
              <w:rPr>
                <w:sz w:val="20"/>
                <w:szCs w:val="20"/>
                <w:color w:val="auto"/>
              </w:rPr>
            </w:pPr>
            <w:r>
              <w:rPr>
                <w:rFonts w:ascii="Arial" w:cs="Arial" w:eastAsia="Arial" w:hAnsi="Arial"/>
                <w:sz w:val="15"/>
                <w:szCs w:val="15"/>
                <w:b w:val="1"/>
                <w:bCs w:val="1"/>
                <w:color w:val="auto"/>
              </w:rPr>
              <w:t>4.00</w:t>
            </w:r>
          </w:p>
        </w:tc>
        <w:tc>
          <w:tcPr>
            <w:tcW w:w="1940" w:type="dxa"/>
            <w:vAlign w:val="bottom"/>
            <w:gridSpan w:val="2"/>
          </w:tcPr>
          <w:p>
            <w:pPr>
              <w:jc w:val="right"/>
              <w:ind w:right="151"/>
              <w:spacing w:after="0"/>
              <w:rPr>
                <w:sz w:val="20"/>
                <w:szCs w:val="20"/>
                <w:color w:val="auto"/>
              </w:rPr>
            </w:pPr>
            <w:r>
              <w:rPr>
                <w:rFonts w:ascii="Arial" w:cs="Arial" w:eastAsia="Arial" w:hAnsi="Arial"/>
                <w:sz w:val="15"/>
                <w:szCs w:val="15"/>
                <w:color w:val="auto"/>
              </w:rPr>
              <w:t>*</w:t>
            </w:r>
          </w:p>
        </w:tc>
        <w:tc>
          <w:tcPr>
            <w:tcW w:w="1640" w:type="dxa"/>
            <w:vAlign w:val="bottom"/>
            <w:gridSpan w:val="2"/>
          </w:tcPr>
          <w:p>
            <w:pPr>
              <w:ind w:left="1140"/>
              <w:spacing w:after="0"/>
              <w:rPr>
                <w:sz w:val="20"/>
                <w:szCs w:val="20"/>
                <w:color w:val="auto"/>
              </w:rPr>
            </w:pPr>
            <w:r>
              <w:rPr>
                <w:rFonts w:ascii="Arial" w:cs="Arial" w:eastAsia="Arial" w:hAnsi="Arial"/>
                <w:sz w:val="15"/>
                <w:szCs w:val="15"/>
                <w:color w:val="auto"/>
              </w:rPr>
              <w:t>4.04</w:t>
            </w:r>
          </w:p>
        </w:tc>
        <w:tc>
          <w:tcPr>
            <w:tcW w:w="0" w:type="dxa"/>
            <w:vAlign w:val="bottom"/>
          </w:tcPr>
          <w:p>
            <w:pPr>
              <w:spacing w:after="0"/>
              <w:rPr>
                <w:sz w:val="1"/>
                <w:szCs w:val="1"/>
                <w:color w:val="auto"/>
              </w:rPr>
            </w:pPr>
          </w:p>
        </w:tc>
      </w:tr>
      <w:tr>
        <w:trPr>
          <w:trHeight w:val="219"/>
        </w:trPr>
        <w:tc>
          <w:tcPr>
            <w:tcW w:w="4160" w:type="dxa"/>
            <w:vAlign w:val="bottom"/>
          </w:tcPr>
          <w:p>
            <w:pPr>
              <w:spacing w:after="0"/>
              <w:rPr>
                <w:sz w:val="20"/>
                <w:szCs w:val="20"/>
                <w:color w:val="auto"/>
              </w:rPr>
            </w:pPr>
            <w:r>
              <w:rPr>
                <w:rFonts w:ascii="Arial" w:cs="Arial" w:eastAsia="Arial" w:hAnsi="Arial"/>
                <w:sz w:val="15"/>
                <w:szCs w:val="15"/>
                <w:b w:val="1"/>
                <w:bCs w:val="1"/>
                <w:color w:val="auto"/>
              </w:rPr>
              <w:t>Geographical distribution:</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160" w:type="dxa"/>
            <w:vAlign w:val="bottom"/>
          </w:tcPr>
          <w:p>
            <w:pPr>
              <w:ind w:left="160"/>
              <w:spacing w:after="0"/>
              <w:rPr>
                <w:sz w:val="20"/>
                <w:szCs w:val="20"/>
                <w:color w:val="auto"/>
              </w:rPr>
            </w:pPr>
            <w:r>
              <w:rPr>
                <w:rFonts w:ascii="Arial" w:cs="Arial" w:eastAsia="Arial" w:hAnsi="Arial"/>
                <w:sz w:val="15"/>
                <w:szCs w:val="15"/>
                <w:color w:val="auto"/>
              </w:rPr>
              <w:t>California</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19</w:t>
            </w:r>
          </w:p>
        </w:tc>
        <w:tc>
          <w:tcPr>
            <w:tcW w:w="1640" w:type="dxa"/>
            <w:vAlign w:val="bottom"/>
            <w:gridSpan w:val="2"/>
          </w:tcPr>
          <w:p>
            <w:pPr>
              <w:ind w:left="1140"/>
              <w:spacing w:after="0"/>
              <w:rPr>
                <w:sz w:val="20"/>
                <w:szCs w:val="20"/>
                <w:color w:val="auto"/>
              </w:rPr>
            </w:pPr>
            <w:r>
              <w:rPr>
                <w:rFonts w:ascii="Arial" w:cs="Arial" w:eastAsia="Arial" w:hAnsi="Arial"/>
                <w:sz w:val="15"/>
                <w:szCs w:val="15"/>
                <w:b w:val="1"/>
                <w:bCs w:val="1"/>
                <w:color w:val="auto"/>
              </w:rPr>
              <w:t>0.41</w:t>
            </w:r>
          </w:p>
        </w:tc>
        <w:tc>
          <w:tcPr>
            <w:tcW w:w="1940" w:type="dxa"/>
            <w:vAlign w:val="bottom"/>
            <w:gridSpan w:val="2"/>
          </w:tcPr>
          <w:p>
            <w:pPr>
              <w:jc w:val="right"/>
              <w:ind w:right="131"/>
              <w:spacing w:after="0"/>
              <w:rPr>
                <w:sz w:val="20"/>
                <w:szCs w:val="20"/>
                <w:color w:val="auto"/>
              </w:rPr>
            </w:pPr>
            <w:r>
              <w:rPr>
                <w:rFonts w:ascii="Arial" w:cs="Arial" w:eastAsia="Arial" w:hAnsi="Arial"/>
                <w:sz w:val="15"/>
                <w:szCs w:val="15"/>
                <w:color w:val="auto"/>
              </w:rPr>
              <w:t>19</w:t>
            </w:r>
          </w:p>
        </w:tc>
        <w:tc>
          <w:tcPr>
            <w:tcW w:w="1640" w:type="dxa"/>
            <w:vAlign w:val="bottom"/>
            <w:gridSpan w:val="2"/>
          </w:tcPr>
          <w:p>
            <w:pPr>
              <w:ind w:left="1140"/>
              <w:spacing w:after="0"/>
              <w:rPr>
                <w:sz w:val="20"/>
                <w:szCs w:val="20"/>
                <w:color w:val="auto"/>
              </w:rPr>
            </w:pPr>
            <w:r>
              <w:rPr>
                <w:rFonts w:ascii="Arial" w:cs="Arial" w:eastAsia="Arial" w:hAnsi="Arial"/>
                <w:sz w:val="15"/>
                <w:szCs w:val="15"/>
                <w:color w:val="auto"/>
              </w:rPr>
              <w:t>0.46</w:t>
            </w:r>
          </w:p>
        </w:tc>
        <w:tc>
          <w:tcPr>
            <w:tcW w:w="0" w:type="dxa"/>
            <w:vAlign w:val="bottom"/>
          </w:tcPr>
          <w:p>
            <w:pPr>
              <w:spacing w:after="0"/>
              <w:rPr>
                <w:sz w:val="1"/>
                <w:szCs w:val="1"/>
                <w:color w:val="auto"/>
              </w:rPr>
            </w:pPr>
          </w:p>
        </w:tc>
      </w:tr>
      <w:tr>
        <w:trPr>
          <w:trHeight w:val="245"/>
        </w:trPr>
        <w:tc>
          <w:tcPr>
            <w:tcW w:w="4160" w:type="dxa"/>
            <w:vAlign w:val="bottom"/>
          </w:tcPr>
          <w:p>
            <w:pPr>
              <w:ind w:left="160"/>
              <w:spacing w:after="0"/>
              <w:rPr>
                <w:sz w:val="20"/>
                <w:szCs w:val="20"/>
                <w:color w:val="auto"/>
              </w:rPr>
            </w:pPr>
            <w:r>
              <w:rPr>
                <w:rFonts w:ascii="Arial" w:cs="Arial" w:eastAsia="Arial" w:hAnsi="Arial"/>
                <w:sz w:val="15"/>
                <w:szCs w:val="15"/>
                <w:color w:val="auto"/>
              </w:rPr>
              <w:t>Florida</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6</w:t>
            </w:r>
          </w:p>
        </w:tc>
        <w:tc>
          <w:tcPr>
            <w:tcW w:w="1640" w:type="dxa"/>
            <w:vAlign w:val="bottom"/>
            <w:gridSpan w:val="2"/>
          </w:tcPr>
          <w:p>
            <w:pPr>
              <w:ind w:left="1140"/>
              <w:spacing w:after="0"/>
              <w:rPr>
                <w:sz w:val="20"/>
                <w:szCs w:val="20"/>
                <w:color w:val="auto"/>
              </w:rPr>
            </w:pPr>
            <w:r>
              <w:rPr>
                <w:rFonts w:ascii="Arial" w:cs="Arial" w:eastAsia="Arial" w:hAnsi="Arial"/>
                <w:sz w:val="15"/>
                <w:szCs w:val="15"/>
                <w:b w:val="1"/>
                <w:bCs w:val="1"/>
                <w:color w:val="auto"/>
              </w:rPr>
              <w:t>0.71</w:t>
            </w:r>
          </w:p>
        </w:tc>
        <w:tc>
          <w:tcPr>
            <w:tcW w:w="1940" w:type="dxa"/>
            <w:vAlign w:val="bottom"/>
            <w:gridSpan w:val="2"/>
          </w:tcPr>
          <w:p>
            <w:pPr>
              <w:jc w:val="right"/>
              <w:ind w:right="131"/>
              <w:spacing w:after="0"/>
              <w:rPr>
                <w:sz w:val="20"/>
                <w:szCs w:val="20"/>
                <w:color w:val="auto"/>
              </w:rPr>
            </w:pPr>
            <w:r>
              <w:rPr>
                <w:rFonts w:ascii="Arial" w:cs="Arial" w:eastAsia="Arial" w:hAnsi="Arial"/>
                <w:sz w:val="15"/>
                <w:szCs w:val="15"/>
                <w:color w:val="auto"/>
              </w:rPr>
              <w:t>6</w:t>
            </w:r>
          </w:p>
        </w:tc>
        <w:tc>
          <w:tcPr>
            <w:tcW w:w="1640" w:type="dxa"/>
            <w:vAlign w:val="bottom"/>
            <w:gridSpan w:val="2"/>
          </w:tcPr>
          <w:p>
            <w:pPr>
              <w:ind w:left="1140"/>
              <w:spacing w:after="0"/>
              <w:rPr>
                <w:sz w:val="20"/>
                <w:szCs w:val="20"/>
                <w:color w:val="auto"/>
              </w:rPr>
            </w:pPr>
            <w:r>
              <w:rPr>
                <w:rFonts w:ascii="Arial" w:cs="Arial" w:eastAsia="Arial" w:hAnsi="Arial"/>
                <w:sz w:val="15"/>
                <w:szCs w:val="15"/>
                <w:color w:val="auto"/>
              </w:rPr>
              <w:t>0.90</w:t>
            </w:r>
          </w:p>
        </w:tc>
        <w:tc>
          <w:tcPr>
            <w:tcW w:w="0" w:type="dxa"/>
            <w:vAlign w:val="bottom"/>
          </w:tcPr>
          <w:p>
            <w:pPr>
              <w:spacing w:after="0"/>
              <w:rPr>
                <w:sz w:val="1"/>
                <w:szCs w:val="1"/>
                <w:color w:val="auto"/>
              </w:rPr>
            </w:pPr>
          </w:p>
        </w:tc>
      </w:tr>
      <w:tr>
        <w:trPr>
          <w:trHeight w:val="232"/>
        </w:trPr>
        <w:tc>
          <w:tcPr>
            <w:tcW w:w="4160" w:type="dxa"/>
            <w:vAlign w:val="bottom"/>
          </w:tcPr>
          <w:p>
            <w:pPr>
              <w:ind w:left="160"/>
              <w:spacing w:after="0"/>
              <w:rPr>
                <w:sz w:val="20"/>
                <w:szCs w:val="20"/>
                <w:color w:val="auto"/>
              </w:rPr>
            </w:pPr>
            <w:r>
              <w:rPr>
                <w:rFonts w:ascii="Arial" w:cs="Arial" w:eastAsia="Arial" w:hAnsi="Arial"/>
                <w:sz w:val="15"/>
                <w:szCs w:val="15"/>
                <w:color w:val="auto"/>
              </w:rPr>
              <w:t>Illinois</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3</w:t>
            </w:r>
          </w:p>
        </w:tc>
        <w:tc>
          <w:tcPr>
            <w:tcW w:w="1640" w:type="dxa"/>
            <w:vAlign w:val="bottom"/>
            <w:gridSpan w:val="2"/>
          </w:tcPr>
          <w:p>
            <w:pPr>
              <w:ind w:left="1140"/>
              <w:spacing w:after="0"/>
              <w:rPr>
                <w:sz w:val="20"/>
                <w:szCs w:val="20"/>
                <w:color w:val="auto"/>
              </w:rPr>
            </w:pPr>
            <w:r>
              <w:rPr>
                <w:rFonts w:ascii="Arial" w:cs="Arial" w:eastAsia="Arial" w:hAnsi="Arial"/>
                <w:sz w:val="15"/>
                <w:szCs w:val="15"/>
                <w:b w:val="1"/>
                <w:bCs w:val="1"/>
                <w:color w:val="auto"/>
              </w:rPr>
              <w:t>0.71</w:t>
            </w:r>
          </w:p>
        </w:tc>
        <w:tc>
          <w:tcPr>
            <w:tcW w:w="1940" w:type="dxa"/>
            <w:vAlign w:val="bottom"/>
            <w:gridSpan w:val="2"/>
          </w:tcPr>
          <w:p>
            <w:pPr>
              <w:jc w:val="right"/>
              <w:ind w:right="131"/>
              <w:spacing w:after="0"/>
              <w:rPr>
                <w:sz w:val="20"/>
                <w:szCs w:val="20"/>
                <w:color w:val="auto"/>
              </w:rPr>
            </w:pPr>
            <w:r>
              <w:rPr>
                <w:rFonts w:ascii="Arial" w:cs="Arial" w:eastAsia="Arial" w:hAnsi="Arial"/>
                <w:sz w:val="15"/>
                <w:szCs w:val="15"/>
                <w:color w:val="auto"/>
              </w:rPr>
              <w:t>3</w:t>
            </w:r>
          </w:p>
        </w:tc>
        <w:tc>
          <w:tcPr>
            <w:tcW w:w="1640" w:type="dxa"/>
            <w:vAlign w:val="bottom"/>
            <w:gridSpan w:val="2"/>
          </w:tcPr>
          <w:p>
            <w:pPr>
              <w:ind w:left="1140"/>
              <w:spacing w:after="0"/>
              <w:rPr>
                <w:sz w:val="20"/>
                <w:szCs w:val="20"/>
                <w:color w:val="auto"/>
              </w:rPr>
            </w:pPr>
            <w:r>
              <w:rPr>
                <w:rFonts w:ascii="Arial" w:cs="Arial" w:eastAsia="Arial" w:hAnsi="Arial"/>
                <w:sz w:val="15"/>
                <w:szCs w:val="15"/>
                <w:color w:val="auto"/>
              </w:rPr>
              <w:t>0.86</w:t>
            </w:r>
          </w:p>
        </w:tc>
        <w:tc>
          <w:tcPr>
            <w:tcW w:w="0" w:type="dxa"/>
            <w:vAlign w:val="bottom"/>
          </w:tcPr>
          <w:p>
            <w:pPr>
              <w:spacing w:after="0"/>
              <w:rPr>
                <w:sz w:val="1"/>
                <w:szCs w:val="1"/>
                <w:color w:val="auto"/>
              </w:rPr>
            </w:pPr>
          </w:p>
        </w:tc>
      </w:tr>
      <w:tr>
        <w:trPr>
          <w:trHeight w:val="245"/>
        </w:trPr>
        <w:tc>
          <w:tcPr>
            <w:tcW w:w="4160" w:type="dxa"/>
            <w:vAlign w:val="bottom"/>
          </w:tcPr>
          <w:p>
            <w:pPr>
              <w:ind w:left="160"/>
              <w:spacing w:after="0"/>
              <w:rPr>
                <w:sz w:val="20"/>
                <w:szCs w:val="20"/>
                <w:color w:val="auto"/>
              </w:rPr>
            </w:pPr>
            <w:r>
              <w:rPr>
                <w:rFonts w:ascii="Arial" w:cs="Arial" w:eastAsia="Arial" w:hAnsi="Arial"/>
                <w:sz w:val="15"/>
                <w:szCs w:val="15"/>
                <w:color w:val="auto"/>
              </w:rPr>
              <w:t>New Jersey</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3</w:t>
            </w:r>
          </w:p>
        </w:tc>
        <w:tc>
          <w:tcPr>
            <w:tcW w:w="1640" w:type="dxa"/>
            <w:vAlign w:val="bottom"/>
            <w:gridSpan w:val="2"/>
          </w:tcPr>
          <w:p>
            <w:pPr>
              <w:ind w:left="1140"/>
              <w:spacing w:after="0"/>
              <w:rPr>
                <w:sz w:val="20"/>
                <w:szCs w:val="20"/>
                <w:color w:val="auto"/>
              </w:rPr>
            </w:pPr>
            <w:r>
              <w:rPr>
                <w:rFonts w:ascii="Arial" w:cs="Arial" w:eastAsia="Arial" w:hAnsi="Arial"/>
                <w:sz w:val="15"/>
                <w:szCs w:val="15"/>
                <w:b w:val="1"/>
                <w:bCs w:val="1"/>
                <w:color w:val="auto"/>
              </w:rPr>
              <w:t>0.69</w:t>
            </w:r>
          </w:p>
        </w:tc>
        <w:tc>
          <w:tcPr>
            <w:tcW w:w="1940" w:type="dxa"/>
            <w:vAlign w:val="bottom"/>
            <w:gridSpan w:val="2"/>
          </w:tcPr>
          <w:p>
            <w:pPr>
              <w:jc w:val="right"/>
              <w:ind w:right="131"/>
              <w:spacing w:after="0"/>
              <w:rPr>
                <w:sz w:val="20"/>
                <w:szCs w:val="20"/>
                <w:color w:val="auto"/>
              </w:rPr>
            </w:pPr>
            <w:r>
              <w:rPr>
                <w:rFonts w:ascii="Arial" w:cs="Arial" w:eastAsia="Arial" w:hAnsi="Arial"/>
                <w:sz w:val="15"/>
                <w:szCs w:val="15"/>
                <w:color w:val="auto"/>
              </w:rPr>
              <w:t>3</w:t>
            </w:r>
          </w:p>
        </w:tc>
        <w:tc>
          <w:tcPr>
            <w:tcW w:w="1640" w:type="dxa"/>
            <w:vAlign w:val="bottom"/>
            <w:gridSpan w:val="2"/>
          </w:tcPr>
          <w:p>
            <w:pPr>
              <w:ind w:left="1140"/>
              <w:spacing w:after="0"/>
              <w:rPr>
                <w:sz w:val="20"/>
                <w:szCs w:val="20"/>
                <w:color w:val="auto"/>
              </w:rPr>
            </w:pPr>
            <w:r>
              <w:rPr>
                <w:rFonts w:ascii="Arial" w:cs="Arial" w:eastAsia="Arial" w:hAnsi="Arial"/>
                <w:sz w:val="15"/>
                <w:szCs w:val="15"/>
                <w:color w:val="auto"/>
              </w:rPr>
              <w:t>0.85</w:t>
            </w:r>
          </w:p>
        </w:tc>
        <w:tc>
          <w:tcPr>
            <w:tcW w:w="0" w:type="dxa"/>
            <w:vAlign w:val="bottom"/>
          </w:tcPr>
          <w:p>
            <w:pPr>
              <w:spacing w:after="0"/>
              <w:rPr>
                <w:sz w:val="1"/>
                <w:szCs w:val="1"/>
                <w:color w:val="auto"/>
              </w:rPr>
            </w:pPr>
          </w:p>
        </w:tc>
      </w:tr>
      <w:tr>
        <w:trPr>
          <w:trHeight w:val="232"/>
        </w:trPr>
        <w:tc>
          <w:tcPr>
            <w:tcW w:w="4160" w:type="dxa"/>
            <w:vAlign w:val="bottom"/>
          </w:tcPr>
          <w:p>
            <w:pPr>
              <w:ind w:left="160"/>
              <w:spacing w:after="0"/>
              <w:rPr>
                <w:sz w:val="20"/>
                <w:szCs w:val="20"/>
                <w:color w:val="auto"/>
              </w:rPr>
            </w:pPr>
            <w:r>
              <w:rPr>
                <w:rFonts w:ascii="Arial" w:cs="Arial" w:eastAsia="Arial" w:hAnsi="Arial"/>
                <w:sz w:val="15"/>
                <w:szCs w:val="15"/>
                <w:color w:val="auto"/>
              </w:rPr>
              <w:t>New York</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5</w:t>
            </w:r>
          </w:p>
        </w:tc>
        <w:tc>
          <w:tcPr>
            <w:tcW w:w="1640" w:type="dxa"/>
            <w:vAlign w:val="bottom"/>
            <w:gridSpan w:val="2"/>
          </w:tcPr>
          <w:p>
            <w:pPr>
              <w:ind w:left="1140"/>
              <w:spacing w:after="0"/>
              <w:rPr>
                <w:sz w:val="20"/>
                <w:szCs w:val="20"/>
                <w:color w:val="auto"/>
              </w:rPr>
            </w:pPr>
            <w:r>
              <w:rPr>
                <w:rFonts w:ascii="Arial" w:cs="Arial" w:eastAsia="Arial" w:hAnsi="Arial"/>
                <w:sz w:val="15"/>
                <w:szCs w:val="15"/>
                <w:b w:val="1"/>
                <w:bCs w:val="1"/>
                <w:color w:val="auto"/>
              </w:rPr>
              <w:t>0.96</w:t>
            </w:r>
          </w:p>
        </w:tc>
        <w:tc>
          <w:tcPr>
            <w:tcW w:w="1940" w:type="dxa"/>
            <w:vAlign w:val="bottom"/>
            <w:gridSpan w:val="2"/>
          </w:tcPr>
          <w:p>
            <w:pPr>
              <w:jc w:val="right"/>
              <w:ind w:right="131"/>
              <w:spacing w:after="0"/>
              <w:rPr>
                <w:sz w:val="20"/>
                <w:szCs w:val="20"/>
                <w:color w:val="auto"/>
              </w:rPr>
            </w:pPr>
            <w:r>
              <w:rPr>
                <w:rFonts w:ascii="Arial" w:cs="Arial" w:eastAsia="Arial" w:hAnsi="Arial"/>
                <w:sz w:val="15"/>
                <w:szCs w:val="15"/>
                <w:color w:val="auto"/>
              </w:rPr>
              <w:t>5</w:t>
            </w:r>
          </w:p>
        </w:tc>
        <w:tc>
          <w:tcPr>
            <w:tcW w:w="1640" w:type="dxa"/>
            <w:vAlign w:val="bottom"/>
            <w:gridSpan w:val="2"/>
          </w:tcPr>
          <w:p>
            <w:pPr>
              <w:ind w:left="1140"/>
              <w:spacing w:after="0"/>
              <w:rPr>
                <w:sz w:val="20"/>
                <w:szCs w:val="20"/>
                <w:color w:val="auto"/>
              </w:rPr>
            </w:pPr>
            <w:r>
              <w:rPr>
                <w:rFonts w:ascii="Arial" w:cs="Arial" w:eastAsia="Arial" w:hAnsi="Arial"/>
                <w:sz w:val="15"/>
                <w:szCs w:val="15"/>
                <w:color w:val="auto"/>
              </w:rPr>
              <w:t>1.12</w:t>
            </w:r>
          </w:p>
        </w:tc>
        <w:tc>
          <w:tcPr>
            <w:tcW w:w="0" w:type="dxa"/>
            <w:vAlign w:val="bottom"/>
          </w:tcPr>
          <w:p>
            <w:pPr>
              <w:spacing w:after="0"/>
              <w:rPr>
                <w:sz w:val="1"/>
                <w:szCs w:val="1"/>
                <w:color w:val="auto"/>
              </w:rPr>
            </w:pPr>
          </w:p>
        </w:tc>
      </w:tr>
      <w:tr>
        <w:trPr>
          <w:trHeight w:val="232"/>
        </w:trPr>
        <w:tc>
          <w:tcPr>
            <w:tcW w:w="4160" w:type="dxa"/>
            <w:vAlign w:val="bottom"/>
          </w:tcPr>
          <w:p>
            <w:pPr>
              <w:ind w:left="160"/>
              <w:spacing w:after="0"/>
              <w:rPr>
                <w:sz w:val="20"/>
                <w:szCs w:val="20"/>
                <w:color w:val="auto"/>
              </w:rPr>
            </w:pPr>
            <w:r>
              <w:rPr>
                <w:rFonts w:ascii="Arial" w:cs="Arial" w:eastAsia="Arial" w:hAnsi="Arial"/>
                <w:sz w:val="15"/>
                <w:szCs w:val="15"/>
                <w:color w:val="auto"/>
              </w:rPr>
              <w:t>All other states</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64</w:t>
            </w:r>
          </w:p>
        </w:tc>
        <w:tc>
          <w:tcPr>
            <w:tcW w:w="1640" w:type="dxa"/>
            <w:vAlign w:val="bottom"/>
            <w:gridSpan w:val="2"/>
          </w:tcPr>
          <w:p>
            <w:pPr>
              <w:ind w:left="1140"/>
              <w:spacing w:after="0"/>
              <w:rPr>
                <w:sz w:val="20"/>
                <w:szCs w:val="20"/>
                <w:color w:val="auto"/>
              </w:rPr>
            </w:pPr>
            <w:r>
              <w:rPr>
                <w:rFonts w:ascii="Arial" w:cs="Arial" w:eastAsia="Arial" w:hAnsi="Arial"/>
                <w:sz w:val="15"/>
                <w:szCs w:val="15"/>
                <w:b w:val="1"/>
                <w:bCs w:val="1"/>
                <w:color w:val="auto"/>
              </w:rPr>
              <w:t>0.52</w:t>
            </w:r>
          </w:p>
        </w:tc>
        <w:tc>
          <w:tcPr>
            <w:tcW w:w="1940" w:type="dxa"/>
            <w:vAlign w:val="bottom"/>
            <w:gridSpan w:val="2"/>
          </w:tcPr>
          <w:p>
            <w:pPr>
              <w:jc w:val="right"/>
              <w:ind w:right="131"/>
              <w:spacing w:after="0"/>
              <w:rPr>
                <w:sz w:val="20"/>
                <w:szCs w:val="20"/>
                <w:color w:val="auto"/>
              </w:rPr>
            </w:pPr>
            <w:r>
              <w:rPr>
                <w:rFonts w:ascii="Arial" w:cs="Arial" w:eastAsia="Arial" w:hAnsi="Arial"/>
                <w:sz w:val="15"/>
                <w:szCs w:val="15"/>
                <w:color w:val="auto"/>
              </w:rPr>
              <w:t>64</w:t>
            </w:r>
          </w:p>
        </w:tc>
        <w:tc>
          <w:tcPr>
            <w:tcW w:w="1640" w:type="dxa"/>
            <w:vAlign w:val="bottom"/>
            <w:gridSpan w:val="2"/>
          </w:tcPr>
          <w:p>
            <w:pPr>
              <w:ind w:left="1140"/>
              <w:spacing w:after="0"/>
              <w:rPr>
                <w:sz w:val="20"/>
                <w:szCs w:val="20"/>
                <w:color w:val="auto"/>
              </w:rPr>
            </w:pPr>
            <w:r>
              <w:rPr>
                <w:rFonts w:ascii="Arial" w:cs="Arial" w:eastAsia="Arial" w:hAnsi="Arial"/>
                <w:sz w:val="15"/>
                <w:szCs w:val="15"/>
                <w:color w:val="auto"/>
              </w:rPr>
              <w:t>0.62</w:t>
            </w:r>
          </w:p>
        </w:tc>
        <w:tc>
          <w:tcPr>
            <w:tcW w:w="0" w:type="dxa"/>
            <w:vAlign w:val="bottom"/>
          </w:tcPr>
          <w:p>
            <w:pPr>
              <w:spacing w:after="0"/>
              <w:rPr>
                <w:sz w:val="1"/>
                <w:szCs w:val="1"/>
                <w:color w:val="auto"/>
              </w:rPr>
            </w:pPr>
          </w:p>
        </w:tc>
      </w:tr>
      <w:tr>
        <w:trPr>
          <w:trHeight w:val="219"/>
        </w:trPr>
        <w:tc>
          <w:tcPr>
            <w:tcW w:w="4160" w:type="dxa"/>
            <w:vAlign w:val="bottom"/>
          </w:tcPr>
          <w:p>
            <w:pPr>
              <w:spacing w:after="0"/>
              <w:rPr>
                <w:sz w:val="20"/>
                <w:szCs w:val="20"/>
                <w:color w:val="auto"/>
              </w:rPr>
            </w:pPr>
            <w:r>
              <w:rPr>
                <w:rFonts w:ascii="Arial" w:cs="Arial" w:eastAsia="Arial" w:hAnsi="Arial"/>
                <w:sz w:val="15"/>
                <w:szCs w:val="15"/>
                <w:b w:val="1"/>
                <w:bCs w:val="1"/>
                <w:color w:val="auto"/>
              </w:rPr>
              <w:t>Vintages:</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160" w:type="dxa"/>
            <w:vAlign w:val="bottom"/>
          </w:tcPr>
          <w:p>
            <w:pPr>
              <w:ind w:left="160"/>
              <w:spacing w:after="0"/>
              <w:rPr>
                <w:sz w:val="20"/>
                <w:szCs w:val="20"/>
                <w:color w:val="auto"/>
              </w:rPr>
            </w:pPr>
            <w:r>
              <w:rPr>
                <w:rFonts w:ascii="Arial" w:cs="Arial" w:eastAsia="Arial" w:hAnsi="Arial"/>
                <w:sz w:val="15"/>
                <w:szCs w:val="15"/>
                <w:color w:val="auto"/>
              </w:rPr>
              <w:t>2008 and prior</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2</w:t>
            </w:r>
          </w:p>
        </w:tc>
        <w:tc>
          <w:tcPr>
            <w:tcW w:w="1640" w:type="dxa"/>
            <w:vAlign w:val="bottom"/>
            <w:gridSpan w:val="2"/>
          </w:tcPr>
          <w:p>
            <w:pPr>
              <w:ind w:left="1140"/>
              <w:spacing w:after="0"/>
              <w:rPr>
                <w:sz w:val="20"/>
                <w:szCs w:val="20"/>
                <w:color w:val="auto"/>
              </w:rPr>
            </w:pPr>
            <w:r>
              <w:rPr>
                <w:rFonts w:ascii="Arial" w:cs="Arial" w:eastAsia="Arial" w:hAnsi="Arial"/>
                <w:sz w:val="15"/>
                <w:szCs w:val="15"/>
                <w:b w:val="1"/>
                <w:bCs w:val="1"/>
                <w:color w:val="auto"/>
              </w:rPr>
              <w:t>2.62</w:t>
            </w:r>
          </w:p>
        </w:tc>
        <w:tc>
          <w:tcPr>
            <w:tcW w:w="1940" w:type="dxa"/>
            <w:vAlign w:val="bottom"/>
            <w:gridSpan w:val="2"/>
          </w:tcPr>
          <w:p>
            <w:pPr>
              <w:jc w:val="right"/>
              <w:ind w:right="131"/>
              <w:spacing w:after="0"/>
              <w:rPr>
                <w:sz w:val="20"/>
                <w:szCs w:val="20"/>
                <w:color w:val="auto"/>
              </w:rPr>
            </w:pPr>
            <w:r>
              <w:rPr>
                <w:rFonts w:ascii="Arial" w:cs="Arial" w:eastAsia="Arial" w:hAnsi="Arial"/>
                <w:sz w:val="15"/>
                <w:szCs w:val="15"/>
                <w:color w:val="auto"/>
              </w:rPr>
              <w:t>2</w:t>
            </w:r>
          </w:p>
        </w:tc>
        <w:tc>
          <w:tcPr>
            <w:tcW w:w="1640" w:type="dxa"/>
            <w:vAlign w:val="bottom"/>
            <w:gridSpan w:val="2"/>
          </w:tcPr>
          <w:p>
            <w:pPr>
              <w:ind w:left="1140"/>
              <w:spacing w:after="0"/>
              <w:rPr>
                <w:sz w:val="20"/>
                <w:szCs w:val="20"/>
                <w:color w:val="auto"/>
              </w:rPr>
            </w:pPr>
            <w:r>
              <w:rPr>
                <w:rFonts w:ascii="Arial" w:cs="Arial" w:eastAsia="Arial" w:hAnsi="Arial"/>
                <w:sz w:val="15"/>
                <w:szCs w:val="15"/>
                <w:color w:val="auto"/>
              </w:rPr>
              <w:t>2.78</w:t>
            </w:r>
          </w:p>
        </w:tc>
        <w:tc>
          <w:tcPr>
            <w:tcW w:w="0" w:type="dxa"/>
            <w:vAlign w:val="bottom"/>
          </w:tcPr>
          <w:p>
            <w:pPr>
              <w:spacing w:after="0"/>
              <w:rPr>
                <w:sz w:val="1"/>
                <w:szCs w:val="1"/>
                <w:color w:val="auto"/>
              </w:rPr>
            </w:pPr>
          </w:p>
        </w:tc>
      </w:tr>
      <w:tr>
        <w:trPr>
          <w:trHeight w:val="216"/>
        </w:trPr>
        <w:tc>
          <w:tcPr>
            <w:tcW w:w="4160" w:type="dxa"/>
            <w:vAlign w:val="bottom"/>
          </w:tcPr>
          <w:p>
            <w:pPr>
              <w:ind w:left="160"/>
              <w:spacing w:after="0"/>
              <w:rPr>
                <w:sz w:val="20"/>
                <w:szCs w:val="20"/>
                <w:color w:val="auto"/>
              </w:rPr>
            </w:pPr>
            <w:r>
              <w:rPr>
                <w:rFonts w:ascii="Arial" w:cs="Arial" w:eastAsia="Arial" w:hAnsi="Arial"/>
                <w:sz w:val="15"/>
                <w:szCs w:val="15"/>
                <w:color w:val="auto"/>
              </w:rPr>
              <w:t>2009-2023</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98</w:t>
            </w:r>
          </w:p>
        </w:tc>
        <w:tc>
          <w:tcPr>
            <w:tcW w:w="1640" w:type="dxa"/>
            <w:vAlign w:val="bottom"/>
            <w:gridSpan w:val="2"/>
          </w:tcPr>
          <w:p>
            <w:pPr>
              <w:ind w:left="1140"/>
              <w:spacing w:after="0"/>
              <w:rPr>
                <w:sz w:val="20"/>
                <w:szCs w:val="20"/>
                <w:color w:val="auto"/>
              </w:rPr>
            </w:pPr>
            <w:r>
              <w:rPr>
                <w:rFonts w:ascii="Arial" w:cs="Arial" w:eastAsia="Arial" w:hAnsi="Arial"/>
                <w:sz w:val="15"/>
                <w:szCs w:val="15"/>
                <w:b w:val="1"/>
                <w:bCs w:val="1"/>
                <w:color w:val="auto"/>
              </w:rPr>
              <w:t>0.45</w:t>
            </w:r>
          </w:p>
        </w:tc>
        <w:tc>
          <w:tcPr>
            <w:tcW w:w="1940" w:type="dxa"/>
            <w:vAlign w:val="bottom"/>
            <w:gridSpan w:val="2"/>
          </w:tcPr>
          <w:p>
            <w:pPr>
              <w:jc w:val="right"/>
              <w:ind w:right="131"/>
              <w:spacing w:after="0"/>
              <w:rPr>
                <w:sz w:val="20"/>
                <w:szCs w:val="20"/>
                <w:color w:val="auto"/>
              </w:rPr>
            </w:pPr>
            <w:r>
              <w:rPr>
                <w:rFonts w:ascii="Arial" w:cs="Arial" w:eastAsia="Arial" w:hAnsi="Arial"/>
                <w:sz w:val="15"/>
                <w:szCs w:val="15"/>
                <w:color w:val="auto"/>
              </w:rPr>
              <w:t>98</w:t>
            </w:r>
          </w:p>
        </w:tc>
        <w:tc>
          <w:tcPr>
            <w:tcW w:w="1640" w:type="dxa"/>
            <w:vAlign w:val="bottom"/>
            <w:gridSpan w:val="2"/>
          </w:tcPr>
          <w:p>
            <w:pPr>
              <w:ind w:left="1140"/>
              <w:spacing w:after="0"/>
              <w:rPr>
                <w:sz w:val="20"/>
                <w:szCs w:val="20"/>
                <w:color w:val="auto"/>
              </w:rPr>
            </w:pPr>
            <w:r>
              <w:rPr>
                <w:rFonts w:ascii="Arial" w:cs="Arial" w:eastAsia="Arial" w:hAnsi="Arial"/>
                <w:sz w:val="15"/>
                <w:szCs w:val="15"/>
                <w:color w:val="auto"/>
              </w:rPr>
              <w:t>0.53</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200" w:hanging="197"/>
        <w:spacing w:after="0"/>
        <w:tabs>
          <w:tab w:leader="none" w:pos="200" w:val="left"/>
        </w:tabs>
        <w:numPr>
          <w:ilvl w:val="0"/>
          <w:numId w:val="99"/>
        </w:numPr>
        <w:rPr>
          <w:rFonts w:ascii="Arial" w:cs="Arial" w:eastAsia="Arial" w:hAnsi="Arial"/>
          <w:sz w:val="14"/>
          <w:szCs w:val="14"/>
          <w:color w:val="auto"/>
        </w:rPr>
      </w:pPr>
      <w:r>
        <w:rPr>
          <w:rFonts w:ascii="Arial" w:cs="Arial" w:eastAsia="Arial" w:hAnsi="Arial"/>
          <w:sz w:val="14"/>
          <w:szCs w:val="14"/>
          <w:color w:val="auto"/>
        </w:rPr>
        <w:t>Represents less than 0.5% of single-family conventional guaranty book of business.</w:t>
      </w:r>
    </w:p>
    <w:p>
      <w:pPr>
        <w:spacing w:after="0" w:line="45" w:lineRule="exact"/>
        <w:rPr>
          <w:sz w:val="20"/>
          <w:szCs w:val="20"/>
          <w:color w:val="auto"/>
        </w:rPr>
      </w:pPr>
    </w:p>
    <w:p>
      <w:pPr>
        <w:ind w:left="240" w:hanging="237"/>
        <w:spacing w:after="0"/>
        <w:tabs>
          <w:tab w:leader="none" w:pos="240" w:val="left"/>
        </w:tabs>
        <w:numPr>
          <w:ilvl w:val="0"/>
          <w:numId w:val="100"/>
        </w:numPr>
        <w:rPr>
          <w:rFonts w:ascii="Arial" w:cs="Arial" w:eastAsia="Arial" w:hAnsi="Arial"/>
          <w:sz w:val="9"/>
          <w:szCs w:val="9"/>
          <w:color w:val="auto"/>
        </w:rPr>
      </w:pPr>
      <w:r>
        <w:rPr>
          <w:rFonts w:ascii="Arial" w:cs="Arial" w:eastAsia="Arial" w:hAnsi="Arial"/>
          <w:sz w:val="14"/>
          <w:szCs w:val="14"/>
          <w:color w:val="auto"/>
        </w:rPr>
        <w:t>Based on loan count, consists of single-family conventional loans that were 90 days or more past due or in the foreclosure process as of June 30, 2023 or December 31, 2022.</w:t>
      </w:r>
    </w:p>
    <w:p>
      <w:pPr>
        <w:spacing w:after="0" w:line="107" w:lineRule="exact"/>
        <w:rPr>
          <w:sz w:val="20"/>
          <w:szCs w:val="20"/>
          <w:color w:val="auto"/>
        </w:rPr>
      </w:pPr>
    </w:p>
    <w:p>
      <w:pPr>
        <w:spacing w:after="0"/>
        <w:rPr>
          <w:sz w:val="20"/>
          <w:szCs w:val="20"/>
          <w:color w:val="auto"/>
        </w:rPr>
      </w:pPr>
      <w:r>
        <w:rPr>
          <w:rFonts w:ascii="Arial" w:cs="Arial" w:eastAsia="Arial" w:hAnsi="Arial"/>
          <w:sz w:val="21"/>
          <w:szCs w:val="21"/>
          <w:i w:val="1"/>
          <w:iCs w:val="1"/>
          <w:color w:val="05314D"/>
        </w:rPr>
        <w:t>Multifamily Credit Risk Characteristics</w:t>
      </w:r>
    </w:p>
    <w:p>
      <w:pPr>
        <w:spacing w:after="0" w:line="71" w:lineRule="exact"/>
        <w:rPr>
          <w:sz w:val="20"/>
          <w:szCs w:val="20"/>
          <w:color w:val="auto"/>
        </w:rPr>
      </w:pPr>
    </w:p>
    <w:p>
      <w:pPr>
        <w:jc w:val="both"/>
        <w:ind w:right="40"/>
        <w:spacing w:after="0" w:line="263" w:lineRule="auto"/>
        <w:rPr>
          <w:sz w:val="20"/>
          <w:szCs w:val="20"/>
          <w:color w:val="auto"/>
        </w:rPr>
      </w:pPr>
      <w:r>
        <w:rPr>
          <w:rFonts w:ascii="Arial" w:cs="Arial" w:eastAsia="Arial" w:hAnsi="Arial"/>
          <w:sz w:val="16"/>
          <w:szCs w:val="16"/>
          <w:color w:val="auto"/>
        </w:rPr>
        <w:t>For multifamily loans, management monitors the serious delinquency rate, which is the percentage of multifamily loans, based on unpaid principal balance, that are 60 days or more past due, and loans with other higher risk characteristics to determine the overall credit quality of our multifamily book of business. Higher risk characteristics include, but are not limited to, current debt service coverage ratio (“DSCR”) below 1.0 and original LTV ratios greater than 80%.</w:t>
      </w:r>
    </w:p>
    <w:p>
      <w:pPr>
        <w:spacing w:after="0"/>
        <w:rPr>
          <w:sz w:val="20"/>
          <w:szCs w:val="20"/>
          <w:color w:val="auto"/>
        </w:rPr>
      </w:pPr>
      <w:r>
        <w:rPr>
          <w:rFonts w:ascii="Arial" w:cs="Arial" w:eastAsia="Arial" w:hAnsi="Arial"/>
          <w:sz w:val="16"/>
          <w:szCs w:val="16"/>
          <w:color w:val="auto"/>
        </w:rPr>
        <w:t>We stratify multifamily loans into different internal risk categories based on the credit risk inherent in each individual loan.</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display the delinquency status and serious delinquency rates for specified loan categories of our multifamily guaranty book of business.</w:t>
      </w:r>
    </w:p>
    <w:p>
      <w:pPr>
        <w:sectPr>
          <w:pgSz w:w="11900" w:h="16838" w:orient="portrait"/>
          <w:cols w:equalWidth="0" w:num="1">
            <w:col w:w="11240"/>
          </w:cols>
          <w:pgMar w:left="320" w:top="2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5"/>
          <w:szCs w:val="15"/>
          <w:color w:val="auto"/>
        </w:rPr>
        <w:t>Percentage of multifamily guaranty book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Original LTV ratio:</w:t>
      </w:r>
    </w:p>
    <w:p>
      <w:pPr>
        <w:spacing w:after="0" w:line="6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Greater than 80%</w:t>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Less than or equal to 80%</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Current DSCR below 1.0</w:t>
      </w:r>
      <w:r>
        <w:rPr>
          <w:rFonts w:ascii="Arial" w:cs="Arial" w:eastAsia="Arial" w:hAnsi="Arial"/>
          <w:sz w:val="20"/>
          <w:szCs w:val="20"/>
          <w:b w:val="1"/>
          <w:bCs w:val="1"/>
          <w:color w:val="auto"/>
          <w:vertAlign w:val="superscript"/>
        </w:rPr>
        <w:t>(4)</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3120"/>
        <w:spacing w:after="0"/>
        <w:rPr>
          <w:sz w:val="20"/>
          <w:szCs w:val="20"/>
          <w:color w:val="auto"/>
        </w:rPr>
      </w:pPr>
      <w:r>
        <w:rPr>
          <w:rFonts w:ascii="Arial" w:cs="Arial" w:eastAsia="Arial" w:hAnsi="Arial"/>
          <w:sz w:val="14"/>
          <w:szCs w:val="14"/>
          <w:b w:val="1"/>
          <w:bCs w:val="1"/>
          <w:color w:val="auto"/>
        </w:rPr>
        <w:t>As of</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3220" w:type="dxa"/>
            <w:vAlign w:val="bottom"/>
            <w:tcBorders>
              <w:top w:val="single" w:sz="8" w:color="2C6937"/>
              <w:bottom w:val="single" w:sz="8" w:color="2C6937"/>
            </w:tcBorders>
            <w:gridSpan w:val="3"/>
          </w:tcPr>
          <w:p>
            <w:pPr>
              <w:jc w:val="center"/>
              <w:spacing w:after="0"/>
              <w:rPr>
                <w:sz w:val="20"/>
                <w:szCs w:val="20"/>
                <w:color w:val="auto"/>
              </w:rPr>
            </w:pPr>
            <w:r>
              <w:rPr>
                <w:rFonts w:ascii="Arial" w:cs="Arial" w:eastAsia="Arial" w:hAnsi="Arial"/>
                <w:sz w:val="14"/>
                <w:szCs w:val="14"/>
                <w:b w:val="1"/>
                <w:bCs w:val="1"/>
                <w:color w:val="auto"/>
                <w:w w:val="97"/>
              </w:rPr>
              <w:t>June 30, 2023</w:t>
            </w:r>
            <w:r>
              <w:rPr>
                <w:rFonts w:ascii="Arial" w:cs="Arial" w:eastAsia="Arial" w:hAnsi="Arial"/>
                <w:sz w:val="17"/>
                <w:szCs w:val="17"/>
                <w:b w:val="1"/>
                <w:bCs w:val="1"/>
                <w:color w:val="auto"/>
                <w:w w:val="97"/>
                <w:vertAlign w:val="superscript"/>
              </w:rPr>
              <w:t>(1)</w:t>
            </w:r>
          </w:p>
        </w:tc>
        <w:tc>
          <w:tcPr>
            <w:tcW w:w="100" w:type="dxa"/>
            <w:vAlign w:val="bottom"/>
            <w:tcBorders>
              <w:top w:val="single" w:sz="8" w:color="2C6937"/>
            </w:tcBorders>
          </w:tcPr>
          <w:p>
            <w:pPr>
              <w:spacing w:after="0"/>
              <w:rPr>
                <w:sz w:val="17"/>
                <w:szCs w:val="17"/>
                <w:color w:val="auto"/>
              </w:rPr>
            </w:pPr>
          </w:p>
        </w:tc>
        <w:tc>
          <w:tcPr>
            <w:tcW w:w="3240" w:type="dxa"/>
            <w:vAlign w:val="bottom"/>
            <w:tcBorders>
              <w:top w:val="single" w:sz="8" w:color="2C6937"/>
              <w:bottom w:val="single" w:sz="8" w:color="2C6937"/>
            </w:tcBorders>
            <w:gridSpan w:val="3"/>
          </w:tcPr>
          <w:p>
            <w:pPr>
              <w:jc w:val="center"/>
              <w:spacing w:after="0"/>
              <w:rPr>
                <w:sz w:val="20"/>
                <w:szCs w:val="20"/>
                <w:color w:val="auto"/>
              </w:rPr>
            </w:pPr>
            <w:r>
              <w:rPr>
                <w:rFonts w:ascii="Arial" w:cs="Arial" w:eastAsia="Arial" w:hAnsi="Arial"/>
                <w:sz w:val="14"/>
                <w:szCs w:val="14"/>
                <w:b w:val="1"/>
                <w:bCs w:val="1"/>
                <w:color w:val="auto"/>
                <w:w w:val="95"/>
              </w:rPr>
              <w:t>December 31, 2022</w:t>
            </w:r>
            <w:r>
              <w:rPr>
                <w:rFonts w:ascii="Arial" w:cs="Arial" w:eastAsia="Arial" w:hAnsi="Arial"/>
                <w:sz w:val="17"/>
                <w:szCs w:val="17"/>
                <w:b w:val="1"/>
                <w:bCs w:val="1"/>
                <w:color w:val="auto"/>
                <w:w w:val="95"/>
                <w:vertAlign w:val="superscript"/>
              </w:rPr>
              <w:t>(1)</w:t>
            </w:r>
          </w:p>
        </w:tc>
      </w:tr>
      <w:tr>
        <w:trPr>
          <w:trHeight w:val="212"/>
        </w:trPr>
        <w:tc>
          <w:tcPr>
            <w:tcW w:w="20" w:type="dxa"/>
            <w:vAlign w:val="bottom"/>
          </w:tcPr>
          <w:p>
            <w:pPr>
              <w:spacing w:after="0"/>
              <w:rPr>
                <w:sz w:val="18"/>
                <w:szCs w:val="18"/>
                <w:color w:val="auto"/>
              </w:rPr>
            </w:pPr>
          </w:p>
        </w:tc>
        <w:tc>
          <w:tcPr>
            <w:tcW w:w="15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7"/>
              </w:rPr>
              <w:t>30 Days Delinquent</w:t>
            </w:r>
          </w:p>
        </w:tc>
        <w:tc>
          <w:tcPr>
            <w:tcW w:w="120" w:type="dxa"/>
            <w:vAlign w:val="bottom"/>
          </w:tcPr>
          <w:p>
            <w:pPr>
              <w:spacing w:after="0"/>
              <w:rPr>
                <w:sz w:val="18"/>
                <w:szCs w:val="18"/>
                <w:color w:val="auto"/>
              </w:rPr>
            </w:pPr>
          </w:p>
        </w:tc>
        <w:tc>
          <w:tcPr>
            <w:tcW w:w="15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Seriously Delinquent</w:t>
            </w:r>
            <w:r>
              <w:rPr>
                <w:rFonts w:ascii="Arial" w:cs="Arial" w:eastAsia="Arial" w:hAnsi="Arial"/>
                <w:sz w:val="17"/>
                <w:szCs w:val="17"/>
                <w:b w:val="1"/>
                <w:bCs w:val="1"/>
                <w:color w:val="auto"/>
                <w:w w:val="96"/>
                <w:vertAlign w:val="superscript"/>
              </w:rPr>
              <w:t>(2)</w:t>
            </w:r>
          </w:p>
        </w:tc>
        <w:tc>
          <w:tcPr>
            <w:tcW w:w="100" w:type="dxa"/>
            <w:vAlign w:val="bottom"/>
          </w:tcPr>
          <w:p>
            <w:pPr>
              <w:spacing w:after="0"/>
              <w:rPr>
                <w:sz w:val="18"/>
                <w:szCs w:val="18"/>
                <w:color w:val="auto"/>
              </w:rPr>
            </w:pPr>
          </w:p>
        </w:tc>
        <w:tc>
          <w:tcPr>
            <w:tcW w:w="15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7"/>
              </w:rPr>
              <w:t>30 Days Delinquent</w:t>
            </w:r>
          </w:p>
        </w:tc>
        <w:tc>
          <w:tcPr>
            <w:tcW w:w="120" w:type="dxa"/>
            <w:vAlign w:val="bottom"/>
          </w:tcPr>
          <w:p>
            <w:pPr>
              <w:spacing w:after="0"/>
              <w:rPr>
                <w:sz w:val="18"/>
                <w:szCs w:val="18"/>
                <w:color w:val="auto"/>
              </w:rPr>
            </w:pPr>
          </w:p>
        </w:tc>
        <w:tc>
          <w:tcPr>
            <w:tcW w:w="15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Seriously Delinquent</w:t>
            </w:r>
            <w:r>
              <w:rPr>
                <w:rFonts w:ascii="Arial" w:cs="Arial" w:eastAsia="Arial" w:hAnsi="Arial"/>
                <w:sz w:val="17"/>
                <w:szCs w:val="17"/>
                <w:b w:val="1"/>
                <w:bCs w:val="1"/>
                <w:color w:val="auto"/>
                <w:w w:val="96"/>
                <w:vertAlign w:val="superscript"/>
              </w:rPr>
              <w:t>(2)</w:t>
            </w:r>
          </w:p>
        </w:tc>
      </w:tr>
      <w:tr>
        <w:trPr>
          <w:trHeight w:val="231"/>
        </w:trPr>
        <w:tc>
          <w:tcPr>
            <w:tcW w:w="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5"/>
                <w:szCs w:val="15"/>
                <w:b w:val="1"/>
                <w:bCs w:val="1"/>
                <w:color w:val="auto"/>
              </w:rPr>
              <w:t>0.13 %</w:t>
            </w:r>
          </w:p>
        </w:tc>
        <w:tc>
          <w:tcPr>
            <w:tcW w:w="1680" w:type="dxa"/>
            <w:vAlign w:val="bottom"/>
            <w:gridSpan w:val="2"/>
          </w:tcPr>
          <w:p>
            <w:pPr>
              <w:ind w:left="1180"/>
              <w:spacing w:after="0"/>
              <w:rPr>
                <w:sz w:val="20"/>
                <w:szCs w:val="20"/>
                <w:color w:val="auto"/>
              </w:rPr>
            </w:pPr>
            <w:r>
              <w:rPr>
                <w:rFonts w:ascii="Arial" w:cs="Arial" w:eastAsia="Arial" w:hAnsi="Arial"/>
                <w:sz w:val="15"/>
                <w:szCs w:val="15"/>
                <w:b w:val="1"/>
                <w:bCs w:val="1"/>
                <w:color w:val="auto"/>
              </w:rPr>
              <w:t>0.37 %</w:t>
            </w: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0.04 %</w:t>
            </w:r>
          </w:p>
        </w:tc>
        <w:tc>
          <w:tcPr>
            <w:tcW w:w="1680" w:type="dxa"/>
            <w:vAlign w:val="bottom"/>
            <w:gridSpan w:val="2"/>
          </w:tcPr>
          <w:p>
            <w:pPr>
              <w:ind w:left="1180"/>
              <w:spacing w:after="0"/>
              <w:rPr>
                <w:sz w:val="20"/>
                <w:szCs w:val="20"/>
                <w:color w:val="auto"/>
              </w:rPr>
            </w:pPr>
            <w:r>
              <w:rPr>
                <w:rFonts w:ascii="Arial" w:cs="Arial" w:eastAsia="Arial" w:hAnsi="Arial"/>
                <w:sz w:val="15"/>
                <w:szCs w:val="15"/>
                <w:color w:val="auto"/>
              </w:rPr>
              <w:t>0.24 %</w:t>
            </w:r>
          </w:p>
        </w:tc>
      </w:tr>
      <w:tr>
        <w:trPr>
          <w:trHeight w:val="386"/>
        </w:trPr>
        <w:tc>
          <w:tcPr>
            <w:tcW w:w="20" w:type="dxa"/>
            <w:vAlign w:val="bottom"/>
            <w:tcBorders>
              <w:bottom w:val="single" w:sz="8" w:color="2C6937"/>
            </w:tcBorders>
          </w:tcPr>
          <w:p>
            <w:pPr>
              <w:spacing w:after="0"/>
              <w:rPr>
                <w:sz w:val="24"/>
                <w:szCs w:val="24"/>
                <w:color w:val="auto"/>
              </w:rPr>
            </w:pPr>
          </w:p>
        </w:tc>
        <w:tc>
          <w:tcPr>
            <w:tcW w:w="154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3220" w:type="dxa"/>
            <w:vAlign w:val="bottom"/>
            <w:tcBorders>
              <w:bottom w:val="single" w:sz="8" w:color="2C6937"/>
            </w:tcBorders>
            <w:gridSpan w:val="3"/>
          </w:tcPr>
          <w:p>
            <w:pPr>
              <w:jc w:val="right"/>
              <w:ind w:right="1371"/>
              <w:spacing w:after="0"/>
              <w:rPr>
                <w:sz w:val="20"/>
                <w:szCs w:val="20"/>
                <w:color w:val="auto"/>
              </w:rPr>
            </w:pPr>
            <w:r>
              <w:rPr>
                <w:rFonts w:ascii="Arial" w:cs="Arial" w:eastAsia="Arial" w:hAnsi="Arial"/>
                <w:sz w:val="14"/>
                <w:szCs w:val="14"/>
                <w:b w:val="1"/>
                <w:bCs w:val="1"/>
                <w:color w:val="auto"/>
              </w:rPr>
              <w:t>As of</w:t>
            </w:r>
          </w:p>
        </w:tc>
        <w:tc>
          <w:tcPr>
            <w:tcW w:w="120" w:type="dxa"/>
            <w:vAlign w:val="bottom"/>
            <w:tcBorders>
              <w:bottom w:val="single" w:sz="8" w:color="2C6937"/>
            </w:tcBorders>
          </w:tcPr>
          <w:p>
            <w:pPr>
              <w:spacing w:after="0"/>
              <w:rPr>
                <w:sz w:val="24"/>
                <w:szCs w:val="24"/>
                <w:color w:val="auto"/>
              </w:rPr>
            </w:pPr>
          </w:p>
        </w:tc>
        <w:tc>
          <w:tcPr>
            <w:tcW w:w="1560" w:type="dxa"/>
            <w:vAlign w:val="bottom"/>
            <w:tcBorders>
              <w:bottom w:val="single" w:sz="8" w:color="2C6937"/>
            </w:tcBorders>
          </w:tcPr>
          <w:p>
            <w:pPr>
              <w:spacing w:after="0"/>
              <w:rPr>
                <w:sz w:val="24"/>
                <w:szCs w:val="24"/>
                <w:color w:val="auto"/>
              </w:rPr>
            </w:pPr>
          </w:p>
        </w:tc>
      </w:tr>
      <w:tr>
        <w:trPr>
          <w:trHeight w:val="193"/>
        </w:trPr>
        <w:tc>
          <w:tcPr>
            <w:tcW w:w="20" w:type="dxa"/>
            <w:vAlign w:val="bottom"/>
            <w:tcBorders>
              <w:bottom w:val="single" w:sz="8" w:color="2C6937"/>
            </w:tcBorders>
          </w:tcPr>
          <w:p>
            <w:pPr>
              <w:spacing w:after="0"/>
              <w:rPr>
                <w:sz w:val="16"/>
                <w:szCs w:val="16"/>
                <w:color w:val="auto"/>
              </w:rPr>
            </w:pPr>
          </w:p>
        </w:tc>
        <w:tc>
          <w:tcPr>
            <w:tcW w:w="3220" w:type="dxa"/>
            <w:vAlign w:val="bottom"/>
            <w:tcBorders>
              <w:bottom w:val="single" w:sz="8" w:color="2C6937"/>
            </w:tcBorders>
            <w:gridSpan w:val="3"/>
          </w:tcPr>
          <w:p>
            <w:pPr>
              <w:jc w:val="center"/>
              <w:spacing w:after="0"/>
              <w:rPr>
                <w:sz w:val="20"/>
                <w:szCs w:val="20"/>
                <w:color w:val="auto"/>
              </w:rPr>
            </w:pPr>
            <w:r>
              <w:rPr>
                <w:rFonts w:ascii="Arial" w:cs="Arial" w:eastAsia="Arial" w:hAnsi="Arial"/>
                <w:sz w:val="14"/>
                <w:szCs w:val="14"/>
                <w:b w:val="1"/>
                <w:bCs w:val="1"/>
                <w:color w:val="auto"/>
                <w:w w:val="98"/>
              </w:rPr>
              <w:t>June 30, 2023</w:t>
            </w:r>
          </w:p>
        </w:tc>
        <w:tc>
          <w:tcPr>
            <w:tcW w:w="100" w:type="dxa"/>
            <w:vAlign w:val="bottom"/>
          </w:tcPr>
          <w:p>
            <w:pPr>
              <w:spacing w:after="0"/>
              <w:rPr>
                <w:sz w:val="16"/>
                <w:szCs w:val="16"/>
                <w:color w:val="auto"/>
              </w:rPr>
            </w:pPr>
          </w:p>
        </w:tc>
        <w:tc>
          <w:tcPr>
            <w:tcW w:w="3240" w:type="dxa"/>
            <w:vAlign w:val="bottom"/>
            <w:tcBorders>
              <w:bottom w:val="single" w:sz="8" w:color="2C6937"/>
            </w:tcBorders>
            <w:gridSpan w:val="3"/>
          </w:tcPr>
          <w:p>
            <w:pPr>
              <w:jc w:val="center"/>
              <w:spacing w:after="0"/>
              <w:rPr>
                <w:sz w:val="20"/>
                <w:szCs w:val="20"/>
                <w:color w:val="auto"/>
              </w:rPr>
            </w:pPr>
            <w:r>
              <w:rPr>
                <w:rFonts w:ascii="Arial" w:cs="Arial" w:eastAsia="Arial" w:hAnsi="Arial"/>
                <w:sz w:val="14"/>
                <w:szCs w:val="14"/>
                <w:b w:val="1"/>
                <w:bCs w:val="1"/>
                <w:color w:val="auto"/>
                <w:w w:val="98"/>
              </w:rPr>
              <w:t>December 31, 2022</w:t>
            </w:r>
          </w:p>
        </w:tc>
      </w:tr>
      <w:tr>
        <w:trPr>
          <w:trHeight w:val="163"/>
        </w:trPr>
        <w:tc>
          <w:tcPr>
            <w:tcW w:w="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7"/>
              </w:rPr>
              <w:t>Percentage of</w:t>
            </w: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7"/>
              </w:rPr>
              <w:t>Percentage of</w:t>
            </w: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8"/>
              </w:rPr>
              <w:t>Multifamily Guaranty</w:t>
            </w: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8"/>
              </w:rPr>
              <w:t>Serious Delinquency</w:t>
            </w: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Multifamily Guaranty</w:t>
            </w: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8"/>
              </w:rPr>
              <w:t>Serious Delinquency</w:t>
            </w:r>
          </w:p>
        </w:tc>
      </w:tr>
      <w:tr>
        <w:trPr>
          <w:trHeight w:val="205"/>
        </w:trPr>
        <w:tc>
          <w:tcPr>
            <w:tcW w:w="20" w:type="dxa"/>
            <w:vAlign w:val="bottom"/>
            <w:tcBorders>
              <w:bottom w:val="single" w:sz="8" w:color="2C6937"/>
            </w:tcBorders>
          </w:tcPr>
          <w:p>
            <w:pPr>
              <w:spacing w:after="0"/>
              <w:rPr>
                <w:sz w:val="17"/>
                <w:szCs w:val="17"/>
                <w:color w:val="auto"/>
              </w:rPr>
            </w:pPr>
          </w:p>
        </w:tc>
        <w:tc>
          <w:tcPr>
            <w:tcW w:w="15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8"/>
              </w:rPr>
              <w:t>Book of Business</w:t>
            </w:r>
            <w:r>
              <w:rPr>
                <w:rFonts w:ascii="Arial" w:cs="Arial" w:eastAsia="Arial" w:hAnsi="Arial"/>
                <w:sz w:val="8"/>
                <w:szCs w:val="8"/>
                <w:b w:val="1"/>
                <w:bCs w:val="1"/>
                <w:color w:val="auto"/>
                <w:w w:val="98"/>
              </w:rPr>
              <w:t>(1)</w:t>
            </w:r>
          </w:p>
        </w:tc>
        <w:tc>
          <w:tcPr>
            <w:tcW w:w="120" w:type="dxa"/>
            <w:vAlign w:val="bottom"/>
          </w:tcPr>
          <w:p>
            <w:pPr>
              <w:spacing w:after="0"/>
              <w:rPr>
                <w:sz w:val="17"/>
                <w:szCs w:val="17"/>
                <w:color w:val="auto"/>
              </w:rPr>
            </w:pPr>
          </w:p>
        </w:tc>
        <w:tc>
          <w:tcPr>
            <w:tcW w:w="1560" w:type="dxa"/>
            <w:vAlign w:val="bottom"/>
            <w:tcBorders>
              <w:bottom w:val="single" w:sz="8" w:color="2C6937"/>
            </w:tcBorders>
          </w:tcPr>
          <w:p>
            <w:pPr>
              <w:jc w:val="center"/>
              <w:spacing w:after="0" w:line="204" w:lineRule="exact"/>
              <w:rPr>
                <w:sz w:val="20"/>
                <w:szCs w:val="20"/>
                <w:color w:val="auto"/>
              </w:rPr>
            </w:pPr>
            <w:r>
              <w:rPr>
                <w:rFonts w:ascii="Arial" w:cs="Arial" w:eastAsia="Arial" w:hAnsi="Arial"/>
                <w:sz w:val="23"/>
                <w:szCs w:val="23"/>
                <w:b w:val="1"/>
                <w:bCs w:val="1"/>
                <w:color w:val="auto"/>
                <w:w w:val="98"/>
                <w:vertAlign w:val="subscript"/>
              </w:rPr>
              <w:t>Rate</w:t>
            </w:r>
            <w:r>
              <w:rPr>
                <w:rFonts w:ascii="Arial" w:cs="Arial" w:eastAsia="Arial" w:hAnsi="Arial"/>
                <w:sz w:val="8"/>
                <w:szCs w:val="8"/>
                <w:b w:val="1"/>
                <w:bCs w:val="1"/>
                <w:color w:val="auto"/>
                <w:w w:val="98"/>
              </w:rPr>
              <w:t>(2)(3)</w:t>
            </w:r>
          </w:p>
        </w:tc>
        <w:tc>
          <w:tcPr>
            <w:tcW w:w="100" w:type="dxa"/>
            <w:vAlign w:val="bottom"/>
          </w:tcPr>
          <w:p>
            <w:pPr>
              <w:spacing w:after="0"/>
              <w:rPr>
                <w:sz w:val="17"/>
                <w:szCs w:val="17"/>
                <w:color w:val="auto"/>
              </w:rPr>
            </w:pPr>
          </w:p>
        </w:tc>
        <w:tc>
          <w:tcPr>
            <w:tcW w:w="15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8"/>
              </w:rPr>
              <w:t>Book of Business</w:t>
            </w:r>
            <w:r>
              <w:rPr>
                <w:rFonts w:ascii="Arial" w:cs="Arial" w:eastAsia="Arial" w:hAnsi="Arial"/>
                <w:sz w:val="8"/>
                <w:szCs w:val="8"/>
                <w:b w:val="1"/>
                <w:bCs w:val="1"/>
                <w:color w:val="auto"/>
                <w:w w:val="98"/>
              </w:rPr>
              <w:t>(1)</w:t>
            </w:r>
          </w:p>
        </w:tc>
        <w:tc>
          <w:tcPr>
            <w:tcW w:w="120" w:type="dxa"/>
            <w:vAlign w:val="bottom"/>
          </w:tcPr>
          <w:p>
            <w:pPr>
              <w:spacing w:after="0"/>
              <w:rPr>
                <w:sz w:val="17"/>
                <w:szCs w:val="17"/>
                <w:color w:val="auto"/>
              </w:rPr>
            </w:pPr>
          </w:p>
        </w:tc>
        <w:tc>
          <w:tcPr>
            <w:tcW w:w="1560" w:type="dxa"/>
            <w:vAlign w:val="bottom"/>
            <w:tcBorders>
              <w:bottom w:val="single" w:sz="8" w:color="2C6937"/>
            </w:tcBorders>
          </w:tcPr>
          <w:p>
            <w:pPr>
              <w:jc w:val="center"/>
              <w:spacing w:after="0" w:line="204" w:lineRule="exact"/>
              <w:rPr>
                <w:sz w:val="20"/>
                <w:szCs w:val="20"/>
                <w:color w:val="auto"/>
              </w:rPr>
            </w:pPr>
            <w:r>
              <w:rPr>
                <w:rFonts w:ascii="Arial" w:cs="Arial" w:eastAsia="Arial" w:hAnsi="Arial"/>
                <w:sz w:val="23"/>
                <w:szCs w:val="23"/>
                <w:b w:val="1"/>
                <w:bCs w:val="1"/>
                <w:color w:val="auto"/>
                <w:w w:val="98"/>
                <w:vertAlign w:val="subscript"/>
              </w:rPr>
              <w:t>Rate</w:t>
            </w:r>
            <w:r>
              <w:rPr>
                <w:rFonts w:ascii="Arial" w:cs="Arial" w:eastAsia="Arial" w:hAnsi="Arial"/>
                <w:sz w:val="8"/>
                <w:szCs w:val="8"/>
                <w:b w:val="1"/>
                <w:bCs w:val="1"/>
                <w:color w:val="auto"/>
                <w:w w:val="98"/>
              </w:rPr>
              <w:t>(2)(3)</w:t>
            </w:r>
          </w:p>
        </w:tc>
      </w:tr>
      <w:tr>
        <w:trPr>
          <w:trHeight w:val="463"/>
        </w:trPr>
        <w:tc>
          <w:tcPr>
            <w:tcW w:w="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5"/>
                <w:szCs w:val="15"/>
                <w:b w:val="1"/>
                <w:bCs w:val="1"/>
                <w:color w:val="auto"/>
              </w:rPr>
              <w:t>1 %</w:t>
            </w:r>
          </w:p>
        </w:tc>
        <w:tc>
          <w:tcPr>
            <w:tcW w:w="1680" w:type="dxa"/>
            <w:vAlign w:val="bottom"/>
            <w:gridSpan w:val="2"/>
          </w:tcPr>
          <w:p>
            <w:pPr>
              <w:ind w:left="1180"/>
              <w:spacing w:after="0"/>
              <w:rPr>
                <w:sz w:val="20"/>
                <w:szCs w:val="20"/>
                <w:color w:val="auto"/>
              </w:rPr>
            </w:pPr>
            <w:r>
              <w:rPr>
                <w:rFonts w:ascii="Arial" w:cs="Arial" w:eastAsia="Arial" w:hAnsi="Arial"/>
                <w:sz w:val="15"/>
                <w:szCs w:val="15"/>
                <w:b w:val="1"/>
                <w:bCs w:val="1"/>
                <w:color w:val="auto"/>
              </w:rPr>
              <w:t>0.10 %</w:t>
            </w: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1 %</w:t>
            </w:r>
          </w:p>
        </w:tc>
        <w:tc>
          <w:tcPr>
            <w:tcW w:w="1680" w:type="dxa"/>
            <w:vAlign w:val="bottom"/>
            <w:gridSpan w:val="2"/>
          </w:tcPr>
          <w:p>
            <w:pPr>
              <w:ind w:left="1180"/>
              <w:spacing w:after="0"/>
              <w:rPr>
                <w:sz w:val="20"/>
                <w:szCs w:val="20"/>
                <w:color w:val="auto"/>
              </w:rPr>
            </w:pPr>
            <w:r>
              <w:rPr>
                <w:rFonts w:ascii="Arial" w:cs="Arial" w:eastAsia="Arial" w:hAnsi="Arial"/>
                <w:sz w:val="15"/>
                <w:szCs w:val="15"/>
                <w:color w:val="auto"/>
              </w:rPr>
              <w:t>0.85 %</w:t>
            </w:r>
          </w:p>
        </w:tc>
      </w:tr>
      <w:tr>
        <w:trPr>
          <w:trHeight w:val="245"/>
        </w:trPr>
        <w:tc>
          <w:tcPr>
            <w:tcW w:w="20" w:type="dxa"/>
            <w:vAlign w:val="bottom"/>
          </w:tcPr>
          <w:p>
            <w:pPr>
              <w:spacing w:after="0"/>
              <w:rPr>
                <w:sz w:val="21"/>
                <w:szCs w:val="21"/>
                <w:color w:val="auto"/>
              </w:rPr>
            </w:pPr>
          </w:p>
        </w:tc>
        <w:tc>
          <w:tcPr>
            <w:tcW w:w="1540" w:type="dxa"/>
            <w:vAlign w:val="bottom"/>
          </w:tcPr>
          <w:p>
            <w:pPr>
              <w:jc w:val="right"/>
              <w:ind w:right="128"/>
              <w:spacing w:after="0"/>
              <w:rPr>
                <w:sz w:val="20"/>
                <w:szCs w:val="20"/>
                <w:color w:val="auto"/>
              </w:rPr>
            </w:pPr>
            <w:r>
              <w:rPr>
                <w:rFonts w:ascii="Arial" w:cs="Arial" w:eastAsia="Arial" w:hAnsi="Arial"/>
                <w:sz w:val="15"/>
                <w:szCs w:val="15"/>
                <w:b w:val="1"/>
                <w:bCs w:val="1"/>
                <w:color w:val="auto"/>
              </w:rPr>
              <w:t>99</w:t>
            </w:r>
          </w:p>
        </w:tc>
        <w:tc>
          <w:tcPr>
            <w:tcW w:w="1680" w:type="dxa"/>
            <w:vAlign w:val="bottom"/>
            <w:gridSpan w:val="2"/>
          </w:tcPr>
          <w:p>
            <w:pPr>
              <w:ind w:left="1180"/>
              <w:spacing w:after="0"/>
              <w:rPr>
                <w:sz w:val="20"/>
                <w:szCs w:val="20"/>
                <w:color w:val="auto"/>
              </w:rPr>
            </w:pPr>
            <w:r>
              <w:rPr>
                <w:rFonts w:ascii="Arial" w:cs="Arial" w:eastAsia="Arial" w:hAnsi="Arial"/>
                <w:sz w:val="15"/>
                <w:szCs w:val="15"/>
                <w:b w:val="1"/>
                <w:bCs w:val="1"/>
                <w:color w:val="auto"/>
              </w:rPr>
              <w:t>0.38</w:t>
            </w:r>
          </w:p>
        </w:tc>
        <w:tc>
          <w:tcPr>
            <w:tcW w:w="1660" w:type="dxa"/>
            <w:vAlign w:val="bottom"/>
            <w:gridSpan w:val="2"/>
          </w:tcPr>
          <w:p>
            <w:pPr>
              <w:jc w:val="right"/>
              <w:ind w:right="131"/>
              <w:spacing w:after="0"/>
              <w:rPr>
                <w:sz w:val="20"/>
                <w:szCs w:val="20"/>
                <w:color w:val="auto"/>
              </w:rPr>
            </w:pPr>
            <w:r>
              <w:rPr>
                <w:rFonts w:ascii="Arial" w:cs="Arial" w:eastAsia="Arial" w:hAnsi="Arial"/>
                <w:sz w:val="15"/>
                <w:szCs w:val="15"/>
                <w:color w:val="auto"/>
              </w:rPr>
              <w:t>99</w:t>
            </w:r>
          </w:p>
        </w:tc>
        <w:tc>
          <w:tcPr>
            <w:tcW w:w="1680" w:type="dxa"/>
            <w:vAlign w:val="bottom"/>
            <w:gridSpan w:val="2"/>
          </w:tcPr>
          <w:p>
            <w:pPr>
              <w:ind w:left="1180"/>
              <w:spacing w:after="0"/>
              <w:rPr>
                <w:sz w:val="20"/>
                <w:szCs w:val="20"/>
                <w:color w:val="auto"/>
              </w:rPr>
            </w:pPr>
            <w:r>
              <w:rPr>
                <w:rFonts w:ascii="Arial" w:cs="Arial" w:eastAsia="Arial" w:hAnsi="Arial"/>
                <w:sz w:val="15"/>
                <w:szCs w:val="15"/>
                <w:color w:val="auto"/>
              </w:rPr>
              <w:t>0.24</w:t>
            </w:r>
          </w:p>
        </w:tc>
      </w:tr>
      <w:tr>
        <w:trPr>
          <w:trHeight w:val="232"/>
        </w:trPr>
        <w:tc>
          <w:tcPr>
            <w:tcW w:w="20" w:type="dxa"/>
            <w:vAlign w:val="bottom"/>
          </w:tcPr>
          <w:p>
            <w:pPr>
              <w:spacing w:after="0"/>
              <w:rPr>
                <w:sz w:val="20"/>
                <w:szCs w:val="20"/>
                <w:color w:val="auto"/>
              </w:rPr>
            </w:pPr>
          </w:p>
        </w:tc>
        <w:tc>
          <w:tcPr>
            <w:tcW w:w="1540" w:type="dxa"/>
            <w:vAlign w:val="bottom"/>
          </w:tcPr>
          <w:p>
            <w:pPr>
              <w:jc w:val="right"/>
              <w:ind w:right="128"/>
              <w:spacing w:after="0"/>
              <w:rPr>
                <w:sz w:val="20"/>
                <w:szCs w:val="20"/>
                <w:color w:val="auto"/>
              </w:rPr>
            </w:pPr>
            <w:r>
              <w:rPr>
                <w:rFonts w:ascii="Arial" w:cs="Arial" w:eastAsia="Arial" w:hAnsi="Arial"/>
                <w:sz w:val="15"/>
                <w:szCs w:val="15"/>
                <w:b w:val="1"/>
                <w:bCs w:val="1"/>
                <w:color w:val="auto"/>
              </w:rPr>
              <w:t>3</w:t>
            </w:r>
          </w:p>
        </w:tc>
        <w:tc>
          <w:tcPr>
            <w:tcW w:w="1680" w:type="dxa"/>
            <w:vAlign w:val="bottom"/>
            <w:gridSpan w:val="2"/>
          </w:tcPr>
          <w:p>
            <w:pPr>
              <w:ind w:left="1180"/>
              <w:spacing w:after="0"/>
              <w:rPr>
                <w:sz w:val="20"/>
                <w:szCs w:val="20"/>
                <w:color w:val="auto"/>
              </w:rPr>
            </w:pPr>
            <w:r>
              <w:rPr>
                <w:rFonts w:ascii="Arial" w:cs="Arial" w:eastAsia="Arial" w:hAnsi="Arial"/>
                <w:sz w:val="15"/>
                <w:szCs w:val="15"/>
                <w:b w:val="1"/>
                <w:bCs w:val="1"/>
                <w:color w:val="auto"/>
              </w:rPr>
              <w:t>8.03</w:t>
            </w:r>
          </w:p>
        </w:tc>
        <w:tc>
          <w:tcPr>
            <w:tcW w:w="1660" w:type="dxa"/>
            <w:vAlign w:val="bottom"/>
            <w:gridSpan w:val="2"/>
          </w:tcPr>
          <w:p>
            <w:pPr>
              <w:jc w:val="right"/>
              <w:ind w:right="131"/>
              <w:spacing w:after="0"/>
              <w:rPr>
                <w:sz w:val="20"/>
                <w:szCs w:val="20"/>
                <w:color w:val="auto"/>
              </w:rPr>
            </w:pPr>
            <w:r>
              <w:rPr>
                <w:rFonts w:ascii="Arial" w:cs="Arial" w:eastAsia="Arial" w:hAnsi="Arial"/>
                <w:sz w:val="15"/>
                <w:szCs w:val="15"/>
                <w:color w:val="auto"/>
              </w:rPr>
              <w:t>3</w:t>
            </w:r>
          </w:p>
        </w:tc>
        <w:tc>
          <w:tcPr>
            <w:tcW w:w="1680" w:type="dxa"/>
            <w:vAlign w:val="bottom"/>
            <w:gridSpan w:val="2"/>
          </w:tcPr>
          <w:p>
            <w:pPr>
              <w:ind w:left="1180"/>
              <w:spacing w:after="0"/>
              <w:rPr>
                <w:sz w:val="20"/>
                <w:szCs w:val="20"/>
                <w:color w:val="auto"/>
              </w:rPr>
            </w:pPr>
            <w:r>
              <w:rPr>
                <w:rFonts w:ascii="Arial" w:cs="Arial" w:eastAsia="Arial" w:hAnsi="Arial"/>
                <w:sz w:val="15"/>
                <w:szCs w:val="15"/>
                <w:color w:val="auto"/>
              </w:rPr>
              <w:t>3.88</w:t>
            </w:r>
          </w:p>
        </w:tc>
      </w:tr>
    </w:tbl>
    <w:p>
      <w:pPr>
        <w:spacing w:after="0" w:line="117" w:lineRule="exact"/>
        <w:rPr>
          <w:sz w:val="20"/>
          <w:szCs w:val="20"/>
          <w:color w:val="auto"/>
        </w:rPr>
      </w:pPr>
    </w:p>
    <w:p>
      <w:pPr>
        <w:sectPr>
          <w:pgSz w:w="11900" w:h="16838" w:orient="portrait"/>
          <w:cols w:equalWidth="0" w:num="2">
            <w:col w:w="3940" w:space="720"/>
            <w:col w:w="6580"/>
          </w:cols>
          <w:pgMar w:left="320" w:top="250" w:right="339" w:bottom="1440" w:gutter="0" w:footer="0" w:header="0"/>
          <w:type w:val="continuous"/>
        </w:sectPr>
      </w:pPr>
    </w:p>
    <w:p>
      <w:pPr>
        <w:ind w:left="240" w:right="380" w:hanging="237"/>
        <w:spacing w:after="0" w:line="223" w:lineRule="auto"/>
        <w:tabs>
          <w:tab w:leader="none" w:pos="240" w:val="left"/>
        </w:tabs>
        <w:numPr>
          <w:ilvl w:val="0"/>
          <w:numId w:val="101"/>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aggregate unpaid principal balance of multifamily loans for each category divided by the aggregate unpaid principal balance of loans in our multifamily guaranty book of business.</w:t>
      </w:r>
    </w:p>
    <w:p>
      <w:pPr>
        <w:spacing w:after="0" w:line="19" w:lineRule="exact"/>
        <w:rPr>
          <w:rFonts w:ascii="Arial" w:cs="Arial" w:eastAsia="Arial" w:hAnsi="Arial"/>
          <w:sz w:val="18"/>
          <w:szCs w:val="18"/>
          <w:color w:val="auto"/>
          <w:vertAlign w:val="superscript"/>
        </w:rPr>
      </w:pPr>
    </w:p>
    <w:p>
      <w:pPr>
        <w:ind w:left="240" w:hanging="237"/>
        <w:spacing w:after="0"/>
        <w:tabs>
          <w:tab w:leader="none" w:pos="240" w:val="left"/>
        </w:tabs>
        <w:numPr>
          <w:ilvl w:val="0"/>
          <w:numId w:val="101"/>
        </w:numPr>
        <w:rPr>
          <w:rFonts w:ascii="Arial" w:cs="Arial" w:eastAsia="Arial" w:hAnsi="Arial"/>
          <w:sz w:val="9"/>
          <w:szCs w:val="9"/>
          <w:color w:val="auto"/>
        </w:rPr>
      </w:pPr>
      <w:r>
        <w:rPr>
          <w:rFonts w:ascii="Arial" w:cs="Arial" w:eastAsia="Arial" w:hAnsi="Arial"/>
          <w:sz w:val="14"/>
          <w:szCs w:val="14"/>
          <w:color w:val="auto"/>
        </w:rPr>
        <w:t>Consists of multifamily loans that were 60 days or more past due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384175</wp:posOffset>
            </wp:positionV>
            <wp:extent cx="681101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164070" cy="4191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type w:val="continuous"/>
        </w:sectPr>
      </w:pPr>
    </w:p>
    <w:bookmarkStart w:id="104" w:name="page105"/>
    <w:bookmarkEnd w:id="104"/>
    <w:p>
      <w:pPr>
        <w:jc w:val="right"/>
        <w:ind w:right="100"/>
        <w:spacing w:after="0"/>
        <w:rPr>
          <w:sz w:val="20"/>
          <w:szCs w:val="20"/>
          <w:color w:val="auto"/>
        </w:rPr>
      </w:pPr>
      <w:r>
        <w:rPr>
          <w:rFonts w:ascii="Arial" w:cs="Arial" w:eastAsia="Arial" w:hAnsi="Arial"/>
          <w:sz w:val="14"/>
          <w:szCs w:val="14"/>
          <w:color w:val="05314D"/>
        </w:rPr>
        <w:t>Notes to Condensed Consolidated Financial Statements | Concentrations of 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15875</wp:posOffset>
            </wp:positionV>
            <wp:extent cx="702373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40" w:right="140" w:hanging="237"/>
        <w:spacing w:after="0" w:line="223" w:lineRule="auto"/>
        <w:tabs>
          <w:tab w:leader="none" w:pos="240" w:val="left"/>
        </w:tabs>
        <w:numPr>
          <w:ilvl w:val="0"/>
          <w:numId w:val="102"/>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unpaid principal balance of multifamily loans that were seriously delinquent divided by the aggregate unpaid principal balance of multifamily loans for each category included in our multifamily guaranty book of business.</w:t>
      </w:r>
    </w:p>
    <w:p>
      <w:pPr>
        <w:spacing w:after="0" w:line="31" w:lineRule="exact"/>
        <w:rPr>
          <w:rFonts w:ascii="Arial" w:cs="Arial" w:eastAsia="Arial" w:hAnsi="Arial"/>
          <w:sz w:val="18"/>
          <w:szCs w:val="18"/>
          <w:color w:val="auto"/>
          <w:vertAlign w:val="superscript"/>
        </w:rPr>
      </w:pPr>
    </w:p>
    <w:p>
      <w:pPr>
        <w:ind w:left="240" w:right="540" w:hanging="237"/>
        <w:spacing w:after="0" w:line="214" w:lineRule="auto"/>
        <w:tabs>
          <w:tab w:leader="none" w:pos="240" w:val="left"/>
        </w:tabs>
        <w:numPr>
          <w:ilvl w:val="0"/>
          <w:numId w:val="102"/>
        </w:numPr>
        <w:rPr>
          <w:rFonts w:ascii="Arial" w:cs="Arial" w:eastAsia="Arial" w:hAnsi="Arial"/>
          <w:sz w:val="18"/>
          <w:szCs w:val="18"/>
          <w:color w:val="auto"/>
          <w:vertAlign w:val="superscript"/>
        </w:rPr>
      </w:pPr>
      <w:r>
        <w:rPr>
          <w:rFonts w:ascii="Arial" w:cs="Arial" w:eastAsia="Arial" w:hAnsi="Arial"/>
          <w:sz w:val="14"/>
          <w:szCs w:val="14"/>
          <w:color w:val="auto"/>
        </w:rPr>
        <w:t>Our estimates of current DSCRs are based on the latest available income information covering a 12 month period, from quarterly and annual statements for these properties including the related debt service.</w:t>
      </w:r>
    </w:p>
    <w:p>
      <w:pPr>
        <w:spacing w:after="0" w:line="88"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Other Concentrations</w:t>
      </w:r>
    </w:p>
    <w:p>
      <w:pPr>
        <w:spacing w:after="0" w:line="91" w:lineRule="exact"/>
        <w:rPr>
          <w:sz w:val="20"/>
          <w:szCs w:val="20"/>
          <w:color w:val="auto"/>
        </w:rPr>
      </w:pPr>
    </w:p>
    <w:p>
      <w:pPr>
        <w:jc w:val="both"/>
        <w:ind w:right="280"/>
        <w:spacing w:after="0" w:line="288" w:lineRule="auto"/>
        <w:rPr>
          <w:sz w:val="20"/>
          <w:szCs w:val="20"/>
          <w:color w:val="auto"/>
        </w:rPr>
      </w:pPr>
      <w:r>
        <w:rPr>
          <w:rFonts w:ascii="Arial" w:cs="Arial" w:eastAsia="Arial" w:hAnsi="Arial"/>
          <w:sz w:val="16"/>
          <w:szCs w:val="16"/>
          <w:i w:val="1"/>
          <w:iCs w:val="1"/>
          <w:color w:val="auto"/>
        </w:rPr>
        <w:t xml:space="preserve">Mortgage Insurers. </w:t>
      </w:r>
      <w:r>
        <w:rPr>
          <w:rFonts w:ascii="Arial" w:cs="Arial" w:eastAsia="Arial" w:hAnsi="Arial"/>
          <w:sz w:val="16"/>
          <w:szCs w:val="16"/>
          <w:color w:val="auto"/>
        </w:rPr>
        <w:t>Mortgage insurance “risk in force” refers to our maximum potential loss recovery under the applicable mortgage insurance policies in</w:t>
      </w:r>
      <w:r>
        <w:rPr>
          <w:rFonts w:ascii="Arial" w:cs="Arial" w:eastAsia="Arial" w:hAnsi="Arial"/>
          <w:sz w:val="16"/>
          <w:szCs w:val="16"/>
          <w:i w:val="1"/>
          <w:iCs w:val="1"/>
          <w:color w:val="auto"/>
        </w:rPr>
        <w:t xml:space="preserve"> </w:t>
      </w:r>
      <w:r>
        <w:rPr>
          <w:rFonts w:ascii="Arial" w:cs="Arial" w:eastAsia="Arial" w:hAnsi="Arial"/>
          <w:sz w:val="16"/>
          <w:szCs w:val="16"/>
          <w:color w:val="auto"/>
        </w:rPr>
        <w:t>force and is generally based on the loan-level insurance coverage percentage and, if applicable, any aggregate pool loss limit, as specified in the policy.</w:t>
      </w:r>
    </w:p>
    <w:p>
      <w:pPr>
        <w:spacing w:after="0" w:line="27"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auto"/>
        </w:rPr>
        <w:t>The following table displays our total mortgage insurance risk in force by primary and pool insurance, as well as the total risk-in-force mortgage insurance coverage as a percentage of the single-family conventional guaranty book of business.</w:t>
      </w:r>
    </w:p>
    <w:p>
      <w:pPr>
        <w:sectPr>
          <w:pgSz w:w="11900" w:h="16838" w:orient="portrait"/>
          <w:cols w:equalWidth="0" w:num="1">
            <w:col w:w="11240"/>
          </w:cols>
          <w:pgMar w:left="320" w:top="2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5"/>
          <w:szCs w:val="15"/>
          <w:color w:val="auto"/>
        </w:rPr>
        <w:t>Mortgage insurance risk in force:</w:t>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Primary mortgage insurance</w:t>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Pool mortgage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34925</wp:posOffset>
            </wp:positionV>
            <wp:extent cx="335661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356610" cy="8255"/>
                    </a:xfrm>
                    <a:prstGeom prst="rect">
                      <a:avLst/>
                    </a:prstGeom>
                    <a:noFill/>
                  </pic:spPr>
                </pic:pic>
              </a:graphicData>
            </a:graphic>
          </wp:anchor>
        </w:drawing>
      </w:r>
    </w:p>
    <w:p>
      <w:pPr>
        <w:spacing w:after="0" w:line="65" w:lineRule="exact"/>
        <w:rPr>
          <w:sz w:val="20"/>
          <w:szCs w:val="20"/>
          <w:color w:val="auto"/>
        </w:rPr>
      </w:pPr>
    </w:p>
    <w:p>
      <w:pPr>
        <w:jc w:val="right"/>
        <w:ind w:right="1800"/>
        <w:spacing w:after="0"/>
        <w:rPr>
          <w:sz w:val="20"/>
          <w:szCs w:val="20"/>
          <w:color w:val="auto"/>
        </w:rPr>
      </w:pPr>
      <w:r>
        <w:rPr>
          <w:rFonts w:ascii="Arial" w:cs="Arial" w:eastAsia="Arial" w:hAnsi="Arial"/>
          <w:sz w:val="15"/>
          <w:szCs w:val="15"/>
          <w:color w:val="auto"/>
        </w:rPr>
        <w:t>Total mortgage insurance risk in 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26670</wp:posOffset>
            </wp:positionV>
            <wp:extent cx="335661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35661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51435</wp:posOffset>
            </wp:positionV>
            <wp:extent cx="335661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3566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16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spacing w:after="0"/>
              <w:rPr>
                <w:sz w:val="17"/>
                <w:szCs w:val="17"/>
                <w:color w:val="auto"/>
              </w:rPr>
            </w:pPr>
          </w:p>
        </w:tc>
        <w:tc>
          <w:tcPr>
            <w:tcW w:w="1400" w:type="dxa"/>
            <w:vAlign w:val="bottom"/>
            <w:tcBorders>
              <w:bottom w:val="single" w:sz="8" w:color="2C6937"/>
            </w:tcBorders>
          </w:tcPr>
          <w:p>
            <w:pPr>
              <w:spacing w:after="0"/>
              <w:rPr>
                <w:sz w:val="17"/>
                <w:szCs w:val="17"/>
                <w:color w:val="auto"/>
              </w:rPr>
            </w:pPr>
          </w:p>
        </w:tc>
        <w:tc>
          <w:tcPr>
            <w:tcW w:w="420" w:type="dxa"/>
            <w:vAlign w:val="bottom"/>
            <w:tcBorders>
              <w:bottom w:val="single" w:sz="8" w:color="2C6937"/>
            </w:tcBorders>
            <w:gridSpan w:val="3"/>
          </w:tcPr>
          <w:p>
            <w:pPr>
              <w:jc w:val="right"/>
              <w:ind w:right="60"/>
              <w:spacing w:after="0"/>
              <w:rPr>
                <w:sz w:val="20"/>
                <w:szCs w:val="20"/>
                <w:color w:val="auto"/>
              </w:rPr>
            </w:pPr>
            <w:r>
              <w:rPr>
                <w:rFonts w:ascii="Arial" w:cs="Arial" w:eastAsia="Arial" w:hAnsi="Arial"/>
                <w:sz w:val="14"/>
                <w:szCs w:val="14"/>
                <w:b w:val="1"/>
                <w:bCs w:val="1"/>
                <w:color w:val="auto"/>
                <w:w w:val="97"/>
              </w:rPr>
              <w:t>As of</w:t>
            </w:r>
          </w:p>
        </w:tc>
        <w:tc>
          <w:tcPr>
            <w:tcW w:w="1140" w:type="dxa"/>
            <w:vAlign w:val="bottom"/>
            <w:tcBorders>
              <w:bottom w:val="single" w:sz="8" w:color="2C6937"/>
            </w:tcBorders>
          </w:tcPr>
          <w:p>
            <w:pPr>
              <w:spacing w:after="0"/>
              <w:rPr>
                <w:sz w:val="17"/>
                <w:szCs w:val="17"/>
                <w:color w:val="auto"/>
              </w:rPr>
            </w:pPr>
          </w:p>
        </w:tc>
        <w:tc>
          <w:tcPr>
            <w:tcW w:w="1540" w:type="dxa"/>
            <w:vAlign w:val="bottom"/>
            <w:tcBorders>
              <w:bottom w:val="single" w:sz="8" w:color="2C6937"/>
            </w:tcBorders>
          </w:tcPr>
          <w:p>
            <w:pPr>
              <w:spacing w:after="0"/>
              <w:rPr>
                <w:sz w:val="17"/>
                <w:szCs w:val="17"/>
                <w:color w:val="auto"/>
              </w:rPr>
            </w:pPr>
          </w:p>
        </w:tc>
      </w:tr>
      <w:tr>
        <w:trPr>
          <w:trHeight w:val="193"/>
        </w:trPr>
        <w:tc>
          <w:tcPr>
            <w:tcW w:w="160" w:type="dxa"/>
            <w:vAlign w:val="bottom"/>
            <w:tcBorders>
              <w:bottom w:val="single" w:sz="8" w:color="2C6937"/>
            </w:tcBorders>
          </w:tcPr>
          <w:p>
            <w:pPr>
              <w:spacing w:after="0"/>
              <w:rPr>
                <w:sz w:val="16"/>
                <w:szCs w:val="16"/>
                <w:color w:val="auto"/>
              </w:rPr>
            </w:pPr>
          </w:p>
        </w:tc>
        <w:tc>
          <w:tcPr>
            <w:tcW w:w="2560" w:type="dxa"/>
            <w:vAlign w:val="bottom"/>
            <w:tcBorders>
              <w:bottom w:val="single" w:sz="8" w:color="2C6937"/>
            </w:tcBorders>
            <w:gridSpan w:val="2"/>
          </w:tcPr>
          <w:p>
            <w:pPr>
              <w:ind w:left="820"/>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Borders>
              <w:bottom w:val="single" w:sz="8" w:color="2C6937"/>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2680" w:type="dxa"/>
            <w:vAlign w:val="bottom"/>
            <w:tcBorders>
              <w:bottom w:val="single" w:sz="8" w:color="2C6937"/>
            </w:tcBorders>
            <w:gridSpan w:val="2"/>
          </w:tcPr>
          <w:p>
            <w:pPr>
              <w:ind w:left="620"/>
              <w:spacing w:after="0"/>
              <w:rPr>
                <w:sz w:val="20"/>
                <w:szCs w:val="20"/>
                <w:color w:val="auto"/>
              </w:rPr>
            </w:pPr>
            <w:r>
              <w:rPr>
                <w:rFonts w:ascii="Arial" w:cs="Arial" w:eastAsia="Arial" w:hAnsi="Arial"/>
                <w:sz w:val="14"/>
                <w:szCs w:val="14"/>
                <w:b w:val="1"/>
                <w:bCs w:val="1"/>
                <w:color w:val="auto"/>
              </w:rPr>
              <w:t>December 31, 2022</w:t>
            </w:r>
          </w:p>
        </w:tc>
      </w:tr>
      <w:tr>
        <w:trPr>
          <w:trHeight w:val="176"/>
        </w:trPr>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0" w:type="dxa"/>
            <w:vAlign w:val="bottom"/>
          </w:tcPr>
          <w:p>
            <w:pPr>
              <w:jc w:val="center"/>
              <w:ind w:left="150"/>
              <w:spacing w:after="0"/>
              <w:rPr>
                <w:sz w:val="20"/>
                <w:szCs w:val="20"/>
                <w:color w:val="auto"/>
              </w:rPr>
            </w:pPr>
            <w:r>
              <w:rPr>
                <w:rFonts w:ascii="Arial" w:cs="Arial" w:eastAsia="Arial" w:hAnsi="Arial"/>
                <w:sz w:val="14"/>
                <w:szCs w:val="14"/>
                <w:b w:val="1"/>
                <w:bCs w:val="1"/>
                <w:color w:val="auto"/>
                <w:w w:val="97"/>
              </w:rPr>
              <w:t>Percentage of</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tcPr>
          <w:p>
            <w:pPr>
              <w:jc w:val="center"/>
              <w:ind w:left="30"/>
              <w:spacing w:after="0"/>
              <w:rPr>
                <w:sz w:val="20"/>
                <w:szCs w:val="20"/>
                <w:color w:val="auto"/>
              </w:rPr>
            </w:pPr>
            <w:r>
              <w:rPr>
                <w:rFonts w:ascii="Arial" w:cs="Arial" w:eastAsia="Arial" w:hAnsi="Arial"/>
                <w:sz w:val="14"/>
                <w:szCs w:val="14"/>
                <w:b w:val="1"/>
                <w:bCs w:val="1"/>
                <w:color w:val="auto"/>
                <w:w w:val="99"/>
              </w:rPr>
              <w:t>Percentage of</w:t>
            </w:r>
          </w:p>
        </w:tc>
      </w:tr>
      <w:tr>
        <w:trPr>
          <w:trHeight w:val="155"/>
        </w:trPr>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0" w:type="dxa"/>
            <w:vAlign w:val="bottom"/>
          </w:tcPr>
          <w:p>
            <w:pPr>
              <w:jc w:val="center"/>
              <w:ind w:left="150"/>
              <w:spacing w:after="0" w:line="155" w:lineRule="exact"/>
              <w:rPr>
                <w:sz w:val="20"/>
                <w:szCs w:val="20"/>
                <w:color w:val="auto"/>
              </w:rPr>
            </w:pPr>
            <w:r>
              <w:rPr>
                <w:rFonts w:ascii="Arial" w:cs="Arial" w:eastAsia="Arial" w:hAnsi="Arial"/>
                <w:sz w:val="14"/>
                <w:szCs w:val="14"/>
                <w:b w:val="1"/>
                <w:bCs w:val="1"/>
                <w:color w:val="auto"/>
                <w:w w:val="98"/>
              </w:rPr>
              <w:t>Single-Family</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40" w:type="dxa"/>
            <w:vAlign w:val="bottom"/>
          </w:tcPr>
          <w:p>
            <w:pPr>
              <w:jc w:val="center"/>
              <w:ind w:left="30"/>
              <w:spacing w:after="0" w:line="155" w:lineRule="exact"/>
              <w:rPr>
                <w:sz w:val="20"/>
                <w:szCs w:val="20"/>
                <w:color w:val="auto"/>
              </w:rPr>
            </w:pPr>
            <w:r>
              <w:rPr>
                <w:rFonts w:ascii="Arial" w:cs="Arial" w:eastAsia="Arial" w:hAnsi="Arial"/>
                <w:sz w:val="14"/>
                <w:szCs w:val="14"/>
                <w:b w:val="1"/>
                <w:bCs w:val="1"/>
                <w:color w:val="auto"/>
                <w:w w:val="96"/>
              </w:rPr>
              <w:t>Single-Family</w:t>
            </w:r>
          </w:p>
        </w:tc>
      </w:tr>
      <w:tr>
        <w:trPr>
          <w:trHeight w:val="168"/>
        </w:trPr>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jc w:val="center"/>
              <w:ind w:left="150"/>
              <w:spacing w:after="0"/>
              <w:rPr>
                <w:sz w:val="20"/>
                <w:szCs w:val="20"/>
                <w:color w:val="auto"/>
              </w:rPr>
            </w:pPr>
            <w:r>
              <w:rPr>
                <w:rFonts w:ascii="Arial" w:cs="Arial" w:eastAsia="Arial" w:hAnsi="Arial"/>
                <w:sz w:val="14"/>
                <w:szCs w:val="14"/>
                <w:b w:val="1"/>
                <w:bCs w:val="1"/>
                <w:color w:val="auto"/>
                <w:w w:val="96"/>
              </w:rPr>
              <w:t>Conventional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tcPr>
          <w:p>
            <w:pPr>
              <w:jc w:val="center"/>
              <w:ind w:left="30"/>
              <w:spacing w:after="0"/>
              <w:rPr>
                <w:sz w:val="20"/>
                <w:szCs w:val="20"/>
                <w:color w:val="auto"/>
              </w:rPr>
            </w:pPr>
            <w:r>
              <w:rPr>
                <w:rFonts w:ascii="Arial" w:cs="Arial" w:eastAsia="Arial" w:hAnsi="Arial"/>
                <w:sz w:val="14"/>
                <w:szCs w:val="14"/>
                <w:b w:val="1"/>
                <w:bCs w:val="1"/>
                <w:color w:val="auto"/>
                <w:w w:val="99"/>
              </w:rPr>
              <w:t>Conventional</w:t>
            </w:r>
          </w:p>
        </w:tc>
      </w:tr>
      <w:tr>
        <w:trPr>
          <w:trHeight w:val="168"/>
        </w:trPr>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jc w:val="center"/>
              <w:ind w:left="170"/>
              <w:spacing w:after="0"/>
              <w:rPr>
                <w:sz w:val="20"/>
                <w:szCs w:val="20"/>
                <w:color w:val="auto"/>
              </w:rPr>
            </w:pPr>
            <w:r>
              <w:rPr>
                <w:rFonts w:ascii="Arial" w:cs="Arial" w:eastAsia="Arial" w:hAnsi="Arial"/>
                <w:sz w:val="14"/>
                <w:szCs w:val="14"/>
                <w:b w:val="1"/>
                <w:bCs w:val="1"/>
                <w:color w:val="auto"/>
                <w:w w:val="98"/>
              </w:rPr>
              <w:t>Guaranty Book of</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tcPr>
          <w:p>
            <w:pPr>
              <w:jc w:val="center"/>
              <w:ind w:left="30"/>
              <w:spacing w:after="0"/>
              <w:rPr>
                <w:sz w:val="20"/>
                <w:szCs w:val="20"/>
                <w:color w:val="auto"/>
              </w:rPr>
            </w:pPr>
            <w:r>
              <w:rPr>
                <w:rFonts w:ascii="Arial" w:cs="Arial" w:eastAsia="Arial" w:hAnsi="Arial"/>
                <w:sz w:val="14"/>
                <w:szCs w:val="14"/>
                <w:b w:val="1"/>
                <w:bCs w:val="1"/>
                <w:color w:val="auto"/>
                <w:w w:val="98"/>
              </w:rPr>
              <w:t>Guaranty Book of</w:t>
            </w:r>
          </w:p>
        </w:tc>
      </w:tr>
      <w:tr>
        <w:trPr>
          <w:trHeight w:val="198"/>
        </w:trPr>
        <w:tc>
          <w:tcPr>
            <w:tcW w:w="16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jc w:val="right"/>
              <w:ind w:right="166"/>
              <w:spacing w:after="0"/>
              <w:rPr>
                <w:sz w:val="20"/>
                <w:szCs w:val="20"/>
                <w:color w:val="auto"/>
              </w:rPr>
            </w:pPr>
            <w:r>
              <w:rPr>
                <w:rFonts w:ascii="Arial" w:cs="Arial" w:eastAsia="Arial" w:hAnsi="Arial"/>
                <w:sz w:val="14"/>
                <w:szCs w:val="14"/>
                <w:b w:val="1"/>
                <w:bCs w:val="1"/>
                <w:color w:val="auto"/>
              </w:rPr>
              <w:t>Risk in Force</w:t>
            </w:r>
          </w:p>
        </w:tc>
        <w:tc>
          <w:tcPr>
            <w:tcW w:w="1400" w:type="dxa"/>
            <w:vAlign w:val="bottom"/>
            <w:tcBorders>
              <w:bottom w:val="single" w:sz="8" w:color="2C6937"/>
            </w:tcBorders>
          </w:tcPr>
          <w:p>
            <w:pPr>
              <w:jc w:val="center"/>
              <w:ind w:left="150"/>
              <w:spacing w:after="0"/>
              <w:rPr>
                <w:sz w:val="20"/>
                <w:szCs w:val="20"/>
                <w:color w:val="auto"/>
              </w:rPr>
            </w:pPr>
            <w:r>
              <w:rPr>
                <w:rFonts w:ascii="Arial" w:cs="Arial" w:eastAsia="Arial" w:hAnsi="Arial"/>
                <w:sz w:val="14"/>
                <w:szCs w:val="14"/>
                <w:b w:val="1"/>
                <w:bCs w:val="1"/>
                <w:color w:val="auto"/>
                <w:w w:val="99"/>
              </w:rPr>
              <w:t>Business</w:t>
            </w:r>
          </w:p>
        </w:tc>
        <w:tc>
          <w:tcPr>
            <w:tcW w:w="12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140" w:type="dxa"/>
            <w:vAlign w:val="bottom"/>
            <w:tcBorders>
              <w:bottom w:val="single" w:sz="8" w:color="2C6937"/>
            </w:tcBorders>
          </w:tcPr>
          <w:p>
            <w:pPr>
              <w:jc w:val="right"/>
              <w:ind w:right="166"/>
              <w:spacing w:after="0"/>
              <w:rPr>
                <w:sz w:val="20"/>
                <w:szCs w:val="20"/>
                <w:color w:val="auto"/>
              </w:rPr>
            </w:pPr>
            <w:r>
              <w:rPr>
                <w:rFonts w:ascii="Arial" w:cs="Arial" w:eastAsia="Arial" w:hAnsi="Arial"/>
                <w:sz w:val="14"/>
                <w:szCs w:val="14"/>
                <w:b w:val="1"/>
                <w:bCs w:val="1"/>
                <w:color w:val="auto"/>
              </w:rPr>
              <w:t>Risk in Force</w:t>
            </w:r>
          </w:p>
        </w:tc>
        <w:tc>
          <w:tcPr>
            <w:tcW w:w="1540" w:type="dxa"/>
            <w:vAlign w:val="bottom"/>
            <w:tcBorders>
              <w:bottom w:val="single" w:sz="8" w:color="2C6937"/>
            </w:tcBorders>
          </w:tcPr>
          <w:p>
            <w:pPr>
              <w:jc w:val="center"/>
              <w:ind w:left="30"/>
              <w:spacing w:after="0"/>
              <w:rPr>
                <w:sz w:val="20"/>
                <w:szCs w:val="20"/>
                <w:color w:val="auto"/>
              </w:rPr>
            </w:pPr>
            <w:r>
              <w:rPr>
                <w:rFonts w:ascii="Arial" w:cs="Arial" w:eastAsia="Arial" w:hAnsi="Arial"/>
                <w:sz w:val="14"/>
                <w:szCs w:val="14"/>
                <w:b w:val="1"/>
                <w:bCs w:val="1"/>
                <w:color w:val="auto"/>
                <w:w w:val="96"/>
              </w:rPr>
              <w:t>Business</w:t>
            </w:r>
          </w:p>
        </w:tc>
      </w:tr>
      <w:tr>
        <w:trPr>
          <w:trHeight w:val="205"/>
        </w:trPr>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960" w:type="dxa"/>
            <w:vAlign w:val="bottom"/>
            <w:gridSpan w:val="5"/>
          </w:tcPr>
          <w:p>
            <w:pPr>
              <w:jc w:val="right"/>
              <w:ind w:right="666"/>
              <w:spacing w:after="0"/>
              <w:rPr>
                <w:sz w:val="20"/>
                <w:szCs w:val="20"/>
                <w:color w:val="auto"/>
              </w:rPr>
            </w:pPr>
            <w:r>
              <w:rPr>
                <w:rFonts w:ascii="Arial" w:cs="Arial" w:eastAsia="Arial" w:hAnsi="Arial"/>
                <w:sz w:val="14"/>
                <w:szCs w:val="14"/>
                <w:b w:val="1"/>
                <w:bCs w:val="1"/>
                <w:color w:val="auto"/>
              </w:rPr>
              <w:t>(Dollars in millions)</w:t>
            </w:r>
          </w:p>
        </w:tc>
        <w:tc>
          <w:tcPr>
            <w:tcW w:w="1540" w:type="dxa"/>
            <w:vAlign w:val="bottom"/>
          </w:tcPr>
          <w:p>
            <w:pPr>
              <w:spacing w:after="0"/>
              <w:rPr>
                <w:sz w:val="17"/>
                <w:szCs w:val="17"/>
                <w:color w:val="auto"/>
              </w:rPr>
            </w:pPr>
          </w:p>
        </w:tc>
      </w:tr>
      <w:tr>
        <w:trPr>
          <w:trHeight w:val="485"/>
        </w:trPr>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Pr>
          <w:p>
            <w:pPr>
              <w:jc w:val="right"/>
              <w:ind w:right="6"/>
              <w:spacing w:after="0"/>
              <w:rPr>
                <w:sz w:val="20"/>
                <w:szCs w:val="20"/>
                <w:color w:val="auto"/>
              </w:rPr>
            </w:pPr>
            <w:r>
              <w:rPr>
                <w:rFonts w:ascii="Arial" w:cs="Arial" w:eastAsia="Arial" w:hAnsi="Arial"/>
                <w:sz w:val="15"/>
                <w:szCs w:val="15"/>
                <w:b w:val="1"/>
                <w:bCs w:val="1"/>
                <w:color w:val="auto"/>
              </w:rPr>
              <w:t>196,139</w:t>
            </w:r>
          </w:p>
        </w:tc>
        <w:tc>
          <w:tcPr>
            <w:tcW w:w="1400" w:type="dxa"/>
            <w:vAlign w:val="bottom"/>
          </w:tcPr>
          <w:p>
            <w:pPr>
              <w:spacing w:after="0"/>
              <w:rPr>
                <w:sz w:val="24"/>
                <w:szCs w:val="24"/>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193,549</w:t>
            </w:r>
          </w:p>
        </w:tc>
        <w:tc>
          <w:tcPr>
            <w:tcW w:w="1540" w:type="dxa"/>
            <w:vAlign w:val="bottom"/>
          </w:tcPr>
          <w:p>
            <w:pPr>
              <w:spacing w:after="0"/>
              <w:rPr>
                <w:sz w:val="24"/>
                <w:szCs w:val="24"/>
                <w:color w:val="auto"/>
              </w:rPr>
            </w:pPr>
          </w:p>
        </w:tc>
      </w:tr>
      <w:tr>
        <w:trPr>
          <w:trHeight w:val="239"/>
        </w:trPr>
        <w:tc>
          <w:tcPr>
            <w:tcW w:w="160" w:type="dxa"/>
            <w:vAlign w:val="bottom"/>
            <w:tcBorders>
              <w:bottom w:val="single" w:sz="8" w:color="2C6937"/>
            </w:tcBorders>
          </w:tcPr>
          <w:p>
            <w:pPr>
              <w:spacing w:after="0"/>
              <w:rPr>
                <w:sz w:val="20"/>
                <w:szCs w:val="20"/>
                <w:color w:val="auto"/>
              </w:rPr>
            </w:pPr>
          </w:p>
        </w:tc>
        <w:tc>
          <w:tcPr>
            <w:tcW w:w="116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b w:val="1"/>
                <w:bCs w:val="1"/>
                <w:color w:val="auto"/>
              </w:rPr>
              <w:t>233</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1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237</w:t>
            </w:r>
          </w:p>
        </w:tc>
        <w:tc>
          <w:tcPr>
            <w:tcW w:w="1540" w:type="dxa"/>
            <w:vAlign w:val="bottom"/>
          </w:tcPr>
          <w:p>
            <w:pPr>
              <w:spacing w:after="0"/>
              <w:rPr>
                <w:sz w:val="20"/>
                <w:szCs w:val="20"/>
                <w:color w:val="auto"/>
              </w:rPr>
            </w:pPr>
          </w:p>
        </w:tc>
      </w:tr>
      <w:tr>
        <w:trPr>
          <w:trHeight w:val="225"/>
        </w:trPr>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Pr>
          <w:p>
            <w:pPr>
              <w:jc w:val="right"/>
              <w:ind w:right="6"/>
              <w:spacing w:after="0"/>
              <w:rPr>
                <w:sz w:val="20"/>
                <w:szCs w:val="20"/>
                <w:color w:val="auto"/>
              </w:rPr>
            </w:pPr>
            <w:r>
              <w:rPr>
                <w:rFonts w:ascii="Arial" w:cs="Arial" w:eastAsia="Arial" w:hAnsi="Arial"/>
                <w:sz w:val="15"/>
                <w:szCs w:val="15"/>
                <w:b w:val="1"/>
                <w:bCs w:val="1"/>
                <w:color w:val="auto"/>
              </w:rPr>
              <w:t>196,372</w:t>
            </w:r>
          </w:p>
        </w:tc>
        <w:tc>
          <w:tcPr>
            <w:tcW w:w="1400" w:type="dxa"/>
            <w:vAlign w:val="bottom"/>
          </w:tcPr>
          <w:p>
            <w:pPr>
              <w:jc w:val="center"/>
              <w:ind w:left="150"/>
              <w:spacing w:after="0"/>
              <w:rPr>
                <w:sz w:val="20"/>
                <w:szCs w:val="20"/>
                <w:color w:val="auto"/>
              </w:rPr>
            </w:pPr>
            <w:r>
              <w:rPr>
                <w:rFonts w:ascii="Arial" w:cs="Arial" w:eastAsia="Arial" w:hAnsi="Arial"/>
                <w:sz w:val="15"/>
                <w:szCs w:val="15"/>
                <w:b w:val="1"/>
                <w:bCs w:val="1"/>
                <w:color w:val="auto"/>
              </w:rPr>
              <w:t>5%</w:t>
            </w:r>
          </w:p>
        </w:tc>
        <w:tc>
          <w:tcPr>
            <w:tcW w:w="42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193,786</w:t>
            </w:r>
          </w:p>
        </w:tc>
        <w:tc>
          <w:tcPr>
            <w:tcW w:w="1540" w:type="dxa"/>
            <w:vAlign w:val="bottom"/>
          </w:tcPr>
          <w:p>
            <w:pPr>
              <w:jc w:val="center"/>
              <w:ind w:left="50"/>
              <w:spacing w:after="0"/>
              <w:rPr>
                <w:sz w:val="20"/>
                <w:szCs w:val="20"/>
                <w:color w:val="auto"/>
              </w:rPr>
            </w:pPr>
            <w:r>
              <w:rPr>
                <w:rFonts w:ascii="Arial" w:cs="Arial" w:eastAsia="Arial" w:hAnsi="Arial"/>
                <w:sz w:val="15"/>
                <w:szCs w:val="15"/>
                <w:color w:val="auto"/>
              </w:rPr>
              <w:t>5%</w:t>
            </w:r>
          </w:p>
        </w:tc>
      </w:tr>
      <w:tr>
        <w:trPr>
          <w:trHeight w:val="20"/>
        </w:trPr>
        <w:tc>
          <w:tcPr>
            <w:tcW w:w="160" w:type="dxa"/>
            <w:vAlign w:val="bottom"/>
            <w:tcBorders>
              <w:top w:val="single" w:sz="8" w:color="2C6937"/>
              <w:bottom w:val="single" w:sz="8" w:color="2C6937"/>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150" w:lineRule="exact"/>
        <w:rPr>
          <w:sz w:val="20"/>
          <w:szCs w:val="20"/>
          <w:color w:val="auto"/>
        </w:rPr>
      </w:pPr>
    </w:p>
    <w:p>
      <w:pPr>
        <w:sectPr>
          <w:pgSz w:w="11900" w:h="16838" w:orient="portrait"/>
          <w:cols w:equalWidth="0" w:num="2">
            <w:col w:w="4700" w:space="720"/>
            <w:col w:w="5820"/>
          </w:cols>
          <w:pgMar w:left="320" w:top="250" w:right="339" w:bottom="1440" w:gutter="0" w:footer="0" w:header="0"/>
          <w:type w:val="continuous"/>
        </w:sectPr>
      </w:pPr>
    </w:p>
    <w:p>
      <w:pPr>
        <w:spacing w:after="0" w:line="283" w:lineRule="auto"/>
        <w:rPr>
          <w:sz w:val="20"/>
          <w:szCs w:val="20"/>
          <w:color w:val="auto"/>
        </w:rPr>
      </w:pPr>
      <w:r>
        <w:rPr>
          <w:rFonts w:ascii="Arial" w:cs="Arial" w:eastAsia="Arial" w:hAnsi="Arial"/>
          <w:sz w:val="16"/>
          <w:szCs w:val="16"/>
          <w:color w:val="auto"/>
        </w:rPr>
        <w:t>The table below displays our mortgage insurer counterparties that provided approximately 10% or more of the risk-in-force mortgage insurance coverage on mortgage loans in our single-family conventional guaranty book of business.</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20" w:type="dxa"/>
            <w:vAlign w:val="bottom"/>
            <w:gridSpan w:val="4"/>
          </w:tcPr>
          <w:p>
            <w:pPr>
              <w:jc w:val="center"/>
              <w:ind w:left="671"/>
              <w:spacing w:after="0"/>
              <w:rPr>
                <w:sz w:val="20"/>
                <w:szCs w:val="20"/>
                <w:color w:val="auto"/>
              </w:rPr>
            </w:pPr>
            <w:r>
              <w:rPr>
                <w:rFonts w:ascii="Arial" w:cs="Arial" w:eastAsia="Arial" w:hAnsi="Arial"/>
                <w:sz w:val="14"/>
                <w:szCs w:val="14"/>
                <w:b w:val="1"/>
                <w:bCs w:val="1"/>
                <w:color w:val="auto"/>
                <w:w w:val="97"/>
              </w:rPr>
              <w:t>Percentage of Risk-in-Force</w:t>
            </w:r>
          </w:p>
        </w:tc>
        <w:tc>
          <w:tcPr>
            <w:tcW w:w="760" w:type="dxa"/>
            <w:vAlign w:val="bottom"/>
          </w:tcPr>
          <w:p>
            <w:pPr>
              <w:spacing w:after="0"/>
              <w:rPr>
                <w:sz w:val="14"/>
                <w:szCs w:val="14"/>
                <w:color w:val="auto"/>
              </w:rPr>
            </w:pPr>
          </w:p>
        </w:tc>
      </w:tr>
      <w:tr>
        <w:trPr>
          <w:trHeight w:val="191"/>
        </w:trPr>
        <w:tc>
          <w:tcPr>
            <w:tcW w:w="7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20" w:type="dxa"/>
            <w:vAlign w:val="bottom"/>
            <w:tcBorders>
              <w:bottom w:val="single" w:sz="8" w:color="2C6937"/>
            </w:tcBorders>
            <w:gridSpan w:val="4"/>
          </w:tcPr>
          <w:p>
            <w:pPr>
              <w:jc w:val="center"/>
              <w:ind w:left="671"/>
              <w:spacing w:after="0"/>
              <w:rPr>
                <w:sz w:val="20"/>
                <w:szCs w:val="20"/>
                <w:color w:val="auto"/>
              </w:rPr>
            </w:pPr>
            <w:r>
              <w:rPr>
                <w:rFonts w:ascii="Arial" w:cs="Arial" w:eastAsia="Arial" w:hAnsi="Arial"/>
                <w:sz w:val="14"/>
                <w:szCs w:val="14"/>
                <w:b w:val="1"/>
                <w:bCs w:val="1"/>
                <w:color w:val="auto"/>
                <w:w w:val="97"/>
              </w:rPr>
              <w:t>Coverage by Mortgage Insurer</w:t>
            </w:r>
          </w:p>
        </w:tc>
        <w:tc>
          <w:tcPr>
            <w:tcW w:w="760" w:type="dxa"/>
            <w:vAlign w:val="bottom"/>
            <w:tcBorders>
              <w:bottom w:val="single" w:sz="8" w:color="2C6937"/>
            </w:tcBorders>
          </w:tcPr>
          <w:p>
            <w:pPr>
              <w:spacing w:after="0"/>
              <w:rPr>
                <w:sz w:val="16"/>
                <w:szCs w:val="16"/>
                <w:color w:val="auto"/>
              </w:rPr>
            </w:pPr>
          </w:p>
        </w:tc>
      </w:tr>
      <w:tr>
        <w:trPr>
          <w:trHeight w:val="206"/>
        </w:trPr>
        <w:tc>
          <w:tcPr>
            <w:tcW w:w="7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bottom w:val="single" w:sz="8" w:color="2C6937"/>
            </w:tcBorders>
          </w:tcPr>
          <w:p>
            <w:pPr>
              <w:spacing w:after="0"/>
              <w:rPr>
                <w:sz w:val="17"/>
                <w:szCs w:val="17"/>
                <w:color w:val="auto"/>
              </w:rPr>
            </w:pPr>
          </w:p>
        </w:tc>
        <w:tc>
          <w:tcPr>
            <w:tcW w:w="1840" w:type="dxa"/>
            <w:vAlign w:val="bottom"/>
            <w:tcBorders>
              <w:bottom w:val="single" w:sz="8" w:color="2C6937"/>
            </w:tcBorders>
            <w:gridSpan w:val="3"/>
          </w:tcPr>
          <w:p>
            <w:pPr>
              <w:jc w:val="center"/>
              <w:ind w:right="671"/>
              <w:spacing w:after="0"/>
              <w:rPr>
                <w:sz w:val="20"/>
                <w:szCs w:val="20"/>
                <w:color w:val="auto"/>
              </w:rPr>
            </w:pPr>
            <w:r>
              <w:rPr>
                <w:rFonts w:ascii="Arial" w:cs="Arial" w:eastAsia="Arial" w:hAnsi="Arial"/>
                <w:sz w:val="14"/>
                <w:szCs w:val="14"/>
                <w:b w:val="1"/>
                <w:bCs w:val="1"/>
                <w:color w:val="auto"/>
                <w:w w:val="97"/>
              </w:rPr>
              <w:t>As of</w:t>
            </w:r>
          </w:p>
        </w:tc>
        <w:tc>
          <w:tcPr>
            <w:tcW w:w="760" w:type="dxa"/>
            <w:vAlign w:val="bottom"/>
            <w:tcBorders>
              <w:bottom w:val="single" w:sz="8" w:color="2C6937"/>
            </w:tcBorders>
          </w:tcPr>
          <w:p>
            <w:pPr>
              <w:spacing w:after="0"/>
              <w:rPr>
                <w:sz w:val="17"/>
                <w:szCs w:val="17"/>
                <w:color w:val="auto"/>
              </w:rPr>
            </w:pPr>
          </w:p>
        </w:tc>
      </w:tr>
      <w:tr>
        <w:trPr>
          <w:trHeight w:val="180"/>
        </w:trPr>
        <w:tc>
          <w:tcPr>
            <w:tcW w:w="7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Borders>
              <w:bottom w:val="single" w:sz="8" w:color="2C6937"/>
            </w:tcBorders>
          </w:tcPr>
          <w:p>
            <w:pPr>
              <w:ind w:left="540"/>
              <w:spacing w:after="0"/>
              <w:rPr>
                <w:sz w:val="20"/>
                <w:szCs w:val="20"/>
                <w:color w:val="auto"/>
              </w:rPr>
            </w:pPr>
            <w:r>
              <w:rPr>
                <w:rFonts w:ascii="Arial" w:cs="Arial" w:eastAsia="Arial" w:hAnsi="Arial"/>
                <w:sz w:val="14"/>
                <w:szCs w:val="14"/>
                <w:b w:val="1"/>
                <w:bCs w:val="1"/>
                <w:color w:val="auto"/>
              </w:rPr>
              <w:t>June 30, 2023</w:t>
            </w:r>
          </w:p>
        </w:tc>
        <w:tc>
          <w:tcPr>
            <w:tcW w:w="50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2000" w:type="dxa"/>
            <w:vAlign w:val="bottom"/>
            <w:tcBorders>
              <w:bottom w:val="single" w:sz="8" w:color="2C6937"/>
            </w:tcBorders>
            <w:gridSpan w:val="2"/>
          </w:tcPr>
          <w:p>
            <w:pPr>
              <w:jc w:val="right"/>
              <w:ind w:right="303"/>
              <w:spacing w:after="0"/>
              <w:rPr>
                <w:sz w:val="20"/>
                <w:szCs w:val="20"/>
                <w:color w:val="auto"/>
              </w:rPr>
            </w:pPr>
            <w:r>
              <w:rPr>
                <w:rFonts w:ascii="Arial" w:cs="Arial" w:eastAsia="Arial" w:hAnsi="Arial"/>
                <w:sz w:val="14"/>
                <w:szCs w:val="14"/>
                <w:b w:val="1"/>
                <w:bCs w:val="1"/>
                <w:color w:val="auto"/>
              </w:rPr>
              <w:t>December 31, 2022</w:t>
            </w:r>
          </w:p>
        </w:tc>
      </w:tr>
      <w:tr>
        <w:trPr>
          <w:trHeight w:val="243"/>
        </w:trPr>
        <w:tc>
          <w:tcPr>
            <w:tcW w:w="8620" w:type="dxa"/>
            <w:vAlign w:val="bottom"/>
            <w:gridSpan w:val="3"/>
          </w:tcPr>
          <w:p>
            <w:pPr>
              <w:ind w:left="20"/>
              <w:spacing w:after="0"/>
              <w:rPr>
                <w:sz w:val="20"/>
                <w:szCs w:val="20"/>
                <w:color w:val="auto"/>
              </w:rPr>
            </w:pPr>
            <w:r>
              <w:rPr>
                <w:rFonts w:ascii="Arial" w:cs="Arial" w:eastAsia="Arial" w:hAnsi="Arial"/>
                <w:sz w:val="15"/>
                <w:szCs w:val="15"/>
                <w:color w:val="auto"/>
              </w:rPr>
              <w:t>Counterparty:</w:t>
            </w:r>
            <w:r>
              <w:rPr>
                <w:rFonts w:ascii="Arial" w:cs="Arial" w:eastAsia="Arial" w:hAnsi="Arial"/>
                <w:sz w:val="20"/>
                <w:szCs w:val="20"/>
                <w:color w:val="auto"/>
                <w:vertAlign w:val="superscript"/>
              </w:rPr>
              <w:t>(1)</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21"/>
        </w:trPr>
        <w:tc>
          <w:tcPr>
            <w:tcW w:w="8620" w:type="dxa"/>
            <w:vAlign w:val="bottom"/>
            <w:gridSpan w:val="3"/>
          </w:tcPr>
          <w:p>
            <w:pPr>
              <w:ind w:left="180"/>
              <w:spacing w:after="0"/>
              <w:rPr>
                <w:sz w:val="20"/>
                <w:szCs w:val="20"/>
                <w:color w:val="auto"/>
              </w:rPr>
            </w:pPr>
            <w:r>
              <w:rPr>
                <w:rFonts w:ascii="Arial" w:cs="Arial" w:eastAsia="Arial" w:hAnsi="Arial"/>
                <w:sz w:val="15"/>
                <w:szCs w:val="15"/>
                <w:color w:val="auto"/>
              </w:rPr>
              <w:t>Mortgage Guaranty Insurance Corp.</w:t>
            </w: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19 %</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19 %</w:t>
            </w:r>
          </w:p>
        </w:tc>
      </w:tr>
      <w:tr>
        <w:trPr>
          <w:trHeight w:val="232"/>
        </w:trPr>
        <w:tc>
          <w:tcPr>
            <w:tcW w:w="8620" w:type="dxa"/>
            <w:vAlign w:val="bottom"/>
            <w:gridSpan w:val="3"/>
          </w:tcPr>
          <w:p>
            <w:pPr>
              <w:ind w:left="180"/>
              <w:spacing w:after="0"/>
              <w:rPr>
                <w:sz w:val="20"/>
                <w:szCs w:val="20"/>
                <w:color w:val="auto"/>
              </w:rPr>
            </w:pPr>
            <w:r>
              <w:rPr>
                <w:rFonts w:ascii="Arial" w:cs="Arial" w:eastAsia="Arial" w:hAnsi="Arial"/>
                <w:sz w:val="15"/>
                <w:szCs w:val="15"/>
                <w:color w:val="auto"/>
              </w:rPr>
              <w:t>Arch Capital Group Ltd.</w:t>
            </w:r>
          </w:p>
        </w:tc>
        <w:tc>
          <w:tcPr>
            <w:tcW w:w="500" w:type="dxa"/>
            <w:vAlign w:val="bottom"/>
          </w:tcPr>
          <w:p>
            <w:pPr>
              <w:jc w:val="right"/>
              <w:ind w:right="124"/>
              <w:spacing w:after="0"/>
              <w:rPr>
                <w:sz w:val="20"/>
                <w:szCs w:val="20"/>
                <w:color w:val="auto"/>
              </w:rPr>
            </w:pPr>
            <w:r>
              <w:rPr>
                <w:rFonts w:ascii="Arial" w:cs="Arial" w:eastAsia="Arial" w:hAnsi="Arial"/>
                <w:sz w:val="15"/>
                <w:szCs w:val="15"/>
                <w:b w:val="1"/>
                <w:bCs w:val="1"/>
                <w:color w:val="auto"/>
              </w:rPr>
              <w:t>18</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0" w:type="dxa"/>
            <w:vAlign w:val="bottom"/>
          </w:tcPr>
          <w:p>
            <w:pPr>
              <w:jc w:val="right"/>
              <w:ind w:right="143"/>
              <w:spacing w:after="0"/>
              <w:rPr>
                <w:sz w:val="20"/>
                <w:szCs w:val="20"/>
                <w:color w:val="auto"/>
              </w:rPr>
            </w:pPr>
            <w:r>
              <w:rPr>
                <w:rFonts w:ascii="Arial" w:cs="Arial" w:eastAsia="Arial" w:hAnsi="Arial"/>
                <w:sz w:val="15"/>
                <w:szCs w:val="15"/>
                <w:color w:val="auto"/>
              </w:rPr>
              <w:t>18</w:t>
            </w:r>
          </w:p>
        </w:tc>
      </w:tr>
      <w:tr>
        <w:trPr>
          <w:trHeight w:val="245"/>
        </w:trPr>
        <w:tc>
          <w:tcPr>
            <w:tcW w:w="8620" w:type="dxa"/>
            <w:vAlign w:val="bottom"/>
            <w:gridSpan w:val="3"/>
          </w:tcPr>
          <w:p>
            <w:pPr>
              <w:ind w:left="180"/>
              <w:spacing w:after="0"/>
              <w:rPr>
                <w:sz w:val="20"/>
                <w:szCs w:val="20"/>
                <w:color w:val="auto"/>
              </w:rPr>
            </w:pPr>
            <w:r>
              <w:rPr>
                <w:rFonts w:ascii="Arial" w:cs="Arial" w:eastAsia="Arial" w:hAnsi="Arial"/>
                <w:sz w:val="15"/>
                <w:szCs w:val="15"/>
                <w:color w:val="auto"/>
              </w:rPr>
              <w:t>Radian Guaranty, Inc.</w:t>
            </w:r>
          </w:p>
        </w:tc>
        <w:tc>
          <w:tcPr>
            <w:tcW w:w="500" w:type="dxa"/>
            <w:vAlign w:val="bottom"/>
          </w:tcPr>
          <w:p>
            <w:pPr>
              <w:jc w:val="right"/>
              <w:ind w:right="124"/>
              <w:spacing w:after="0"/>
              <w:rPr>
                <w:sz w:val="20"/>
                <w:szCs w:val="20"/>
                <w:color w:val="auto"/>
              </w:rPr>
            </w:pPr>
            <w:r>
              <w:rPr>
                <w:rFonts w:ascii="Arial" w:cs="Arial" w:eastAsia="Arial" w:hAnsi="Arial"/>
                <w:sz w:val="15"/>
                <w:szCs w:val="15"/>
                <w:b w:val="1"/>
                <w:bCs w:val="1"/>
                <w:color w:val="auto"/>
              </w:rPr>
              <w:t>17</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60" w:type="dxa"/>
            <w:vAlign w:val="bottom"/>
          </w:tcPr>
          <w:p>
            <w:pPr>
              <w:jc w:val="right"/>
              <w:ind w:right="143"/>
              <w:spacing w:after="0"/>
              <w:rPr>
                <w:sz w:val="20"/>
                <w:szCs w:val="20"/>
                <w:color w:val="auto"/>
              </w:rPr>
            </w:pPr>
            <w:r>
              <w:rPr>
                <w:rFonts w:ascii="Arial" w:cs="Arial" w:eastAsia="Arial" w:hAnsi="Arial"/>
                <w:sz w:val="15"/>
                <w:szCs w:val="15"/>
                <w:color w:val="auto"/>
              </w:rPr>
              <w:t>17</w:t>
            </w:r>
          </w:p>
        </w:tc>
      </w:tr>
      <w:tr>
        <w:trPr>
          <w:trHeight w:val="232"/>
        </w:trPr>
        <w:tc>
          <w:tcPr>
            <w:tcW w:w="8620" w:type="dxa"/>
            <w:vAlign w:val="bottom"/>
            <w:gridSpan w:val="3"/>
          </w:tcPr>
          <w:p>
            <w:pPr>
              <w:ind w:left="180"/>
              <w:spacing w:after="0"/>
              <w:rPr>
                <w:sz w:val="20"/>
                <w:szCs w:val="20"/>
                <w:color w:val="auto"/>
              </w:rPr>
            </w:pPr>
            <w:r>
              <w:rPr>
                <w:rFonts w:ascii="Arial" w:cs="Arial" w:eastAsia="Arial" w:hAnsi="Arial"/>
                <w:sz w:val="15"/>
                <w:szCs w:val="15"/>
                <w:color w:val="auto"/>
              </w:rPr>
              <w:t>Enact Mortgage Insurance Corp.</w:t>
            </w:r>
          </w:p>
        </w:tc>
        <w:tc>
          <w:tcPr>
            <w:tcW w:w="500" w:type="dxa"/>
            <w:vAlign w:val="bottom"/>
          </w:tcPr>
          <w:p>
            <w:pPr>
              <w:jc w:val="right"/>
              <w:ind w:right="124"/>
              <w:spacing w:after="0"/>
              <w:rPr>
                <w:sz w:val="20"/>
                <w:szCs w:val="20"/>
                <w:color w:val="auto"/>
              </w:rPr>
            </w:pPr>
            <w:r>
              <w:rPr>
                <w:rFonts w:ascii="Arial" w:cs="Arial" w:eastAsia="Arial" w:hAnsi="Arial"/>
                <w:sz w:val="15"/>
                <w:szCs w:val="15"/>
                <w:b w:val="1"/>
                <w:bCs w:val="1"/>
                <w:color w:val="auto"/>
              </w:rPr>
              <w:t>17</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0" w:type="dxa"/>
            <w:vAlign w:val="bottom"/>
          </w:tcPr>
          <w:p>
            <w:pPr>
              <w:jc w:val="right"/>
              <w:ind w:right="143"/>
              <w:spacing w:after="0"/>
              <w:rPr>
                <w:sz w:val="20"/>
                <w:szCs w:val="20"/>
                <w:color w:val="auto"/>
              </w:rPr>
            </w:pPr>
            <w:r>
              <w:rPr>
                <w:rFonts w:ascii="Arial" w:cs="Arial" w:eastAsia="Arial" w:hAnsi="Arial"/>
                <w:sz w:val="15"/>
                <w:szCs w:val="15"/>
                <w:color w:val="auto"/>
              </w:rPr>
              <w:t>17</w:t>
            </w:r>
          </w:p>
        </w:tc>
      </w:tr>
      <w:tr>
        <w:trPr>
          <w:trHeight w:val="245"/>
        </w:trPr>
        <w:tc>
          <w:tcPr>
            <w:tcW w:w="8620" w:type="dxa"/>
            <w:vAlign w:val="bottom"/>
            <w:gridSpan w:val="3"/>
          </w:tcPr>
          <w:p>
            <w:pPr>
              <w:ind w:left="180"/>
              <w:spacing w:after="0"/>
              <w:rPr>
                <w:sz w:val="20"/>
                <w:szCs w:val="20"/>
                <w:color w:val="auto"/>
              </w:rPr>
            </w:pPr>
            <w:r>
              <w:rPr>
                <w:rFonts w:ascii="Arial" w:cs="Arial" w:eastAsia="Arial" w:hAnsi="Arial"/>
                <w:sz w:val="15"/>
                <w:szCs w:val="15"/>
                <w:color w:val="auto"/>
              </w:rPr>
              <w:t>Essent Guaranty, Inc.</w:t>
            </w:r>
          </w:p>
        </w:tc>
        <w:tc>
          <w:tcPr>
            <w:tcW w:w="500" w:type="dxa"/>
            <w:vAlign w:val="bottom"/>
          </w:tcPr>
          <w:p>
            <w:pPr>
              <w:jc w:val="right"/>
              <w:ind w:right="124"/>
              <w:spacing w:after="0"/>
              <w:rPr>
                <w:sz w:val="20"/>
                <w:szCs w:val="20"/>
                <w:color w:val="auto"/>
              </w:rPr>
            </w:pPr>
            <w:r>
              <w:rPr>
                <w:rFonts w:ascii="Arial" w:cs="Arial" w:eastAsia="Arial" w:hAnsi="Arial"/>
                <w:sz w:val="15"/>
                <w:szCs w:val="15"/>
                <w:b w:val="1"/>
                <w:bCs w:val="1"/>
                <w:color w:val="auto"/>
              </w:rPr>
              <w:t>16</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60" w:type="dxa"/>
            <w:vAlign w:val="bottom"/>
          </w:tcPr>
          <w:p>
            <w:pPr>
              <w:jc w:val="right"/>
              <w:ind w:right="143"/>
              <w:spacing w:after="0"/>
              <w:rPr>
                <w:sz w:val="20"/>
                <w:szCs w:val="20"/>
                <w:color w:val="auto"/>
              </w:rPr>
            </w:pPr>
            <w:r>
              <w:rPr>
                <w:rFonts w:ascii="Arial" w:cs="Arial" w:eastAsia="Arial" w:hAnsi="Arial"/>
                <w:sz w:val="15"/>
                <w:szCs w:val="15"/>
                <w:color w:val="auto"/>
              </w:rPr>
              <w:t>16</w:t>
            </w:r>
          </w:p>
        </w:tc>
      </w:tr>
      <w:tr>
        <w:trPr>
          <w:trHeight w:val="232"/>
        </w:trPr>
        <w:tc>
          <w:tcPr>
            <w:tcW w:w="8620" w:type="dxa"/>
            <w:vAlign w:val="bottom"/>
            <w:gridSpan w:val="3"/>
          </w:tcPr>
          <w:p>
            <w:pPr>
              <w:ind w:left="180"/>
              <w:spacing w:after="0"/>
              <w:rPr>
                <w:sz w:val="20"/>
                <w:szCs w:val="20"/>
                <w:color w:val="auto"/>
              </w:rPr>
            </w:pPr>
            <w:r>
              <w:rPr>
                <w:rFonts w:ascii="Arial" w:cs="Arial" w:eastAsia="Arial" w:hAnsi="Arial"/>
                <w:sz w:val="15"/>
                <w:szCs w:val="15"/>
                <w:color w:val="auto"/>
              </w:rPr>
              <w:t>National Mortgage Insurance Corp.</w:t>
            </w:r>
          </w:p>
        </w:tc>
        <w:tc>
          <w:tcPr>
            <w:tcW w:w="500" w:type="dxa"/>
            <w:vAlign w:val="bottom"/>
          </w:tcPr>
          <w:p>
            <w:pPr>
              <w:jc w:val="right"/>
              <w:ind w:right="124"/>
              <w:spacing w:after="0"/>
              <w:rPr>
                <w:sz w:val="20"/>
                <w:szCs w:val="20"/>
                <w:color w:val="auto"/>
              </w:rPr>
            </w:pPr>
            <w:r>
              <w:rPr>
                <w:rFonts w:ascii="Arial" w:cs="Arial" w:eastAsia="Arial" w:hAnsi="Arial"/>
                <w:sz w:val="15"/>
                <w:szCs w:val="15"/>
                <w:b w:val="1"/>
                <w:bCs w:val="1"/>
                <w:color w:val="auto"/>
              </w:rPr>
              <w:t>12</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0" w:type="dxa"/>
            <w:vAlign w:val="bottom"/>
          </w:tcPr>
          <w:p>
            <w:pPr>
              <w:jc w:val="right"/>
              <w:ind w:right="143"/>
              <w:spacing w:after="0"/>
              <w:rPr>
                <w:sz w:val="20"/>
                <w:szCs w:val="20"/>
                <w:color w:val="auto"/>
              </w:rPr>
            </w:pPr>
            <w:r>
              <w:rPr>
                <w:rFonts w:ascii="Arial" w:cs="Arial" w:eastAsia="Arial" w:hAnsi="Arial"/>
                <w:sz w:val="15"/>
                <w:szCs w:val="15"/>
                <w:color w:val="auto"/>
              </w:rPr>
              <w:t>12</w:t>
            </w:r>
          </w:p>
        </w:tc>
      </w:tr>
      <w:tr>
        <w:trPr>
          <w:trHeight w:val="226"/>
        </w:trPr>
        <w:tc>
          <w:tcPr>
            <w:tcW w:w="704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Others</w:t>
            </w:r>
          </w:p>
        </w:tc>
        <w:tc>
          <w:tcPr>
            <w:tcW w:w="100" w:type="dxa"/>
            <w:vAlign w:val="bottom"/>
          </w:tcPr>
          <w:p>
            <w:pPr>
              <w:spacing w:after="0"/>
              <w:rPr>
                <w:sz w:val="19"/>
                <w:szCs w:val="19"/>
                <w:color w:val="auto"/>
              </w:rPr>
            </w:pPr>
          </w:p>
        </w:tc>
        <w:tc>
          <w:tcPr>
            <w:tcW w:w="1480" w:type="dxa"/>
            <w:vAlign w:val="bottom"/>
            <w:tcBorders>
              <w:bottom w:val="single" w:sz="8" w:color="2C6937"/>
            </w:tcBorders>
          </w:tcPr>
          <w:p>
            <w:pPr>
              <w:spacing w:after="0"/>
              <w:rPr>
                <w:sz w:val="19"/>
                <w:szCs w:val="19"/>
                <w:color w:val="auto"/>
              </w:rPr>
            </w:pPr>
          </w:p>
        </w:tc>
        <w:tc>
          <w:tcPr>
            <w:tcW w:w="500" w:type="dxa"/>
            <w:vAlign w:val="bottom"/>
            <w:tcBorders>
              <w:bottom w:val="single" w:sz="8" w:color="2C6937"/>
            </w:tcBorders>
          </w:tcPr>
          <w:p>
            <w:pPr>
              <w:jc w:val="right"/>
              <w:ind w:right="124"/>
              <w:spacing w:after="0"/>
              <w:rPr>
                <w:sz w:val="20"/>
                <w:szCs w:val="20"/>
                <w:color w:val="auto"/>
              </w:rPr>
            </w:pPr>
            <w:r>
              <w:rPr>
                <w:rFonts w:ascii="Arial" w:cs="Arial" w:eastAsia="Arial" w:hAnsi="Arial"/>
                <w:sz w:val="15"/>
                <w:szCs w:val="15"/>
                <w:b w:val="1"/>
                <w:bCs w:val="1"/>
                <w:color w:val="auto"/>
              </w:rPr>
              <w:t>1</w:t>
            </w:r>
          </w:p>
        </w:tc>
        <w:tc>
          <w:tcPr>
            <w:tcW w:w="100" w:type="dxa"/>
            <w:vAlign w:val="bottom"/>
          </w:tcPr>
          <w:p>
            <w:pPr>
              <w:spacing w:after="0"/>
              <w:rPr>
                <w:sz w:val="19"/>
                <w:szCs w:val="19"/>
                <w:color w:val="auto"/>
              </w:rPr>
            </w:pPr>
          </w:p>
        </w:tc>
        <w:tc>
          <w:tcPr>
            <w:tcW w:w="1240" w:type="dxa"/>
            <w:vAlign w:val="bottom"/>
            <w:tcBorders>
              <w:bottom w:val="single" w:sz="8" w:color="2C6937"/>
            </w:tcBorders>
          </w:tcPr>
          <w:p>
            <w:pPr>
              <w:spacing w:after="0"/>
              <w:rPr>
                <w:sz w:val="19"/>
                <w:szCs w:val="19"/>
                <w:color w:val="auto"/>
              </w:rPr>
            </w:pPr>
          </w:p>
        </w:tc>
        <w:tc>
          <w:tcPr>
            <w:tcW w:w="760" w:type="dxa"/>
            <w:vAlign w:val="bottom"/>
            <w:tcBorders>
              <w:bottom w:val="single" w:sz="8" w:color="2C6937"/>
            </w:tcBorders>
          </w:tcPr>
          <w:p>
            <w:pPr>
              <w:jc w:val="right"/>
              <w:ind w:right="143"/>
              <w:spacing w:after="0"/>
              <w:rPr>
                <w:sz w:val="20"/>
                <w:szCs w:val="20"/>
                <w:color w:val="auto"/>
              </w:rPr>
            </w:pPr>
            <w:r>
              <w:rPr>
                <w:rFonts w:ascii="Arial" w:cs="Arial" w:eastAsia="Arial" w:hAnsi="Arial"/>
                <w:sz w:val="15"/>
                <w:szCs w:val="15"/>
                <w:color w:val="auto"/>
              </w:rPr>
              <w:t>1</w:t>
            </w:r>
          </w:p>
        </w:tc>
      </w:tr>
      <w:tr>
        <w:trPr>
          <w:trHeight w:val="238"/>
        </w:trPr>
        <w:tc>
          <w:tcPr>
            <w:tcW w:w="8620" w:type="dxa"/>
            <w:vAlign w:val="bottom"/>
            <w:gridSpan w:val="3"/>
          </w:tcPr>
          <w:p>
            <w:pPr>
              <w:ind w:left="320"/>
              <w:spacing w:after="0"/>
              <w:rPr>
                <w:sz w:val="20"/>
                <w:szCs w:val="20"/>
                <w:color w:val="auto"/>
              </w:rPr>
            </w:pPr>
            <w:r>
              <w:rPr>
                <w:rFonts w:ascii="Arial" w:cs="Arial" w:eastAsia="Arial" w:hAnsi="Arial"/>
                <w:sz w:val="15"/>
                <w:szCs w:val="15"/>
                <w:color w:val="auto"/>
              </w:rPr>
              <w:t>Total</w:t>
            </w: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100 %</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100 %</w:t>
            </w:r>
          </w:p>
        </w:tc>
      </w:tr>
      <w:tr>
        <w:trPr>
          <w:trHeight w:val="20"/>
        </w:trPr>
        <w:tc>
          <w:tcPr>
            <w:tcW w:w="70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2C6937"/>
              <w:bottom w:val="single" w:sz="8" w:color="2C6937"/>
            </w:tcBorders>
          </w:tcPr>
          <w:p>
            <w:pPr>
              <w:spacing w:after="0" w:line="20" w:lineRule="exact"/>
              <w:rPr>
                <w:sz w:val="1"/>
                <w:szCs w:val="1"/>
                <w:color w:val="auto"/>
              </w:rPr>
            </w:pPr>
          </w:p>
        </w:tc>
        <w:tc>
          <w:tcPr>
            <w:tcW w:w="5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r>
    </w:tbl>
    <w:p>
      <w:pPr>
        <w:spacing w:after="0" w:line="111" w:lineRule="exact"/>
        <w:rPr>
          <w:sz w:val="20"/>
          <w:szCs w:val="20"/>
          <w:color w:val="auto"/>
        </w:rPr>
      </w:pPr>
    </w:p>
    <w:p>
      <w:pPr>
        <w:ind w:left="240" w:hanging="237"/>
        <w:spacing w:after="0"/>
        <w:tabs>
          <w:tab w:leader="none" w:pos="240" w:val="left"/>
        </w:tabs>
        <w:numPr>
          <w:ilvl w:val="0"/>
          <w:numId w:val="103"/>
        </w:numPr>
        <w:rPr>
          <w:rFonts w:ascii="Arial" w:cs="Arial" w:eastAsia="Arial" w:hAnsi="Arial"/>
          <w:sz w:val="9"/>
          <w:szCs w:val="9"/>
          <w:color w:val="auto"/>
        </w:rPr>
      </w:pPr>
      <w:r>
        <w:rPr>
          <w:rFonts w:ascii="Arial" w:cs="Arial" w:eastAsia="Arial" w:hAnsi="Arial"/>
          <w:sz w:val="14"/>
          <w:szCs w:val="14"/>
          <w:color w:val="auto"/>
        </w:rPr>
        <w:t>Insurance coverage amounts provided for each counterparty may include coverage provided by affiliates and subsidiaries of the counterparty.</w:t>
      </w:r>
    </w:p>
    <w:p>
      <w:pPr>
        <w:spacing w:after="0" w:line="72"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We have counterparty credit risk relating to the potential insolvency of, or non-performance by, monoline mortgage insurers that insure single-family loans we purchase or guarantee. There is risk that these counterparties may fail to fulfill their obligations to pay our claims under insurance policies. On at least a quarterly basis, we assess our mortgage insurer counterparties’ respective abilities to fulfill their obligations to us. Our assessment includes financial reviews and analyses of the insurers’ portfolios and capital adequacy. If we determine that it is probable that we will not collect all of our claims from one or more of our mortgage insurer counterparties, it could increase our loss reserves, which could adversely affect our results of operations, liquidity, financial condition and net worth.</w:t>
      </w:r>
    </w:p>
    <w:p>
      <w:pPr>
        <w:spacing w:after="0" w:line="50" w:lineRule="exact"/>
        <w:rPr>
          <w:sz w:val="20"/>
          <w:szCs w:val="20"/>
          <w:color w:val="auto"/>
        </w:rPr>
      </w:pPr>
    </w:p>
    <w:p>
      <w:pPr>
        <w:ind w:right="260"/>
        <w:spacing w:after="0" w:line="268" w:lineRule="auto"/>
        <w:rPr>
          <w:sz w:val="20"/>
          <w:szCs w:val="20"/>
          <w:color w:val="auto"/>
        </w:rPr>
      </w:pPr>
      <w:r>
        <w:rPr>
          <w:rFonts w:ascii="Arial" w:cs="Arial" w:eastAsia="Arial" w:hAnsi="Arial"/>
          <w:sz w:val="16"/>
          <w:szCs w:val="16"/>
          <w:color w:val="auto"/>
        </w:rPr>
        <w:t>When we estimate the credit losses that are inherent in our mortgage loans and under the terms of our guaranty obligations, we also consider the recoveries that we expect to receive from primary mortgage insurance, as mortgage insurance recoveries reduce the severity of the loss associated with defaulted loans if the borrower defaults and title to the property is subsequently transferred. Mortgage insurance does not cover credit losses that result from a reduction in mortgage interest paid by the borrower in connection with a loan modification, forbearance of principal, or forbearance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365760</wp:posOffset>
            </wp:positionV>
            <wp:extent cx="681101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164070" cy="4191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type w:val="continuous"/>
        </w:sectPr>
      </w:pPr>
    </w:p>
    <w:bookmarkStart w:id="105" w:name="page106"/>
    <w:bookmarkEnd w:id="105"/>
    <w:p>
      <w:pPr>
        <w:ind w:left="5820"/>
        <w:spacing w:after="0"/>
        <w:rPr>
          <w:sz w:val="20"/>
          <w:szCs w:val="20"/>
          <w:color w:val="auto"/>
        </w:rPr>
      </w:pPr>
      <w:r>
        <w:rPr>
          <w:rFonts w:ascii="Arial" w:cs="Arial" w:eastAsia="Arial" w:hAnsi="Arial"/>
          <w:sz w:val="14"/>
          <w:szCs w:val="14"/>
          <w:color w:val="05314D"/>
        </w:rPr>
        <w:t>Notes to Condensed Consolidated Financial Statements | Concentrations of 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15875</wp:posOffset>
            </wp:positionV>
            <wp:extent cx="702373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of scheduled loan payments. We evaluate the financial condition of our mortgage insurer counterparties and adjust the contractually due recovery amounts to ensure that expected credit losses as of the balance sheet date are included in our loss reserve estimate. As a result, if our assessment of one or more of our mortgage insurer counterparties’ ability to fulfill their respective obligations to us worsens, it could increase our loss reserves. As of June 30, 2023 and December 31, 2022, our estimated benefit from mortgage insurance, which is based on estimated credit losses as of period end, reduced our loss reserves by $1.8 billion and $2.2 billion, respectively.</w:t>
      </w:r>
    </w:p>
    <w:p>
      <w:pPr>
        <w:spacing w:after="0" w:line="45" w:lineRule="exact"/>
        <w:rPr>
          <w:sz w:val="20"/>
          <w:szCs w:val="20"/>
          <w:color w:val="auto"/>
        </w:rPr>
      </w:pPr>
    </w:p>
    <w:p>
      <w:pPr>
        <w:jc w:val="both"/>
        <w:ind w:right="180"/>
        <w:spacing w:after="0" w:line="267" w:lineRule="auto"/>
        <w:rPr>
          <w:sz w:val="20"/>
          <w:szCs w:val="20"/>
          <w:color w:val="auto"/>
        </w:rPr>
      </w:pPr>
      <w:r>
        <w:rPr>
          <w:rFonts w:ascii="Arial" w:cs="Arial" w:eastAsia="Arial" w:hAnsi="Arial"/>
          <w:sz w:val="16"/>
          <w:szCs w:val="16"/>
          <w:color w:val="auto"/>
        </w:rPr>
        <w:t>As of June 30, 2023 and December 31, 2022, we had outstanding receivables of $516 million and $515 million, respectively, recorded in “Other assets” in our condensed consolidated balance sheets related to amounts claimed on insured, defaulted loans excluding government-insured loans. As of June 30, 2023 and December 31, 2022, we assessed these outstanding receivables for collectability, and established a valuation allowance of $462 million.</w:t>
      </w:r>
    </w:p>
    <w:p>
      <w:pPr>
        <w:spacing w:after="0" w:line="52"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i w:val="1"/>
          <w:iCs w:val="1"/>
          <w:color w:val="auto"/>
        </w:rPr>
        <w:t xml:space="preserve">Mortgage Servicers and Sellers. </w:t>
      </w:r>
      <w:r>
        <w:rPr>
          <w:rFonts w:ascii="Arial" w:cs="Arial" w:eastAsia="Arial" w:hAnsi="Arial"/>
          <w:sz w:val="16"/>
          <w:szCs w:val="16"/>
          <w:color w:val="auto"/>
        </w:rPr>
        <w:t>Mortgage servicers collect mortgage and escrow payments from borrowers, pay taxes and insurance costs from escrow</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monitor and report delinquencies, and perform other required activities, including loss mitigation, on our behalf. Our mortgage servicers and sellers may also be obligated to repurchase loans or real estate owned (“REO”) properties, reimburse us for losses or provide other remedies under certain circumstances, such as if it is determined that the mortgage loan did not meet our underwriting or eligibility requirements, if certain loan representations and warranties are violated or if mortgage insurers rescind coverage. Our representation and warranty framework does not require repurchase for loans that have breaches of certain selling representations and warranties if they have met specified criteria for relief.</w:t>
      </w:r>
    </w:p>
    <w:p>
      <w:pPr>
        <w:spacing w:after="0" w:line="63"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Our business with mortgage servicers is concentrated. The table below displays the percentage of our single-family guaranty book of business serviced by our top five depository single-family mortgage servicers and top five non-depository single-family mortgage servicers (i.e., servicers that are not insured depository institutions) based on unpaid principal balance. There were no servicers that serviced 10% or more of our single-family guaranty book of business as of June 30, 2023 or December 31, 2022.</w:t>
      </w:r>
    </w:p>
    <w:p>
      <w:pPr>
        <w:spacing w:after="0" w:line="131"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Percentage of Single-Family</w:t>
      </w:r>
    </w:p>
    <w:p>
      <w:pPr>
        <w:spacing w:after="0" w:line="23"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4635500</wp:posOffset>
            </wp:positionH>
            <wp:positionV relativeFrom="paragraph">
              <wp:posOffset>17780</wp:posOffset>
            </wp:positionV>
            <wp:extent cx="250507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505075" cy="8255"/>
                    </a:xfrm>
                    <a:prstGeom prst="rect">
                      <a:avLst/>
                    </a:prstGeom>
                    <a:noFill/>
                  </pic:spPr>
                </pic:pic>
              </a:graphicData>
            </a:graphic>
          </wp:anchor>
        </w:drawing>
      </w:r>
    </w:p>
    <w:p>
      <w:pPr>
        <w:spacing w:after="0" w:line="35"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4635500</wp:posOffset>
            </wp:positionH>
            <wp:positionV relativeFrom="paragraph">
              <wp:posOffset>27940</wp:posOffset>
            </wp:positionV>
            <wp:extent cx="250507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505075" cy="8255"/>
                    </a:xfrm>
                    <a:prstGeom prst="rect">
                      <a:avLst/>
                    </a:prstGeom>
                    <a:noFill/>
                  </pic:spPr>
                </pic:pic>
              </a:graphicData>
            </a:graphic>
          </wp:anchor>
        </w:drawing>
      </w:r>
    </w:p>
    <w:p>
      <w:pPr>
        <w:spacing w:after="0" w:line="38" w:lineRule="exact"/>
        <w:rPr>
          <w:sz w:val="20"/>
          <w:szCs w:val="20"/>
          <w:color w:val="auto"/>
        </w:rPr>
      </w:pPr>
    </w:p>
    <w:p>
      <w:pPr>
        <w:ind w:left="7820"/>
        <w:spacing w:after="0"/>
        <w:tabs>
          <w:tab w:leader="none" w:pos="9640" w:val="left"/>
        </w:tabs>
        <w:rPr>
          <w:sz w:val="20"/>
          <w:szCs w:val="20"/>
          <w:color w:val="auto"/>
        </w:rPr>
      </w:pPr>
      <w:r>
        <w:rPr>
          <w:rFonts w:ascii="Arial" w:cs="Arial" w:eastAsia="Arial" w:hAnsi="Arial"/>
          <w:sz w:val="14"/>
          <w:szCs w:val="14"/>
          <w:b w:val="1"/>
          <w:bCs w:val="1"/>
          <w:color w:val="auto"/>
        </w:rPr>
        <w:t>June 30, 2023</w:t>
      </w:r>
      <w:r>
        <w:rPr>
          <w:sz w:val="20"/>
          <w:szCs w:val="20"/>
          <w:color w:val="auto"/>
        </w:rPr>
        <w:tab/>
      </w:r>
      <w:r>
        <w:rPr>
          <w:rFonts w:ascii="Arial" w:cs="Arial" w:eastAsia="Arial" w:hAnsi="Arial"/>
          <w:sz w:val="13"/>
          <w:szCs w:val="13"/>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4635500</wp:posOffset>
            </wp:positionH>
            <wp:positionV relativeFrom="paragraph">
              <wp:posOffset>11430</wp:posOffset>
            </wp:positionV>
            <wp:extent cx="250507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505075" cy="8255"/>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p>
      <w:pPr>
        <w:spacing w:after="0" w:line="49"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Top five depository servicers</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Top five non-depository servicers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45681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568190" cy="8255"/>
                    </a:xfrm>
                    <a:prstGeom prst="rect">
                      <a:avLst/>
                    </a:prstGeom>
                    <a:noFill/>
                  </pic:spPr>
                </pic:pic>
              </a:graphicData>
            </a:graphic>
          </wp:anchor>
        </w:drawing>
      </w:r>
    </w:p>
    <w:p>
      <w:pPr>
        <w:spacing w:after="0" w:line="6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wp:posOffset>
            </wp:positionV>
            <wp:extent cx="456819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5681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51435</wp:posOffset>
            </wp:positionV>
            <wp:extent cx="45681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5681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left="220" w:hanging="218"/>
        <w:spacing w:after="0"/>
        <w:tabs>
          <w:tab w:leader="none" w:pos="220" w:val="left"/>
        </w:tabs>
        <w:numPr>
          <w:ilvl w:val="0"/>
          <w:numId w:val="104"/>
        </w:numPr>
        <w:rPr>
          <w:rFonts w:ascii="Arial" w:cs="Arial" w:eastAsia="Arial" w:hAnsi="Arial"/>
          <w:sz w:val="15"/>
          <w:szCs w:val="15"/>
          <w:b w:val="1"/>
          <w:bCs w:val="1"/>
          <w:color w:val="auto"/>
        </w:rPr>
      </w:pPr>
      <w:r>
        <w:rPr>
          <w:rFonts w:ascii="Arial" w:cs="Arial" w:eastAsia="Arial" w:hAnsi="Arial"/>
          <w:sz w:val="15"/>
          <w:szCs w:val="15"/>
          <w:b w:val="1"/>
          <w:bCs w:val="1"/>
          <w:color w:val="auto"/>
        </w:rPr>
        <w:t>%</w:t>
      </w:r>
    </w:p>
    <w:p>
      <w:pPr>
        <w:spacing w:after="0" w:line="72" w:lineRule="exact"/>
        <w:rPr>
          <w:rFonts w:ascii="Arial" w:cs="Arial" w:eastAsia="Arial" w:hAnsi="Arial"/>
          <w:sz w:val="15"/>
          <w:szCs w:val="15"/>
          <w:b w:val="1"/>
          <w:bCs w:val="1"/>
          <w:color w:val="auto"/>
        </w:rPr>
      </w:pPr>
    </w:p>
    <w:p>
      <w:pPr>
        <w:spacing w:after="0"/>
        <w:tabs>
          <w:tab w:leader="none" w:pos="0" w:val="left"/>
        </w:tabs>
        <w:numPr>
          <w:ilvl w:val="0"/>
          <w:numId w:val="105"/>
        </w:numPr>
        <w:rPr>
          <w:rFonts w:ascii="Arial" w:cs="Arial" w:eastAsia="Arial" w:hAnsi="Arial"/>
          <w:sz w:val="15"/>
          <w:szCs w:val="15"/>
          <w:b w:val="1"/>
          <w:bCs w:val="1"/>
          <w:color w:val="auto"/>
        </w:rPr>
      </w:pPr>
    </w:p>
    <w:p>
      <w:pPr>
        <w:spacing w:after="0" w:line="72" w:lineRule="exact"/>
        <w:rPr>
          <w:rFonts w:ascii="Arial" w:cs="Arial" w:eastAsia="Arial" w:hAnsi="Arial"/>
          <w:sz w:val="15"/>
          <w:szCs w:val="15"/>
          <w:b w:val="1"/>
          <w:bCs w:val="1"/>
          <w:color w:val="auto"/>
        </w:rPr>
      </w:pPr>
    </w:p>
    <w:p>
      <w:pPr>
        <w:ind w:left="220" w:hanging="218"/>
        <w:spacing w:after="0"/>
        <w:tabs>
          <w:tab w:leader="none" w:pos="220" w:val="left"/>
        </w:tabs>
        <w:numPr>
          <w:ilvl w:val="0"/>
          <w:numId w:val="106"/>
        </w:numPr>
        <w:rPr>
          <w:rFonts w:ascii="Arial" w:cs="Arial" w:eastAsia="Arial" w:hAnsi="Arial"/>
          <w:sz w:val="15"/>
          <w:szCs w:val="15"/>
          <w:b w:val="1"/>
          <w:bCs w:val="1"/>
          <w:color w:val="auto"/>
        </w:rPr>
      </w:pP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-977265</wp:posOffset>
            </wp:positionH>
            <wp:positionV relativeFrom="paragraph">
              <wp:posOffset>-131445</wp:posOffset>
            </wp:positionV>
            <wp:extent cx="1211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11580" cy="8255"/>
                    </a:xfrm>
                    <a:prstGeom prst="rect">
                      <a:avLst/>
                    </a:prstGeom>
                    <a:noFill/>
                  </pic:spPr>
                </pic:pic>
              </a:graphicData>
            </a:graphic>
          </wp:anchor>
        </w:drawing>
        <w:drawing>
          <wp:anchor simplePos="0" relativeHeight="251657728" behindDoc="1" locked="0" layoutInCell="0" allowOverlap="1">
            <wp:simplePos x="0" y="0"/>
            <wp:positionH relativeFrom="column">
              <wp:posOffset>-977265</wp:posOffset>
            </wp:positionH>
            <wp:positionV relativeFrom="paragraph">
              <wp:posOffset>23495</wp:posOffset>
            </wp:positionV>
            <wp:extent cx="1211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11580" cy="8255"/>
                    </a:xfrm>
                    <a:prstGeom prst="rect">
                      <a:avLst/>
                    </a:prstGeom>
                    <a:noFill/>
                  </pic:spPr>
                </pic:pic>
              </a:graphicData>
            </a:graphic>
          </wp:anchor>
        </w:drawing>
        <w:drawing>
          <wp:anchor simplePos="0" relativeHeight="251657728" behindDoc="1" locked="0" layoutInCell="0" allowOverlap="1">
            <wp:simplePos x="0" y="0"/>
            <wp:positionH relativeFrom="column">
              <wp:posOffset>-977265</wp:posOffset>
            </wp:positionH>
            <wp:positionV relativeFrom="paragraph">
              <wp:posOffset>48260</wp:posOffset>
            </wp:positionV>
            <wp:extent cx="1211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228" w:hanging="228"/>
        <w:spacing w:after="0"/>
        <w:tabs>
          <w:tab w:leader="none" w:pos="228" w:val="left"/>
        </w:tabs>
        <w:numPr>
          <w:ilvl w:val="0"/>
          <w:numId w:val="107"/>
        </w:numPr>
        <w:rPr>
          <w:rFonts w:ascii="Arial" w:cs="Arial" w:eastAsia="Arial" w:hAnsi="Arial"/>
          <w:sz w:val="13"/>
          <w:szCs w:val="13"/>
          <w:color w:val="auto"/>
        </w:rPr>
      </w:pPr>
      <w:r>
        <w:rPr>
          <w:rFonts w:ascii="Arial" w:cs="Arial" w:eastAsia="Arial" w:hAnsi="Arial"/>
          <w:sz w:val="13"/>
          <w:szCs w:val="13"/>
          <w:color w:val="auto"/>
        </w:rPr>
        <w:t>%</w:t>
      </w:r>
    </w:p>
    <w:p>
      <w:pPr>
        <w:spacing w:after="0" w:line="95" w:lineRule="exact"/>
        <w:rPr>
          <w:rFonts w:ascii="Arial" w:cs="Arial" w:eastAsia="Arial" w:hAnsi="Arial"/>
          <w:sz w:val="13"/>
          <w:szCs w:val="13"/>
          <w:color w:val="auto"/>
        </w:rPr>
      </w:pPr>
    </w:p>
    <w:p>
      <w:pPr>
        <w:spacing w:after="0"/>
        <w:tabs>
          <w:tab w:leader="none" w:pos="0" w:val="left"/>
        </w:tabs>
        <w:numPr>
          <w:ilvl w:val="0"/>
          <w:numId w:val="107"/>
        </w:numPr>
        <w:rPr>
          <w:rFonts w:ascii="Arial" w:cs="Arial" w:eastAsia="Arial" w:hAnsi="Arial"/>
          <w:sz w:val="15"/>
          <w:szCs w:val="15"/>
          <w:color w:val="auto"/>
        </w:rPr>
      </w:pPr>
    </w:p>
    <w:p>
      <w:pPr>
        <w:spacing w:after="0" w:line="72" w:lineRule="exact"/>
        <w:rPr>
          <w:rFonts w:ascii="Arial" w:cs="Arial" w:eastAsia="Arial" w:hAnsi="Arial"/>
          <w:sz w:val="15"/>
          <w:szCs w:val="15"/>
          <w:color w:val="auto"/>
        </w:rPr>
      </w:pPr>
    </w:p>
    <w:p>
      <w:pPr>
        <w:ind w:left="228" w:hanging="228"/>
        <w:spacing w:after="0"/>
        <w:tabs>
          <w:tab w:leader="none" w:pos="228" w:val="left"/>
        </w:tabs>
        <w:numPr>
          <w:ilvl w:val="0"/>
          <w:numId w:val="108"/>
        </w:numPr>
        <w:rPr>
          <w:rFonts w:ascii="Arial" w:cs="Arial" w:eastAsia="Arial" w:hAnsi="Arial"/>
          <w:sz w:val="13"/>
          <w:szCs w:val="13"/>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-121920</wp:posOffset>
            </wp:positionV>
            <wp:extent cx="121983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1983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33020</wp:posOffset>
            </wp:positionV>
            <wp:extent cx="121983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1983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57785</wp:posOffset>
            </wp:positionV>
            <wp:extent cx="121983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3">
            <w:col w:w="8120" w:space="720"/>
            <w:col w:w="1312" w:space="720"/>
            <w:col w:w="368"/>
          </w:cols>
          <w:pgMar w:left="320" w:top="250" w:right="339" w:bottom="1440" w:gutter="0" w:footer="0" w:header="0"/>
          <w:type w:val="continuous"/>
        </w:sectPr>
      </w:pPr>
    </w:p>
    <w:p>
      <w:pPr>
        <w:spacing w:after="0" w:line="25"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table below displays the percentage of our multifamily guaranty book of business serviced by our top five depository multifamily mortgage servicers and top five non-depository multifamily mortgage servicers. As of June 30, 2023, Walker &amp; Dunlop, Inc. and Wells Fargo Bank, N.A. (together with its affiliates) serviced 13% and 10%, respectively, of our multifamily guaranty book of business based on unpaid principal balance, compared with 13% and 11% as of December 31, 2022.</w:t>
      </w:r>
    </w:p>
    <w:p>
      <w:pPr>
        <w:spacing w:after="0" w:line="100"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Percentage of Multifamily</w:t>
      </w:r>
    </w:p>
    <w:p>
      <w:pPr>
        <w:spacing w:after="0" w:line="23"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4635500</wp:posOffset>
            </wp:positionH>
            <wp:positionV relativeFrom="paragraph">
              <wp:posOffset>9525</wp:posOffset>
            </wp:positionV>
            <wp:extent cx="250507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505075" cy="8255"/>
                    </a:xfrm>
                    <a:prstGeom prst="rect">
                      <a:avLst/>
                    </a:prstGeom>
                    <a:noFill/>
                  </pic:spPr>
                </pic:pic>
              </a:graphicData>
            </a:graphic>
          </wp:anchor>
        </w:drawing>
      </w:r>
    </w:p>
    <w:p>
      <w:pPr>
        <w:spacing w:after="0" w:line="22"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4635500</wp:posOffset>
            </wp:positionH>
            <wp:positionV relativeFrom="paragraph">
              <wp:posOffset>27940</wp:posOffset>
            </wp:positionV>
            <wp:extent cx="250507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505075" cy="8255"/>
                    </a:xfrm>
                    <a:prstGeom prst="rect">
                      <a:avLst/>
                    </a:prstGeom>
                    <a:noFill/>
                  </pic:spPr>
                </pic:pic>
              </a:graphicData>
            </a:graphic>
          </wp:anchor>
        </w:drawing>
      </w:r>
    </w:p>
    <w:p>
      <w:pPr>
        <w:spacing w:after="0" w:line="38" w:lineRule="exact"/>
        <w:rPr>
          <w:sz w:val="20"/>
          <w:szCs w:val="20"/>
          <w:color w:val="auto"/>
        </w:rPr>
      </w:pPr>
    </w:p>
    <w:p>
      <w:pPr>
        <w:ind w:left="7820"/>
        <w:spacing w:after="0"/>
        <w:tabs>
          <w:tab w:leader="none" w:pos="9640" w:val="left"/>
        </w:tabs>
        <w:rPr>
          <w:sz w:val="20"/>
          <w:szCs w:val="20"/>
          <w:color w:val="auto"/>
        </w:rPr>
      </w:pPr>
      <w:r>
        <w:rPr>
          <w:rFonts w:ascii="Arial" w:cs="Arial" w:eastAsia="Arial" w:hAnsi="Arial"/>
          <w:sz w:val="14"/>
          <w:szCs w:val="14"/>
          <w:b w:val="1"/>
          <w:bCs w:val="1"/>
          <w:color w:val="auto"/>
        </w:rPr>
        <w:t>June 30, 2023</w:t>
      </w:r>
      <w:r>
        <w:rPr>
          <w:sz w:val="20"/>
          <w:szCs w:val="20"/>
          <w:color w:val="auto"/>
        </w:rPr>
        <w:tab/>
      </w:r>
      <w:r>
        <w:rPr>
          <w:rFonts w:ascii="Arial" w:cs="Arial" w:eastAsia="Arial" w:hAnsi="Arial"/>
          <w:sz w:val="13"/>
          <w:szCs w:val="13"/>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4635500</wp:posOffset>
            </wp:positionH>
            <wp:positionV relativeFrom="paragraph">
              <wp:posOffset>19685</wp:posOffset>
            </wp:positionV>
            <wp:extent cx="250507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505075" cy="8255"/>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type w:val="continuous"/>
        </w:sectPr>
      </w:pPr>
    </w:p>
    <w:p>
      <w:pPr>
        <w:spacing w:after="0" w:line="49"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Top five depository servicers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Top five non-depository servicers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wp:posOffset>
            </wp:positionV>
            <wp:extent cx="45681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4568190" cy="8255"/>
                    </a:xfrm>
                    <a:prstGeom prst="rect">
                      <a:avLst/>
                    </a:prstGeom>
                    <a:noFill/>
                  </pic:spPr>
                </pic:pic>
              </a:graphicData>
            </a:graphic>
          </wp:anchor>
        </w:drawing>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45681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5681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59690</wp:posOffset>
            </wp:positionV>
            <wp:extent cx="45681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5681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left="220" w:hanging="218"/>
        <w:spacing w:after="0"/>
        <w:tabs>
          <w:tab w:leader="none" w:pos="220" w:val="left"/>
        </w:tabs>
        <w:numPr>
          <w:ilvl w:val="0"/>
          <w:numId w:val="109"/>
        </w:numPr>
        <w:rPr>
          <w:rFonts w:ascii="Arial" w:cs="Arial" w:eastAsia="Arial" w:hAnsi="Arial"/>
          <w:sz w:val="15"/>
          <w:szCs w:val="15"/>
          <w:b w:val="1"/>
          <w:bCs w:val="1"/>
          <w:color w:val="auto"/>
        </w:rPr>
      </w:pPr>
      <w:r>
        <w:rPr>
          <w:rFonts w:ascii="Arial" w:cs="Arial" w:eastAsia="Arial" w:hAnsi="Arial"/>
          <w:sz w:val="15"/>
          <w:szCs w:val="15"/>
          <w:b w:val="1"/>
          <w:bCs w:val="1"/>
          <w:color w:val="auto"/>
        </w:rPr>
        <w:t>%</w:t>
      </w:r>
    </w:p>
    <w:p>
      <w:pPr>
        <w:spacing w:after="0" w:line="59" w:lineRule="exact"/>
        <w:rPr>
          <w:rFonts w:ascii="Arial" w:cs="Arial" w:eastAsia="Arial" w:hAnsi="Arial"/>
          <w:sz w:val="15"/>
          <w:szCs w:val="15"/>
          <w:b w:val="1"/>
          <w:bCs w:val="1"/>
          <w:color w:val="auto"/>
        </w:rPr>
      </w:pPr>
    </w:p>
    <w:p>
      <w:pPr>
        <w:spacing w:after="0"/>
        <w:tabs>
          <w:tab w:leader="none" w:pos="0" w:val="left"/>
        </w:tabs>
        <w:numPr>
          <w:ilvl w:val="0"/>
          <w:numId w:val="110"/>
        </w:numPr>
        <w:rPr>
          <w:rFonts w:ascii="Arial" w:cs="Arial" w:eastAsia="Arial" w:hAnsi="Arial"/>
          <w:sz w:val="15"/>
          <w:szCs w:val="15"/>
          <w:b w:val="1"/>
          <w:bCs w:val="1"/>
          <w:color w:val="auto"/>
        </w:rPr>
      </w:pPr>
    </w:p>
    <w:p>
      <w:pPr>
        <w:spacing w:after="0" w:line="85" w:lineRule="exact"/>
        <w:rPr>
          <w:rFonts w:ascii="Arial" w:cs="Arial" w:eastAsia="Arial" w:hAnsi="Arial"/>
          <w:sz w:val="15"/>
          <w:szCs w:val="15"/>
          <w:b w:val="1"/>
          <w:bCs w:val="1"/>
          <w:color w:val="auto"/>
        </w:rPr>
      </w:pPr>
    </w:p>
    <w:p>
      <w:pPr>
        <w:ind w:left="220" w:hanging="218"/>
        <w:spacing w:after="0"/>
        <w:tabs>
          <w:tab w:leader="none" w:pos="220" w:val="left"/>
        </w:tabs>
        <w:numPr>
          <w:ilvl w:val="0"/>
          <w:numId w:val="111"/>
        </w:numPr>
        <w:rPr>
          <w:rFonts w:ascii="Arial" w:cs="Arial" w:eastAsia="Arial" w:hAnsi="Arial"/>
          <w:sz w:val="15"/>
          <w:szCs w:val="15"/>
          <w:b w:val="1"/>
          <w:bCs w:val="1"/>
          <w:color w:val="auto"/>
        </w:rPr>
      </w:pP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-977265</wp:posOffset>
            </wp:positionH>
            <wp:positionV relativeFrom="paragraph">
              <wp:posOffset>-139700</wp:posOffset>
            </wp:positionV>
            <wp:extent cx="1211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11580" cy="8255"/>
                    </a:xfrm>
                    <a:prstGeom prst="rect">
                      <a:avLst/>
                    </a:prstGeom>
                    <a:noFill/>
                  </pic:spPr>
                </pic:pic>
              </a:graphicData>
            </a:graphic>
          </wp:anchor>
        </w:drawing>
        <w:drawing>
          <wp:anchor simplePos="0" relativeHeight="251657728" behindDoc="1" locked="0" layoutInCell="0" allowOverlap="1">
            <wp:simplePos x="0" y="0"/>
            <wp:positionH relativeFrom="column">
              <wp:posOffset>-977265</wp:posOffset>
            </wp:positionH>
            <wp:positionV relativeFrom="paragraph">
              <wp:posOffset>23495</wp:posOffset>
            </wp:positionV>
            <wp:extent cx="1211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11580" cy="8255"/>
                    </a:xfrm>
                    <a:prstGeom prst="rect">
                      <a:avLst/>
                    </a:prstGeom>
                    <a:noFill/>
                  </pic:spPr>
                </pic:pic>
              </a:graphicData>
            </a:graphic>
          </wp:anchor>
        </w:drawing>
        <w:drawing>
          <wp:anchor simplePos="0" relativeHeight="251657728" behindDoc="1" locked="0" layoutInCell="0" allowOverlap="1">
            <wp:simplePos x="0" y="0"/>
            <wp:positionH relativeFrom="column">
              <wp:posOffset>-977265</wp:posOffset>
            </wp:positionH>
            <wp:positionV relativeFrom="paragraph">
              <wp:posOffset>48260</wp:posOffset>
            </wp:positionV>
            <wp:extent cx="1211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228" w:hanging="228"/>
        <w:spacing w:after="0"/>
        <w:tabs>
          <w:tab w:leader="none" w:pos="228" w:val="left"/>
        </w:tabs>
        <w:numPr>
          <w:ilvl w:val="0"/>
          <w:numId w:val="112"/>
        </w:numPr>
        <w:rPr>
          <w:rFonts w:ascii="Arial" w:cs="Arial" w:eastAsia="Arial" w:hAnsi="Arial"/>
          <w:sz w:val="13"/>
          <w:szCs w:val="13"/>
          <w:color w:val="auto"/>
        </w:rPr>
      </w:pPr>
      <w:r>
        <w:rPr>
          <w:rFonts w:ascii="Arial" w:cs="Arial" w:eastAsia="Arial" w:hAnsi="Arial"/>
          <w:sz w:val="13"/>
          <w:szCs w:val="13"/>
          <w:color w:val="auto"/>
        </w:rPr>
        <w:t>%</w:t>
      </w:r>
    </w:p>
    <w:p>
      <w:pPr>
        <w:spacing w:after="0" w:line="82" w:lineRule="exact"/>
        <w:rPr>
          <w:rFonts w:ascii="Arial" w:cs="Arial" w:eastAsia="Arial" w:hAnsi="Arial"/>
          <w:sz w:val="13"/>
          <w:szCs w:val="13"/>
          <w:color w:val="auto"/>
        </w:rPr>
      </w:pPr>
    </w:p>
    <w:p>
      <w:pPr>
        <w:spacing w:after="0"/>
        <w:tabs>
          <w:tab w:leader="none" w:pos="0" w:val="left"/>
        </w:tabs>
        <w:numPr>
          <w:ilvl w:val="0"/>
          <w:numId w:val="113"/>
        </w:numPr>
        <w:rPr>
          <w:rFonts w:ascii="Arial" w:cs="Arial" w:eastAsia="Arial" w:hAnsi="Arial"/>
          <w:sz w:val="15"/>
          <w:szCs w:val="15"/>
          <w:color w:val="auto"/>
        </w:rPr>
      </w:pPr>
    </w:p>
    <w:p>
      <w:pPr>
        <w:spacing w:after="0" w:line="85" w:lineRule="exact"/>
        <w:rPr>
          <w:rFonts w:ascii="Arial" w:cs="Arial" w:eastAsia="Arial" w:hAnsi="Arial"/>
          <w:sz w:val="15"/>
          <w:szCs w:val="15"/>
          <w:color w:val="auto"/>
        </w:rPr>
      </w:pPr>
    </w:p>
    <w:p>
      <w:pPr>
        <w:ind w:left="228" w:hanging="228"/>
        <w:spacing w:after="0"/>
        <w:tabs>
          <w:tab w:leader="none" w:pos="228" w:val="left"/>
        </w:tabs>
        <w:numPr>
          <w:ilvl w:val="0"/>
          <w:numId w:val="114"/>
        </w:numPr>
        <w:rPr>
          <w:rFonts w:ascii="Arial" w:cs="Arial" w:eastAsia="Arial" w:hAnsi="Arial"/>
          <w:sz w:val="13"/>
          <w:szCs w:val="13"/>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-130175</wp:posOffset>
            </wp:positionV>
            <wp:extent cx="121983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1983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33020</wp:posOffset>
            </wp:positionV>
            <wp:extent cx="121983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1983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57785</wp:posOffset>
            </wp:positionV>
            <wp:extent cx="121983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3">
            <w:col w:w="8120" w:space="720"/>
            <w:col w:w="1312" w:space="720"/>
            <w:col w:w="368"/>
          </w:cols>
          <w:pgMar w:left="320" w:top="250" w:right="339" w:bottom="1440" w:gutter="0" w:footer="0" w:header="0"/>
          <w:type w:val="continuous"/>
        </w:sectPr>
      </w:pPr>
    </w:p>
    <w:p>
      <w:pPr>
        <w:spacing w:after="0" w:line="25"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Compared with depository financial institutions, our non-depository servicers pose additional risks because they may not have the same financial strength or operational capacity, or be subject to the same level of regulatory oversight as depository financial institutions.</w:t>
      </w:r>
    </w:p>
    <w:p>
      <w:pPr>
        <w:spacing w:after="0" w:line="26" w:lineRule="exact"/>
        <w:rPr>
          <w:sz w:val="20"/>
          <w:szCs w:val="20"/>
          <w:color w:val="auto"/>
        </w:rPr>
      </w:pPr>
    </w:p>
    <w:p>
      <w:pPr>
        <w:ind w:right="260"/>
        <w:spacing w:after="0" w:line="288" w:lineRule="auto"/>
        <w:rPr>
          <w:sz w:val="20"/>
          <w:szCs w:val="20"/>
          <w:color w:val="auto"/>
        </w:rPr>
      </w:pPr>
      <w:r>
        <w:rPr>
          <w:rFonts w:ascii="Arial" w:cs="Arial" w:eastAsia="Arial" w:hAnsi="Arial"/>
          <w:sz w:val="16"/>
          <w:szCs w:val="16"/>
          <w:i w:val="1"/>
          <w:iCs w:val="1"/>
          <w:color w:val="auto"/>
        </w:rPr>
        <w:t xml:space="preserve">Derivatives Counterparties. </w:t>
      </w:r>
      <w:r>
        <w:rPr>
          <w:rFonts w:ascii="Arial" w:cs="Arial" w:eastAsia="Arial" w:hAnsi="Arial"/>
          <w:sz w:val="16"/>
          <w:szCs w:val="16"/>
          <w:color w:val="auto"/>
        </w:rPr>
        <w:t>For information on credit risk associated with our derivative transactions and repurchase agreements see “Note 8,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and “Note 11, Netting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355600</wp:posOffset>
            </wp:positionV>
            <wp:extent cx="681101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164070" cy="4191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type w:val="continuous"/>
        </w:sectPr>
      </w:pPr>
    </w:p>
    <w:bookmarkStart w:id="106" w:name="page107"/>
    <w:bookmarkEnd w:id="106"/>
    <w:p>
      <w:pPr>
        <w:ind w:left="6280"/>
        <w:spacing w:after="0"/>
        <w:rPr>
          <w:sz w:val="20"/>
          <w:szCs w:val="20"/>
          <w:color w:val="auto"/>
        </w:rPr>
      </w:pPr>
      <w:r>
        <w:rPr>
          <w:rFonts w:ascii="Arial" w:cs="Arial" w:eastAsia="Arial" w:hAnsi="Arial"/>
          <w:sz w:val="13"/>
          <w:szCs w:val="13"/>
          <w:color w:val="05314D"/>
        </w:rPr>
        <w:t>Notes to Condensed Consolidated Financial Statements | Netting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22860</wp:posOffset>
            </wp:positionV>
            <wp:extent cx="702373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31"/>
          <w:szCs w:val="31"/>
          <w:b w:val="1"/>
          <w:bCs w:val="1"/>
          <w:color w:val="05314D"/>
        </w:rPr>
        <w:t>11. Netting Arrangements</w:t>
      </w:r>
    </w:p>
    <w:p>
      <w:pPr>
        <w:spacing w:after="0" w:line="105"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auto"/>
        </w:rPr>
        <w:t>We use master netting arrangements, which allow us to offset certain financial instruments and collateral with the same counterparty, to minimize counterparty credit exposure. The tables below display information related to derivatives, securities purchased under agreements to resell, and securities sold under agreements to repurchase, which are subject to an enforceable master netting arrangement or similar agreement that are either offset or not offset in our condensed consolidated balance sheets.</w:t>
      </w:r>
    </w:p>
    <w:p>
      <w:pPr>
        <w:spacing w:after="0" w:line="105" w:lineRule="exact"/>
        <w:rPr>
          <w:sz w:val="20"/>
          <w:szCs w:val="20"/>
          <w:color w:val="auto"/>
        </w:rPr>
      </w:pPr>
    </w:p>
    <w:tbl>
      <w:tblPr>
        <w:tblLayout w:type="fixed"/>
        <w:tblInd w:w="80" w:type="dxa"/>
        <w:tblCellMar>
          <w:top w:w="0" w:type="dxa"/>
          <w:left w:w="0" w:type="dxa"/>
          <w:bottom w:w="0" w:type="dxa"/>
          <w:right w:w="0" w:type="dxa"/>
        </w:tblCellMar>
      </w:tblPr>
      <w:tr>
        <w:trPr>
          <w:trHeight w:val="179"/>
        </w:trPr>
        <w:tc>
          <w:tcPr>
            <w:tcW w:w="4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720" w:type="dxa"/>
            <w:vAlign w:val="bottom"/>
            <w:tcBorders>
              <w:bottom w:val="single" w:sz="8" w:color="2C6937"/>
            </w:tcBorders>
          </w:tcPr>
          <w:p>
            <w:pPr>
              <w:spacing w:after="0"/>
              <w:rPr>
                <w:sz w:val="15"/>
                <w:szCs w:val="15"/>
                <w:color w:val="auto"/>
              </w:rPr>
            </w:pPr>
          </w:p>
        </w:tc>
        <w:tc>
          <w:tcPr>
            <w:tcW w:w="20" w:type="dxa"/>
            <w:vAlign w:val="bottom"/>
            <w:tcBorders>
              <w:bottom w:val="single" w:sz="8" w:color="2C6937"/>
            </w:tcBorders>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40" w:type="dxa"/>
            <w:vAlign w:val="bottom"/>
            <w:tcBorders>
              <w:bottom w:val="single" w:sz="8" w:color="2C6937"/>
            </w:tcBorders>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700" w:type="dxa"/>
            <w:vAlign w:val="bottom"/>
            <w:tcBorders>
              <w:bottom w:val="single" w:sz="8" w:color="2C6937"/>
            </w:tcBorders>
          </w:tcPr>
          <w:p>
            <w:pPr>
              <w:spacing w:after="0"/>
              <w:rPr>
                <w:sz w:val="15"/>
                <w:szCs w:val="15"/>
                <w:color w:val="auto"/>
              </w:rPr>
            </w:pPr>
          </w:p>
        </w:tc>
        <w:tc>
          <w:tcPr>
            <w:tcW w:w="20" w:type="dxa"/>
            <w:vAlign w:val="bottom"/>
            <w:tcBorders>
              <w:bottom w:val="single" w:sz="8" w:color="2C6937"/>
            </w:tcBorders>
          </w:tcPr>
          <w:p>
            <w:pPr>
              <w:spacing w:after="0"/>
              <w:rPr>
                <w:sz w:val="15"/>
                <w:szCs w:val="15"/>
                <w:color w:val="auto"/>
              </w:rPr>
            </w:pPr>
          </w:p>
        </w:tc>
        <w:tc>
          <w:tcPr>
            <w:tcW w:w="300" w:type="dxa"/>
            <w:vAlign w:val="bottom"/>
            <w:tcBorders>
              <w:bottom w:val="single" w:sz="8" w:color="2C6937"/>
            </w:tcBorders>
          </w:tcPr>
          <w:p>
            <w:pPr>
              <w:spacing w:after="0"/>
              <w:rPr>
                <w:sz w:val="15"/>
                <w:szCs w:val="15"/>
                <w:color w:val="auto"/>
              </w:rPr>
            </w:pPr>
          </w:p>
        </w:tc>
        <w:tc>
          <w:tcPr>
            <w:tcW w:w="20" w:type="dxa"/>
            <w:vAlign w:val="bottom"/>
            <w:tcBorders>
              <w:bottom w:val="single" w:sz="8" w:color="2C6937"/>
            </w:tcBorders>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2480" w:type="dxa"/>
            <w:vAlign w:val="bottom"/>
            <w:tcBorders>
              <w:bottom w:val="single" w:sz="8" w:color="2C6937"/>
            </w:tcBorders>
            <w:gridSpan w:val="7"/>
          </w:tcPr>
          <w:p>
            <w:pPr>
              <w:jc w:val="center"/>
              <w:ind w:left="246"/>
              <w:spacing w:after="0"/>
              <w:rPr>
                <w:sz w:val="20"/>
                <w:szCs w:val="20"/>
                <w:color w:val="auto"/>
              </w:rPr>
            </w:pPr>
            <w:r>
              <w:rPr>
                <w:rFonts w:ascii="Arial" w:cs="Arial" w:eastAsia="Arial" w:hAnsi="Arial"/>
                <w:sz w:val="14"/>
                <w:szCs w:val="14"/>
                <w:b w:val="1"/>
                <w:bCs w:val="1"/>
                <w:color w:val="auto"/>
                <w:w w:val="98"/>
              </w:rPr>
              <w:t>As of June 30, 2023</w:t>
            </w:r>
          </w:p>
        </w:tc>
        <w:tc>
          <w:tcPr>
            <w:tcW w:w="20" w:type="dxa"/>
            <w:vAlign w:val="bottom"/>
            <w:tcBorders>
              <w:bottom w:val="single" w:sz="8" w:color="2C6937"/>
            </w:tcBorders>
          </w:tcPr>
          <w:p>
            <w:pPr>
              <w:spacing w:after="0"/>
              <w:rPr>
                <w:sz w:val="15"/>
                <w:szCs w:val="15"/>
                <w:color w:val="auto"/>
              </w:rPr>
            </w:pPr>
          </w:p>
        </w:tc>
        <w:tc>
          <w:tcPr>
            <w:tcW w:w="400" w:type="dxa"/>
            <w:vAlign w:val="bottom"/>
            <w:tcBorders>
              <w:bottom w:val="single" w:sz="8" w:color="2C6937"/>
            </w:tcBorders>
          </w:tcPr>
          <w:p>
            <w:pPr>
              <w:spacing w:after="0"/>
              <w:rPr>
                <w:sz w:val="15"/>
                <w:szCs w:val="15"/>
                <w:color w:val="auto"/>
              </w:rPr>
            </w:pPr>
          </w:p>
        </w:tc>
        <w:tc>
          <w:tcPr>
            <w:tcW w:w="4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840" w:type="dxa"/>
            <w:vAlign w:val="bottom"/>
            <w:tcBorders>
              <w:bottom w:val="single" w:sz="8" w:color="2C6937"/>
            </w:tcBorders>
          </w:tcPr>
          <w:p>
            <w:pPr>
              <w:spacing w:after="0"/>
              <w:rPr>
                <w:sz w:val="15"/>
                <w:szCs w:val="15"/>
                <w:color w:val="auto"/>
              </w:rPr>
            </w:pPr>
          </w:p>
        </w:tc>
        <w:tc>
          <w:tcPr>
            <w:tcW w:w="20" w:type="dxa"/>
            <w:vAlign w:val="bottom"/>
            <w:tcBorders>
              <w:bottom w:val="single" w:sz="8" w:color="2C6937"/>
            </w:tcBorders>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40" w:type="dxa"/>
            <w:vAlign w:val="bottom"/>
            <w:tcBorders>
              <w:bottom w:val="single" w:sz="8" w:color="2C6937"/>
            </w:tcBorders>
          </w:tcPr>
          <w:p>
            <w:pPr>
              <w:spacing w:after="0"/>
              <w:rPr>
                <w:sz w:val="15"/>
                <w:szCs w:val="15"/>
                <w:color w:val="auto"/>
              </w:rPr>
            </w:pPr>
          </w:p>
        </w:tc>
        <w:tc>
          <w:tcPr>
            <w:tcW w:w="60" w:type="dxa"/>
            <w:vAlign w:val="bottom"/>
            <w:tcBorders>
              <w:bottom w:val="single" w:sz="8" w:color="2C6937"/>
            </w:tcBorders>
          </w:tcPr>
          <w:p>
            <w:pPr>
              <w:spacing w:after="0"/>
              <w:rPr>
                <w:sz w:val="15"/>
                <w:szCs w:val="15"/>
                <w:color w:val="auto"/>
              </w:rPr>
            </w:pPr>
          </w:p>
        </w:tc>
        <w:tc>
          <w:tcPr>
            <w:tcW w:w="40" w:type="dxa"/>
            <w:vAlign w:val="bottom"/>
            <w:tcBorders>
              <w:bottom w:val="single" w:sz="8" w:color="2C6937"/>
            </w:tcBorders>
          </w:tcPr>
          <w:p>
            <w:pPr>
              <w:spacing w:after="0"/>
              <w:rPr>
                <w:sz w:val="15"/>
                <w:szCs w:val="15"/>
                <w:color w:val="auto"/>
              </w:rPr>
            </w:pPr>
          </w:p>
        </w:tc>
        <w:tc>
          <w:tcPr>
            <w:tcW w:w="340" w:type="dxa"/>
            <w:vAlign w:val="bottom"/>
            <w:tcBorders>
              <w:bottom w:val="single" w:sz="8" w:color="2C6937"/>
            </w:tcBorders>
          </w:tcPr>
          <w:p>
            <w:pPr>
              <w:spacing w:after="0"/>
              <w:rPr>
                <w:sz w:val="15"/>
                <w:szCs w:val="15"/>
                <w:color w:val="auto"/>
              </w:rPr>
            </w:pPr>
          </w:p>
        </w:tc>
        <w:tc>
          <w:tcPr>
            <w:tcW w:w="540" w:type="dxa"/>
            <w:vAlign w:val="bottom"/>
            <w:tcBorders>
              <w:bottom w:val="single" w:sz="8" w:color="2C6937"/>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3"/>
          </w:tcPr>
          <w:p>
            <w:pPr>
              <w:jc w:val="center"/>
              <w:ind w:right="330"/>
              <w:spacing w:after="0"/>
              <w:rPr>
                <w:sz w:val="20"/>
                <w:szCs w:val="20"/>
                <w:color w:val="auto"/>
              </w:rPr>
            </w:pPr>
            <w:r>
              <w:rPr>
                <w:rFonts w:ascii="Arial" w:cs="Arial" w:eastAsia="Arial" w:hAnsi="Arial"/>
                <w:sz w:val="14"/>
                <w:szCs w:val="14"/>
                <w:b w:val="1"/>
                <w:bCs w:val="1"/>
                <w:color w:val="auto"/>
                <w:w w:val="98"/>
              </w:rPr>
              <w:t>Net Amount</w:t>
            </w:r>
          </w:p>
        </w:tc>
        <w:tc>
          <w:tcPr>
            <w:tcW w:w="2700" w:type="dxa"/>
            <w:vAlign w:val="bottom"/>
            <w:gridSpan w:val="11"/>
            <w:vMerge w:val="restart"/>
          </w:tcPr>
          <w:p>
            <w:pPr>
              <w:jc w:val="center"/>
              <w:spacing w:after="0"/>
              <w:rPr>
                <w:sz w:val="20"/>
                <w:szCs w:val="20"/>
                <w:color w:val="auto"/>
              </w:rPr>
            </w:pPr>
            <w:r>
              <w:rPr>
                <w:rFonts w:ascii="Arial" w:cs="Arial" w:eastAsia="Arial" w:hAnsi="Arial"/>
                <w:sz w:val="14"/>
                <w:szCs w:val="14"/>
                <w:b w:val="1"/>
                <w:bCs w:val="1"/>
                <w:color w:val="auto"/>
                <w:w w:val="97"/>
              </w:rPr>
              <w:t>Amounts Not Offset in our Condensed</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40" w:type="dxa"/>
            <w:vAlign w:val="bottom"/>
          </w:tcPr>
          <w:p>
            <w:pPr>
              <w:spacing w:after="0"/>
              <w:rPr>
                <w:sz w:val="8"/>
                <w:szCs w:val="8"/>
                <w:color w:val="auto"/>
              </w:rPr>
            </w:pPr>
          </w:p>
        </w:tc>
        <w:tc>
          <w:tcPr>
            <w:tcW w:w="3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80" w:type="dxa"/>
            <w:vAlign w:val="bottom"/>
            <w:gridSpan w:val="5"/>
            <w:vMerge w:val="restart"/>
          </w:tcPr>
          <w:p>
            <w:pPr>
              <w:jc w:val="center"/>
              <w:ind w:right="250"/>
              <w:spacing w:after="0"/>
              <w:rPr>
                <w:sz w:val="20"/>
                <w:szCs w:val="20"/>
                <w:color w:val="auto"/>
              </w:rPr>
            </w:pPr>
            <w:r>
              <w:rPr>
                <w:rFonts w:ascii="Arial" w:cs="Arial" w:eastAsia="Arial" w:hAnsi="Arial"/>
                <w:sz w:val="14"/>
                <w:szCs w:val="14"/>
                <w:b w:val="1"/>
                <w:bCs w:val="1"/>
                <w:color w:val="auto"/>
                <w:w w:val="97"/>
              </w:rPr>
              <w:t>Presented in our</w:t>
            </w:r>
          </w:p>
        </w:tc>
        <w:tc>
          <w:tcPr>
            <w:tcW w:w="2700" w:type="dxa"/>
            <w:vAlign w:val="bottom"/>
            <w:gridSpan w:val="11"/>
            <w:vMerge w:val="continue"/>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3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80" w:type="dxa"/>
            <w:vAlign w:val="bottom"/>
            <w:gridSpan w:val="5"/>
            <w:vMerge w:val="continue"/>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340" w:type="dxa"/>
            <w:vAlign w:val="bottom"/>
            <w:gridSpan w:val="8"/>
            <w:vMerge w:val="restart"/>
          </w:tcPr>
          <w:p>
            <w:pPr>
              <w:jc w:val="center"/>
              <w:ind w:right="360"/>
              <w:spacing w:after="0"/>
              <w:rPr>
                <w:sz w:val="20"/>
                <w:szCs w:val="20"/>
                <w:color w:val="auto"/>
              </w:rPr>
            </w:pPr>
            <w:r>
              <w:rPr>
                <w:rFonts w:ascii="Arial" w:cs="Arial" w:eastAsia="Arial" w:hAnsi="Arial"/>
                <w:sz w:val="14"/>
                <w:szCs w:val="14"/>
                <w:b w:val="1"/>
                <w:bCs w:val="1"/>
                <w:color w:val="auto"/>
                <w:w w:val="98"/>
              </w:rPr>
              <w:t>Consolidated Balance Sheets</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20"/>
              <w:spacing w:after="0" w:line="121" w:lineRule="exact"/>
              <w:rPr>
                <w:sz w:val="20"/>
                <w:szCs w:val="20"/>
                <w:color w:val="auto"/>
              </w:rPr>
            </w:pPr>
            <w:r>
              <w:rPr>
                <w:rFonts w:ascii="Arial" w:cs="Arial" w:eastAsia="Arial" w:hAnsi="Arial"/>
                <w:sz w:val="13"/>
                <w:szCs w:val="13"/>
                <w:b w:val="1"/>
                <w:bCs w:val="1"/>
                <w:color w:val="auto"/>
              </w:rPr>
              <w:t>Gross</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jc w:val="center"/>
              <w:ind w:right="350"/>
              <w:spacing w:after="0" w:line="121" w:lineRule="exact"/>
              <w:rPr>
                <w:sz w:val="20"/>
                <w:szCs w:val="20"/>
                <w:color w:val="auto"/>
              </w:rPr>
            </w:pPr>
            <w:r>
              <w:rPr>
                <w:rFonts w:ascii="Arial" w:cs="Arial" w:eastAsia="Arial" w:hAnsi="Arial"/>
                <w:sz w:val="13"/>
                <w:szCs w:val="13"/>
                <w:b w:val="1"/>
                <w:bCs w:val="1"/>
                <w:color w:val="auto"/>
              </w:rPr>
              <w:t>Condensed</w:t>
            </w:r>
          </w:p>
        </w:tc>
        <w:tc>
          <w:tcPr>
            <w:tcW w:w="200" w:type="dxa"/>
            <w:vAlign w:val="bottom"/>
            <w:tcBorders>
              <w:bottom w:val="single" w:sz="8" w:color="2C6937"/>
            </w:tcBorders>
          </w:tcPr>
          <w:p>
            <w:pPr>
              <w:spacing w:after="0"/>
              <w:rPr>
                <w:sz w:val="12"/>
                <w:szCs w:val="12"/>
                <w:color w:val="auto"/>
              </w:rPr>
            </w:pPr>
          </w:p>
        </w:tc>
        <w:tc>
          <w:tcPr>
            <w:tcW w:w="20" w:type="dxa"/>
            <w:vAlign w:val="bottom"/>
            <w:tcBorders>
              <w:bottom w:val="single" w:sz="8" w:color="2C6937"/>
            </w:tcBorders>
          </w:tcPr>
          <w:p>
            <w:pPr>
              <w:spacing w:after="0"/>
              <w:rPr>
                <w:sz w:val="12"/>
                <w:szCs w:val="12"/>
                <w:color w:val="auto"/>
              </w:rPr>
            </w:pPr>
          </w:p>
        </w:tc>
        <w:tc>
          <w:tcPr>
            <w:tcW w:w="140" w:type="dxa"/>
            <w:vAlign w:val="bottom"/>
            <w:tcBorders>
              <w:bottom w:val="single" w:sz="8" w:color="2C6937"/>
            </w:tcBorders>
          </w:tcPr>
          <w:p>
            <w:pPr>
              <w:spacing w:after="0"/>
              <w:rPr>
                <w:sz w:val="12"/>
                <w:szCs w:val="12"/>
                <w:color w:val="auto"/>
              </w:rPr>
            </w:pPr>
          </w:p>
        </w:tc>
        <w:tc>
          <w:tcPr>
            <w:tcW w:w="2340" w:type="dxa"/>
            <w:vAlign w:val="bottom"/>
            <w:tcBorders>
              <w:bottom w:val="single" w:sz="8" w:color="2C6937"/>
            </w:tcBorders>
            <w:gridSpan w:val="8"/>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tcPr>
          <w:p>
            <w:pPr>
              <w:jc w:val="center"/>
              <w:ind w:right="350"/>
              <w:spacing w:after="0"/>
              <w:rPr>
                <w:sz w:val="20"/>
                <w:szCs w:val="20"/>
                <w:color w:val="auto"/>
              </w:rPr>
            </w:pPr>
            <w:r>
              <w:rPr>
                <w:rFonts w:ascii="Arial" w:cs="Arial" w:eastAsia="Arial" w:hAnsi="Arial"/>
                <w:sz w:val="14"/>
                <w:szCs w:val="14"/>
                <w:b w:val="1"/>
                <w:bCs w:val="1"/>
                <w:color w:val="auto"/>
                <w:w w:val="99"/>
              </w:rPr>
              <w:t>Consolidated</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center"/>
              <w:ind w:right="84"/>
              <w:spacing w:after="0"/>
              <w:rPr>
                <w:sz w:val="20"/>
                <w:szCs w:val="20"/>
                <w:color w:val="auto"/>
              </w:rPr>
            </w:pPr>
            <w:r>
              <w:rPr>
                <w:rFonts w:ascii="Arial" w:cs="Arial" w:eastAsia="Arial" w:hAnsi="Arial"/>
                <w:sz w:val="14"/>
                <w:szCs w:val="14"/>
                <w:b w:val="1"/>
                <w:bCs w:val="1"/>
                <w:color w:val="auto"/>
                <w:w w:val="98"/>
              </w:rPr>
              <w:t>Financial</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9"/>
              </w:rPr>
              <w:t>Offset</w:t>
            </w:r>
            <w:r>
              <w:rPr>
                <w:rFonts w:ascii="Arial" w:cs="Arial" w:eastAsia="Arial" w:hAnsi="Arial"/>
                <w:sz w:val="17"/>
                <w:szCs w:val="17"/>
                <w:b w:val="1"/>
                <w:bCs w:val="1"/>
                <w:color w:val="auto"/>
                <w:w w:val="99"/>
                <w:vertAlign w:val="superscript"/>
              </w:rPr>
              <w:t>(1)</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gridSpan w:val="4"/>
          </w:tcPr>
          <w:p>
            <w:pPr>
              <w:jc w:val="center"/>
              <w:ind w:right="250"/>
              <w:spacing w:after="0"/>
              <w:rPr>
                <w:sz w:val="20"/>
                <w:szCs w:val="20"/>
                <w:color w:val="auto"/>
              </w:rPr>
            </w:pPr>
            <w:r>
              <w:rPr>
                <w:rFonts w:ascii="Arial" w:cs="Arial" w:eastAsia="Arial" w:hAnsi="Arial"/>
                <w:sz w:val="14"/>
                <w:szCs w:val="14"/>
                <w:b w:val="1"/>
                <w:bCs w:val="1"/>
                <w:color w:val="auto"/>
                <w:w w:val="98"/>
              </w:rPr>
              <w:t>Balance Sheets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Instruments</w:t>
            </w:r>
            <w:r>
              <w:rPr>
                <w:rFonts w:ascii="Arial" w:cs="Arial" w:eastAsia="Arial" w:hAnsi="Arial"/>
                <w:sz w:val="17"/>
                <w:szCs w:val="17"/>
                <w:b w:val="1"/>
                <w:bCs w:val="1"/>
                <w:color w:val="auto"/>
                <w:w w:val="95"/>
                <w:vertAlign w:val="superscript"/>
              </w:rPr>
              <w:t>(2)</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4"/>
          </w:tcPr>
          <w:p>
            <w:pPr>
              <w:ind w:left="80"/>
              <w:spacing w:after="0"/>
              <w:rPr>
                <w:sz w:val="20"/>
                <w:szCs w:val="20"/>
                <w:color w:val="auto"/>
              </w:rPr>
            </w:pPr>
            <w:r>
              <w:rPr>
                <w:rFonts w:ascii="Arial" w:cs="Arial" w:eastAsia="Arial" w:hAnsi="Arial"/>
                <w:sz w:val="14"/>
                <w:szCs w:val="14"/>
                <w:b w:val="1"/>
                <w:bCs w:val="1"/>
                <w:color w:val="auto"/>
              </w:rPr>
              <w:t>Collateral</w:t>
            </w:r>
            <w:r>
              <w:rPr>
                <w:rFonts w:ascii="Arial" w:cs="Arial" w:eastAsia="Arial" w:hAnsi="Arial"/>
                <w:sz w:val="17"/>
                <w:szCs w:val="17"/>
                <w:b w:val="1"/>
                <w:bCs w:val="1"/>
                <w:color w:val="auto"/>
                <w:vertAlign w:val="superscript"/>
              </w:rPr>
              <w:t>(3)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2C6937"/>
            </w:tcBorders>
          </w:tcPr>
          <w:p>
            <w:pPr>
              <w:spacing w:after="0"/>
              <w:rPr>
                <w:sz w:val="16"/>
                <w:szCs w:val="16"/>
                <w:color w:val="auto"/>
              </w:rPr>
            </w:pPr>
          </w:p>
        </w:tc>
        <w:tc>
          <w:tcPr>
            <w:tcW w:w="720" w:type="dxa"/>
            <w:vAlign w:val="bottom"/>
            <w:tcBorders>
              <w:top w:val="single" w:sz="8" w:color="2C6937"/>
            </w:tcBorders>
          </w:tcPr>
          <w:p>
            <w:pPr>
              <w:spacing w:after="0"/>
              <w:rPr>
                <w:sz w:val="16"/>
                <w:szCs w:val="16"/>
                <w:color w:val="auto"/>
              </w:rPr>
            </w:pPr>
          </w:p>
        </w:tc>
        <w:tc>
          <w:tcPr>
            <w:tcW w:w="20" w:type="dxa"/>
            <w:vAlign w:val="bottom"/>
            <w:tcBorders>
              <w:top w:val="single" w:sz="8" w:color="2C6937"/>
            </w:tcBorders>
          </w:tcPr>
          <w:p>
            <w:pPr>
              <w:spacing w:after="0"/>
              <w:rPr>
                <w:sz w:val="16"/>
                <w:szCs w:val="16"/>
                <w:color w:val="auto"/>
              </w:rPr>
            </w:pPr>
          </w:p>
        </w:tc>
        <w:tc>
          <w:tcPr>
            <w:tcW w:w="80" w:type="dxa"/>
            <w:vAlign w:val="bottom"/>
            <w:tcBorders>
              <w:top w:val="single" w:sz="8" w:color="2C6937"/>
            </w:tcBorders>
          </w:tcPr>
          <w:p>
            <w:pPr>
              <w:spacing w:after="0"/>
              <w:rPr>
                <w:sz w:val="16"/>
                <w:szCs w:val="16"/>
                <w:color w:val="auto"/>
              </w:rPr>
            </w:pPr>
          </w:p>
        </w:tc>
        <w:tc>
          <w:tcPr>
            <w:tcW w:w="40" w:type="dxa"/>
            <w:vAlign w:val="bottom"/>
            <w:tcBorders>
              <w:top w:val="single" w:sz="8" w:color="2C6937"/>
            </w:tcBorders>
          </w:tcPr>
          <w:p>
            <w:pPr>
              <w:spacing w:after="0"/>
              <w:rPr>
                <w:sz w:val="16"/>
                <w:szCs w:val="16"/>
                <w:color w:val="auto"/>
              </w:rPr>
            </w:pPr>
          </w:p>
        </w:tc>
        <w:tc>
          <w:tcPr>
            <w:tcW w:w="120" w:type="dxa"/>
            <w:vAlign w:val="bottom"/>
            <w:tcBorders>
              <w:top w:val="single" w:sz="8" w:color="2C6937"/>
            </w:tcBorders>
          </w:tcPr>
          <w:p>
            <w:pPr>
              <w:spacing w:after="0"/>
              <w:rPr>
                <w:sz w:val="16"/>
                <w:szCs w:val="16"/>
                <w:color w:val="auto"/>
              </w:rPr>
            </w:pPr>
          </w:p>
        </w:tc>
        <w:tc>
          <w:tcPr>
            <w:tcW w:w="700" w:type="dxa"/>
            <w:vAlign w:val="bottom"/>
            <w:tcBorders>
              <w:top w:val="single" w:sz="8" w:color="2C6937"/>
            </w:tcBorders>
          </w:tcPr>
          <w:p>
            <w:pPr>
              <w:spacing w:after="0"/>
              <w:rPr>
                <w:sz w:val="16"/>
                <w:szCs w:val="16"/>
                <w:color w:val="auto"/>
              </w:rPr>
            </w:pPr>
          </w:p>
        </w:tc>
        <w:tc>
          <w:tcPr>
            <w:tcW w:w="20" w:type="dxa"/>
            <w:vAlign w:val="bottom"/>
            <w:tcBorders>
              <w:top w:val="single" w:sz="8" w:color="2C6937"/>
            </w:tcBorders>
          </w:tcPr>
          <w:p>
            <w:pPr>
              <w:spacing w:after="0"/>
              <w:rPr>
                <w:sz w:val="16"/>
                <w:szCs w:val="16"/>
                <w:color w:val="auto"/>
              </w:rPr>
            </w:pPr>
          </w:p>
        </w:tc>
        <w:tc>
          <w:tcPr>
            <w:tcW w:w="300" w:type="dxa"/>
            <w:vAlign w:val="bottom"/>
            <w:tcBorders>
              <w:top w:val="single" w:sz="8" w:color="2C6937"/>
            </w:tcBorders>
          </w:tcPr>
          <w:p>
            <w:pPr>
              <w:spacing w:after="0"/>
              <w:rPr>
                <w:sz w:val="16"/>
                <w:szCs w:val="16"/>
                <w:color w:val="auto"/>
              </w:rPr>
            </w:pPr>
          </w:p>
        </w:tc>
        <w:tc>
          <w:tcPr>
            <w:tcW w:w="20" w:type="dxa"/>
            <w:vAlign w:val="bottom"/>
            <w:tcBorders>
              <w:top w:val="single" w:sz="8" w:color="2C6937"/>
            </w:tcBorders>
          </w:tcPr>
          <w:p>
            <w:pPr>
              <w:spacing w:after="0"/>
              <w:rPr>
                <w:sz w:val="16"/>
                <w:szCs w:val="16"/>
                <w:color w:val="auto"/>
              </w:rPr>
            </w:pPr>
          </w:p>
        </w:tc>
        <w:tc>
          <w:tcPr>
            <w:tcW w:w="80" w:type="dxa"/>
            <w:vAlign w:val="bottom"/>
            <w:tcBorders>
              <w:top w:val="single" w:sz="8" w:color="2C6937"/>
            </w:tcBorders>
          </w:tcPr>
          <w:p>
            <w:pPr>
              <w:spacing w:after="0"/>
              <w:rPr>
                <w:sz w:val="16"/>
                <w:szCs w:val="16"/>
                <w:color w:val="auto"/>
              </w:rPr>
            </w:pPr>
          </w:p>
        </w:tc>
        <w:tc>
          <w:tcPr>
            <w:tcW w:w="2480" w:type="dxa"/>
            <w:vAlign w:val="bottom"/>
            <w:tcBorders>
              <w:top w:val="single" w:sz="8" w:color="2C6937"/>
            </w:tcBorders>
            <w:gridSpan w:val="7"/>
          </w:tcPr>
          <w:p>
            <w:pPr>
              <w:jc w:val="center"/>
              <w:ind w:left="246"/>
              <w:spacing w:after="0"/>
              <w:rPr>
                <w:sz w:val="20"/>
                <w:szCs w:val="20"/>
                <w:color w:val="auto"/>
              </w:rPr>
            </w:pPr>
            <w:r>
              <w:rPr>
                <w:rFonts w:ascii="Arial" w:cs="Arial" w:eastAsia="Arial" w:hAnsi="Arial"/>
                <w:sz w:val="14"/>
                <w:szCs w:val="14"/>
                <w:b w:val="1"/>
                <w:bCs w:val="1"/>
                <w:color w:val="auto"/>
                <w:w w:val="98"/>
              </w:rPr>
              <w:t>(Dollars in millions)</w:t>
            </w:r>
          </w:p>
        </w:tc>
        <w:tc>
          <w:tcPr>
            <w:tcW w:w="20" w:type="dxa"/>
            <w:vAlign w:val="bottom"/>
            <w:tcBorders>
              <w:top w:val="single" w:sz="8" w:color="2C6937"/>
            </w:tcBorders>
          </w:tcPr>
          <w:p>
            <w:pPr>
              <w:spacing w:after="0"/>
              <w:rPr>
                <w:sz w:val="16"/>
                <w:szCs w:val="16"/>
                <w:color w:val="auto"/>
              </w:rPr>
            </w:pPr>
          </w:p>
        </w:tc>
        <w:tc>
          <w:tcPr>
            <w:tcW w:w="400" w:type="dxa"/>
            <w:vAlign w:val="bottom"/>
            <w:tcBorders>
              <w:top w:val="single" w:sz="8" w:color="2C6937"/>
            </w:tcBorders>
          </w:tcPr>
          <w:p>
            <w:pPr>
              <w:spacing w:after="0"/>
              <w:rPr>
                <w:sz w:val="16"/>
                <w:szCs w:val="16"/>
                <w:color w:val="auto"/>
              </w:rPr>
            </w:pPr>
          </w:p>
        </w:tc>
        <w:tc>
          <w:tcPr>
            <w:tcW w:w="40" w:type="dxa"/>
            <w:vAlign w:val="bottom"/>
            <w:tcBorders>
              <w:top w:val="single" w:sz="8" w:color="2C6937"/>
            </w:tcBorders>
          </w:tcPr>
          <w:p>
            <w:pPr>
              <w:spacing w:after="0"/>
              <w:rPr>
                <w:sz w:val="16"/>
                <w:szCs w:val="16"/>
                <w:color w:val="auto"/>
              </w:rPr>
            </w:pPr>
          </w:p>
        </w:tc>
        <w:tc>
          <w:tcPr>
            <w:tcW w:w="100" w:type="dxa"/>
            <w:vAlign w:val="bottom"/>
            <w:tcBorders>
              <w:top w:val="single" w:sz="8" w:color="2C6937"/>
            </w:tcBorders>
          </w:tcPr>
          <w:p>
            <w:pPr>
              <w:spacing w:after="0"/>
              <w:rPr>
                <w:sz w:val="16"/>
                <w:szCs w:val="16"/>
                <w:color w:val="auto"/>
              </w:rPr>
            </w:pPr>
          </w:p>
        </w:tc>
        <w:tc>
          <w:tcPr>
            <w:tcW w:w="840" w:type="dxa"/>
            <w:vAlign w:val="bottom"/>
            <w:tcBorders>
              <w:top w:val="single" w:sz="8" w:color="2C6937"/>
            </w:tcBorders>
          </w:tcPr>
          <w:p>
            <w:pPr>
              <w:spacing w:after="0"/>
              <w:rPr>
                <w:sz w:val="16"/>
                <w:szCs w:val="16"/>
                <w:color w:val="auto"/>
              </w:rPr>
            </w:pPr>
          </w:p>
        </w:tc>
        <w:tc>
          <w:tcPr>
            <w:tcW w:w="20" w:type="dxa"/>
            <w:vAlign w:val="bottom"/>
            <w:tcBorders>
              <w:top w:val="single" w:sz="8" w:color="2C6937"/>
            </w:tcBorders>
          </w:tcPr>
          <w:p>
            <w:pPr>
              <w:spacing w:after="0"/>
              <w:rPr>
                <w:sz w:val="16"/>
                <w:szCs w:val="16"/>
                <w:color w:val="auto"/>
              </w:rPr>
            </w:pPr>
          </w:p>
        </w:tc>
        <w:tc>
          <w:tcPr>
            <w:tcW w:w="80" w:type="dxa"/>
            <w:vAlign w:val="bottom"/>
            <w:tcBorders>
              <w:top w:val="single" w:sz="8" w:color="2C6937"/>
            </w:tcBorders>
          </w:tcPr>
          <w:p>
            <w:pPr>
              <w:spacing w:after="0"/>
              <w:rPr>
                <w:sz w:val="16"/>
                <w:szCs w:val="16"/>
                <w:color w:val="auto"/>
              </w:rPr>
            </w:pPr>
          </w:p>
        </w:tc>
        <w:tc>
          <w:tcPr>
            <w:tcW w:w="40" w:type="dxa"/>
            <w:vAlign w:val="bottom"/>
            <w:tcBorders>
              <w:top w:val="single" w:sz="8" w:color="2C6937"/>
            </w:tcBorders>
          </w:tcPr>
          <w:p>
            <w:pPr>
              <w:spacing w:after="0"/>
              <w:rPr>
                <w:sz w:val="16"/>
                <w:szCs w:val="16"/>
                <w:color w:val="auto"/>
              </w:rPr>
            </w:pPr>
          </w:p>
        </w:tc>
        <w:tc>
          <w:tcPr>
            <w:tcW w:w="60" w:type="dxa"/>
            <w:vAlign w:val="bottom"/>
            <w:tcBorders>
              <w:top w:val="single" w:sz="8" w:color="2C6937"/>
            </w:tcBorders>
          </w:tcPr>
          <w:p>
            <w:pPr>
              <w:spacing w:after="0"/>
              <w:rPr>
                <w:sz w:val="16"/>
                <w:szCs w:val="16"/>
                <w:color w:val="auto"/>
              </w:rPr>
            </w:pPr>
          </w:p>
        </w:tc>
        <w:tc>
          <w:tcPr>
            <w:tcW w:w="40" w:type="dxa"/>
            <w:vAlign w:val="bottom"/>
            <w:tcBorders>
              <w:top w:val="single" w:sz="8" w:color="2C6937"/>
            </w:tcBorders>
          </w:tcPr>
          <w:p>
            <w:pPr>
              <w:spacing w:after="0"/>
              <w:rPr>
                <w:sz w:val="16"/>
                <w:szCs w:val="16"/>
                <w:color w:val="auto"/>
              </w:rPr>
            </w:pPr>
          </w:p>
        </w:tc>
        <w:tc>
          <w:tcPr>
            <w:tcW w:w="340" w:type="dxa"/>
            <w:vAlign w:val="bottom"/>
            <w:tcBorders>
              <w:top w:val="single" w:sz="8" w:color="2C6937"/>
            </w:tcBorders>
          </w:tcPr>
          <w:p>
            <w:pPr>
              <w:spacing w:after="0"/>
              <w:rPr>
                <w:sz w:val="16"/>
                <w:szCs w:val="16"/>
                <w:color w:val="auto"/>
              </w:rPr>
            </w:pPr>
          </w:p>
        </w:tc>
        <w:tc>
          <w:tcPr>
            <w:tcW w:w="540" w:type="dxa"/>
            <w:vAlign w:val="bottom"/>
            <w:tcBorders>
              <w:top w:val="single" w:sz="8" w:color="2C6937"/>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3680" w:type="dxa"/>
            <w:vAlign w:val="bottom"/>
            <w:gridSpan w:val="2"/>
          </w:tcPr>
          <w:p>
            <w:pPr>
              <w:ind w:left="20"/>
              <w:spacing w:after="0"/>
              <w:rPr>
                <w:sz w:val="20"/>
                <w:szCs w:val="20"/>
                <w:color w:val="auto"/>
              </w:rPr>
            </w:pPr>
            <w:r>
              <w:rPr>
                <w:rFonts w:ascii="Arial" w:cs="Arial" w:eastAsia="Arial" w:hAnsi="Arial"/>
                <w:sz w:val="15"/>
                <w:szCs w:val="15"/>
                <w:color w:val="auto"/>
              </w:rPr>
              <w:t>Assets: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3680" w:type="dxa"/>
            <w:vAlign w:val="bottom"/>
            <w:gridSpan w:val="2"/>
          </w:tcPr>
          <w:p>
            <w:pPr>
              <w:ind w:left="180"/>
              <w:spacing w:after="0"/>
              <w:rPr>
                <w:sz w:val="20"/>
                <w:szCs w:val="20"/>
                <w:color w:val="auto"/>
              </w:rPr>
            </w:pPr>
            <w:r>
              <w:rPr>
                <w:rFonts w:ascii="Arial" w:cs="Arial" w:eastAsia="Arial" w:hAnsi="Arial"/>
                <w:sz w:val="15"/>
                <w:szCs w:val="15"/>
                <w:color w:val="auto"/>
              </w:rPr>
              <w:t>OTC risk management derivatives</w:t>
            </w:r>
          </w:p>
        </w:tc>
        <w:tc>
          <w:tcPr>
            <w:tcW w:w="2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264</w:t>
            </w:r>
          </w:p>
        </w:tc>
        <w:tc>
          <w:tcPr>
            <w:tcW w:w="20" w:type="dxa"/>
            <w:vAlign w:val="bottom"/>
          </w:tcPr>
          <w:p>
            <w:pPr>
              <w:spacing w:after="0"/>
              <w:rPr>
                <w:sz w:val="22"/>
                <w:szCs w:val="22"/>
                <w:color w:val="auto"/>
              </w:rPr>
            </w:pPr>
          </w:p>
        </w:tc>
        <w:tc>
          <w:tcPr>
            <w:tcW w:w="2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5"/>
                <w:szCs w:val="15"/>
                <w:color w:val="auto"/>
              </w:rPr>
              <w:t>(226)</w:t>
            </w:r>
          </w:p>
        </w:tc>
        <w:tc>
          <w:tcPr>
            <w:tcW w:w="4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
              <w:spacing w:after="0"/>
              <w:rPr>
                <w:sz w:val="20"/>
                <w:szCs w:val="20"/>
                <w:color w:val="auto"/>
              </w:rPr>
            </w:pPr>
            <w:r>
              <w:rPr>
                <w:rFonts w:ascii="Arial" w:cs="Arial" w:eastAsia="Arial" w:hAnsi="Arial"/>
                <w:sz w:val="15"/>
                <w:szCs w:val="15"/>
                <w:color w:val="auto"/>
              </w:rPr>
              <w:t>38</w:t>
            </w: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480" w:type="dxa"/>
            <w:vAlign w:val="bottom"/>
            <w:gridSpan w:val="4"/>
          </w:tcPr>
          <w:p>
            <w:pPr>
              <w:jc w:val="right"/>
              <w:ind w:right="208"/>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38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3680" w:type="dxa"/>
            <w:vAlign w:val="bottom"/>
            <w:gridSpan w:val="2"/>
          </w:tcPr>
          <w:p>
            <w:pPr>
              <w:ind w:left="180"/>
              <w:spacing w:after="0"/>
              <w:rPr>
                <w:sz w:val="20"/>
                <w:szCs w:val="20"/>
                <w:color w:val="auto"/>
              </w:rPr>
            </w:pPr>
            <w:r>
              <w:rPr>
                <w:rFonts w:ascii="Arial" w:cs="Arial" w:eastAsia="Arial" w:hAnsi="Arial"/>
                <w:sz w:val="15"/>
                <w:szCs w:val="15"/>
                <w:color w:val="auto"/>
              </w:rPr>
              <w:t>Cleared risk management derivatives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8</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ind w:right="6"/>
              <w:spacing w:after="0"/>
              <w:rPr>
                <w:sz w:val="20"/>
                <w:szCs w:val="20"/>
                <w:color w:val="auto"/>
              </w:rPr>
            </w:pPr>
            <w:r>
              <w:rPr>
                <w:rFonts w:ascii="Arial" w:cs="Arial" w:eastAsia="Arial" w:hAnsi="Arial"/>
                <w:sz w:val="15"/>
                <w:szCs w:val="15"/>
                <w:color w:val="auto"/>
              </w:rPr>
              <w:t>8</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3680" w:type="dxa"/>
            <w:vAlign w:val="bottom"/>
            <w:gridSpan w:val="2"/>
          </w:tcPr>
          <w:p>
            <w:pPr>
              <w:ind w:left="180"/>
              <w:spacing w:after="0"/>
              <w:rPr>
                <w:sz w:val="20"/>
                <w:szCs w:val="20"/>
                <w:color w:val="auto"/>
              </w:rPr>
            </w:pPr>
            <w:r>
              <w:rPr>
                <w:rFonts w:ascii="Arial" w:cs="Arial" w:eastAsia="Arial" w:hAnsi="Arial"/>
                <w:sz w:val="15"/>
                <w:szCs w:val="15"/>
                <w:color w:val="auto"/>
              </w:rPr>
              <w:t>Mortgage commitment derivatives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6"/>
              <w:spacing w:after="0"/>
              <w:rPr>
                <w:sz w:val="20"/>
                <w:szCs w:val="20"/>
                <w:color w:val="auto"/>
              </w:rPr>
            </w:pPr>
            <w:r>
              <w:rPr>
                <w:rFonts w:ascii="Arial" w:cs="Arial" w:eastAsia="Arial" w:hAnsi="Arial"/>
                <w:sz w:val="15"/>
                <w:szCs w:val="15"/>
                <w:color w:val="auto"/>
              </w:rPr>
              <w:t>52</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(36)</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3680" w:type="dxa"/>
            <w:vAlign w:val="bottom"/>
            <w:tcBorders>
              <w:top w:val="single" w:sz="8" w:color="2C6937"/>
            </w:tcBorders>
            <w:gridSpan w:val="2"/>
          </w:tcPr>
          <w:p>
            <w:pPr>
              <w:ind w:left="180"/>
              <w:spacing w:after="0"/>
              <w:rPr>
                <w:sz w:val="20"/>
                <w:szCs w:val="20"/>
                <w:color w:val="auto"/>
              </w:rPr>
            </w:pPr>
            <w:r>
              <w:rPr>
                <w:rFonts w:ascii="Arial" w:cs="Arial" w:eastAsia="Arial" w:hAnsi="Arial"/>
                <w:sz w:val="15"/>
                <w:szCs w:val="15"/>
                <w:color w:val="auto"/>
              </w:rPr>
              <w:t>Total derivative assets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2C6937"/>
            </w:tcBorders>
          </w:tcPr>
          <w:p>
            <w:pPr>
              <w:spacing w:after="0"/>
              <w:rPr>
                <w:sz w:val="20"/>
                <w:szCs w:val="20"/>
                <w:color w:val="auto"/>
              </w:rPr>
            </w:pPr>
          </w:p>
        </w:tc>
        <w:tc>
          <w:tcPr>
            <w:tcW w:w="72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316</w:t>
            </w:r>
          </w:p>
        </w:tc>
        <w:tc>
          <w:tcPr>
            <w:tcW w:w="20" w:type="dxa"/>
            <w:vAlign w:val="bottom"/>
            <w:tcBorders>
              <w:top w:val="single" w:sz="8" w:color="2C6937"/>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2C6937"/>
            </w:tcBorders>
          </w:tcPr>
          <w:p>
            <w:pPr>
              <w:spacing w:after="0"/>
              <w:rPr>
                <w:sz w:val="20"/>
                <w:szCs w:val="20"/>
                <w:color w:val="auto"/>
              </w:rPr>
            </w:pPr>
          </w:p>
        </w:tc>
        <w:tc>
          <w:tcPr>
            <w:tcW w:w="720" w:type="dxa"/>
            <w:vAlign w:val="bottom"/>
            <w:tcBorders>
              <w:top w:val="single" w:sz="8" w:color="2C6937"/>
            </w:tcBorders>
            <w:gridSpan w:val="2"/>
          </w:tcPr>
          <w:p>
            <w:pPr>
              <w:jc w:val="right"/>
              <w:ind w:right="20"/>
              <w:spacing w:after="0"/>
              <w:rPr>
                <w:sz w:val="20"/>
                <w:szCs w:val="20"/>
                <w:color w:val="auto"/>
              </w:rPr>
            </w:pPr>
            <w:r>
              <w:rPr>
                <w:rFonts w:ascii="Arial" w:cs="Arial" w:eastAsia="Arial" w:hAnsi="Arial"/>
                <w:sz w:val="15"/>
                <w:szCs w:val="15"/>
                <w:color w:val="auto"/>
              </w:rPr>
              <w:t>(218)</w:t>
            </w:r>
          </w:p>
        </w:tc>
        <w:tc>
          <w:tcPr>
            <w:tcW w:w="300" w:type="dxa"/>
            <w:vAlign w:val="bottom"/>
          </w:tcPr>
          <w:p>
            <w:pPr>
              <w:spacing w:after="0"/>
              <w:rPr>
                <w:sz w:val="20"/>
                <w:szCs w:val="20"/>
                <w:color w:val="auto"/>
              </w:rPr>
            </w:pPr>
          </w:p>
        </w:tc>
        <w:tc>
          <w:tcPr>
            <w:tcW w:w="20" w:type="dxa"/>
            <w:vAlign w:val="bottom"/>
            <w:tcBorders>
              <w:top w:val="single" w:sz="8" w:color="2C6937"/>
            </w:tcBorders>
          </w:tcPr>
          <w:p>
            <w:pPr>
              <w:spacing w:after="0"/>
              <w:rPr>
                <w:sz w:val="20"/>
                <w:szCs w:val="20"/>
                <w:color w:val="auto"/>
              </w:rPr>
            </w:pPr>
          </w:p>
        </w:tc>
        <w:tc>
          <w:tcPr>
            <w:tcW w:w="80" w:type="dxa"/>
            <w:vAlign w:val="bottom"/>
            <w:tcBorders>
              <w:top w:val="single" w:sz="8" w:color="2C6937"/>
            </w:tcBorders>
          </w:tcPr>
          <w:p>
            <w:pPr>
              <w:spacing w:after="0"/>
              <w:rPr>
                <w:sz w:val="20"/>
                <w:szCs w:val="20"/>
                <w:color w:val="auto"/>
              </w:rPr>
            </w:pPr>
          </w:p>
        </w:tc>
        <w:tc>
          <w:tcPr>
            <w:tcW w:w="820" w:type="dxa"/>
            <w:vAlign w:val="bottom"/>
            <w:tcBorders>
              <w:top w:val="single" w:sz="8" w:color="2C6937"/>
            </w:tcBorders>
          </w:tcPr>
          <w:p>
            <w:pPr>
              <w:jc w:val="right"/>
              <w:ind w:right="6"/>
              <w:spacing w:after="0"/>
              <w:rPr>
                <w:sz w:val="20"/>
                <w:szCs w:val="20"/>
                <w:color w:val="auto"/>
              </w:rPr>
            </w:pPr>
            <w:r>
              <w:rPr>
                <w:rFonts w:ascii="Arial" w:cs="Arial" w:eastAsia="Arial" w:hAnsi="Arial"/>
                <w:sz w:val="15"/>
                <w:szCs w:val="15"/>
                <w:color w:val="auto"/>
              </w:rPr>
              <w:t>98</w:t>
            </w:r>
          </w:p>
        </w:tc>
        <w:tc>
          <w:tcPr>
            <w:tcW w:w="460" w:type="dxa"/>
            <w:vAlign w:val="bottom"/>
            <w:gridSpan w:val="2"/>
          </w:tcPr>
          <w:p>
            <w:pPr>
              <w:jc w:val="right"/>
              <w:ind w:right="270"/>
              <w:spacing w:after="0"/>
              <w:rPr>
                <w:sz w:val="20"/>
                <w:szCs w:val="20"/>
                <w:color w:val="auto"/>
              </w:rPr>
            </w:pPr>
            <w:r>
              <w:rPr>
                <w:rFonts w:ascii="Arial" w:cs="Arial" w:eastAsia="Arial" w:hAnsi="Arial"/>
                <w:sz w:val="10"/>
                <w:szCs w:val="10"/>
                <w:color w:val="auto"/>
                <w:w w:val="97"/>
              </w:rPr>
              <w:t>(4)</w:t>
            </w:r>
          </w:p>
        </w:tc>
        <w:tc>
          <w:tcPr>
            <w:tcW w:w="200" w:type="dxa"/>
            <w:vAlign w:val="bottom"/>
          </w:tcPr>
          <w:p>
            <w:pPr>
              <w:spacing w:after="0"/>
              <w:rPr>
                <w:sz w:val="20"/>
                <w:szCs w:val="20"/>
                <w:color w:val="auto"/>
              </w:rPr>
            </w:pPr>
          </w:p>
        </w:tc>
        <w:tc>
          <w:tcPr>
            <w:tcW w:w="20" w:type="dxa"/>
            <w:vAlign w:val="bottom"/>
            <w:tcBorders>
              <w:top w:val="single" w:sz="8" w:color="2C6937"/>
            </w:tcBorders>
          </w:tcPr>
          <w:p>
            <w:pPr>
              <w:spacing w:after="0"/>
              <w:rPr>
                <w:sz w:val="20"/>
                <w:szCs w:val="20"/>
                <w:color w:val="auto"/>
              </w:rPr>
            </w:pPr>
          </w:p>
        </w:tc>
        <w:tc>
          <w:tcPr>
            <w:tcW w:w="140" w:type="dxa"/>
            <w:vAlign w:val="bottom"/>
            <w:tcBorders>
              <w:top w:val="single" w:sz="8" w:color="2C6937"/>
            </w:tcBorders>
          </w:tcPr>
          <w:p>
            <w:pPr>
              <w:spacing w:after="0"/>
              <w:rPr>
                <w:sz w:val="20"/>
                <w:szCs w:val="20"/>
                <w:color w:val="auto"/>
              </w:rPr>
            </w:pPr>
          </w:p>
        </w:tc>
        <w:tc>
          <w:tcPr>
            <w:tcW w:w="84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(36)</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Borders>
              <w:top w:val="single" w:sz="8" w:color="2C6937"/>
            </w:tcBorders>
          </w:tcPr>
          <w:p>
            <w:pPr>
              <w:spacing w:after="0"/>
              <w:rPr>
                <w:sz w:val="20"/>
                <w:szCs w:val="20"/>
                <w:color w:val="auto"/>
              </w:rPr>
            </w:pPr>
          </w:p>
        </w:tc>
        <w:tc>
          <w:tcPr>
            <w:tcW w:w="100" w:type="dxa"/>
            <w:vAlign w:val="bottom"/>
            <w:tcBorders>
              <w:top w:val="single" w:sz="8" w:color="2C6937"/>
            </w:tcBorders>
          </w:tcPr>
          <w:p>
            <w:pPr>
              <w:spacing w:after="0"/>
              <w:rPr>
                <w:sz w:val="20"/>
                <w:szCs w:val="20"/>
                <w:color w:val="auto"/>
              </w:rPr>
            </w:pPr>
          </w:p>
        </w:tc>
        <w:tc>
          <w:tcPr>
            <w:tcW w:w="84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2C6937"/>
            </w:tcBorders>
          </w:tcPr>
          <w:p>
            <w:pPr>
              <w:spacing w:after="0"/>
              <w:rPr>
                <w:sz w:val="20"/>
                <w:szCs w:val="20"/>
                <w:color w:val="auto"/>
              </w:rPr>
            </w:pPr>
          </w:p>
        </w:tc>
        <w:tc>
          <w:tcPr>
            <w:tcW w:w="340" w:type="dxa"/>
            <w:vAlign w:val="bottom"/>
            <w:tcBorders>
              <w:top w:val="single" w:sz="8" w:color="2C6937"/>
            </w:tcBorders>
          </w:tcPr>
          <w:p>
            <w:pPr>
              <w:spacing w:after="0"/>
              <w:rPr>
                <w:sz w:val="20"/>
                <w:szCs w:val="20"/>
                <w:color w:val="auto"/>
              </w:rPr>
            </w:pPr>
          </w:p>
        </w:tc>
        <w:tc>
          <w:tcPr>
            <w:tcW w:w="54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46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3680" w:type="dxa"/>
            <w:vAlign w:val="bottom"/>
            <w:tcBorders>
              <w:bottom w:val="single" w:sz="8" w:color="2C6937"/>
            </w:tcBorders>
            <w:gridSpan w:val="2"/>
          </w:tcPr>
          <w:p>
            <w:pPr>
              <w:ind w:left="180"/>
              <w:spacing w:after="0"/>
              <w:rPr>
                <w:sz w:val="20"/>
                <w:szCs w:val="20"/>
                <w:color w:val="auto"/>
              </w:rPr>
            </w:pPr>
            <w:r>
              <w:rPr>
                <w:rFonts w:ascii="Arial" w:cs="Arial" w:eastAsia="Arial" w:hAnsi="Arial"/>
                <w:sz w:val="15"/>
                <w:szCs w:val="15"/>
                <w:color w:val="auto"/>
              </w:rPr>
              <w:t>Securities purchased under agreements to resell</w:t>
            </w:r>
            <w:r>
              <w:rPr>
                <w:rFonts w:ascii="Arial" w:cs="Arial" w:eastAsia="Arial" w:hAnsi="Arial"/>
                <w:sz w:val="20"/>
                <w:szCs w:val="20"/>
                <w:color w:val="auto"/>
                <w:vertAlign w:val="superscript"/>
              </w:rPr>
              <w:t>(5)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76,250</w:t>
            </w:r>
          </w:p>
        </w:tc>
        <w:tc>
          <w:tcPr>
            <w:tcW w:w="20" w:type="dxa"/>
            <w:vAlign w:val="bottom"/>
            <w:tcBorders>
              <w:bottom w:val="single" w:sz="8" w:color="2C6937"/>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72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80" w:type="dxa"/>
            <w:vAlign w:val="bottom"/>
            <w:tcBorders>
              <w:bottom w:val="single" w:sz="8" w:color="2C6937"/>
            </w:tcBorders>
          </w:tcPr>
          <w:p>
            <w:pPr>
              <w:spacing w:after="0"/>
              <w:rPr>
                <w:sz w:val="20"/>
                <w:szCs w:val="20"/>
                <w:color w:val="auto"/>
              </w:rPr>
            </w:pPr>
          </w:p>
        </w:tc>
        <w:tc>
          <w:tcPr>
            <w:tcW w:w="82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76,250</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Borders>
              <w:bottom w:val="single" w:sz="8" w:color="2C6937"/>
            </w:tcBorders>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(76,250)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2C6937"/>
            </w:tcBorders>
          </w:tcPr>
          <w:p>
            <w:pPr>
              <w:spacing w:after="0"/>
              <w:rPr>
                <w:sz w:val="20"/>
                <w:szCs w:val="20"/>
                <w:color w:val="auto"/>
              </w:rPr>
            </w:pPr>
          </w:p>
        </w:tc>
        <w:tc>
          <w:tcPr>
            <w:tcW w:w="340" w:type="dxa"/>
            <w:vAlign w:val="bottom"/>
            <w:tcBorders>
              <w:bottom w:val="single" w:sz="8" w:color="2C6937"/>
            </w:tcBorders>
          </w:tcPr>
          <w:p>
            <w:pPr>
              <w:spacing w:after="0"/>
              <w:rPr>
                <w:sz w:val="20"/>
                <w:szCs w:val="20"/>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680" w:type="dxa"/>
            <w:vAlign w:val="bottom"/>
            <w:gridSpan w:val="2"/>
          </w:tcPr>
          <w:p>
            <w:pPr>
              <w:ind w:left="20"/>
              <w:spacing w:after="0"/>
              <w:rPr>
                <w:sz w:val="20"/>
                <w:szCs w:val="20"/>
                <w:color w:val="auto"/>
              </w:rPr>
            </w:pPr>
            <w:r>
              <w:rPr>
                <w:rFonts w:ascii="Arial" w:cs="Arial" w:eastAsia="Arial" w:hAnsi="Arial"/>
                <w:sz w:val="15"/>
                <w:szCs w:val="15"/>
                <w:color w:val="auto"/>
              </w:rPr>
              <w:t>Total assets</w:t>
            </w:r>
          </w:p>
        </w:tc>
        <w:tc>
          <w:tcPr>
            <w:tcW w:w="2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76,566</w:t>
            </w:r>
          </w:p>
        </w:tc>
        <w:tc>
          <w:tcPr>
            <w:tcW w:w="20" w:type="dxa"/>
            <w:vAlign w:val="bottom"/>
          </w:tcPr>
          <w:p>
            <w:pPr>
              <w:spacing w:after="0"/>
              <w:rPr>
                <w:sz w:val="17"/>
                <w:szCs w:val="17"/>
                <w:color w:val="auto"/>
              </w:rPr>
            </w:pPr>
          </w:p>
        </w:tc>
        <w:tc>
          <w:tcPr>
            <w:tcW w:w="2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5"/>
                <w:szCs w:val="15"/>
                <w:color w:val="auto"/>
              </w:rPr>
              <w:t>(218)</w:t>
            </w:r>
          </w:p>
        </w:tc>
        <w:tc>
          <w:tcPr>
            <w:tcW w:w="4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
              <w:spacing w:after="0"/>
              <w:rPr>
                <w:sz w:val="20"/>
                <w:szCs w:val="20"/>
                <w:color w:val="auto"/>
              </w:rPr>
            </w:pPr>
            <w:r>
              <w:rPr>
                <w:rFonts w:ascii="Arial" w:cs="Arial" w:eastAsia="Arial" w:hAnsi="Arial"/>
                <w:sz w:val="15"/>
                <w:szCs w:val="15"/>
                <w:color w:val="auto"/>
              </w:rPr>
              <w:t>76,348</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(36)</w:t>
            </w:r>
          </w:p>
        </w:tc>
        <w:tc>
          <w:tcPr>
            <w:tcW w:w="5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(76,266)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4"/>
          </w:tcPr>
          <w:p>
            <w:pPr>
              <w:jc w:val="right"/>
              <w:ind w:right="208"/>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64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340" w:type="dxa"/>
            <w:vAlign w:val="bottom"/>
            <w:tcBorders>
              <w:top w:val="single" w:sz="8" w:color="2C6937"/>
              <w:bottom w:val="single" w:sz="8" w:color="2C6937"/>
            </w:tcBorders>
          </w:tcPr>
          <w:p>
            <w:pPr>
              <w:spacing w:after="0" w:line="20" w:lineRule="exact"/>
              <w:rPr>
                <w:sz w:val="1"/>
                <w:szCs w:val="1"/>
                <w:color w:val="auto"/>
              </w:rPr>
            </w:pPr>
          </w:p>
        </w:tc>
        <w:tc>
          <w:tcPr>
            <w:tcW w:w="54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3680" w:type="dxa"/>
            <w:vAlign w:val="bottom"/>
            <w:gridSpan w:val="2"/>
          </w:tcPr>
          <w:p>
            <w:pPr>
              <w:ind w:left="20"/>
              <w:spacing w:after="0"/>
              <w:rPr>
                <w:sz w:val="20"/>
                <w:szCs w:val="20"/>
                <w:color w:val="auto"/>
              </w:rPr>
            </w:pPr>
            <w:r>
              <w:rPr>
                <w:rFonts w:ascii="Arial" w:cs="Arial" w:eastAsia="Arial" w:hAnsi="Arial"/>
                <w:sz w:val="15"/>
                <w:szCs w:val="15"/>
                <w:color w:val="auto"/>
              </w:rPr>
              <w:t>Liabilities: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3680" w:type="dxa"/>
            <w:vAlign w:val="bottom"/>
            <w:gridSpan w:val="2"/>
          </w:tcPr>
          <w:p>
            <w:pPr>
              <w:ind w:left="180"/>
              <w:spacing w:after="0"/>
              <w:rPr>
                <w:sz w:val="20"/>
                <w:szCs w:val="20"/>
                <w:color w:val="auto"/>
              </w:rPr>
            </w:pPr>
            <w:r>
              <w:rPr>
                <w:rFonts w:ascii="Arial" w:cs="Arial" w:eastAsia="Arial" w:hAnsi="Arial"/>
                <w:sz w:val="15"/>
                <w:szCs w:val="15"/>
                <w:color w:val="auto"/>
              </w:rPr>
              <w:t>OTC risk management derivatives</w:t>
            </w:r>
          </w:p>
        </w:tc>
        <w:tc>
          <w:tcPr>
            <w:tcW w:w="2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(4,250)</w:t>
            </w:r>
          </w:p>
        </w:tc>
        <w:tc>
          <w:tcPr>
            <w:tcW w:w="2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4,249</w:t>
            </w:r>
          </w:p>
        </w:tc>
        <w:tc>
          <w:tcPr>
            <w:tcW w:w="20" w:type="dxa"/>
            <w:vAlign w:val="bottom"/>
          </w:tcPr>
          <w:p>
            <w:pPr>
              <w:spacing w:after="0"/>
              <w:rPr>
                <w:sz w:val="22"/>
                <w:szCs w:val="22"/>
                <w:color w:val="auto"/>
              </w:rPr>
            </w:pPr>
          </w:p>
        </w:tc>
        <w:tc>
          <w:tcPr>
            <w:tcW w:w="4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480" w:type="dxa"/>
            <w:vAlign w:val="bottom"/>
            <w:gridSpan w:val="4"/>
          </w:tcPr>
          <w:p>
            <w:pPr>
              <w:jc w:val="right"/>
              <w:ind w:right="208"/>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3680" w:type="dxa"/>
            <w:vAlign w:val="bottom"/>
            <w:gridSpan w:val="2"/>
          </w:tcPr>
          <w:p>
            <w:pPr>
              <w:ind w:left="180"/>
              <w:spacing w:after="0"/>
              <w:rPr>
                <w:sz w:val="20"/>
                <w:szCs w:val="20"/>
                <w:color w:val="auto"/>
              </w:rPr>
            </w:pPr>
            <w:r>
              <w:rPr>
                <w:rFonts w:ascii="Arial" w:cs="Arial" w:eastAsia="Arial" w:hAnsi="Arial"/>
                <w:sz w:val="15"/>
                <w:szCs w:val="15"/>
                <w:color w:val="auto"/>
              </w:rPr>
              <w:t>Cleared risk management derivatives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5"/>
                <w:szCs w:val="15"/>
                <w:color w:val="auto"/>
              </w:rPr>
              <w:t>(22)</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(22)</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3680" w:type="dxa"/>
            <w:vAlign w:val="bottom"/>
            <w:tcBorders>
              <w:bottom w:val="single" w:sz="8" w:color="2C6937"/>
            </w:tcBorders>
            <w:gridSpan w:val="2"/>
          </w:tcPr>
          <w:p>
            <w:pPr>
              <w:ind w:left="180"/>
              <w:spacing w:after="0"/>
              <w:rPr>
                <w:sz w:val="20"/>
                <w:szCs w:val="20"/>
                <w:color w:val="auto"/>
              </w:rPr>
            </w:pPr>
            <w:r>
              <w:rPr>
                <w:rFonts w:ascii="Arial" w:cs="Arial" w:eastAsia="Arial" w:hAnsi="Arial"/>
                <w:sz w:val="15"/>
                <w:szCs w:val="15"/>
                <w:color w:val="auto"/>
              </w:rPr>
              <w:t>Mortgage commitment derivatives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gridSpan w:val="2"/>
          </w:tcPr>
          <w:p>
            <w:pPr>
              <w:jc w:val="right"/>
              <w:ind w:right="20"/>
              <w:spacing w:after="0"/>
              <w:rPr>
                <w:sz w:val="20"/>
                <w:szCs w:val="20"/>
                <w:color w:val="auto"/>
              </w:rPr>
            </w:pPr>
            <w:r>
              <w:rPr>
                <w:rFonts w:ascii="Arial" w:cs="Arial" w:eastAsia="Arial" w:hAnsi="Arial"/>
                <w:sz w:val="15"/>
                <w:szCs w:val="15"/>
                <w:color w:val="auto"/>
              </w:rPr>
              <w:t>(204)</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72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(204)</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36</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340" w:type="dxa"/>
            <w:vAlign w:val="bottom"/>
            <w:tcBorders>
              <w:bottom w:val="single" w:sz="8" w:color="2C6937"/>
            </w:tcBorders>
          </w:tcPr>
          <w:p>
            <w:pPr>
              <w:spacing w:after="0"/>
              <w:rPr>
                <w:sz w:val="17"/>
                <w:szCs w:val="17"/>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680" w:type="dxa"/>
            <w:vAlign w:val="bottom"/>
            <w:tcBorders>
              <w:bottom w:val="single" w:sz="8" w:color="2C6937"/>
            </w:tcBorders>
            <w:gridSpan w:val="2"/>
          </w:tcPr>
          <w:p>
            <w:pPr>
              <w:ind w:left="20"/>
              <w:spacing w:after="0"/>
              <w:rPr>
                <w:sz w:val="20"/>
                <w:szCs w:val="20"/>
                <w:color w:val="auto"/>
              </w:rPr>
            </w:pPr>
            <w:r>
              <w:rPr>
                <w:rFonts w:ascii="Arial" w:cs="Arial" w:eastAsia="Arial" w:hAnsi="Arial"/>
                <w:sz w:val="15"/>
                <w:szCs w:val="15"/>
                <w:color w:val="auto"/>
              </w:rPr>
              <w:t>Total liabilities</w:t>
            </w:r>
          </w:p>
        </w:tc>
        <w:tc>
          <w:tcPr>
            <w:tcW w:w="100" w:type="dxa"/>
            <w:vAlign w:val="bottom"/>
            <w:gridSpan w:val="2"/>
          </w:tcPr>
          <w:p>
            <w:pPr>
              <w:spacing w:after="0"/>
              <w:rPr>
                <w:sz w:val="17"/>
                <w:szCs w:val="17"/>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2C6937"/>
            </w:tcBorders>
            <w:gridSpan w:val="2"/>
          </w:tcPr>
          <w:p>
            <w:pPr>
              <w:jc w:val="right"/>
              <w:ind w:right="20"/>
              <w:spacing w:after="0"/>
              <w:rPr>
                <w:sz w:val="20"/>
                <w:szCs w:val="20"/>
                <w:color w:val="auto"/>
              </w:rPr>
            </w:pPr>
            <w:r>
              <w:rPr>
                <w:rFonts w:ascii="Arial" w:cs="Arial" w:eastAsia="Arial" w:hAnsi="Arial"/>
                <w:sz w:val="15"/>
                <w:szCs w:val="15"/>
                <w:color w:val="auto"/>
              </w:rPr>
              <w:t>(4,454)</w:t>
            </w:r>
          </w:p>
        </w:tc>
        <w:tc>
          <w:tcPr>
            <w:tcW w:w="120" w:type="dxa"/>
            <w:vAlign w:val="bottom"/>
            <w:gridSpan w:val="2"/>
          </w:tcPr>
          <w:p>
            <w:pPr>
              <w:spacing w:after="0"/>
              <w:rPr>
                <w:sz w:val="17"/>
                <w:szCs w:val="17"/>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4,227</w:t>
            </w:r>
          </w:p>
        </w:tc>
        <w:tc>
          <w:tcPr>
            <w:tcW w:w="20" w:type="dxa"/>
            <w:vAlign w:val="bottom"/>
            <w:tcBorders>
              <w:bottom w:val="single" w:sz="8" w:color="2C6937"/>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bottom w:val="single" w:sz="8" w:color="2C6937"/>
            </w:tcBorders>
            <w:gridSpan w:val="2"/>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(227)</w:t>
            </w:r>
          </w:p>
        </w:tc>
        <w:tc>
          <w:tcPr>
            <w:tcW w:w="460" w:type="dxa"/>
            <w:vAlign w:val="bottom"/>
            <w:gridSpan w:val="2"/>
          </w:tcPr>
          <w:p>
            <w:pPr>
              <w:jc w:val="right"/>
              <w:ind w:right="270"/>
              <w:spacing w:after="0" w:line="114" w:lineRule="exact"/>
              <w:rPr>
                <w:sz w:val="20"/>
                <w:szCs w:val="20"/>
                <w:color w:val="auto"/>
              </w:rPr>
            </w:pPr>
            <w:r>
              <w:rPr>
                <w:rFonts w:ascii="Arial" w:cs="Arial" w:eastAsia="Arial" w:hAnsi="Arial"/>
                <w:sz w:val="10"/>
                <w:szCs w:val="10"/>
                <w:color w:val="auto"/>
                <w:w w:val="97"/>
              </w:rPr>
              <w:t>(4)</w:t>
            </w:r>
          </w:p>
        </w:tc>
        <w:tc>
          <w:tcPr>
            <w:tcW w:w="200" w:type="dxa"/>
            <w:vAlign w:val="bottom"/>
          </w:tcPr>
          <w:p>
            <w:pPr>
              <w:spacing w:after="0"/>
              <w:rPr>
                <w:sz w:val="17"/>
                <w:szCs w:val="17"/>
                <w:color w:val="auto"/>
              </w:rPr>
            </w:pPr>
          </w:p>
        </w:tc>
        <w:tc>
          <w:tcPr>
            <w:tcW w:w="160" w:type="dxa"/>
            <w:vAlign w:val="bottom"/>
            <w:tcBorders>
              <w:bottom w:val="single" w:sz="8" w:color="2C6937"/>
            </w:tcBorders>
            <w:gridSpan w:val="2"/>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36</w:t>
            </w:r>
          </w:p>
        </w:tc>
        <w:tc>
          <w:tcPr>
            <w:tcW w:w="420" w:type="dxa"/>
            <w:vAlign w:val="bottom"/>
            <w:gridSpan w:val="2"/>
          </w:tcPr>
          <w:p>
            <w:pPr>
              <w:spacing w:after="0"/>
              <w:rPr>
                <w:sz w:val="17"/>
                <w:szCs w:val="17"/>
                <w:color w:val="auto"/>
              </w:rPr>
            </w:pPr>
          </w:p>
        </w:tc>
        <w:tc>
          <w:tcPr>
            <w:tcW w:w="140" w:type="dxa"/>
            <w:vAlign w:val="bottom"/>
            <w:tcBorders>
              <w:bottom w:val="single" w:sz="8" w:color="2C6937"/>
            </w:tcBorders>
            <w:gridSpan w:val="2"/>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380" w:type="dxa"/>
            <w:vAlign w:val="bottom"/>
            <w:tcBorders>
              <w:bottom w:val="single" w:sz="8" w:color="2C6937"/>
            </w:tcBorders>
            <w:gridSpan w:val="2"/>
          </w:tcPr>
          <w:p>
            <w:pPr>
              <w:jc w:val="right"/>
              <w:ind w:right="208"/>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64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820" w:type="dxa"/>
            <w:vAlign w:val="bottom"/>
            <w:tcBorders>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340" w:type="dxa"/>
            <w:vAlign w:val="bottom"/>
            <w:tcBorders>
              <w:bottom w:val="single" w:sz="8" w:color="2C6937"/>
            </w:tcBorders>
          </w:tcPr>
          <w:p>
            <w:pPr>
              <w:spacing w:after="0" w:line="20" w:lineRule="exact"/>
              <w:rPr>
                <w:sz w:val="1"/>
                <w:szCs w:val="1"/>
                <w:color w:val="auto"/>
              </w:rPr>
            </w:pPr>
          </w:p>
        </w:tc>
        <w:tc>
          <w:tcPr>
            <w:tcW w:w="540" w:type="dxa"/>
            <w:vAlign w:val="bottom"/>
            <w:tcBorders>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6"/>
        </w:trPr>
        <w:tc>
          <w:tcPr>
            <w:tcW w:w="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30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2480" w:type="dxa"/>
            <w:vAlign w:val="bottom"/>
            <w:tcBorders>
              <w:bottom w:val="single" w:sz="8" w:color="2C6937"/>
            </w:tcBorders>
            <w:gridSpan w:val="7"/>
          </w:tcPr>
          <w:p>
            <w:pPr>
              <w:jc w:val="center"/>
              <w:ind w:left="226"/>
              <w:spacing w:after="0"/>
              <w:rPr>
                <w:sz w:val="20"/>
                <w:szCs w:val="20"/>
                <w:color w:val="auto"/>
              </w:rPr>
            </w:pPr>
            <w:r>
              <w:rPr>
                <w:rFonts w:ascii="Arial" w:cs="Arial" w:eastAsia="Arial" w:hAnsi="Arial"/>
                <w:sz w:val="14"/>
                <w:szCs w:val="14"/>
                <w:b w:val="1"/>
                <w:bCs w:val="1"/>
                <w:color w:val="auto"/>
                <w:w w:val="98"/>
              </w:rPr>
              <w:t>As of December 31, 2022</w:t>
            </w:r>
          </w:p>
        </w:tc>
        <w:tc>
          <w:tcPr>
            <w:tcW w:w="20" w:type="dxa"/>
            <w:vAlign w:val="bottom"/>
            <w:tcBorders>
              <w:bottom w:val="single" w:sz="8" w:color="2C6937"/>
            </w:tcBorders>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340" w:type="dxa"/>
            <w:vAlign w:val="bottom"/>
            <w:tcBorders>
              <w:bottom w:val="single" w:sz="8" w:color="2C6937"/>
            </w:tcBorders>
          </w:tcPr>
          <w:p>
            <w:pPr>
              <w:spacing w:after="0"/>
              <w:rPr>
                <w:sz w:val="24"/>
                <w:szCs w:val="24"/>
                <w:color w:val="auto"/>
              </w:rPr>
            </w:pPr>
          </w:p>
        </w:tc>
        <w:tc>
          <w:tcPr>
            <w:tcW w:w="54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3"/>
          </w:tcPr>
          <w:p>
            <w:pPr>
              <w:jc w:val="center"/>
              <w:ind w:right="370"/>
              <w:spacing w:after="0"/>
              <w:rPr>
                <w:sz w:val="20"/>
                <w:szCs w:val="20"/>
                <w:color w:val="auto"/>
              </w:rPr>
            </w:pPr>
            <w:r>
              <w:rPr>
                <w:rFonts w:ascii="Arial" w:cs="Arial" w:eastAsia="Arial" w:hAnsi="Arial"/>
                <w:sz w:val="14"/>
                <w:szCs w:val="14"/>
                <w:b w:val="1"/>
                <w:bCs w:val="1"/>
                <w:color w:val="auto"/>
                <w:w w:val="98"/>
              </w:rPr>
              <w:t>Net Amount</w:t>
            </w:r>
          </w:p>
        </w:tc>
        <w:tc>
          <w:tcPr>
            <w:tcW w:w="2700" w:type="dxa"/>
            <w:vAlign w:val="bottom"/>
            <w:gridSpan w:val="11"/>
            <w:vMerge w:val="restart"/>
          </w:tcPr>
          <w:p>
            <w:pPr>
              <w:jc w:val="center"/>
              <w:spacing w:after="0"/>
              <w:rPr>
                <w:sz w:val="20"/>
                <w:szCs w:val="20"/>
                <w:color w:val="auto"/>
              </w:rPr>
            </w:pPr>
            <w:r>
              <w:rPr>
                <w:rFonts w:ascii="Arial" w:cs="Arial" w:eastAsia="Arial" w:hAnsi="Arial"/>
                <w:sz w:val="14"/>
                <w:szCs w:val="14"/>
                <w:b w:val="1"/>
                <w:bCs w:val="1"/>
                <w:color w:val="auto"/>
                <w:w w:val="97"/>
              </w:rPr>
              <w:t>Amounts Not Offset in our Condensed</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40" w:type="dxa"/>
            <w:vAlign w:val="bottom"/>
          </w:tcPr>
          <w:p>
            <w:pPr>
              <w:spacing w:after="0"/>
              <w:rPr>
                <w:sz w:val="7"/>
                <w:szCs w:val="7"/>
                <w:color w:val="auto"/>
              </w:rPr>
            </w:pPr>
          </w:p>
        </w:tc>
        <w:tc>
          <w:tcPr>
            <w:tcW w:w="3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80" w:type="dxa"/>
            <w:vAlign w:val="bottom"/>
            <w:gridSpan w:val="6"/>
            <w:vMerge w:val="restart"/>
          </w:tcPr>
          <w:p>
            <w:pPr>
              <w:jc w:val="center"/>
              <w:spacing w:after="0" w:line="155" w:lineRule="exact"/>
              <w:rPr>
                <w:sz w:val="20"/>
                <w:szCs w:val="20"/>
                <w:color w:val="auto"/>
              </w:rPr>
            </w:pPr>
            <w:r>
              <w:rPr>
                <w:rFonts w:ascii="Arial" w:cs="Arial" w:eastAsia="Arial" w:hAnsi="Arial"/>
                <w:sz w:val="14"/>
                <w:szCs w:val="14"/>
                <w:b w:val="1"/>
                <w:bCs w:val="1"/>
                <w:color w:val="auto"/>
                <w:w w:val="97"/>
              </w:rPr>
              <w:t>Presented in our</w:t>
            </w:r>
          </w:p>
        </w:tc>
        <w:tc>
          <w:tcPr>
            <w:tcW w:w="2700" w:type="dxa"/>
            <w:vAlign w:val="bottom"/>
            <w:gridSpan w:val="11"/>
            <w:vMerge w:val="continue"/>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3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gridSpan w:val="6"/>
            <w:vMerge w:val="continue"/>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340" w:type="dxa"/>
            <w:vAlign w:val="bottom"/>
            <w:gridSpan w:val="8"/>
            <w:vMerge w:val="restart"/>
          </w:tcPr>
          <w:p>
            <w:pPr>
              <w:jc w:val="center"/>
              <w:ind w:right="320"/>
              <w:spacing w:after="0"/>
              <w:rPr>
                <w:sz w:val="20"/>
                <w:szCs w:val="20"/>
                <w:color w:val="auto"/>
              </w:rPr>
            </w:pPr>
            <w:r>
              <w:rPr>
                <w:rFonts w:ascii="Arial" w:cs="Arial" w:eastAsia="Arial" w:hAnsi="Arial"/>
                <w:sz w:val="14"/>
                <w:szCs w:val="14"/>
                <w:b w:val="1"/>
                <w:bCs w:val="1"/>
                <w:color w:val="auto"/>
                <w:w w:val="98"/>
              </w:rPr>
              <w:t>Consolidated Balance Sheets</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60"/>
              <w:spacing w:after="0" w:line="121" w:lineRule="exact"/>
              <w:rPr>
                <w:sz w:val="20"/>
                <w:szCs w:val="20"/>
                <w:color w:val="auto"/>
              </w:rPr>
            </w:pPr>
            <w:r>
              <w:rPr>
                <w:rFonts w:ascii="Arial" w:cs="Arial" w:eastAsia="Arial" w:hAnsi="Arial"/>
                <w:sz w:val="13"/>
                <w:szCs w:val="13"/>
                <w:b w:val="1"/>
                <w:bCs w:val="1"/>
                <w:color w:val="auto"/>
              </w:rPr>
              <w:t>Gross</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jc w:val="center"/>
              <w:ind w:right="370"/>
              <w:spacing w:after="0" w:line="121" w:lineRule="exact"/>
              <w:rPr>
                <w:sz w:val="20"/>
                <w:szCs w:val="20"/>
                <w:color w:val="auto"/>
              </w:rPr>
            </w:pPr>
            <w:r>
              <w:rPr>
                <w:rFonts w:ascii="Arial" w:cs="Arial" w:eastAsia="Arial" w:hAnsi="Arial"/>
                <w:sz w:val="13"/>
                <w:szCs w:val="13"/>
                <w:b w:val="1"/>
                <w:bCs w:val="1"/>
                <w:color w:val="auto"/>
              </w:rPr>
              <w:t>Condensed</w:t>
            </w:r>
          </w:p>
        </w:tc>
        <w:tc>
          <w:tcPr>
            <w:tcW w:w="200" w:type="dxa"/>
            <w:vAlign w:val="bottom"/>
            <w:tcBorders>
              <w:bottom w:val="single" w:sz="8" w:color="2C6937"/>
            </w:tcBorders>
          </w:tcPr>
          <w:p>
            <w:pPr>
              <w:spacing w:after="0"/>
              <w:rPr>
                <w:sz w:val="12"/>
                <w:szCs w:val="12"/>
                <w:color w:val="auto"/>
              </w:rPr>
            </w:pPr>
          </w:p>
        </w:tc>
        <w:tc>
          <w:tcPr>
            <w:tcW w:w="20" w:type="dxa"/>
            <w:vAlign w:val="bottom"/>
            <w:tcBorders>
              <w:bottom w:val="single" w:sz="8" w:color="2C6937"/>
            </w:tcBorders>
          </w:tcPr>
          <w:p>
            <w:pPr>
              <w:spacing w:after="0"/>
              <w:rPr>
                <w:sz w:val="12"/>
                <w:szCs w:val="12"/>
                <w:color w:val="auto"/>
              </w:rPr>
            </w:pPr>
          </w:p>
        </w:tc>
        <w:tc>
          <w:tcPr>
            <w:tcW w:w="140" w:type="dxa"/>
            <w:vAlign w:val="bottom"/>
            <w:tcBorders>
              <w:bottom w:val="single" w:sz="8" w:color="2C6937"/>
            </w:tcBorders>
          </w:tcPr>
          <w:p>
            <w:pPr>
              <w:spacing w:after="0"/>
              <w:rPr>
                <w:sz w:val="12"/>
                <w:szCs w:val="12"/>
                <w:color w:val="auto"/>
              </w:rPr>
            </w:pPr>
          </w:p>
        </w:tc>
        <w:tc>
          <w:tcPr>
            <w:tcW w:w="2340" w:type="dxa"/>
            <w:vAlign w:val="bottom"/>
            <w:tcBorders>
              <w:bottom w:val="single" w:sz="8" w:color="2C6937"/>
            </w:tcBorders>
            <w:gridSpan w:val="8"/>
            <w:vMerge w:val="continue"/>
          </w:tcPr>
          <w:p>
            <w:pPr>
              <w:spacing w:after="0"/>
              <w:rPr>
                <w:sz w:val="12"/>
                <w:szCs w:val="12"/>
                <w:color w:val="auto"/>
              </w:rPr>
            </w:pPr>
          </w:p>
        </w:tc>
        <w:tc>
          <w:tcPr>
            <w:tcW w:w="40" w:type="dxa"/>
            <w:vAlign w:val="bottom"/>
            <w:tcBorders>
              <w:bottom w:val="single" w:sz="8" w:color="2C6937"/>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Amount</w:t>
            </w:r>
          </w:p>
        </w:tc>
        <w:tc>
          <w:tcPr>
            <w:tcW w:w="16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8"/>
              </w:rPr>
              <w:t>Consolidated Balance</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center"/>
              <w:ind w:right="44"/>
              <w:spacing w:after="0"/>
              <w:rPr>
                <w:sz w:val="20"/>
                <w:szCs w:val="20"/>
                <w:color w:val="auto"/>
              </w:rPr>
            </w:pPr>
            <w:r>
              <w:rPr>
                <w:rFonts w:ascii="Arial" w:cs="Arial" w:eastAsia="Arial" w:hAnsi="Arial"/>
                <w:sz w:val="14"/>
                <w:szCs w:val="14"/>
                <w:b w:val="1"/>
                <w:bCs w:val="1"/>
                <w:color w:val="auto"/>
                <w:w w:val="98"/>
              </w:rPr>
              <w:t>Financial</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gridSpan w:val="2"/>
          </w:tcPr>
          <w:p>
            <w:pPr>
              <w:jc w:val="right"/>
              <w:ind w:right="200"/>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Borders>
              <w:bottom w:val="single" w:sz="8" w:color="2C6937"/>
            </w:tcBorders>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720" w:type="dxa"/>
            <w:vAlign w:val="bottom"/>
            <w:tcBorders>
              <w:bottom w:val="single" w:sz="8" w:color="2C6937"/>
            </w:tcBorders>
            <w:gridSpan w:val="2"/>
          </w:tcPr>
          <w:p>
            <w:pPr>
              <w:jc w:val="right"/>
              <w:ind w:right="200"/>
              <w:spacing w:after="0"/>
              <w:rPr>
                <w:sz w:val="20"/>
                <w:szCs w:val="20"/>
                <w:color w:val="auto"/>
              </w:rPr>
            </w:pPr>
            <w:r>
              <w:rPr>
                <w:rFonts w:ascii="Arial" w:cs="Arial" w:eastAsia="Arial" w:hAnsi="Arial"/>
                <w:sz w:val="14"/>
                <w:szCs w:val="14"/>
                <w:b w:val="1"/>
                <w:bCs w:val="1"/>
                <w:color w:val="auto"/>
                <w:w w:val="91"/>
              </w:rPr>
              <w:t>Offset</w:t>
            </w:r>
            <w:r>
              <w:rPr>
                <w:rFonts w:ascii="Arial" w:cs="Arial" w:eastAsia="Arial" w:hAnsi="Arial"/>
                <w:sz w:val="17"/>
                <w:szCs w:val="17"/>
                <w:b w:val="1"/>
                <w:bCs w:val="1"/>
                <w:color w:val="auto"/>
                <w:w w:val="91"/>
                <w:vertAlign w:val="superscript"/>
              </w:rPr>
              <w:t>(1)</w:t>
            </w:r>
          </w:p>
        </w:tc>
        <w:tc>
          <w:tcPr>
            <w:tcW w:w="30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280" w:type="dxa"/>
            <w:vAlign w:val="bottom"/>
            <w:tcBorders>
              <w:bottom w:val="single" w:sz="8" w:color="2C6937"/>
            </w:tcBorders>
            <w:gridSpan w:val="3"/>
          </w:tcPr>
          <w:p>
            <w:pPr>
              <w:jc w:val="center"/>
              <w:ind w:right="370"/>
              <w:spacing w:after="0"/>
              <w:rPr>
                <w:sz w:val="20"/>
                <w:szCs w:val="20"/>
                <w:color w:val="auto"/>
              </w:rPr>
            </w:pPr>
            <w:r>
              <w:rPr>
                <w:rFonts w:ascii="Arial" w:cs="Arial" w:eastAsia="Arial" w:hAnsi="Arial"/>
                <w:sz w:val="14"/>
                <w:szCs w:val="14"/>
                <w:b w:val="1"/>
                <w:bCs w:val="1"/>
                <w:color w:val="auto"/>
              </w:rPr>
              <w:t>Sheets</w:t>
            </w:r>
          </w:p>
        </w:tc>
        <w:tc>
          <w:tcPr>
            <w:tcW w:w="20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gridSpan w:val="2"/>
          </w:tcPr>
          <w:p>
            <w:pPr>
              <w:jc w:val="center"/>
              <w:spacing w:after="0"/>
              <w:rPr>
                <w:sz w:val="20"/>
                <w:szCs w:val="20"/>
                <w:color w:val="auto"/>
              </w:rPr>
            </w:pPr>
            <w:r>
              <w:rPr>
                <w:rFonts w:ascii="Arial" w:cs="Arial" w:eastAsia="Arial" w:hAnsi="Arial"/>
                <w:sz w:val="14"/>
                <w:szCs w:val="14"/>
                <w:b w:val="1"/>
                <w:bCs w:val="1"/>
                <w:color w:val="auto"/>
                <w:w w:val="93"/>
              </w:rPr>
              <w:t>Instruments</w:t>
            </w:r>
            <w:r>
              <w:rPr>
                <w:rFonts w:ascii="Arial" w:cs="Arial" w:eastAsia="Arial" w:hAnsi="Arial"/>
                <w:sz w:val="17"/>
                <w:szCs w:val="17"/>
                <w:b w:val="1"/>
                <w:bCs w:val="1"/>
                <w:color w:val="auto"/>
                <w:w w:val="93"/>
                <w:vertAlign w:val="superscript"/>
              </w:rPr>
              <w:t>(2)</w:t>
            </w:r>
          </w:p>
        </w:tc>
        <w:tc>
          <w:tcPr>
            <w:tcW w:w="20" w:type="dxa"/>
            <w:vAlign w:val="bottom"/>
            <w:tcBorders>
              <w:bottom w:val="single" w:sz="8" w:color="2C6937"/>
            </w:tcBorders>
          </w:tcPr>
          <w:p>
            <w:pPr>
              <w:spacing w:after="0"/>
              <w:rPr>
                <w:sz w:val="17"/>
                <w:szCs w:val="17"/>
                <w:color w:val="auto"/>
              </w:rPr>
            </w:pPr>
          </w:p>
        </w:tc>
        <w:tc>
          <w:tcPr>
            <w:tcW w:w="400" w:type="dxa"/>
            <w:vAlign w:val="bottom"/>
            <w:tcBorders>
              <w:bottom w:val="single" w:sz="8" w:color="2C6937"/>
            </w:tcBorders>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gridSpan w:val="3"/>
          </w:tcPr>
          <w:p>
            <w:pPr>
              <w:spacing w:after="0"/>
              <w:rPr>
                <w:sz w:val="20"/>
                <w:szCs w:val="20"/>
                <w:color w:val="auto"/>
              </w:rPr>
            </w:pPr>
            <w:r>
              <w:rPr>
                <w:rFonts w:ascii="Arial" w:cs="Arial" w:eastAsia="Arial" w:hAnsi="Arial"/>
                <w:sz w:val="14"/>
                <w:szCs w:val="14"/>
                <w:b w:val="1"/>
                <w:bCs w:val="1"/>
                <w:color w:val="auto"/>
              </w:rPr>
              <w:t>Collateral</w:t>
            </w:r>
            <w:r>
              <w:rPr>
                <w:rFonts w:ascii="Arial" w:cs="Arial" w:eastAsia="Arial" w:hAnsi="Arial"/>
                <w:sz w:val="17"/>
                <w:szCs w:val="17"/>
                <w:b w:val="1"/>
                <w:bCs w:val="1"/>
                <w:color w:val="auto"/>
                <w:vertAlign w:val="superscript"/>
              </w:rPr>
              <w:t>(3)</w:t>
            </w:r>
          </w:p>
        </w:tc>
        <w:tc>
          <w:tcPr>
            <w:tcW w:w="40" w:type="dxa"/>
            <w:vAlign w:val="bottom"/>
            <w:tcBorders>
              <w:bottom w:val="single" w:sz="8" w:color="2C6937"/>
            </w:tcBorders>
          </w:tcPr>
          <w:p>
            <w:pPr>
              <w:spacing w:after="0"/>
              <w:rPr>
                <w:sz w:val="17"/>
                <w:szCs w:val="17"/>
                <w:color w:val="auto"/>
              </w:rPr>
            </w:pPr>
          </w:p>
        </w:tc>
        <w:tc>
          <w:tcPr>
            <w:tcW w:w="60" w:type="dxa"/>
            <w:vAlign w:val="bottom"/>
            <w:tcBorders>
              <w:bottom w:val="single" w:sz="8" w:color="2C6937"/>
            </w:tcBorders>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920" w:type="dxa"/>
            <w:vAlign w:val="bottom"/>
            <w:tcBorders>
              <w:bottom w:val="single" w:sz="8" w:color="2C6937"/>
            </w:tcBorders>
            <w:gridSpan w:val="3"/>
          </w:tcPr>
          <w:p>
            <w:pPr>
              <w:jc w:val="right"/>
              <w:ind w:right="6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80" w:type="dxa"/>
            <w:vAlign w:val="bottom"/>
            <w:gridSpan w:val="7"/>
          </w:tcPr>
          <w:p>
            <w:pPr>
              <w:jc w:val="center"/>
              <w:ind w:left="246"/>
              <w:spacing w:after="0"/>
              <w:rPr>
                <w:sz w:val="20"/>
                <w:szCs w:val="20"/>
                <w:color w:val="auto"/>
              </w:rPr>
            </w:pPr>
            <w:r>
              <w:rPr>
                <w:rFonts w:ascii="Arial" w:cs="Arial" w:eastAsia="Arial" w:hAnsi="Arial"/>
                <w:sz w:val="14"/>
                <w:szCs w:val="14"/>
                <w:b w:val="1"/>
                <w:bCs w:val="1"/>
                <w:color w:val="auto"/>
                <w:w w:val="98"/>
              </w:rPr>
              <w:t>(Dollars in millions)</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720" w:type="dxa"/>
            <w:vAlign w:val="bottom"/>
            <w:gridSpan w:val="3"/>
          </w:tcPr>
          <w:p>
            <w:pPr>
              <w:ind w:left="20"/>
              <w:spacing w:after="0"/>
              <w:rPr>
                <w:sz w:val="20"/>
                <w:szCs w:val="20"/>
                <w:color w:val="auto"/>
              </w:rPr>
            </w:pPr>
            <w:r>
              <w:rPr>
                <w:rFonts w:ascii="Arial" w:cs="Arial" w:eastAsia="Arial" w:hAnsi="Arial"/>
                <w:sz w:val="15"/>
                <w:szCs w:val="15"/>
                <w:color w:val="auto"/>
              </w:rPr>
              <w:t>Assets: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3680" w:type="dxa"/>
            <w:vAlign w:val="bottom"/>
            <w:gridSpan w:val="2"/>
          </w:tcPr>
          <w:p>
            <w:pPr>
              <w:ind w:left="140"/>
              <w:spacing w:after="0"/>
              <w:rPr>
                <w:sz w:val="20"/>
                <w:szCs w:val="20"/>
                <w:color w:val="auto"/>
              </w:rPr>
            </w:pPr>
            <w:r>
              <w:rPr>
                <w:rFonts w:ascii="Arial" w:cs="Arial" w:eastAsia="Arial" w:hAnsi="Arial"/>
                <w:sz w:val="15"/>
                <w:szCs w:val="15"/>
                <w:color w:val="auto"/>
              </w:rPr>
              <w:t>OTC risk management derivatives</w:t>
            </w:r>
          </w:p>
        </w:tc>
        <w:tc>
          <w:tcPr>
            <w:tcW w:w="2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237</w:t>
            </w:r>
          </w:p>
        </w:tc>
        <w:tc>
          <w:tcPr>
            <w:tcW w:w="20" w:type="dxa"/>
            <w:vAlign w:val="bottom"/>
          </w:tcPr>
          <w:p>
            <w:pPr>
              <w:spacing w:after="0"/>
              <w:rPr>
                <w:sz w:val="17"/>
                <w:szCs w:val="17"/>
                <w:color w:val="auto"/>
              </w:rPr>
            </w:pPr>
          </w:p>
        </w:tc>
        <w:tc>
          <w:tcPr>
            <w:tcW w:w="2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(234)</w:t>
            </w:r>
          </w:p>
        </w:tc>
        <w:tc>
          <w:tcPr>
            <w:tcW w:w="20" w:type="dxa"/>
            <w:vAlign w:val="bottom"/>
          </w:tcPr>
          <w:p>
            <w:pPr>
              <w:spacing w:after="0"/>
              <w:rPr>
                <w:sz w:val="17"/>
                <w:szCs w:val="17"/>
                <w:color w:val="auto"/>
              </w:rPr>
            </w:pPr>
          </w:p>
        </w:tc>
        <w:tc>
          <w:tcPr>
            <w:tcW w:w="4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3</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480" w:type="dxa"/>
            <w:vAlign w:val="bottom"/>
            <w:gridSpan w:val="4"/>
          </w:tcPr>
          <w:p>
            <w:pPr>
              <w:ind w:left="16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3680" w:type="dxa"/>
            <w:vAlign w:val="bottom"/>
            <w:gridSpan w:val="2"/>
          </w:tcPr>
          <w:p>
            <w:pPr>
              <w:ind w:left="140"/>
              <w:spacing w:after="0"/>
              <w:rPr>
                <w:sz w:val="20"/>
                <w:szCs w:val="20"/>
                <w:color w:val="auto"/>
              </w:rPr>
            </w:pPr>
            <w:r>
              <w:rPr>
                <w:rFonts w:ascii="Arial" w:cs="Arial" w:eastAsia="Arial" w:hAnsi="Arial"/>
                <w:sz w:val="15"/>
                <w:szCs w:val="15"/>
                <w:color w:val="auto"/>
              </w:rPr>
              <w:t>Cleared risk management derivatives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80</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80</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 w:type="dxa"/>
            <w:vAlign w:val="bottom"/>
            <w:tcBorders>
              <w:bottom w:val="single" w:sz="8" w:color="2C6937"/>
            </w:tcBorders>
          </w:tcPr>
          <w:p>
            <w:pPr>
              <w:spacing w:after="0"/>
              <w:rPr>
                <w:sz w:val="18"/>
                <w:szCs w:val="18"/>
                <w:color w:val="auto"/>
              </w:rPr>
            </w:pPr>
          </w:p>
        </w:tc>
        <w:tc>
          <w:tcPr>
            <w:tcW w:w="3640" w:type="dxa"/>
            <w:vAlign w:val="bottom"/>
            <w:tcBorders>
              <w:bottom w:val="single" w:sz="8" w:color="2C6937"/>
            </w:tcBorders>
          </w:tcPr>
          <w:p>
            <w:pPr>
              <w:ind w:left="140"/>
              <w:spacing w:after="0"/>
              <w:rPr>
                <w:sz w:val="20"/>
                <w:szCs w:val="20"/>
                <w:color w:val="auto"/>
              </w:rPr>
            </w:pPr>
            <w:r>
              <w:rPr>
                <w:rFonts w:ascii="Arial" w:cs="Arial" w:eastAsia="Arial" w:hAnsi="Arial"/>
                <w:sz w:val="15"/>
                <w:szCs w:val="15"/>
                <w:color w:val="auto"/>
              </w:rPr>
              <w:t>Mortgage commitment derivatives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89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89</w:t>
            </w:r>
          </w:p>
        </w:tc>
        <w:tc>
          <w:tcPr>
            <w:tcW w:w="20" w:type="dxa"/>
            <w:vAlign w:val="bottom"/>
            <w:tcBorders>
              <w:bottom w:val="single" w:sz="8" w:color="2C6937"/>
            </w:tcBorders>
          </w:tcPr>
          <w:p>
            <w:pPr>
              <w:spacing w:after="0"/>
              <w:rPr>
                <w:sz w:val="18"/>
                <w:szCs w:val="18"/>
                <w:color w:val="auto"/>
              </w:rPr>
            </w:pPr>
          </w:p>
        </w:tc>
        <w:tc>
          <w:tcPr>
            <w:tcW w:w="440" w:type="dxa"/>
            <w:vAlign w:val="bottom"/>
            <w:vMerge w:val="restart"/>
          </w:tcPr>
          <w:p>
            <w:pPr>
              <w:jc w:val="right"/>
              <w:ind w:right="270"/>
              <w:spacing w:after="0"/>
              <w:rPr>
                <w:sz w:val="20"/>
                <w:szCs w:val="20"/>
                <w:color w:val="auto"/>
              </w:rPr>
            </w:pPr>
            <w:r>
              <w:rPr>
                <w:rFonts w:ascii="Arial" w:cs="Arial" w:eastAsia="Arial" w:hAnsi="Arial"/>
                <w:sz w:val="10"/>
                <w:szCs w:val="10"/>
                <w:color w:val="auto"/>
                <w:w w:val="81"/>
              </w:rPr>
              <w:t>(4)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(50)</w:t>
            </w:r>
          </w:p>
        </w:tc>
        <w:tc>
          <w:tcPr>
            <w:tcW w:w="20" w:type="dxa"/>
            <w:vAlign w:val="bottom"/>
            <w:tcBorders>
              <w:bottom w:val="single" w:sz="8" w:color="2C6937"/>
            </w:tcBorders>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w:t>
            </w:r>
          </w:p>
        </w:tc>
        <w:tc>
          <w:tcPr>
            <w:tcW w:w="20" w:type="dxa"/>
            <w:vAlign w:val="bottom"/>
            <w:tcBorders>
              <w:bottom w:val="single" w:sz="8" w:color="2C6937"/>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bottom w:val="single" w:sz="8" w:color="2C6937"/>
            </w:tcBorders>
          </w:tcPr>
          <w:p>
            <w:pPr>
              <w:spacing w:after="0"/>
              <w:rPr>
                <w:sz w:val="18"/>
                <w:szCs w:val="18"/>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27</w:t>
            </w:r>
          </w:p>
        </w:tc>
        <w:tc>
          <w:tcPr>
            <w:tcW w:w="40" w:type="dxa"/>
            <w:vAlign w:val="bottom"/>
            <w:tcBorders>
              <w:bottom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680" w:type="dxa"/>
            <w:vAlign w:val="bottom"/>
            <w:gridSpan w:val="2"/>
          </w:tcPr>
          <w:p>
            <w:pPr>
              <w:ind w:left="280"/>
              <w:spacing w:after="0"/>
              <w:rPr>
                <w:sz w:val="20"/>
                <w:szCs w:val="20"/>
                <w:color w:val="auto"/>
              </w:rPr>
            </w:pPr>
            <w:r>
              <w:rPr>
                <w:rFonts w:ascii="Arial" w:cs="Arial" w:eastAsia="Arial" w:hAnsi="Arial"/>
                <w:sz w:val="15"/>
                <w:szCs w:val="15"/>
                <w:color w:val="auto"/>
              </w:rPr>
              <w:t>Total derivative assets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326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(154)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30"/>
              <w:spacing w:after="0"/>
              <w:rPr>
                <w:sz w:val="20"/>
                <w:szCs w:val="20"/>
                <w:color w:val="auto"/>
              </w:rPr>
            </w:pPr>
            <w:r>
              <w:rPr>
                <w:rFonts w:ascii="Arial" w:cs="Arial" w:eastAsia="Arial" w:hAnsi="Arial"/>
                <w:sz w:val="15"/>
                <w:szCs w:val="15"/>
                <w:color w:val="auto"/>
              </w:rPr>
              <w:t>172</w:t>
            </w:r>
          </w:p>
        </w:tc>
        <w:tc>
          <w:tcPr>
            <w:tcW w:w="4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 w:type="dxa"/>
            <w:vAlign w:val="bottom"/>
            <w:tcBorders>
              <w:bottom w:val="single" w:sz="8" w:color="2C6937"/>
            </w:tcBorders>
          </w:tcPr>
          <w:p>
            <w:pPr>
              <w:spacing w:after="0"/>
              <w:rPr>
                <w:sz w:val="20"/>
                <w:szCs w:val="20"/>
                <w:color w:val="auto"/>
              </w:rPr>
            </w:pPr>
          </w:p>
        </w:tc>
        <w:tc>
          <w:tcPr>
            <w:tcW w:w="3640" w:type="dxa"/>
            <w:vAlign w:val="bottom"/>
            <w:tcBorders>
              <w:bottom w:val="single" w:sz="8" w:color="2C6937"/>
            </w:tcBorders>
          </w:tcPr>
          <w:p>
            <w:pPr>
              <w:ind w:left="140"/>
              <w:spacing w:after="0"/>
              <w:rPr>
                <w:sz w:val="20"/>
                <w:szCs w:val="20"/>
                <w:color w:val="auto"/>
              </w:rPr>
            </w:pPr>
            <w:r>
              <w:rPr>
                <w:rFonts w:ascii="Arial" w:cs="Arial" w:eastAsia="Arial" w:hAnsi="Arial"/>
                <w:sz w:val="15"/>
                <w:szCs w:val="15"/>
                <w:color w:val="auto"/>
              </w:rPr>
              <w:t>Securities purchased under agreements to resell</w:t>
            </w:r>
            <w:r>
              <w:rPr>
                <w:rFonts w:ascii="Arial" w:cs="Arial" w:eastAsia="Arial" w:hAnsi="Arial"/>
                <w:sz w:val="20"/>
                <w:szCs w:val="20"/>
                <w:color w:val="auto"/>
                <w:vertAlign w:val="superscript"/>
              </w:rPr>
              <w:t>(5)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7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69,415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bottom w:val="single" w:sz="8" w:color="2C6937"/>
            </w:tcBorders>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70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2C6937"/>
            </w:tcBorders>
          </w:tcPr>
          <w:p>
            <w:pPr>
              <w:spacing w:after="0"/>
              <w:rPr>
                <w:sz w:val="20"/>
                <w:szCs w:val="20"/>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69,415</w:t>
            </w:r>
          </w:p>
        </w:tc>
        <w:tc>
          <w:tcPr>
            <w:tcW w:w="20" w:type="dxa"/>
            <w:vAlign w:val="bottom"/>
            <w:tcBorders>
              <w:bottom w:val="single" w:sz="8" w:color="2C6937"/>
            </w:tcBorders>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2C6937"/>
            </w:tcBorders>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(69,415)</w:t>
            </w:r>
          </w:p>
        </w:tc>
        <w:tc>
          <w:tcPr>
            <w:tcW w:w="20" w:type="dxa"/>
            <w:vAlign w:val="bottom"/>
            <w:tcBorders>
              <w:bottom w:val="single" w:sz="8" w:color="2C6937"/>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bottom w:val="single" w:sz="8" w:color="2C6937"/>
            </w:tcBorders>
          </w:tcPr>
          <w:p>
            <w:pPr>
              <w:spacing w:after="0"/>
              <w:rPr>
                <w:sz w:val="20"/>
                <w:szCs w:val="20"/>
                <w:color w:val="auto"/>
              </w:rPr>
            </w:pPr>
          </w:p>
        </w:tc>
        <w:tc>
          <w:tcPr>
            <w:tcW w:w="58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5"/>
        </w:trPr>
        <w:tc>
          <w:tcPr>
            <w:tcW w:w="3680" w:type="dxa"/>
            <w:vAlign w:val="bottom"/>
            <w:tcBorders>
              <w:bottom w:val="single" w:sz="8" w:color="2C6937"/>
            </w:tcBorders>
            <w:gridSpan w:val="2"/>
          </w:tcPr>
          <w:p>
            <w:pPr>
              <w:ind w:left="20"/>
              <w:spacing w:after="0"/>
              <w:rPr>
                <w:sz w:val="20"/>
                <w:szCs w:val="20"/>
                <w:color w:val="auto"/>
              </w:rPr>
            </w:pPr>
            <w:r>
              <w:rPr>
                <w:rFonts w:ascii="Arial" w:cs="Arial" w:eastAsia="Arial" w:hAnsi="Arial"/>
                <w:sz w:val="15"/>
                <w:szCs w:val="15"/>
                <w:color w:val="auto"/>
              </w:rPr>
              <w:t>Total assets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2C6937"/>
            </w:tcBorders>
            <w:gridSpan w:val="2"/>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69,741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2C6937"/>
            </w:tcBorders>
            <w:gridSpan w:val="2"/>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(154)</w:t>
            </w:r>
          </w:p>
        </w:tc>
        <w:tc>
          <w:tcPr>
            <w:tcW w:w="20" w:type="dxa"/>
            <w:vAlign w:val="bottom"/>
          </w:tcPr>
          <w:p>
            <w:pPr>
              <w:spacing w:after="0"/>
              <w:rPr>
                <w:sz w:val="20"/>
                <w:szCs w:val="20"/>
                <w:color w:val="auto"/>
              </w:rPr>
            </w:pPr>
          </w:p>
        </w:tc>
        <w:tc>
          <w:tcPr>
            <w:tcW w:w="320" w:type="dxa"/>
            <w:vAlign w:val="bottom"/>
            <w:gridSpan w:val="2"/>
          </w:tcPr>
          <w:p>
            <w:pPr>
              <w:spacing w:after="0"/>
              <w:rPr>
                <w:sz w:val="20"/>
                <w:szCs w:val="20"/>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69,587</w:t>
            </w:r>
          </w:p>
        </w:tc>
        <w:tc>
          <w:tcPr>
            <w:tcW w:w="20" w:type="dxa"/>
            <w:vAlign w:val="bottom"/>
            <w:tcBorders>
              <w:bottom w:val="single" w:sz="8" w:color="2C6937"/>
            </w:tcBorders>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(50)</w:t>
            </w:r>
          </w:p>
        </w:tc>
        <w:tc>
          <w:tcPr>
            <w:tcW w:w="20" w:type="dxa"/>
            <w:vAlign w:val="bottom"/>
            <w:tcBorders>
              <w:bottom w:val="single" w:sz="8" w:color="2C6937"/>
            </w:tcBorders>
          </w:tcPr>
          <w:p>
            <w:pPr>
              <w:spacing w:after="0"/>
              <w:rPr>
                <w:sz w:val="20"/>
                <w:szCs w:val="20"/>
                <w:color w:val="auto"/>
              </w:rPr>
            </w:pPr>
          </w:p>
        </w:tc>
        <w:tc>
          <w:tcPr>
            <w:tcW w:w="440" w:type="dxa"/>
            <w:vAlign w:val="bottom"/>
            <w:gridSpan w:val="2"/>
          </w:tcPr>
          <w:p>
            <w:pPr>
              <w:spacing w:after="0"/>
              <w:rPr>
                <w:sz w:val="20"/>
                <w:szCs w:val="20"/>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(69,427)</w:t>
            </w:r>
          </w:p>
        </w:tc>
        <w:tc>
          <w:tcPr>
            <w:tcW w:w="20" w:type="dxa"/>
            <w:vAlign w:val="bottom"/>
            <w:tcBorders>
              <w:bottom w:val="single" w:sz="8" w:color="2C6937"/>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gridSpan w:val="3"/>
          </w:tcPr>
          <w:p>
            <w:pPr>
              <w:spacing w:after="0"/>
              <w:rPr>
                <w:sz w:val="20"/>
                <w:szCs w:val="20"/>
                <w:color w:val="auto"/>
              </w:rPr>
            </w:pPr>
          </w:p>
        </w:tc>
        <w:tc>
          <w:tcPr>
            <w:tcW w:w="3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110</w:t>
            </w:r>
          </w:p>
        </w:tc>
        <w:tc>
          <w:tcPr>
            <w:tcW w:w="40" w:type="dxa"/>
            <w:vAlign w:val="bottom"/>
            <w:tcBorders>
              <w:bottom w:val="single" w:sz="8" w:color="2C6937"/>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680" w:type="dxa"/>
            <w:vAlign w:val="bottom"/>
            <w:tcBorders>
              <w:bottom w:val="single" w:sz="8" w:color="2C6937"/>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82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2C6937"/>
            </w:tcBorders>
          </w:tcPr>
          <w:p>
            <w:pPr>
              <w:spacing w:after="0" w:line="20" w:lineRule="exact"/>
              <w:rPr>
                <w:sz w:val="1"/>
                <w:szCs w:val="1"/>
                <w:color w:val="auto"/>
              </w:rPr>
            </w:pPr>
          </w:p>
        </w:tc>
        <w:tc>
          <w:tcPr>
            <w:tcW w:w="54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3720" w:type="dxa"/>
            <w:vAlign w:val="bottom"/>
            <w:gridSpan w:val="3"/>
          </w:tcPr>
          <w:p>
            <w:pPr>
              <w:ind w:left="20"/>
              <w:spacing w:after="0"/>
              <w:rPr>
                <w:sz w:val="20"/>
                <w:szCs w:val="20"/>
                <w:color w:val="auto"/>
              </w:rPr>
            </w:pPr>
            <w:r>
              <w:rPr>
                <w:rFonts w:ascii="Arial" w:cs="Arial" w:eastAsia="Arial" w:hAnsi="Arial"/>
                <w:sz w:val="15"/>
                <w:szCs w:val="15"/>
                <w:color w:val="auto"/>
              </w:rPr>
              <w:t>Liabilities: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3680" w:type="dxa"/>
            <w:vAlign w:val="bottom"/>
            <w:gridSpan w:val="2"/>
          </w:tcPr>
          <w:p>
            <w:pPr>
              <w:ind w:left="140"/>
              <w:spacing w:after="0"/>
              <w:rPr>
                <w:sz w:val="20"/>
                <w:szCs w:val="20"/>
                <w:color w:val="auto"/>
              </w:rPr>
            </w:pPr>
            <w:r>
              <w:rPr>
                <w:rFonts w:ascii="Arial" w:cs="Arial" w:eastAsia="Arial" w:hAnsi="Arial"/>
                <w:sz w:val="15"/>
                <w:szCs w:val="15"/>
                <w:color w:val="auto"/>
              </w:rPr>
              <w:t>OTC risk management derivatives</w:t>
            </w:r>
          </w:p>
        </w:tc>
        <w:tc>
          <w:tcPr>
            <w:tcW w:w="2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(4,686)</w:t>
            </w:r>
          </w:p>
        </w:tc>
        <w:tc>
          <w:tcPr>
            <w:tcW w:w="20" w:type="dxa"/>
            <w:vAlign w:val="bottom"/>
          </w:tcPr>
          <w:p>
            <w:pPr>
              <w:spacing w:after="0"/>
              <w:rPr>
                <w:sz w:val="17"/>
                <w:szCs w:val="17"/>
                <w:color w:val="auto"/>
              </w:rPr>
            </w:pPr>
          </w:p>
        </w:tc>
        <w:tc>
          <w:tcPr>
            <w:tcW w:w="2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4,662</w:t>
            </w:r>
          </w:p>
        </w:tc>
        <w:tc>
          <w:tcPr>
            <w:tcW w:w="20" w:type="dxa"/>
            <w:vAlign w:val="bottom"/>
          </w:tcPr>
          <w:p>
            <w:pPr>
              <w:spacing w:after="0"/>
              <w:rPr>
                <w:sz w:val="17"/>
                <w:szCs w:val="17"/>
                <w:color w:val="auto"/>
              </w:rPr>
            </w:pPr>
          </w:p>
        </w:tc>
        <w:tc>
          <w:tcPr>
            <w:tcW w:w="4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(24)</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480" w:type="dxa"/>
            <w:vAlign w:val="bottom"/>
            <w:gridSpan w:val="4"/>
          </w:tcPr>
          <w:p>
            <w:pPr>
              <w:ind w:left="160"/>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3680" w:type="dxa"/>
            <w:vAlign w:val="bottom"/>
            <w:gridSpan w:val="2"/>
          </w:tcPr>
          <w:p>
            <w:pPr>
              <w:ind w:left="140"/>
              <w:spacing w:after="0"/>
              <w:rPr>
                <w:sz w:val="20"/>
                <w:szCs w:val="20"/>
                <w:color w:val="auto"/>
              </w:rPr>
            </w:pPr>
            <w:r>
              <w:rPr>
                <w:rFonts w:ascii="Arial" w:cs="Arial" w:eastAsia="Arial" w:hAnsi="Arial"/>
                <w:sz w:val="15"/>
                <w:szCs w:val="15"/>
                <w:color w:val="auto"/>
              </w:rPr>
              <w:t>Cleared risk management derivatives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3"/>
          </w:tcPr>
          <w:p>
            <w:pPr>
              <w:jc w:val="right"/>
              <w:ind w:right="47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40" w:type="dxa"/>
            <w:vAlign w:val="bottom"/>
            <w:tcBorders>
              <w:bottom w:val="single" w:sz="8" w:color="2C6937"/>
            </w:tcBorders>
          </w:tcPr>
          <w:p>
            <w:pPr>
              <w:spacing w:after="0"/>
              <w:rPr>
                <w:sz w:val="17"/>
                <w:szCs w:val="17"/>
                <w:color w:val="auto"/>
              </w:rPr>
            </w:pPr>
          </w:p>
        </w:tc>
        <w:tc>
          <w:tcPr>
            <w:tcW w:w="3640" w:type="dxa"/>
            <w:vAlign w:val="bottom"/>
            <w:tcBorders>
              <w:bottom w:val="single" w:sz="8" w:color="2C6937"/>
            </w:tcBorders>
          </w:tcPr>
          <w:p>
            <w:pPr>
              <w:ind w:left="140"/>
              <w:spacing w:after="0"/>
              <w:rPr>
                <w:sz w:val="20"/>
                <w:szCs w:val="20"/>
                <w:color w:val="auto"/>
              </w:rPr>
            </w:pPr>
            <w:r>
              <w:rPr>
                <w:rFonts w:ascii="Arial" w:cs="Arial" w:eastAsia="Arial" w:hAnsi="Arial"/>
                <w:sz w:val="15"/>
                <w:szCs w:val="15"/>
                <w:color w:val="auto"/>
              </w:rPr>
              <w:t>Mortgage commitment derivatives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70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(78)</w:t>
            </w:r>
          </w:p>
        </w:tc>
        <w:tc>
          <w:tcPr>
            <w:tcW w:w="20" w:type="dxa"/>
            <w:vAlign w:val="bottom"/>
            <w:tcBorders>
              <w:bottom w:val="single" w:sz="8" w:color="2C6937"/>
            </w:tcBorders>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50</w:t>
            </w:r>
          </w:p>
        </w:tc>
        <w:tc>
          <w:tcPr>
            <w:tcW w:w="20" w:type="dxa"/>
            <w:vAlign w:val="bottom"/>
            <w:tcBorders>
              <w:bottom w:val="single" w:sz="8" w:color="2C6937"/>
            </w:tcBorders>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w:t>
            </w:r>
          </w:p>
        </w:tc>
        <w:tc>
          <w:tcPr>
            <w:tcW w:w="20" w:type="dxa"/>
            <w:vAlign w:val="bottom"/>
            <w:tcBorders>
              <w:bottom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Borders>
              <w:bottom w:val="single" w:sz="8" w:color="2C6937"/>
            </w:tcBorders>
          </w:tcPr>
          <w:p>
            <w:pPr>
              <w:spacing w:after="0"/>
              <w:rPr>
                <w:sz w:val="17"/>
                <w:szCs w:val="17"/>
                <w:color w:val="auto"/>
              </w:rPr>
            </w:pPr>
          </w:p>
        </w:tc>
        <w:tc>
          <w:tcPr>
            <w:tcW w:w="580" w:type="dxa"/>
            <w:vAlign w:val="bottom"/>
            <w:tcBorders>
              <w:bottom w:val="single" w:sz="8" w:color="2C6937"/>
            </w:tcBorders>
            <w:gridSpan w:val="2"/>
          </w:tcPr>
          <w:p>
            <w:pPr>
              <w:jc w:val="right"/>
              <w:ind w:right="20"/>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196"/>
        </w:trPr>
        <w:tc>
          <w:tcPr>
            <w:tcW w:w="3720" w:type="dxa"/>
            <w:vAlign w:val="bottom"/>
            <w:gridSpan w:val="3"/>
          </w:tcPr>
          <w:p>
            <w:pPr>
              <w:ind w:left="20"/>
              <w:spacing w:after="0"/>
              <w:rPr>
                <w:sz w:val="20"/>
                <w:szCs w:val="20"/>
                <w:color w:val="auto"/>
              </w:rPr>
            </w:pPr>
            <w:r>
              <w:rPr>
                <w:rFonts w:ascii="Arial" w:cs="Arial" w:eastAsia="Arial" w:hAnsi="Arial"/>
                <w:sz w:val="15"/>
                <w:szCs w:val="15"/>
                <w:color w:val="auto"/>
              </w:rPr>
              <w:t>Total liabilities</w:t>
            </w:r>
          </w:p>
        </w:tc>
        <w:tc>
          <w:tcPr>
            <w:tcW w:w="2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(4,764)</w:t>
            </w:r>
          </w:p>
        </w:tc>
        <w:tc>
          <w:tcPr>
            <w:tcW w:w="20" w:type="dxa"/>
            <w:vAlign w:val="bottom"/>
          </w:tcPr>
          <w:p>
            <w:pPr>
              <w:spacing w:after="0"/>
              <w:rPr>
                <w:sz w:val="17"/>
                <w:szCs w:val="17"/>
                <w:color w:val="auto"/>
              </w:rPr>
            </w:pPr>
          </w:p>
        </w:tc>
        <w:tc>
          <w:tcPr>
            <w:tcW w:w="2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4,662</w:t>
            </w:r>
          </w:p>
        </w:tc>
        <w:tc>
          <w:tcPr>
            <w:tcW w:w="20" w:type="dxa"/>
            <w:vAlign w:val="bottom"/>
          </w:tcPr>
          <w:p>
            <w:pPr>
              <w:spacing w:after="0"/>
              <w:rPr>
                <w:sz w:val="17"/>
                <w:szCs w:val="17"/>
                <w:color w:val="auto"/>
              </w:rPr>
            </w:pPr>
          </w:p>
        </w:tc>
        <w:tc>
          <w:tcPr>
            <w:tcW w:w="4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280" w:type="dxa"/>
            <w:vAlign w:val="bottom"/>
            <w:gridSpan w:val="3"/>
          </w:tcPr>
          <w:p>
            <w:pPr>
              <w:jc w:val="right"/>
              <w:ind w:right="270"/>
              <w:spacing w:after="0"/>
              <w:rPr>
                <w:sz w:val="20"/>
                <w:szCs w:val="20"/>
                <w:color w:val="auto"/>
              </w:rPr>
            </w:pPr>
            <w:r>
              <w:rPr>
                <w:rFonts w:ascii="Arial" w:cs="Arial" w:eastAsia="Arial" w:hAnsi="Arial"/>
                <w:sz w:val="15"/>
                <w:szCs w:val="15"/>
                <w:color w:val="auto"/>
              </w:rPr>
              <w:t xml:space="preserve">(102) </w:t>
            </w:r>
            <w:r>
              <w:rPr>
                <w:rFonts w:ascii="Arial" w:cs="Arial" w:eastAsia="Arial" w:hAnsi="Arial"/>
                <w:sz w:val="10"/>
                <w:szCs w:val="10"/>
                <w:color w:val="auto"/>
              </w:rPr>
              <w:t>(4)</w:t>
            </w:r>
          </w:p>
        </w:tc>
        <w:tc>
          <w:tcPr>
            <w:tcW w:w="36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50</w:t>
            </w:r>
          </w:p>
        </w:tc>
        <w:tc>
          <w:tcPr>
            <w:tcW w:w="5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4"/>
          </w:tcPr>
          <w:p>
            <w:pPr>
              <w:ind w:left="160"/>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21"/>
        </w:trPr>
        <w:tc>
          <w:tcPr>
            <w:tcW w:w="40" w:type="dxa"/>
            <w:vAlign w:val="bottom"/>
            <w:tcBorders>
              <w:top w:val="single" w:sz="8" w:color="2C6937"/>
              <w:bottom w:val="single" w:sz="8" w:color="2C6937"/>
            </w:tcBorders>
          </w:tcPr>
          <w:p>
            <w:pPr>
              <w:spacing w:after="0" w:line="20" w:lineRule="exact"/>
              <w:rPr>
                <w:sz w:val="1"/>
                <w:szCs w:val="1"/>
                <w:color w:val="auto"/>
              </w:rPr>
            </w:pPr>
          </w:p>
        </w:tc>
        <w:tc>
          <w:tcPr>
            <w:tcW w:w="364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2C6937"/>
              <w:bottom w:val="single" w:sz="8" w:color="2C6937"/>
            </w:tcBorders>
          </w:tcPr>
          <w:p>
            <w:pPr>
              <w:spacing w:after="0" w:line="20" w:lineRule="exact"/>
              <w:rPr>
                <w:sz w:val="1"/>
                <w:szCs w:val="1"/>
                <w:color w:val="auto"/>
              </w:rPr>
            </w:pPr>
          </w:p>
        </w:tc>
        <w:tc>
          <w:tcPr>
            <w:tcW w:w="54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240" w:hanging="237"/>
        <w:spacing w:after="0" w:line="223" w:lineRule="auto"/>
        <w:tabs>
          <w:tab w:leader="none" w:pos="240" w:val="left"/>
        </w:tabs>
        <w:numPr>
          <w:ilvl w:val="0"/>
          <w:numId w:val="115"/>
        </w:numPr>
        <w:rPr>
          <w:rFonts w:ascii="Arial" w:cs="Arial" w:eastAsia="Arial" w:hAnsi="Arial"/>
          <w:sz w:val="18"/>
          <w:szCs w:val="18"/>
          <w:color w:val="auto"/>
          <w:vertAlign w:val="superscript"/>
        </w:rPr>
      </w:pPr>
      <w:r>
        <w:rPr>
          <w:rFonts w:ascii="Arial" w:cs="Arial" w:eastAsia="Arial" w:hAnsi="Arial"/>
          <w:sz w:val="14"/>
          <w:szCs w:val="14"/>
          <w:color w:val="auto"/>
        </w:rPr>
        <w:t>Represents the effect of the right to offset under legally enforceable master netting arrangements to settle with the same counterparty on a net basis, including cash collateral posted and received and accrued interest.</w:t>
      </w:r>
    </w:p>
    <w:p>
      <w:pPr>
        <w:spacing w:after="0" w:line="31" w:lineRule="exact"/>
        <w:rPr>
          <w:rFonts w:ascii="Arial" w:cs="Arial" w:eastAsia="Arial" w:hAnsi="Arial"/>
          <w:sz w:val="18"/>
          <w:szCs w:val="18"/>
          <w:color w:val="auto"/>
          <w:vertAlign w:val="superscript"/>
        </w:rPr>
      </w:pPr>
    </w:p>
    <w:p>
      <w:pPr>
        <w:ind w:left="240" w:right="700" w:hanging="237"/>
        <w:spacing w:after="0" w:line="223" w:lineRule="auto"/>
        <w:tabs>
          <w:tab w:leader="none" w:pos="240" w:val="left"/>
        </w:tabs>
        <w:numPr>
          <w:ilvl w:val="0"/>
          <w:numId w:val="115"/>
        </w:numPr>
        <w:rPr>
          <w:rFonts w:ascii="Arial" w:cs="Arial" w:eastAsia="Arial" w:hAnsi="Arial"/>
          <w:sz w:val="18"/>
          <w:szCs w:val="18"/>
          <w:color w:val="auto"/>
          <w:vertAlign w:val="superscript"/>
        </w:rPr>
      </w:pPr>
      <w:r>
        <w:rPr>
          <w:rFonts w:ascii="Arial" w:cs="Arial" w:eastAsia="Arial" w:hAnsi="Arial"/>
          <w:sz w:val="14"/>
          <w:szCs w:val="14"/>
          <w:color w:val="auto"/>
        </w:rPr>
        <w:t>Mortgage commitment derivative amounts reflect where we have recognized both an asset and a liability with the same counterparty under an enforceable master netting arrangement but we have not elected to offset the related amounts in our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367665</wp:posOffset>
            </wp:positionV>
            <wp:extent cx="681101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164070" cy="4191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50" w:right="379" w:bottom="1440" w:gutter="0" w:footer="0" w:header="0"/>
        </w:sectPr>
      </w:pPr>
    </w:p>
    <w:bookmarkStart w:id="107" w:name="page108"/>
    <w:bookmarkEnd w:id="107"/>
    <w:p>
      <w:pPr>
        <w:ind w:left="6280"/>
        <w:spacing w:after="0"/>
        <w:rPr>
          <w:sz w:val="20"/>
          <w:szCs w:val="20"/>
          <w:color w:val="auto"/>
        </w:rPr>
      </w:pPr>
      <w:r>
        <w:rPr>
          <w:rFonts w:ascii="Arial" w:cs="Arial" w:eastAsia="Arial" w:hAnsi="Arial"/>
          <w:sz w:val="13"/>
          <w:szCs w:val="13"/>
          <w:color w:val="05314D"/>
        </w:rPr>
        <w:t>Notes to Condensed Consolidated Financial Statements | Netting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22860</wp:posOffset>
            </wp:positionV>
            <wp:extent cx="702373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40" w:right="120" w:hanging="237"/>
        <w:spacing w:after="0" w:line="234" w:lineRule="auto"/>
        <w:tabs>
          <w:tab w:leader="none" w:pos="240" w:val="left"/>
        </w:tabs>
        <w:numPr>
          <w:ilvl w:val="0"/>
          <w:numId w:val="116"/>
        </w:numPr>
        <w:rPr>
          <w:rFonts w:ascii="Arial" w:cs="Arial" w:eastAsia="Arial" w:hAnsi="Arial"/>
          <w:sz w:val="18"/>
          <w:szCs w:val="18"/>
          <w:color w:val="auto"/>
          <w:vertAlign w:val="superscript"/>
        </w:rPr>
      </w:pPr>
      <w:r>
        <w:rPr>
          <w:rFonts w:ascii="Arial" w:cs="Arial" w:eastAsia="Arial" w:hAnsi="Arial"/>
          <w:sz w:val="14"/>
          <w:szCs w:val="14"/>
          <w:color w:val="auto"/>
        </w:rPr>
        <w:t>Represents collateral received that has not been recognized and not offset in our condensed consolidated balance sheets, as well as collateral posted which has been recognized but not offset in our condensed consolidated balance sheets. Does not include collateral held or posted in excess of our exposure. The fair value of non-cash collateral we pledged which the counterparty was permitted to sell or repledge was $2.0 billion and $2.1 billion as of June 30, 2023 and December 31, 2022, respectively. The fair value of non-cash collateral received was $76.3 billion and $69.5 billion, of which $39.4 billion and $28.7 billion could be sold or repledged as of June 30, 2023 and December 31, 2022, respectively. None of the underlying collateral was sold or repledged as of June 30, 2023 or December 31, 2022.</w:t>
      </w:r>
    </w:p>
    <w:p>
      <w:pPr>
        <w:spacing w:after="0" w:line="34" w:lineRule="exact"/>
        <w:rPr>
          <w:rFonts w:ascii="Arial" w:cs="Arial" w:eastAsia="Arial" w:hAnsi="Arial"/>
          <w:sz w:val="18"/>
          <w:szCs w:val="18"/>
          <w:color w:val="auto"/>
          <w:vertAlign w:val="superscript"/>
        </w:rPr>
      </w:pPr>
    </w:p>
    <w:p>
      <w:pPr>
        <w:ind w:left="240" w:right="60" w:hanging="237"/>
        <w:spacing w:after="0" w:line="237" w:lineRule="auto"/>
        <w:tabs>
          <w:tab w:leader="none" w:pos="240" w:val="left"/>
        </w:tabs>
        <w:numPr>
          <w:ilvl w:val="0"/>
          <w:numId w:val="116"/>
        </w:numPr>
        <w:rPr>
          <w:rFonts w:ascii="Arial" w:cs="Arial" w:eastAsia="Arial" w:hAnsi="Arial"/>
          <w:sz w:val="17"/>
          <w:szCs w:val="17"/>
          <w:color w:val="auto"/>
          <w:vertAlign w:val="superscript"/>
        </w:rPr>
      </w:pPr>
      <w:r>
        <w:rPr>
          <w:rFonts w:ascii="Arial" w:cs="Arial" w:eastAsia="Arial" w:hAnsi="Arial"/>
          <w:sz w:val="13"/>
          <w:szCs w:val="13"/>
          <w:color w:val="auto"/>
        </w:rPr>
        <w:t>Excludes derivative assets of $47 million and $3 million as of June 30, 2023 and December 31, 2022, respectively, and derivative liabilities of $70 million and $66 million recognized in our condensed consolidated balance sheets as of June 30, 2023 and December 31, 2022, respectively, that were not subject to enforceable master netting arrangements.</w:t>
      </w:r>
    </w:p>
    <w:p>
      <w:pPr>
        <w:spacing w:after="0" w:line="33" w:lineRule="exact"/>
        <w:rPr>
          <w:rFonts w:ascii="Arial" w:cs="Arial" w:eastAsia="Arial" w:hAnsi="Arial"/>
          <w:sz w:val="17"/>
          <w:szCs w:val="17"/>
          <w:color w:val="auto"/>
          <w:vertAlign w:val="superscript"/>
        </w:rPr>
      </w:pPr>
    </w:p>
    <w:p>
      <w:pPr>
        <w:ind w:left="240" w:hanging="237"/>
        <w:spacing w:after="0" w:line="225" w:lineRule="auto"/>
        <w:tabs>
          <w:tab w:leader="none" w:pos="240" w:val="left"/>
        </w:tabs>
        <w:numPr>
          <w:ilvl w:val="0"/>
          <w:numId w:val="116"/>
        </w:numPr>
        <w:rPr>
          <w:rFonts w:ascii="Arial" w:cs="Arial" w:eastAsia="Arial" w:hAnsi="Arial"/>
          <w:sz w:val="18"/>
          <w:szCs w:val="18"/>
          <w:color w:val="auto"/>
          <w:vertAlign w:val="superscript"/>
        </w:rPr>
      </w:pPr>
      <w:r>
        <w:rPr>
          <w:rFonts w:ascii="Arial" w:cs="Arial" w:eastAsia="Arial" w:hAnsi="Arial"/>
          <w:sz w:val="14"/>
          <w:szCs w:val="14"/>
          <w:color w:val="auto"/>
        </w:rPr>
        <w:t>Includes $38.4 billion and $45.2 billion in securities purchased under agreements to resell classified as “Cash and cash equivalents” in our condensed consolidated balance sheets as of June 30, 2023 and December 31, 2022, respectively. Includes $4.8 billion and $9.7 billion in securities purchased under agreements to resell classified as “Restricted cash and cash equivalents” in our condensed consolidated balance sheets as of June 30, 2023 and December 31, 2022, respectively.</w:t>
      </w:r>
    </w:p>
    <w:p>
      <w:pPr>
        <w:spacing w:after="0" w:line="59" w:lineRule="exact"/>
        <w:rPr>
          <w:sz w:val="20"/>
          <w:szCs w:val="20"/>
          <w:color w:val="auto"/>
        </w:rPr>
      </w:pPr>
    </w:p>
    <w:p>
      <w:pPr>
        <w:ind w:right="320"/>
        <w:spacing w:after="0" w:line="267" w:lineRule="auto"/>
        <w:rPr>
          <w:sz w:val="20"/>
          <w:szCs w:val="20"/>
          <w:color w:val="auto"/>
        </w:rPr>
      </w:pPr>
      <w:r>
        <w:rPr>
          <w:rFonts w:ascii="Arial" w:cs="Arial" w:eastAsia="Arial" w:hAnsi="Arial"/>
          <w:sz w:val="16"/>
          <w:szCs w:val="16"/>
          <w:color w:val="auto"/>
        </w:rPr>
        <w:t>Derivative instruments are recorded at fair value and securities purchased under agreements to resell are recorded at amortized cost in our condensed consolidated balance sheets. For a discussion of how we determine our rights to offset the assets and liabilities presented above with the same counterparty, including collateral posted or received, see “Note 14, Netting Arrangements” in our 2022 Form 10-K.</w:t>
      </w:r>
    </w:p>
    <w:p>
      <w:pPr>
        <w:spacing w:after="0" w:line="124" w:lineRule="exact"/>
        <w:rPr>
          <w:sz w:val="20"/>
          <w:szCs w:val="20"/>
          <w:color w:val="auto"/>
        </w:rPr>
      </w:pPr>
    </w:p>
    <w:p>
      <w:pPr>
        <w:spacing w:after="0"/>
        <w:rPr>
          <w:sz w:val="20"/>
          <w:szCs w:val="20"/>
          <w:color w:val="auto"/>
        </w:rPr>
      </w:pPr>
      <w:r>
        <w:rPr>
          <w:rFonts w:ascii="Arial" w:cs="Arial" w:eastAsia="Arial" w:hAnsi="Arial"/>
          <w:sz w:val="31"/>
          <w:szCs w:val="31"/>
          <w:b w:val="1"/>
          <w:bCs w:val="1"/>
          <w:color w:val="05314D"/>
        </w:rPr>
        <w:t>12. Fair Value</w:t>
      </w:r>
    </w:p>
    <w:p>
      <w:pPr>
        <w:spacing w:after="0" w:line="92" w:lineRule="exact"/>
        <w:rPr>
          <w:sz w:val="20"/>
          <w:szCs w:val="20"/>
          <w:color w:val="auto"/>
        </w:rPr>
      </w:pPr>
    </w:p>
    <w:p>
      <w:pPr>
        <w:ind w:right="260"/>
        <w:spacing w:after="0" w:line="300" w:lineRule="auto"/>
        <w:rPr>
          <w:sz w:val="20"/>
          <w:szCs w:val="20"/>
          <w:color w:val="auto"/>
        </w:rPr>
      </w:pPr>
      <w:r>
        <w:rPr>
          <w:rFonts w:ascii="Arial" w:cs="Arial" w:eastAsia="Arial" w:hAnsi="Arial"/>
          <w:sz w:val="16"/>
          <w:szCs w:val="16"/>
          <w:color w:val="auto"/>
        </w:rPr>
        <w:t>We use fair value measurements for the initial recording of certain assets and liabilities and periodic remeasurement of certain assets and liabilities on a recurring or nonrecurring basis.</w:t>
      </w:r>
    </w:p>
    <w:p>
      <w:pPr>
        <w:spacing w:after="0" w:line="46"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Fair Value Measurement</w:t>
      </w:r>
    </w:p>
    <w:p>
      <w:pPr>
        <w:spacing w:after="0" w:line="82"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Fair value measurement guidance defines fair value, establishes a framework for measuring fair value, and sets forth disclosures around fair value measurements. This guidance applies whenever other accounting guidance requires or permits assets or liabilities to be measured at fair value. The guidance establishes a three-level fair value hierarchy that prioritizes the inputs into the valuation techniques used to measure fair value. The hierarchy gives the highest priority, Level 1, to measurements based on unadjusted quoted prices in active markets for identical assets or liabilities. The next highest priority, Level 2, is given to measurements of assets and liabilities based on limited observable inputs or observable inputs for similar assets and liabilities. The lowest priority, Level 3, is given to measurements based on unobservable inputs.</w:t>
      </w:r>
    </w:p>
    <w:p>
      <w:pPr>
        <w:spacing w:after="0" w:line="50"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We use valuation techniques that maximize the use of observable inputs and minimize the use of unobservable inputs. See “Note 15, Fair Value” in our 2022 Form 10-K for information on the valuation control processes and the valuation techniques we use for fair value measurement and disclosure as well as our basis for classifying these measurements as Level 1, Level 2 or Level 3 of the valuation hierarchy in more specific situations. If the inputs used to measure assets or liabilities at fair value change, it may also result in a change in classification between Levels 1, 2, and 3. We made no material changes to the valuation control processes or the valuation techniques for the six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367665</wp:posOffset>
            </wp:positionV>
            <wp:extent cx="681101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164070" cy="4191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50" w:right="379" w:bottom="1440" w:gutter="0" w:footer="0" w:header="0"/>
        </w:sectPr>
      </w:pPr>
    </w:p>
    <w:bookmarkStart w:id="108" w:name="page109"/>
    <w:bookmarkEnd w:id="108"/>
    <w:p>
      <w:pPr>
        <w:ind w:left="7000"/>
        <w:spacing w:after="0"/>
        <w:rPr>
          <w:sz w:val="20"/>
          <w:szCs w:val="20"/>
          <w:color w:val="auto"/>
        </w:rPr>
      </w:pPr>
      <w:r>
        <w:rPr>
          <w:rFonts w:ascii="Arial" w:cs="Arial" w:eastAsia="Arial" w:hAnsi="Arial"/>
          <w:sz w:val="13"/>
          <w:szCs w:val="13"/>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22860</wp:posOffset>
            </wp:positionV>
            <wp:extent cx="702373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1"/>
          <w:szCs w:val="21"/>
          <w:i w:val="1"/>
          <w:iCs w:val="1"/>
          <w:color w:val="05314D"/>
        </w:rPr>
        <w:t>Recurring Changes in Fair Value</w:t>
      </w:r>
    </w:p>
    <w:p>
      <w:pPr>
        <w:spacing w:after="0" w:line="71"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The following tables display our assets and liabilities measured in our condensed consolidated balance sheets at fair value on a recurring basis subsequent to initial recognition, including instruments for which we have elected the fair value option.</w:t>
      </w:r>
    </w:p>
    <w:p>
      <w:pPr>
        <w:sectPr>
          <w:pgSz w:w="11900" w:h="16838" w:orient="portrait"/>
          <w:cols w:equalWidth="0" w:num="1">
            <w:col w:w="11240"/>
          </w:cols>
          <w:pgMar w:left="320" w:top="2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Recurring fair value measurements: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2"/>
          <w:szCs w:val="12"/>
          <w:color w:val="auto"/>
        </w:rPr>
        <w:t>Assets:</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Trading securities:</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Mortgage-related</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Non-mortgage-related</w:t>
      </w:r>
      <w:r>
        <w:rPr>
          <w:rFonts w:ascii="Arial" w:cs="Arial" w:eastAsia="Arial" w:hAnsi="Arial"/>
          <w:sz w:val="15"/>
          <w:szCs w:val="1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252158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521585" cy="8255"/>
                    </a:xfrm>
                    <a:prstGeom prst="rect">
                      <a:avLst/>
                    </a:prstGeom>
                    <a:noFill/>
                  </pic:spPr>
                </pic:pic>
              </a:graphicData>
            </a:graphic>
          </wp:anchor>
        </w:drawing>
      </w:r>
    </w:p>
    <w:p>
      <w:pPr>
        <w:spacing w:after="0" w:line="9"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Total trading securities</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Available-for-sale securities:</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Agency</w:t>
      </w:r>
      <w:r>
        <w:rPr>
          <w:rFonts w:ascii="Arial" w:cs="Arial" w:eastAsia="Arial" w:hAnsi="Arial"/>
          <w:sz w:val="15"/>
          <w:szCs w:val="15"/>
          <w:color w:val="auto"/>
          <w:vertAlign w:val="superscript"/>
        </w:rPr>
        <w:t>(3)</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Other mortgage-related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252158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521585" cy="8255"/>
                    </a:xfrm>
                    <a:prstGeom prst="rect">
                      <a:avLst/>
                    </a:prstGeom>
                    <a:noFill/>
                  </pic:spPr>
                </pic:pic>
              </a:graphicData>
            </a:graphic>
          </wp:anchor>
        </w:drawing>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Total available-for-sale securities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Mortgage loans</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Derivative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252158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521585" cy="825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Total assets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252158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5215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52070</wp:posOffset>
            </wp:positionV>
            <wp:extent cx="252158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521585" cy="8255"/>
                    </a:xfrm>
                    <a:prstGeom prst="rect">
                      <a:avLst/>
                    </a:prstGeom>
                    <a:noFill/>
                  </pic:spPr>
                </pic:pic>
              </a:graphicData>
            </a:graphic>
          </wp:anchor>
        </w:drawing>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2"/>
          <w:szCs w:val="12"/>
          <w:color w:val="auto"/>
        </w:rPr>
        <w:t>Liabilities: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Long-term debt:</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Of Fannie Mae</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Of consolidated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252158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521585" cy="8255"/>
                    </a:xfrm>
                    <a:prstGeom prst="rect">
                      <a:avLst/>
                    </a:prstGeom>
                    <a:noFill/>
                  </pic:spPr>
                </pic:pic>
              </a:graphicData>
            </a:graphic>
          </wp:anchor>
        </w:drawing>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Total long-term debt</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Derivative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252158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521585" cy="825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Total liabilities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252158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5215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52070</wp:posOffset>
            </wp:positionV>
            <wp:extent cx="252158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5215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Recurring fair value measurements: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2"/>
          <w:szCs w:val="12"/>
          <w:color w:val="auto"/>
        </w:rPr>
        <w:t>Assets: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Trading securities:</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Mortgage-related</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Non-mortgage-related</w:t>
      </w:r>
      <w:r>
        <w:rPr>
          <w:rFonts w:ascii="Arial" w:cs="Arial" w:eastAsia="Arial" w:hAnsi="Arial"/>
          <w:sz w:val="15"/>
          <w:szCs w:val="1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252158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521585"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2"/>
          <w:szCs w:val="12"/>
          <w:color w:val="auto"/>
        </w:rPr>
        <w:t>Total trading securities</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Available-for-sale securities:</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Agency</w:t>
      </w:r>
      <w:r>
        <w:rPr>
          <w:rFonts w:ascii="Arial" w:cs="Arial" w:eastAsia="Arial" w:hAnsi="Arial"/>
          <w:sz w:val="15"/>
          <w:szCs w:val="15"/>
          <w:color w:val="auto"/>
          <w:vertAlign w:val="superscript"/>
        </w:rPr>
        <w:t>(3)</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Other mortgage-related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252158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521585" cy="8255"/>
                    </a:xfrm>
                    <a:prstGeom prst="rect">
                      <a:avLst/>
                    </a:prstGeom>
                    <a:noFill/>
                  </pic:spPr>
                </pic:pic>
              </a:graphicData>
            </a:graphic>
          </wp:anchor>
        </w:drawing>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Total available-for-sale securities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Mortgage loans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Derivative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252158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521585" cy="825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Total assets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252158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5215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43815</wp:posOffset>
            </wp:positionV>
            <wp:extent cx="252158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521585" cy="8255"/>
                    </a:xfrm>
                    <a:prstGeom prst="rect">
                      <a:avLst/>
                    </a:prstGeom>
                    <a:noFill/>
                  </pic:spPr>
                </pic:pic>
              </a:graphicData>
            </a:graphic>
          </wp:anchor>
        </w:drawing>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2"/>
          <w:szCs w:val="12"/>
          <w:color w:val="auto"/>
        </w:rPr>
        <w:t>Liabilities:</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Long-term debt:</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Of Fannie Mae</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Of consolidated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252158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521585" cy="8255"/>
                    </a:xfrm>
                    <a:prstGeom prst="rect">
                      <a:avLst/>
                    </a:prstGeom>
                    <a:noFill/>
                  </pic:spPr>
                </pic:pic>
              </a:graphicData>
            </a:graphic>
          </wp:anchor>
        </w:drawing>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Total long-term debt</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Derivative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252158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521585" cy="825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Total liabilities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252158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5215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43815</wp:posOffset>
            </wp:positionV>
            <wp:extent cx="252158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5215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2300"/>
        <w:spacing w:after="0"/>
        <w:rPr>
          <w:sz w:val="20"/>
          <w:szCs w:val="20"/>
          <w:color w:val="auto"/>
        </w:rPr>
      </w:pPr>
      <w:r>
        <w:rPr>
          <w:rFonts w:ascii="Arial" w:cs="Arial" w:eastAsia="Arial" w:hAnsi="Arial"/>
          <w:sz w:val="12"/>
          <w:szCs w:val="12"/>
          <w:b w:val="1"/>
          <w:bCs w:val="1"/>
          <w:color w:val="auto"/>
        </w:rPr>
        <w:t>Fair Value Measurements as of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22860</wp:posOffset>
            </wp:positionV>
            <wp:extent cx="45516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455168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20" w:type="dxa"/>
            <w:vAlign w:val="bottom"/>
          </w:tcPr>
          <w:p>
            <w:pPr>
              <w:spacing w:after="0"/>
              <w:rPr>
                <w:sz w:val="12"/>
                <w:szCs w:val="12"/>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2"/>
                <w:szCs w:val="12"/>
                <w:b w:val="1"/>
                <w:bCs w:val="1"/>
                <w:color w:val="auto"/>
                <w:w w:val="98"/>
              </w:rPr>
              <w:t>Quoted Prices in</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2"/>
                <w:szCs w:val="12"/>
                <w:b w:val="1"/>
                <w:bCs w:val="1"/>
                <w:color w:val="auto"/>
              </w:rPr>
              <w:t>Active Markets for</w:t>
            </w:r>
          </w:p>
        </w:tc>
        <w:tc>
          <w:tcPr>
            <w:tcW w:w="11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Significant Other</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rPr>
              <w:t>Significant</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60" w:type="dxa"/>
            <w:vAlign w:val="bottom"/>
            <w:gridSpan w:val="4"/>
          </w:tcPr>
          <w:p>
            <w:pPr>
              <w:jc w:val="center"/>
              <w:ind w:right="220"/>
              <w:spacing w:after="0"/>
              <w:rPr>
                <w:sz w:val="20"/>
                <w:szCs w:val="20"/>
                <w:color w:val="auto"/>
              </w:rPr>
            </w:pPr>
            <w:r>
              <w:rPr>
                <w:rFonts w:ascii="Arial" w:cs="Arial" w:eastAsia="Arial" w:hAnsi="Arial"/>
                <w:sz w:val="12"/>
                <w:szCs w:val="12"/>
                <w:b w:val="1"/>
                <w:bCs w:val="1"/>
                <w:color w:val="auto"/>
              </w:rPr>
              <w:t>Identical Assets (Level</w:t>
            </w:r>
          </w:p>
        </w:tc>
        <w:tc>
          <w:tcPr>
            <w:tcW w:w="11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Observable Inputs</w:t>
            </w:r>
          </w:p>
        </w:tc>
        <w:tc>
          <w:tcPr>
            <w:tcW w:w="1620" w:type="dxa"/>
            <w:vAlign w:val="bottom"/>
            <w:gridSpan w:val="4"/>
          </w:tcPr>
          <w:p>
            <w:pPr>
              <w:jc w:val="center"/>
              <w:ind w:left="120"/>
              <w:spacing w:after="0"/>
              <w:rPr>
                <w:sz w:val="20"/>
                <w:szCs w:val="20"/>
                <w:color w:val="auto"/>
              </w:rPr>
            </w:pPr>
            <w:r>
              <w:rPr>
                <w:rFonts w:ascii="Arial" w:cs="Arial" w:eastAsia="Arial" w:hAnsi="Arial"/>
                <w:sz w:val="12"/>
                <w:szCs w:val="12"/>
                <w:b w:val="1"/>
                <w:bCs w:val="1"/>
                <w:color w:val="auto"/>
              </w:rPr>
              <w:t>Unobservable Inputs</w:t>
            </w:r>
          </w:p>
        </w:tc>
        <w:tc>
          <w:tcPr>
            <w:tcW w:w="1480" w:type="dxa"/>
            <w:vAlign w:val="bottom"/>
            <w:gridSpan w:val="4"/>
            <w:vMerge w:val="restart"/>
          </w:tcPr>
          <w:p>
            <w:pPr>
              <w:ind w:left="160"/>
              <w:spacing w:after="0"/>
              <w:rPr>
                <w:sz w:val="20"/>
                <w:szCs w:val="20"/>
                <w:color w:val="auto"/>
              </w:rPr>
            </w:pPr>
            <w:r>
              <w:rPr>
                <w:rFonts w:ascii="Arial" w:cs="Arial" w:eastAsia="Arial" w:hAnsi="Arial"/>
                <w:sz w:val="12"/>
                <w:szCs w:val="12"/>
                <w:b w:val="1"/>
                <w:bCs w:val="1"/>
                <w:color w:val="auto"/>
              </w:rPr>
              <w:t>Netting Adjustment</w:t>
            </w:r>
            <w:r>
              <w:rPr>
                <w:rFonts w:ascii="Arial" w:cs="Arial" w:eastAsia="Arial" w:hAnsi="Arial"/>
                <w:sz w:val="15"/>
                <w:szCs w:val="15"/>
                <w:b w:val="1"/>
                <w:bCs w:val="1"/>
                <w:color w:val="auto"/>
                <w:vertAlign w:val="superscript"/>
              </w:rPr>
              <w:t>(1)</w:t>
            </w:r>
          </w:p>
        </w:tc>
        <w:tc>
          <w:tcPr>
            <w:tcW w:w="1380" w:type="dxa"/>
            <w:vAlign w:val="bottom"/>
            <w:gridSpan w:val="4"/>
            <w:vMerge w:val="restart"/>
          </w:tcPr>
          <w:p>
            <w:pPr>
              <w:ind w:left="120"/>
              <w:spacing w:after="0"/>
              <w:rPr>
                <w:sz w:val="20"/>
                <w:szCs w:val="20"/>
                <w:color w:val="auto"/>
              </w:rPr>
            </w:pPr>
            <w:r>
              <w:rPr>
                <w:rFonts w:ascii="Arial" w:cs="Arial" w:eastAsia="Arial" w:hAnsi="Arial"/>
                <w:sz w:val="12"/>
                <w:szCs w:val="12"/>
                <w:b w:val="1"/>
                <w:bCs w:val="1"/>
                <w:color w:val="auto"/>
              </w:rPr>
              <w:t>Estimated Fair Value</w:t>
            </w:r>
          </w:p>
        </w:tc>
        <w:tc>
          <w:tcPr>
            <w:tcW w:w="0" w:type="dxa"/>
            <w:vAlign w:val="bottom"/>
          </w:tcPr>
          <w:p>
            <w:pPr>
              <w:spacing w:after="0"/>
              <w:rPr>
                <w:sz w:val="1"/>
                <w:szCs w:val="1"/>
                <w:color w:val="auto"/>
              </w:rPr>
            </w:pPr>
          </w:p>
        </w:tc>
      </w:tr>
      <w:tr>
        <w:trPr>
          <w:trHeight w:val="193"/>
        </w:trPr>
        <w:tc>
          <w:tcPr>
            <w:tcW w:w="120" w:type="dxa"/>
            <w:vAlign w:val="bottom"/>
            <w:tcBorders>
              <w:bottom w:val="single" w:sz="8" w:color="2C6937"/>
            </w:tcBorders>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tcPr>
          <w:p>
            <w:pPr>
              <w:jc w:val="center"/>
              <w:ind w:right="240"/>
              <w:spacing w:after="0"/>
              <w:rPr>
                <w:sz w:val="20"/>
                <w:szCs w:val="20"/>
                <w:color w:val="auto"/>
              </w:rPr>
            </w:pPr>
            <w:r>
              <w:rPr>
                <w:rFonts w:ascii="Arial" w:cs="Arial" w:eastAsia="Arial" w:hAnsi="Arial"/>
                <w:sz w:val="12"/>
                <w:szCs w:val="12"/>
                <w:b w:val="1"/>
                <w:bCs w:val="1"/>
                <w:color w:val="auto"/>
                <w:w w:val="93"/>
              </w:rPr>
              <w:t>1)</w:t>
            </w:r>
          </w:p>
        </w:tc>
        <w:tc>
          <w:tcPr>
            <w:tcW w:w="32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center"/>
              <w:ind w:right="140"/>
              <w:spacing w:after="0"/>
              <w:rPr>
                <w:sz w:val="20"/>
                <w:szCs w:val="20"/>
                <w:color w:val="auto"/>
              </w:rPr>
            </w:pPr>
            <w:r>
              <w:rPr>
                <w:rFonts w:ascii="Arial" w:cs="Arial" w:eastAsia="Arial" w:hAnsi="Arial"/>
                <w:sz w:val="12"/>
                <w:szCs w:val="12"/>
                <w:b w:val="1"/>
                <w:bCs w:val="1"/>
                <w:color w:val="auto"/>
                <w:w w:val="98"/>
              </w:rPr>
              <w:t>(Level 2)</w:t>
            </w:r>
          </w:p>
        </w:tc>
        <w:tc>
          <w:tcPr>
            <w:tcW w:w="34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gridSpan w:val="2"/>
          </w:tcPr>
          <w:p>
            <w:pPr>
              <w:jc w:val="center"/>
              <w:ind w:right="320"/>
              <w:spacing w:after="0"/>
              <w:rPr>
                <w:sz w:val="20"/>
                <w:szCs w:val="20"/>
                <w:color w:val="auto"/>
              </w:rPr>
            </w:pPr>
            <w:r>
              <w:rPr>
                <w:rFonts w:ascii="Arial" w:cs="Arial" w:eastAsia="Arial" w:hAnsi="Arial"/>
                <w:sz w:val="12"/>
                <w:szCs w:val="12"/>
                <w:b w:val="1"/>
                <w:bCs w:val="1"/>
                <w:color w:val="auto"/>
                <w:w w:val="98"/>
              </w:rPr>
              <w:t>(Level 3)</w:t>
            </w:r>
          </w:p>
        </w:tc>
        <w:tc>
          <w:tcPr>
            <w:tcW w:w="1480" w:type="dxa"/>
            <w:vAlign w:val="bottom"/>
            <w:tcBorders>
              <w:bottom w:val="single" w:sz="8" w:color="2C6937"/>
            </w:tcBorders>
            <w:gridSpan w:val="4"/>
            <w:vMerge w:val="continue"/>
          </w:tcPr>
          <w:p>
            <w:pPr>
              <w:spacing w:after="0"/>
              <w:rPr>
                <w:sz w:val="16"/>
                <w:szCs w:val="16"/>
                <w:color w:val="auto"/>
              </w:rPr>
            </w:pPr>
          </w:p>
        </w:tc>
        <w:tc>
          <w:tcPr>
            <w:tcW w:w="1380" w:type="dxa"/>
            <w:vAlign w:val="bottom"/>
            <w:tcBorders>
              <w:bottom w:val="single" w:sz="8" w:color="2C6937"/>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gridSpan w:val="3"/>
          </w:tcPr>
          <w:p>
            <w:pPr>
              <w:spacing w:after="0"/>
              <w:rPr>
                <w:sz w:val="20"/>
                <w:szCs w:val="20"/>
                <w:color w:val="auto"/>
              </w:rPr>
            </w:pPr>
            <w:r>
              <w:rPr>
                <w:rFonts w:ascii="Arial" w:cs="Arial" w:eastAsia="Arial" w:hAnsi="Arial"/>
                <w:sz w:val="12"/>
                <w:szCs w:val="12"/>
                <w:b w:val="1"/>
                <w:bCs w:val="1"/>
                <w:color w:val="auto"/>
              </w:rPr>
              <w:t>(Dollars in millions)</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8"/>
        </w:trPr>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2,330</w:t>
            </w:r>
          </w:p>
        </w:tc>
        <w:tc>
          <w:tcPr>
            <w:tcW w:w="50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28</w:t>
            </w:r>
          </w:p>
        </w:tc>
        <w:tc>
          <w:tcPr>
            <w:tcW w:w="160" w:type="dxa"/>
            <w:vAlign w:val="bottom"/>
          </w:tcPr>
          <w:p>
            <w:pPr>
              <w:spacing w:after="0"/>
              <w:rPr>
                <w:sz w:val="24"/>
                <w:szCs w:val="24"/>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2,358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20"/>
              <w:spacing w:after="0"/>
              <w:rPr>
                <w:sz w:val="20"/>
                <w:szCs w:val="20"/>
                <w:color w:val="auto"/>
              </w:rPr>
            </w:pPr>
            <w:r>
              <w:rPr>
                <w:rFonts w:ascii="Arial" w:cs="Arial" w:eastAsia="Arial" w:hAnsi="Arial"/>
                <w:sz w:val="12"/>
                <w:szCs w:val="12"/>
                <w:color w:val="auto"/>
              </w:rPr>
              <w:t>48,207</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20</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48,227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20" w:type="dxa"/>
            <w:vAlign w:val="bottom"/>
          </w:tcPr>
          <w:p>
            <w:pPr>
              <w:spacing w:after="0"/>
              <w:rPr>
                <w:sz w:val="2"/>
                <w:szCs w:val="2"/>
                <w:color w:val="auto"/>
              </w:rPr>
            </w:pPr>
          </w:p>
        </w:tc>
        <w:tc>
          <w:tcPr>
            <w:tcW w:w="280" w:type="dxa"/>
            <w:vAlign w:val="bottom"/>
            <w:tcBorders>
              <w:bottom w:val="single" w:sz="8" w:color="2C6937"/>
            </w:tcBorders>
          </w:tcPr>
          <w:p>
            <w:pPr>
              <w:spacing w:after="0"/>
              <w:rPr>
                <w:sz w:val="2"/>
                <w:szCs w:val="2"/>
                <w:color w:val="auto"/>
              </w:rPr>
            </w:pPr>
          </w:p>
        </w:tc>
        <w:tc>
          <w:tcPr>
            <w:tcW w:w="840" w:type="dxa"/>
            <w:vAlign w:val="bottom"/>
            <w:tcBorders>
              <w:bottom w:val="single" w:sz="8" w:color="2C6937"/>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920" w:type="dxa"/>
            <w:vAlign w:val="bottom"/>
            <w:tcBorders>
              <w:bottom w:val="single" w:sz="8" w:color="2C6937"/>
            </w:tcBorders>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2C6937"/>
            </w:tcBorders>
          </w:tcPr>
          <w:p>
            <w:pPr>
              <w:spacing w:after="0"/>
              <w:rPr>
                <w:sz w:val="2"/>
                <w:szCs w:val="2"/>
                <w:color w:val="auto"/>
              </w:rPr>
            </w:pPr>
          </w:p>
        </w:tc>
        <w:tc>
          <w:tcPr>
            <w:tcW w:w="96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Borders>
              <w:bottom w:val="single" w:sz="8" w:color="2C6937"/>
            </w:tcBorders>
          </w:tcPr>
          <w:p>
            <w:pPr>
              <w:spacing w:after="0"/>
              <w:rPr>
                <w:sz w:val="2"/>
                <w:szCs w:val="2"/>
                <w:color w:val="auto"/>
              </w:rPr>
            </w:pPr>
          </w:p>
        </w:tc>
        <w:tc>
          <w:tcPr>
            <w:tcW w:w="500" w:type="dxa"/>
            <w:vAlign w:val="bottom"/>
            <w:tcBorders>
              <w:bottom w:val="single" w:sz="8" w:color="2C6937"/>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2C6937"/>
            </w:tcBorders>
          </w:tcPr>
          <w:p>
            <w:pPr>
              <w:spacing w:after="0"/>
              <w:rPr>
                <w:sz w:val="2"/>
                <w:szCs w:val="2"/>
                <w:color w:val="auto"/>
              </w:rPr>
            </w:pPr>
          </w:p>
        </w:tc>
        <w:tc>
          <w:tcPr>
            <w:tcW w:w="72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ind w:right="20"/>
              <w:spacing w:after="0"/>
              <w:rPr>
                <w:sz w:val="20"/>
                <w:szCs w:val="20"/>
                <w:color w:val="auto"/>
              </w:rPr>
            </w:pPr>
            <w:r>
              <w:rPr>
                <w:rFonts w:ascii="Arial" w:cs="Arial" w:eastAsia="Arial" w:hAnsi="Arial"/>
                <w:sz w:val="12"/>
                <w:szCs w:val="12"/>
                <w:color w:val="auto"/>
              </w:rPr>
              <w:t>48,207</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2,350</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50,585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4"/>
        </w:trPr>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49</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356</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405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6</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235</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241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20" w:type="dxa"/>
            <w:vAlign w:val="bottom"/>
          </w:tcPr>
          <w:p>
            <w:pPr>
              <w:spacing w:after="0"/>
              <w:rPr>
                <w:sz w:val="13"/>
                <w:szCs w:val="13"/>
                <w:color w:val="auto"/>
              </w:rPr>
            </w:pPr>
          </w:p>
        </w:tc>
        <w:tc>
          <w:tcPr>
            <w:tcW w:w="280" w:type="dxa"/>
            <w:vAlign w:val="bottom"/>
            <w:tcBorders>
              <w:top w:val="single" w:sz="8" w:color="2C6937"/>
            </w:tcBorders>
          </w:tcPr>
          <w:p>
            <w:pPr>
              <w:spacing w:after="0"/>
              <w:rPr>
                <w:sz w:val="13"/>
                <w:szCs w:val="13"/>
                <w:color w:val="auto"/>
              </w:rPr>
            </w:pPr>
          </w:p>
        </w:tc>
        <w:tc>
          <w:tcPr>
            <w:tcW w:w="840" w:type="dxa"/>
            <w:vAlign w:val="bottom"/>
            <w:tcBorders>
              <w:top w:val="single" w:sz="8" w:color="2C6937"/>
            </w:tcBorders>
          </w:tcPr>
          <w:p>
            <w:pPr>
              <w:jc w:val="right"/>
              <w:ind w:right="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200" w:type="dxa"/>
            <w:vAlign w:val="bottom"/>
            <w:tcBorders>
              <w:top w:val="single" w:sz="8" w:color="2C6937"/>
            </w:tcBorders>
          </w:tcPr>
          <w:p>
            <w:pPr>
              <w:spacing w:after="0"/>
              <w:rPr>
                <w:sz w:val="13"/>
                <w:szCs w:val="13"/>
                <w:color w:val="auto"/>
              </w:rPr>
            </w:pPr>
          </w:p>
        </w:tc>
        <w:tc>
          <w:tcPr>
            <w:tcW w:w="92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55</w:t>
            </w:r>
          </w:p>
        </w:tc>
        <w:tc>
          <w:tcPr>
            <w:tcW w:w="340" w:type="dxa"/>
            <w:vAlign w:val="bottom"/>
          </w:tcPr>
          <w:p>
            <w:pPr>
              <w:spacing w:after="0"/>
              <w:rPr>
                <w:sz w:val="13"/>
                <w:szCs w:val="13"/>
                <w:color w:val="auto"/>
              </w:rPr>
            </w:pPr>
          </w:p>
        </w:tc>
        <w:tc>
          <w:tcPr>
            <w:tcW w:w="160" w:type="dxa"/>
            <w:vAlign w:val="bottom"/>
            <w:tcBorders>
              <w:top w:val="single" w:sz="8" w:color="2C6937"/>
            </w:tcBorders>
          </w:tcPr>
          <w:p>
            <w:pPr>
              <w:spacing w:after="0"/>
              <w:rPr>
                <w:sz w:val="13"/>
                <w:szCs w:val="13"/>
                <w:color w:val="auto"/>
              </w:rPr>
            </w:pPr>
          </w:p>
        </w:tc>
        <w:tc>
          <w:tcPr>
            <w:tcW w:w="9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591</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Borders>
              <w:top w:val="single" w:sz="8" w:color="2C6937"/>
            </w:tcBorders>
          </w:tcPr>
          <w:p>
            <w:pPr>
              <w:spacing w:after="0"/>
              <w:rPr>
                <w:sz w:val="13"/>
                <w:szCs w:val="13"/>
                <w:color w:val="auto"/>
              </w:rPr>
            </w:pPr>
          </w:p>
        </w:tc>
        <w:tc>
          <w:tcPr>
            <w:tcW w:w="50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Borders>
              <w:top w:val="single" w:sz="8" w:color="2C6937"/>
            </w:tcBorders>
          </w:tcPr>
          <w:p>
            <w:pPr>
              <w:spacing w:after="0"/>
              <w:rPr>
                <w:sz w:val="13"/>
                <w:szCs w:val="13"/>
                <w:color w:val="auto"/>
              </w:rPr>
            </w:pPr>
          </w:p>
        </w:tc>
        <w:tc>
          <w:tcPr>
            <w:tcW w:w="72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646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2,923</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510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3,433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281</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82</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(218)</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145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20" w:type="dxa"/>
            <w:vAlign w:val="bottom"/>
          </w:tcPr>
          <w:p>
            <w:pPr>
              <w:spacing w:after="0"/>
              <w:rPr>
                <w:sz w:val="12"/>
                <w:szCs w:val="12"/>
                <w:color w:val="auto"/>
              </w:rPr>
            </w:pPr>
          </w:p>
        </w:tc>
        <w:tc>
          <w:tcPr>
            <w:tcW w:w="280" w:type="dxa"/>
            <w:vAlign w:val="bottom"/>
            <w:tcBorders>
              <w:top w:val="single" w:sz="8" w:color="2C6937"/>
            </w:tcBorders>
          </w:tcPr>
          <w:p>
            <w:pPr>
              <w:jc w:val="right"/>
              <w:ind w:right="140"/>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2C6937"/>
            </w:tcBorders>
          </w:tcPr>
          <w:p>
            <w:pPr>
              <w:jc w:val="right"/>
              <w:ind w:right="20"/>
              <w:spacing w:after="0"/>
              <w:rPr>
                <w:sz w:val="20"/>
                <w:szCs w:val="20"/>
                <w:color w:val="auto"/>
              </w:rPr>
            </w:pPr>
            <w:r>
              <w:rPr>
                <w:rFonts w:ascii="Arial" w:cs="Arial" w:eastAsia="Arial" w:hAnsi="Arial"/>
                <w:sz w:val="12"/>
                <w:szCs w:val="12"/>
                <w:color w:val="auto"/>
              </w:rPr>
              <w:t>48,207</w:t>
            </w:r>
          </w:p>
        </w:tc>
        <w:tc>
          <w:tcPr>
            <w:tcW w:w="320" w:type="dxa"/>
            <w:vAlign w:val="bottom"/>
          </w:tcPr>
          <w:p>
            <w:pPr>
              <w:spacing w:after="0"/>
              <w:rPr>
                <w:sz w:val="12"/>
                <w:szCs w:val="12"/>
                <w:color w:val="auto"/>
              </w:rPr>
            </w:pPr>
          </w:p>
        </w:tc>
        <w:tc>
          <w:tcPr>
            <w:tcW w:w="200" w:type="dxa"/>
            <w:vAlign w:val="bottom"/>
            <w:tcBorders>
              <w:top w:val="single" w:sz="8" w:color="2C6937"/>
            </w:tcBorders>
          </w:tcPr>
          <w:p>
            <w:pPr>
              <w:jc w:val="right"/>
              <w:ind w:right="60"/>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5,609</w:t>
            </w:r>
          </w:p>
        </w:tc>
        <w:tc>
          <w:tcPr>
            <w:tcW w:w="340" w:type="dxa"/>
            <w:vAlign w:val="bottom"/>
          </w:tcPr>
          <w:p>
            <w:pPr>
              <w:spacing w:after="0"/>
              <w:rPr>
                <w:sz w:val="12"/>
                <w:szCs w:val="12"/>
                <w:color w:val="auto"/>
              </w:rPr>
            </w:pPr>
          </w:p>
        </w:tc>
        <w:tc>
          <w:tcPr>
            <w:tcW w:w="160" w:type="dxa"/>
            <w:vAlign w:val="bottom"/>
            <w:tcBorders>
              <w:top w:val="single" w:sz="8" w:color="2C6937"/>
            </w:tcBorders>
          </w:tcPr>
          <w:p>
            <w:pPr>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1,211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Borders>
              <w:top w:val="single" w:sz="8" w:color="2C6937"/>
            </w:tcBorders>
          </w:tcPr>
          <w:p>
            <w:pPr>
              <w:jc w:val="right"/>
              <w:ind w:right="480"/>
              <w:spacing w:after="0"/>
              <w:rPr>
                <w:sz w:val="20"/>
                <w:szCs w:val="20"/>
                <w:color w:val="auto"/>
              </w:rPr>
            </w:pPr>
            <w:r>
              <w:rPr>
                <w:rFonts w:ascii="Arial" w:cs="Arial" w:eastAsia="Arial" w:hAnsi="Arial"/>
                <w:sz w:val="12"/>
                <w:szCs w:val="12"/>
                <w:color w:val="auto"/>
                <w:w w:val="89"/>
              </w:rPr>
              <w:t>$</w:t>
            </w:r>
          </w:p>
        </w:tc>
        <w:tc>
          <w:tcPr>
            <w:tcW w:w="50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(218)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Borders>
              <w:top w:val="single" w:sz="8" w:color="2C6937"/>
            </w:tcBorders>
          </w:tcPr>
          <w:p>
            <w:pPr>
              <w:jc w:val="right"/>
              <w:ind w:right="240"/>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54,809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120" w:type="dxa"/>
            <w:vAlign w:val="bottom"/>
          </w:tcPr>
          <w:p>
            <w:pPr>
              <w:spacing w:after="0"/>
              <w:rPr>
                <w:sz w:val="2"/>
                <w:szCs w:val="2"/>
                <w:color w:val="auto"/>
              </w:rPr>
            </w:pPr>
          </w:p>
        </w:tc>
        <w:tc>
          <w:tcPr>
            <w:tcW w:w="280" w:type="dxa"/>
            <w:vAlign w:val="bottom"/>
            <w:tcBorders>
              <w:bottom w:val="single" w:sz="8" w:color="2C6937"/>
            </w:tcBorders>
          </w:tcPr>
          <w:p>
            <w:pPr>
              <w:spacing w:after="0"/>
              <w:rPr>
                <w:sz w:val="2"/>
                <w:szCs w:val="2"/>
                <w:color w:val="auto"/>
              </w:rPr>
            </w:pPr>
          </w:p>
        </w:tc>
        <w:tc>
          <w:tcPr>
            <w:tcW w:w="840" w:type="dxa"/>
            <w:vAlign w:val="bottom"/>
            <w:tcBorders>
              <w:bottom w:val="single" w:sz="8" w:color="2C6937"/>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920" w:type="dxa"/>
            <w:vAlign w:val="bottom"/>
            <w:tcBorders>
              <w:bottom w:val="single" w:sz="8" w:color="2C6937"/>
            </w:tcBorders>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2C6937"/>
            </w:tcBorders>
          </w:tcPr>
          <w:p>
            <w:pPr>
              <w:spacing w:after="0"/>
              <w:rPr>
                <w:sz w:val="2"/>
                <w:szCs w:val="2"/>
                <w:color w:val="auto"/>
              </w:rPr>
            </w:pPr>
          </w:p>
        </w:tc>
        <w:tc>
          <w:tcPr>
            <w:tcW w:w="96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Borders>
              <w:bottom w:val="single" w:sz="8" w:color="2C6937"/>
            </w:tcBorders>
          </w:tcPr>
          <w:p>
            <w:pPr>
              <w:spacing w:after="0"/>
              <w:rPr>
                <w:sz w:val="2"/>
                <w:szCs w:val="2"/>
                <w:color w:val="auto"/>
              </w:rPr>
            </w:pPr>
          </w:p>
        </w:tc>
        <w:tc>
          <w:tcPr>
            <w:tcW w:w="500" w:type="dxa"/>
            <w:vAlign w:val="bottom"/>
            <w:tcBorders>
              <w:bottom w:val="single" w:sz="8" w:color="2C6937"/>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2C6937"/>
            </w:tcBorders>
          </w:tcPr>
          <w:p>
            <w:pPr>
              <w:spacing w:after="0"/>
              <w:rPr>
                <w:sz w:val="2"/>
                <w:szCs w:val="2"/>
                <w:color w:val="auto"/>
              </w:rPr>
            </w:pPr>
          </w:p>
        </w:tc>
        <w:tc>
          <w:tcPr>
            <w:tcW w:w="72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920" w:type="dxa"/>
            <w:vAlign w:val="bottom"/>
            <w:tcBorders>
              <w:bottom w:val="single" w:sz="8" w:color="2C6937"/>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960" w:type="dxa"/>
            <w:vAlign w:val="bottom"/>
            <w:tcBorders>
              <w:bottom w:val="single" w:sz="8" w:color="2C6937"/>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500" w:type="dxa"/>
            <w:vAlign w:val="bottom"/>
            <w:tcBorders>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628</w:t>
            </w:r>
          </w:p>
        </w:tc>
        <w:tc>
          <w:tcPr>
            <w:tcW w:w="50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256</w:t>
            </w:r>
          </w:p>
        </w:tc>
        <w:tc>
          <w:tcPr>
            <w:tcW w:w="160" w:type="dxa"/>
            <w:vAlign w:val="bottom"/>
          </w:tcPr>
          <w:p>
            <w:pPr>
              <w:spacing w:after="0"/>
              <w:rPr>
                <w:sz w:val="24"/>
                <w:szCs w:val="24"/>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884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15,047</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125</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15,172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20" w:type="dxa"/>
            <w:vAlign w:val="bottom"/>
          </w:tcPr>
          <w:p>
            <w:pPr>
              <w:spacing w:after="0"/>
              <w:rPr>
                <w:sz w:val="13"/>
                <w:szCs w:val="13"/>
                <w:color w:val="auto"/>
              </w:rPr>
            </w:pPr>
          </w:p>
        </w:tc>
        <w:tc>
          <w:tcPr>
            <w:tcW w:w="280" w:type="dxa"/>
            <w:vAlign w:val="bottom"/>
            <w:tcBorders>
              <w:top w:val="single" w:sz="8" w:color="2C6937"/>
            </w:tcBorders>
          </w:tcPr>
          <w:p>
            <w:pPr>
              <w:spacing w:after="0"/>
              <w:rPr>
                <w:sz w:val="13"/>
                <w:szCs w:val="13"/>
                <w:color w:val="auto"/>
              </w:rPr>
            </w:pPr>
          </w:p>
        </w:tc>
        <w:tc>
          <w:tcPr>
            <w:tcW w:w="840" w:type="dxa"/>
            <w:vAlign w:val="bottom"/>
            <w:tcBorders>
              <w:top w:val="single" w:sz="8" w:color="2C6937"/>
            </w:tcBorders>
          </w:tcPr>
          <w:p>
            <w:pPr>
              <w:jc w:val="right"/>
              <w:ind w:right="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200" w:type="dxa"/>
            <w:vAlign w:val="bottom"/>
            <w:tcBorders>
              <w:top w:val="single" w:sz="8" w:color="2C6937"/>
            </w:tcBorders>
          </w:tcPr>
          <w:p>
            <w:pPr>
              <w:spacing w:after="0"/>
              <w:rPr>
                <w:sz w:val="13"/>
                <w:szCs w:val="13"/>
                <w:color w:val="auto"/>
              </w:rPr>
            </w:pPr>
          </w:p>
        </w:tc>
        <w:tc>
          <w:tcPr>
            <w:tcW w:w="92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15,675</w:t>
            </w:r>
          </w:p>
        </w:tc>
        <w:tc>
          <w:tcPr>
            <w:tcW w:w="340" w:type="dxa"/>
            <w:vAlign w:val="bottom"/>
          </w:tcPr>
          <w:p>
            <w:pPr>
              <w:spacing w:after="0"/>
              <w:rPr>
                <w:sz w:val="13"/>
                <w:szCs w:val="13"/>
                <w:color w:val="auto"/>
              </w:rPr>
            </w:pPr>
          </w:p>
        </w:tc>
        <w:tc>
          <w:tcPr>
            <w:tcW w:w="160" w:type="dxa"/>
            <w:vAlign w:val="bottom"/>
            <w:tcBorders>
              <w:top w:val="single" w:sz="8" w:color="2C6937"/>
            </w:tcBorders>
          </w:tcPr>
          <w:p>
            <w:pPr>
              <w:spacing w:after="0"/>
              <w:rPr>
                <w:sz w:val="13"/>
                <w:szCs w:val="13"/>
                <w:color w:val="auto"/>
              </w:rPr>
            </w:pPr>
          </w:p>
        </w:tc>
        <w:tc>
          <w:tcPr>
            <w:tcW w:w="9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381</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Borders>
              <w:top w:val="single" w:sz="8" w:color="2C6937"/>
            </w:tcBorders>
          </w:tcPr>
          <w:p>
            <w:pPr>
              <w:spacing w:after="0"/>
              <w:rPr>
                <w:sz w:val="13"/>
                <w:szCs w:val="13"/>
                <w:color w:val="auto"/>
              </w:rPr>
            </w:pPr>
          </w:p>
        </w:tc>
        <w:tc>
          <w:tcPr>
            <w:tcW w:w="50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Borders>
              <w:top w:val="single" w:sz="8" w:color="2C6937"/>
            </w:tcBorders>
          </w:tcPr>
          <w:p>
            <w:pPr>
              <w:spacing w:after="0"/>
              <w:rPr>
                <w:sz w:val="13"/>
                <w:szCs w:val="13"/>
                <w:color w:val="auto"/>
              </w:rPr>
            </w:pPr>
          </w:p>
        </w:tc>
        <w:tc>
          <w:tcPr>
            <w:tcW w:w="72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16,056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4,454</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70</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(4,227)</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297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20" w:type="dxa"/>
            <w:vAlign w:val="bottom"/>
          </w:tcPr>
          <w:p>
            <w:pPr>
              <w:spacing w:after="0"/>
              <w:rPr>
                <w:sz w:val="13"/>
                <w:szCs w:val="13"/>
                <w:color w:val="auto"/>
              </w:rPr>
            </w:pPr>
          </w:p>
        </w:tc>
        <w:tc>
          <w:tcPr>
            <w:tcW w:w="280" w:type="dxa"/>
            <w:vAlign w:val="bottom"/>
            <w:tcBorders>
              <w:top w:val="single" w:sz="8" w:color="2C6937"/>
            </w:tcBorders>
          </w:tcPr>
          <w:p>
            <w:pPr>
              <w:jc w:val="right"/>
              <w:ind w:right="140"/>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2C6937"/>
            </w:tcBorders>
          </w:tcPr>
          <w:p>
            <w:pPr>
              <w:jc w:val="right"/>
              <w:ind w:right="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200" w:type="dxa"/>
            <w:vAlign w:val="bottom"/>
            <w:tcBorders>
              <w:top w:val="single" w:sz="8" w:color="2C6937"/>
            </w:tcBorders>
          </w:tcPr>
          <w:p>
            <w:pPr>
              <w:jc w:val="right"/>
              <w:ind w:right="60"/>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20,129</w:t>
            </w:r>
          </w:p>
        </w:tc>
        <w:tc>
          <w:tcPr>
            <w:tcW w:w="340" w:type="dxa"/>
            <w:vAlign w:val="bottom"/>
          </w:tcPr>
          <w:p>
            <w:pPr>
              <w:spacing w:after="0"/>
              <w:rPr>
                <w:sz w:val="13"/>
                <w:szCs w:val="13"/>
                <w:color w:val="auto"/>
              </w:rPr>
            </w:pPr>
          </w:p>
        </w:tc>
        <w:tc>
          <w:tcPr>
            <w:tcW w:w="160" w:type="dxa"/>
            <w:vAlign w:val="bottom"/>
            <w:tcBorders>
              <w:top w:val="single" w:sz="8" w:color="2C6937"/>
            </w:tcBorders>
          </w:tcPr>
          <w:p>
            <w:pPr>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451</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Borders>
              <w:top w:val="single" w:sz="8" w:color="2C6937"/>
            </w:tcBorders>
          </w:tcPr>
          <w:p>
            <w:pPr>
              <w:jc w:val="right"/>
              <w:ind w:right="480"/>
              <w:spacing w:after="0"/>
              <w:rPr>
                <w:sz w:val="20"/>
                <w:szCs w:val="20"/>
                <w:color w:val="auto"/>
              </w:rPr>
            </w:pPr>
            <w:r>
              <w:rPr>
                <w:rFonts w:ascii="Arial" w:cs="Arial" w:eastAsia="Arial" w:hAnsi="Arial"/>
                <w:sz w:val="12"/>
                <w:szCs w:val="12"/>
                <w:color w:val="auto"/>
                <w:w w:val="89"/>
              </w:rPr>
              <w:t>$</w:t>
            </w:r>
          </w:p>
        </w:tc>
        <w:tc>
          <w:tcPr>
            <w:tcW w:w="50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(4,227)</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Borders>
              <w:top w:val="single" w:sz="8" w:color="2C6937"/>
            </w:tcBorders>
          </w:tcPr>
          <w:p>
            <w:pPr>
              <w:jc w:val="right"/>
              <w:ind w:right="240"/>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16,353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120" w:type="dxa"/>
            <w:vAlign w:val="bottom"/>
          </w:tcPr>
          <w:p>
            <w:pPr>
              <w:spacing w:after="0"/>
              <w:rPr>
                <w:sz w:val="2"/>
                <w:szCs w:val="2"/>
                <w:color w:val="auto"/>
              </w:rPr>
            </w:pPr>
          </w:p>
        </w:tc>
        <w:tc>
          <w:tcPr>
            <w:tcW w:w="280" w:type="dxa"/>
            <w:vAlign w:val="bottom"/>
            <w:tcBorders>
              <w:bottom w:val="single" w:sz="8" w:color="2C6937"/>
            </w:tcBorders>
          </w:tcPr>
          <w:p>
            <w:pPr>
              <w:spacing w:after="0"/>
              <w:rPr>
                <w:sz w:val="2"/>
                <w:szCs w:val="2"/>
                <w:color w:val="auto"/>
              </w:rPr>
            </w:pPr>
          </w:p>
        </w:tc>
        <w:tc>
          <w:tcPr>
            <w:tcW w:w="840" w:type="dxa"/>
            <w:vAlign w:val="bottom"/>
            <w:tcBorders>
              <w:bottom w:val="single" w:sz="8" w:color="2C6937"/>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920" w:type="dxa"/>
            <w:vAlign w:val="bottom"/>
            <w:tcBorders>
              <w:bottom w:val="single" w:sz="8" w:color="2C6937"/>
            </w:tcBorders>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Borders>
              <w:bottom w:val="single" w:sz="8" w:color="2C6937"/>
            </w:tcBorders>
            <w:gridSpan w:val="2"/>
          </w:tcPr>
          <w:p>
            <w:pPr>
              <w:spacing w:after="0"/>
              <w:rPr>
                <w:sz w:val="2"/>
                <w:szCs w:val="2"/>
                <w:color w:val="auto"/>
              </w:rPr>
            </w:pPr>
          </w:p>
        </w:tc>
        <w:tc>
          <w:tcPr>
            <w:tcW w:w="340" w:type="dxa"/>
            <w:vAlign w:val="bottom"/>
            <w:gridSpan w:val="2"/>
          </w:tcPr>
          <w:p>
            <w:pPr>
              <w:spacing w:after="0"/>
              <w:rPr>
                <w:sz w:val="2"/>
                <w:szCs w:val="2"/>
                <w:color w:val="auto"/>
              </w:rPr>
            </w:pPr>
          </w:p>
        </w:tc>
        <w:tc>
          <w:tcPr>
            <w:tcW w:w="620" w:type="dxa"/>
            <w:vAlign w:val="bottom"/>
            <w:tcBorders>
              <w:bottom w:val="single" w:sz="8" w:color="2C6937"/>
            </w:tcBorders>
          </w:tcPr>
          <w:p>
            <w:pPr>
              <w:spacing w:after="0"/>
              <w:rPr>
                <w:sz w:val="2"/>
                <w:szCs w:val="2"/>
                <w:color w:val="auto"/>
              </w:rPr>
            </w:pPr>
          </w:p>
        </w:tc>
        <w:tc>
          <w:tcPr>
            <w:tcW w:w="500" w:type="dxa"/>
            <w:vAlign w:val="bottom"/>
            <w:tcBorders>
              <w:bottom w:val="single" w:sz="8" w:color="2C6937"/>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2C6937"/>
            </w:tcBorders>
          </w:tcPr>
          <w:p>
            <w:pPr>
              <w:spacing w:after="0"/>
              <w:rPr>
                <w:sz w:val="2"/>
                <w:szCs w:val="2"/>
                <w:color w:val="auto"/>
              </w:rPr>
            </w:pPr>
          </w:p>
        </w:tc>
        <w:tc>
          <w:tcPr>
            <w:tcW w:w="72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920" w:type="dxa"/>
            <w:vAlign w:val="bottom"/>
            <w:tcBorders>
              <w:bottom w:val="single" w:sz="8" w:color="2C6937"/>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2C6937"/>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500" w:type="dxa"/>
            <w:vAlign w:val="bottom"/>
            <w:tcBorders>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40" w:type="dxa"/>
            <w:vAlign w:val="bottom"/>
            <w:gridSpan w:val="7"/>
          </w:tcPr>
          <w:p>
            <w:pPr>
              <w:jc w:val="center"/>
              <w:ind w:left="240"/>
              <w:spacing w:after="0"/>
              <w:rPr>
                <w:sz w:val="20"/>
                <w:szCs w:val="20"/>
                <w:color w:val="auto"/>
              </w:rPr>
            </w:pPr>
            <w:r>
              <w:rPr>
                <w:rFonts w:ascii="Arial" w:cs="Arial" w:eastAsia="Arial" w:hAnsi="Arial"/>
                <w:sz w:val="12"/>
                <w:szCs w:val="12"/>
                <w:b w:val="1"/>
                <w:bCs w:val="1"/>
                <w:color w:val="auto"/>
              </w:rPr>
              <w:t>Fair Value Measurements as of December 31, 2022</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2C6937"/>
            </w:tcBorders>
          </w:tcPr>
          <w:p>
            <w:pPr>
              <w:spacing w:after="0" w:line="20" w:lineRule="exact"/>
              <w:rPr>
                <w:sz w:val="1"/>
                <w:szCs w:val="1"/>
                <w:color w:val="auto"/>
              </w:rPr>
            </w:pPr>
          </w:p>
        </w:tc>
        <w:tc>
          <w:tcPr>
            <w:tcW w:w="1440" w:type="dxa"/>
            <w:vAlign w:val="bottom"/>
            <w:tcBorders>
              <w:bottom w:val="single" w:sz="8" w:color="2C6937"/>
            </w:tcBorders>
            <w:gridSpan w:val="3"/>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920" w:type="dxa"/>
            <w:vAlign w:val="bottom"/>
            <w:tcBorders>
              <w:bottom w:val="single" w:sz="8" w:color="2C6937"/>
            </w:tcBorders>
          </w:tcPr>
          <w:p>
            <w:pPr>
              <w:spacing w:after="0" w:line="20" w:lineRule="exact"/>
              <w:rPr>
                <w:sz w:val="1"/>
                <w:szCs w:val="1"/>
                <w:color w:val="auto"/>
              </w:rPr>
            </w:pPr>
          </w:p>
        </w:tc>
        <w:tc>
          <w:tcPr>
            <w:tcW w:w="340" w:type="dxa"/>
            <w:vAlign w:val="bottom"/>
            <w:tcBorders>
              <w:bottom w:val="single" w:sz="8" w:color="2C6937"/>
            </w:tcBorders>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960" w:type="dxa"/>
            <w:vAlign w:val="bottom"/>
            <w:tcBorders>
              <w:bottom w:val="single" w:sz="8" w:color="2C6937"/>
            </w:tcBorders>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500" w:type="dxa"/>
            <w:vAlign w:val="bottom"/>
            <w:tcBorders>
              <w:bottom w:val="single" w:sz="8" w:color="2C6937"/>
            </w:tcBorders>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38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1"/>
        </w:trPr>
        <w:tc>
          <w:tcPr>
            <w:tcW w:w="120" w:type="dxa"/>
            <w:vAlign w:val="bottom"/>
          </w:tcPr>
          <w:p>
            <w:pPr>
              <w:spacing w:after="0"/>
              <w:rPr>
                <w:sz w:val="12"/>
                <w:szCs w:val="12"/>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2"/>
                <w:szCs w:val="12"/>
                <w:b w:val="1"/>
                <w:bCs w:val="1"/>
                <w:color w:val="auto"/>
                <w:w w:val="98"/>
              </w:rPr>
              <w:t>Quoted Prices in</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2"/>
                <w:szCs w:val="12"/>
                <w:b w:val="1"/>
                <w:bCs w:val="1"/>
                <w:color w:val="auto"/>
              </w:rPr>
              <w:t>Active Markets for</w:t>
            </w:r>
          </w:p>
        </w:tc>
        <w:tc>
          <w:tcPr>
            <w:tcW w:w="11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Significant Other</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rPr>
              <w:t>Significant</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60" w:type="dxa"/>
            <w:vAlign w:val="bottom"/>
            <w:gridSpan w:val="4"/>
          </w:tcPr>
          <w:p>
            <w:pPr>
              <w:jc w:val="center"/>
              <w:ind w:right="220"/>
              <w:spacing w:after="0"/>
              <w:rPr>
                <w:sz w:val="20"/>
                <w:szCs w:val="20"/>
                <w:color w:val="auto"/>
              </w:rPr>
            </w:pPr>
            <w:r>
              <w:rPr>
                <w:rFonts w:ascii="Arial" w:cs="Arial" w:eastAsia="Arial" w:hAnsi="Arial"/>
                <w:sz w:val="12"/>
                <w:szCs w:val="12"/>
                <w:b w:val="1"/>
                <w:bCs w:val="1"/>
                <w:color w:val="auto"/>
              </w:rPr>
              <w:t>Identical Assets (Level</w:t>
            </w:r>
          </w:p>
        </w:tc>
        <w:tc>
          <w:tcPr>
            <w:tcW w:w="11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Observable Inputs</w:t>
            </w:r>
          </w:p>
        </w:tc>
        <w:tc>
          <w:tcPr>
            <w:tcW w:w="1620" w:type="dxa"/>
            <w:vAlign w:val="bottom"/>
            <w:gridSpan w:val="4"/>
          </w:tcPr>
          <w:p>
            <w:pPr>
              <w:jc w:val="center"/>
              <w:ind w:left="120"/>
              <w:spacing w:after="0"/>
              <w:rPr>
                <w:sz w:val="20"/>
                <w:szCs w:val="20"/>
                <w:color w:val="auto"/>
              </w:rPr>
            </w:pPr>
            <w:r>
              <w:rPr>
                <w:rFonts w:ascii="Arial" w:cs="Arial" w:eastAsia="Arial" w:hAnsi="Arial"/>
                <w:sz w:val="12"/>
                <w:szCs w:val="12"/>
                <w:b w:val="1"/>
                <w:bCs w:val="1"/>
                <w:color w:val="auto"/>
              </w:rPr>
              <w:t>Unobservable Inputs</w:t>
            </w:r>
          </w:p>
        </w:tc>
        <w:tc>
          <w:tcPr>
            <w:tcW w:w="1480" w:type="dxa"/>
            <w:vAlign w:val="bottom"/>
            <w:gridSpan w:val="4"/>
            <w:vMerge w:val="restart"/>
          </w:tcPr>
          <w:p>
            <w:pPr>
              <w:ind w:left="140"/>
              <w:spacing w:after="0"/>
              <w:rPr>
                <w:sz w:val="20"/>
                <w:szCs w:val="20"/>
                <w:color w:val="auto"/>
              </w:rPr>
            </w:pPr>
            <w:r>
              <w:rPr>
                <w:rFonts w:ascii="Arial" w:cs="Arial" w:eastAsia="Arial" w:hAnsi="Arial"/>
                <w:sz w:val="12"/>
                <w:szCs w:val="12"/>
                <w:b w:val="1"/>
                <w:bCs w:val="1"/>
                <w:color w:val="auto"/>
              </w:rPr>
              <w:t>Netting Adjustment</w:t>
            </w:r>
            <w:r>
              <w:rPr>
                <w:rFonts w:ascii="Arial" w:cs="Arial" w:eastAsia="Arial" w:hAnsi="Arial"/>
                <w:sz w:val="15"/>
                <w:szCs w:val="15"/>
                <w:b w:val="1"/>
                <w:bCs w:val="1"/>
                <w:color w:val="auto"/>
                <w:vertAlign w:val="superscript"/>
              </w:rPr>
              <w:t>(1)</w:t>
            </w:r>
          </w:p>
        </w:tc>
        <w:tc>
          <w:tcPr>
            <w:tcW w:w="1380" w:type="dxa"/>
            <w:vAlign w:val="bottom"/>
            <w:gridSpan w:val="4"/>
            <w:vMerge w:val="restart"/>
          </w:tcPr>
          <w:p>
            <w:pPr>
              <w:ind w:left="120"/>
              <w:spacing w:after="0"/>
              <w:rPr>
                <w:sz w:val="20"/>
                <w:szCs w:val="20"/>
                <w:color w:val="auto"/>
              </w:rPr>
            </w:pPr>
            <w:r>
              <w:rPr>
                <w:rFonts w:ascii="Arial" w:cs="Arial" w:eastAsia="Arial" w:hAnsi="Arial"/>
                <w:sz w:val="12"/>
                <w:szCs w:val="12"/>
                <w:b w:val="1"/>
                <w:bCs w:val="1"/>
                <w:color w:val="auto"/>
              </w:rPr>
              <w:t>Estimated Fair Value</w:t>
            </w:r>
          </w:p>
        </w:tc>
        <w:tc>
          <w:tcPr>
            <w:tcW w:w="0" w:type="dxa"/>
            <w:vAlign w:val="bottom"/>
          </w:tcPr>
          <w:p>
            <w:pPr>
              <w:spacing w:after="0"/>
              <w:rPr>
                <w:sz w:val="1"/>
                <w:szCs w:val="1"/>
                <w:color w:val="auto"/>
              </w:rPr>
            </w:pPr>
          </w:p>
        </w:tc>
      </w:tr>
      <w:tr>
        <w:trPr>
          <w:trHeight w:val="180"/>
        </w:trPr>
        <w:tc>
          <w:tcPr>
            <w:tcW w:w="120" w:type="dxa"/>
            <w:vAlign w:val="bottom"/>
            <w:tcBorders>
              <w:bottom w:val="single" w:sz="8" w:color="2C6937"/>
            </w:tcBorders>
          </w:tcPr>
          <w:p>
            <w:pPr>
              <w:spacing w:after="0"/>
              <w:rPr>
                <w:sz w:val="15"/>
                <w:szCs w:val="15"/>
                <w:color w:val="auto"/>
              </w:rPr>
            </w:pPr>
          </w:p>
        </w:tc>
        <w:tc>
          <w:tcPr>
            <w:tcW w:w="280" w:type="dxa"/>
            <w:vAlign w:val="bottom"/>
            <w:tcBorders>
              <w:bottom w:val="single" w:sz="8" w:color="2C6937"/>
            </w:tcBorders>
          </w:tcPr>
          <w:p>
            <w:pPr>
              <w:spacing w:after="0"/>
              <w:rPr>
                <w:sz w:val="15"/>
                <w:szCs w:val="15"/>
                <w:color w:val="auto"/>
              </w:rPr>
            </w:pPr>
          </w:p>
        </w:tc>
        <w:tc>
          <w:tcPr>
            <w:tcW w:w="840" w:type="dxa"/>
            <w:vAlign w:val="bottom"/>
            <w:tcBorders>
              <w:bottom w:val="single" w:sz="8" w:color="2C6937"/>
            </w:tcBorders>
          </w:tcPr>
          <w:p>
            <w:pPr>
              <w:jc w:val="center"/>
              <w:ind w:right="240"/>
              <w:spacing w:after="0"/>
              <w:rPr>
                <w:sz w:val="20"/>
                <w:szCs w:val="20"/>
                <w:color w:val="auto"/>
              </w:rPr>
            </w:pPr>
            <w:r>
              <w:rPr>
                <w:rFonts w:ascii="Arial" w:cs="Arial" w:eastAsia="Arial" w:hAnsi="Arial"/>
                <w:sz w:val="12"/>
                <w:szCs w:val="12"/>
                <w:b w:val="1"/>
                <w:bCs w:val="1"/>
                <w:color w:val="auto"/>
                <w:w w:val="93"/>
              </w:rPr>
              <w:t>1)</w:t>
            </w:r>
          </w:p>
        </w:tc>
        <w:tc>
          <w:tcPr>
            <w:tcW w:w="320" w:type="dxa"/>
            <w:vAlign w:val="bottom"/>
            <w:tcBorders>
              <w:bottom w:val="single" w:sz="8" w:color="2C6937"/>
            </w:tcBorders>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920" w:type="dxa"/>
            <w:vAlign w:val="bottom"/>
            <w:tcBorders>
              <w:bottom w:val="single" w:sz="8" w:color="2C6937"/>
            </w:tcBorders>
          </w:tcPr>
          <w:p>
            <w:pPr>
              <w:jc w:val="center"/>
              <w:ind w:right="140"/>
              <w:spacing w:after="0"/>
              <w:rPr>
                <w:sz w:val="20"/>
                <w:szCs w:val="20"/>
                <w:color w:val="auto"/>
              </w:rPr>
            </w:pPr>
            <w:r>
              <w:rPr>
                <w:rFonts w:ascii="Arial" w:cs="Arial" w:eastAsia="Arial" w:hAnsi="Arial"/>
                <w:sz w:val="12"/>
                <w:szCs w:val="12"/>
                <w:b w:val="1"/>
                <w:bCs w:val="1"/>
                <w:color w:val="auto"/>
                <w:w w:val="98"/>
              </w:rPr>
              <w:t>(Level 2)</w:t>
            </w:r>
          </w:p>
        </w:tc>
        <w:tc>
          <w:tcPr>
            <w:tcW w:w="340" w:type="dxa"/>
            <w:vAlign w:val="bottom"/>
            <w:tcBorders>
              <w:bottom w:val="single" w:sz="8" w:color="2C6937"/>
            </w:tcBorders>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1120" w:type="dxa"/>
            <w:vAlign w:val="bottom"/>
            <w:tcBorders>
              <w:bottom w:val="single" w:sz="8" w:color="2C6937"/>
            </w:tcBorders>
            <w:gridSpan w:val="2"/>
          </w:tcPr>
          <w:p>
            <w:pPr>
              <w:jc w:val="center"/>
              <w:ind w:right="320"/>
              <w:spacing w:after="0"/>
              <w:rPr>
                <w:sz w:val="20"/>
                <w:szCs w:val="20"/>
                <w:color w:val="auto"/>
              </w:rPr>
            </w:pPr>
            <w:r>
              <w:rPr>
                <w:rFonts w:ascii="Arial" w:cs="Arial" w:eastAsia="Arial" w:hAnsi="Arial"/>
                <w:sz w:val="12"/>
                <w:szCs w:val="12"/>
                <w:b w:val="1"/>
                <w:bCs w:val="1"/>
                <w:color w:val="auto"/>
                <w:w w:val="98"/>
              </w:rPr>
              <w:t>(Level 3)</w:t>
            </w:r>
          </w:p>
        </w:tc>
        <w:tc>
          <w:tcPr>
            <w:tcW w:w="1480" w:type="dxa"/>
            <w:vAlign w:val="bottom"/>
            <w:tcBorders>
              <w:bottom w:val="single" w:sz="8" w:color="2C6937"/>
            </w:tcBorders>
            <w:gridSpan w:val="4"/>
            <w:vMerge w:val="continue"/>
          </w:tcPr>
          <w:p>
            <w:pPr>
              <w:spacing w:after="0"/>
              <w:rPr>
                <w:sz w:val="15"/>
                <w:szCs w:val="15"/>
                <w:color w:val="auto"/>
              </w:rPr>
            </w:pPr>
          </w:p>
        </w:tc>
        <w:tc>
          <w:tcPr>
            <w:tcW w:w="1380" w:type="dxa"/>
            <w:vAlign w:val="bottom"/>
            <w:tcBorders>
              <w:bottom w:val="single" w:sz="8" w:color="2C6937"/>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gridSpan w:val="3"/>
          </w:tcPr>
          <w:p>
            <w:pPr>
              <w:spacing w:after="0"/>
              <w:rPr>
                <w:sz w:val="20"/>
                <w:szCs w:val="20"/>
                <w:color w:val="auto"/>
              </w:rPr>
            </w:pPr>
            <w:r>
              <w:rPr>
                <w:rFonts w:ascii="Arial" w:cs="Arial" w:eastAsia="Arial" w:hAnsi="Arial"/>
                <w:sz w:val="12"/>
                <w:szCs w:val="12"/>
                <w:b w:val="1"/>
                <w:bCs w:val="1"/>
                <w:color w:val="auto"/>
              </w:rPr>
              <w:t>(Dollars in millions)</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1"/>
        </w:trPr>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3,164</w:t>
            </w:r>
          </w:p>
        </w:tc>
        <w:tc>
          <w:tcPr>
            <w:tcW w:w="50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47</w:t>
            </w:r>
          </w:p>
        </w:tc>
        <w:tc>
          <w:tcPr>
            <w:tcW w:w="160" w:type="dxa"/>
            <w:vAlign w:val="bottom"/>
          </w:tcPr>
          <w:p>
            <w:pPr>
              <w:spacing w:after="0"/>
              <w:rPr>
                <w:sz w:val="24"/>
                <w:szCs w:val="24"/>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3,211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20"/>
              <w:spacing w:after="0"/>
              <w:rPr>
                <w:sz w:val="20"/>
                <w:szCs w:val="20"/>
                <w:color w:val="auto"/>
              </w:rPr>
            </w:pPr>
            <w:r>
              <w:rPr>
                <w:rFonts w:ascii="Arial" w:cs="Arial" w:eastAsia="Arial" w:hAnsi="Arial"/>
                <w:sz w:val="12"/>
                <w:szCs w:val="12"/>
                <w:color w:val="auto"/>
              </w:rPr>
              <w:t>46,898</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20</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46,918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20" w:type="dxa"/>
            <w:vAlign w:val="bottom"/>
          </w:tcPr>
          <w:p>
            <w:pPr>
              <w:spacing w:after="0"/>
              <w:rPr>
                <w:sz w:val="13"/>
                <w:szCs w:val="13"/>
                <w:color w:val="auto"/>
              </w:rPr>
            </w:pPr>
          </w:p>
        </w:tc>
        <w:tc>
          <w:tcPr>
            <w:tcW w:w="280" w:type="dxa"/>
            <w:vAlign w:val="bottom"/>
            <w:tcBorders>
              <w:top w:val="single" w:sz="8" w:color="2C6937"/>
            </w:tcBorders>
          </w:tcPr>
          <w:p>
            <w:pPr>
              <w:spacing w:after="0"/>
              <w:rPr>
                <w:sz w:val="13"/>
                <w:szCs w:val="13"/>
                <w:color w:val="auto"/>
              </w:rPr>
            </w:pPr>
          </w:p>
        </w:tc>
        <w:tc>
          <w:tcPr>
            <w:tcW w:w="840" w:type="dxa"/>
            <w:vAlign w:val="bottom"/>
            <w:tcBorders>
              <w:top w:val="single" w:sz="8" w:color="2C6937"/>
            </w:tcBorders>
          </w:tcPr>
          <w:p>
            <w:pPr>
              <w:jc w:val="right"/>
              <w:ind w:right="20"/>
              <w:spacing w:after="0"/>
              <w:rPr>
                <w:sz w:val="20"/>
                <w:szCs w:val="20"/>
                <w:color w:val="auto"/>
              </w:rPr>
            </w:pPr>
            <w:r>
              <w:rPr>
                <w:rFonts w:ascii="Arial" w:cs="Arial" w:eastAsia="Arial" w:hAnsi="Arial"/>
                <w:sz w:val="12"/>
                <w:szCs w:val="12"/>
                <w:color w:val="auto"/>
              </w:rPr>
              <w:t>46,898</w:t>
            </w:r>
          </w:p>
        </w:tc>
        <w:tc>
          <w:tcPr>
            <w:tcW w:w="320" w:type="dxa"/>
            <w:vAlign w:val="bottom"/>
          </w:tcPr>
          <w:p>
            <w:pPr>
              <w:spacing w:after="0"/>
              <w:rPr>
                <w:sz w:val="13"/>
                <w:szCs w:val="13"/>
                <w:color w:val="auto"/>
              </w:rPr>
            </w:pPr>
          </w:p>
        </w:tc>
        <w:tc>
          <w:tcPr>
            <w:tcW w:w="200" w:type="dxa"/>
            <w:vAlign w:val="bottom"/>
            <w:tcBorders>
              <w:top w:val="single" w:sz="8" w:color="2C6937"/>
            </w:tcBorders>
          </w:tcPr>
          <w:p>
            <w:pPr>
              <w:spacing w:after="0"/>
              <w:rPr>
                <w:sz w:val="13"/>
                <w:szCs w:val="13"/>
                <w:color w:val="auto"/>
              </w:rPr>
            </w:pPr>
          </w:p>
        </w:tc>
        <w:tc>
          <w:tcPr>
            <w:tcW w:w="92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3,184</w:t>
            </w:r>
          </w:p>
        </w:tc>
        <w:tc>
          <w:tcPr>
            <w:tcW w:w="340" w:type="dxa"/>
            <w:vAlign w:val="bottom"/>
          </w:tcPr>
          <w:p>
            <w:pPr>
              <w:spacing w:after="0"/>
              <w:rPr>
                <w:sz w:val="13"/>
                <w:szCs w:val="13"/>
                <w:color w:val="auto"/>
              </w:rPr>
            </w:pPr>
          </w:p>
        </w:tc>
        <w:tc>
          <w:tcPr>
            <w:tcW w:w="160" w:type="dxa"/>
            <w:vAlign w:val="bottom"/>
            <w:tcBorders>
              <w:top w:val="single" w:sz="8" w:color="2C6937"/>
            </w:tcBorders>
          </w:tcPr>
          <w:p>
            <w:pPr>
              <w:spacing w:after="0"/>
              <w:rPr>
                <w:sz w:val="13"/>
                <w:szCs w:val="13"/>
                <w:color w:val="auto"/>
              </w:rPr>
            </w:pPr>
          </w:p>
        </w:tc>
        <w:tc>
          <w:tcPr>
            <w:tcW w:w="9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47</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Borders>
              <w:top w:val="single" w:sz="8" w:color="2C6937"/>
            </w:tcBorders>
          </w:tcPr>
          <w:p>
            <w:pPr>
              <w:spacing w:after="0"/>
              <w:rPr>
                <w:sz w:val="13"/>
                <w:szCs w:val="13"/>
                <w:color w:val="auto"/>
              </w:rPr>
            </w:pPr>
          </w:p>
        </w:tc>
        <w:tc>
          <w:tcPr>
            <w:tcW w:w="50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Borders>
              <w:top w:val="single" w:sz="8" w:color="2C6937"/>
            </w:tcBorders>
          </w:tcPr>
          <w:p>
            <w:pPr>
              <w:spacing w:after="0"/>
              <w:rPr>
                <w:sz w:val="13"/>
                <w:szCs w:val="13"/>
                <w:color w:val="auto"/>
              </w:rPr>
            </w:pPr>
          </w:p>
        </w:tc>
        <w:tc>
          <w:tcPr>
            <w:tcW w:w="72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50,129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7"/>
        </w:trPr>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55</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371</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426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7</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263</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270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280" w:type="dxa"/>
            <w:vAlign w:val="bottom"/>
            <w:tcBorders>
              <w:top w:val="single" w:sz="8" w:color="2C6937"/>
            </w:tcBorders>
          </w:tcPr>
          <w:p>
            <w:pPr>
              <w:spacing w:after="0"/>
              <w:rPr>
                <w:sz w:val="12"/>
                <w:szCs w:val="12"/>
                <w:color w:val="auto"/>
              </w:rPr>
            </w:pPr>
          </w:p>
        </w:tc>
        <w:tc>
          <w:tcPr>
            <w:tcW w:w="840" w:type="dxa"/>
            <w:vAlign w:val="bottom"/>
            <w:tcBorders>
              <w:top w:val="single" w:sz="8" w:color="2C6937"/>
            </w:tcBorders>
          </w:tcPr>
          <w:p>
            <w:pPr>
              <w:jc w:val="right"/>
              <w:ind w:right="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200" w:type="dxa"/>
            <w:vAlign w:val="bottom"/>
            <w:tcBorders>
              <w:top w:val="single" w:sz="8" w:color="2C6937"/>
            </w:tcBorders>
          </w:tcPr>
          <w:p>
            <w:pPr>
              <w:spacing w:after="0"/>
              <w:rPr>
                <w:sz w:val="12"/>
                <w:szCs w:val="12"/>
                <w:color w:val="auto"/>
              </w:rPr>
            </w:pPr>
          </w:p>
        </w:tc>
        <w:tc>
          <w:tcPr>
            <w:tcW w:w="92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62</w:t>
            </w:r>
          </w:p>
        </w:tc>
        <w:tc>
          <w:tcPr>
            <w:tcW w:w="340" w:type="dxa"/>
            <w:vAlign w:val="bottom"/>
          </w:tcPr>
          <w:p>
            <w:pPr>
              <w:spacing w:after="0"/>
              <w:rPr>
                <w:sz w:val="12"/>
                <w:szCs w:val="12"/>
                <w:color w:val="auto"/>
              </w:rPr>
            </w:pPr>
          </w:p>
        </w:tc>
        <w:tc>
          <w:tcPr>
            <w:tcW w:w="160" w:type="dxa"/>
            <w:vAlign w:val="bottom"/>
            <w:tcBorders>
              <w:top w:val="single" w:sz="8" w:color="2C6937"/>
            </w:tcBorders>
          </w:tcPr>
          <w:p>
            <w:pPr>
              <w:spacing w:after="0"/>
              <w:rPr>
                <w:sz w:val="12"/>
                <w:szCs w:val="12"/>
                <w:color w:val="auto"/>
              </w:rPr>
            </w:pPr>
          </w:p>
        </w:tc>
        <w:tc>
          <w:tcPr>
            <w:tcW w:w="9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634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Borders>
              <w:top w:val="single" w:sz="8" w:color="2C6937"/>
            </w:tcBorders>
          </w:tcPr>
          <w:p>
            <w:pPr>
              <w:spacing w:after="0"/>
              <w:rPr>
                <w:sz w:val="12"/>
                <w:szCs w:val="12"/>
                <w:color w:val="auto"/>
              </w:rPr>
            </w:pPr>
          </w:p>
        </w:tc>
        <w:tc>
          <w:tcPr>
            <w:tcW w:w="50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Borders>
              <w:top w:val="single" w:sz="8" w:color="2C6937"/>
            </w:tcBorders>
          </w:tcPr>
          <w:p>
            <w:pPr>
              <w:spacing w:after="0"/>
              <w:rPr>
                <w:sz w:val="12"/>
                <w:szCs w:val="12"/>
                <w:color w:val="auto"/>
              </w:rPr>
            </w:pPr>
          </w:p>
        </w:tc>
        <w:tc>
          <w:tcPr>
            <w:tcW w:w="72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696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3,102</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543</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3,645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300</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29</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(154)</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175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20" w:type="dxa"/>
            <w:vAlign w:val="bottom"/>
          </w:tcPr>
          <w:p>
            <w:pPr>
              <w:spacing w:after="0"/>
              <w:rPr>
                <w:sz w:val="13"/>
                <w:szCs w:val="13"/>
                <w:color w:val="auto"/>
              </w:rPr>
            </w:pPr>
          </w:p>
        </w:tc>
        <w:tc>
          <w:tcPr>
            <w:tcW w:w="280" w:type="dxa"/>
            <w:vAlign w:val="bottom"/>
            <w:tcBorders>
              <w:top w:val="single" w:sz="8" w:color="2C6937"/>
              <w:bottom w:val="single" w:sz="8" w:color="2C6937"/>
            </w:tcBorders>
          </w:tcPr>
          <w:p>
            <w:pPr>
              <w:jc w:val="right"/>
              <w:ind w:right="140"/>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2C6937"/>
              <w:bottom w:val="single" w:sz="8" w:color="2C6937"/>
            </w:tcBorders>
          </w:tcPr>
          <w:p>
            <w:pPr>
              <w:jc w:val="right"/>
              <w:ind w:right="20"/>
              <w:spacing w:after="0"/>
              <w:rPr>
                <w:sz w:val="20"/>
                <w:szCs w:val="20"/>
                <w:color w:val="auto"/>
              </w:rPr>
            </w:pPr>
            <w:r>
              <w:rPr>
                <w:rFonts w:ascii="Arial" w:cs="Arial" w:eastAsia="Arial" w:hAnsi="Arial"/>
                <w:sz w:val="12"/>
                <w:szCs w:val="12"/>
                <w:color w:val="auto"/>
              </w:rPr>
              <w:t>46,898</w:t>
            </w:r>
          </w:p>
        </w:tc>
        <w:tc>
          <w:tcPr>
            <w:tcW w:w="320" w:type="dxa"/>
            <w:vAlign w:val="bottom"/>
          </w:tcPr>
          <w:p>
            <w:pPr>
              <w:spacing w:after="0"/>
              <w:rPr>
                <w:sz w:val="13"/>
                <w:szCs w:val="13"/>
                <w:color w:val="auto"/>
              </w:rPr>
            </w:pPr>
          </w:p>
        </w:tc>
        <w:tc>
          <w:tcPr>
            <w:tcW w:w="200" w:type="dxa"/>
            <w:vAlign w:val="bottom"/>
            <w:tcBorders>
              <w:top w:val="single" w:sz="8" w:color="2C6937"/>
              <w:bottom w:val="single" w:sz="8" w:color="2C6937"/>
            </w:tcBorders>
          </w:tcPr>
          <w:p>
            <w:pPr>
              <w:jc w:val="right"/>
              <w:ind w:right="60"/>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6,648</w:t>
            </w:r>
          </w:p>
        </w:tc>
        <w:tc>
          <w:tcPr>
            <w:tcW w:w="340" w:type="dxa"/>
            <w:vAlign w:val="bottom"/>
          </w:tcPr>
          <w:p>
            <w:pPr>
              <w:spacing w:after="0"/>
              <w:rPr>
                <w:sz w:val="13"/>
                <w:szCs w:val="13"/>
                <w:color w:val="auto"/>
              </w:rPr>
            </w:pPr>
          </w:p>
        </w:tc>
        <w:tc>
          <w:tcPr>
            <w:tcW w:w="160" w:type="dxa"/>
            <w:vAlign w:val="bottom"/>
            <w:tcBorders>
              <w:top w:val="single" w:sz="8" w:color="2C6937"/>
              <w:bottom w:val="single" w:sz="8" w:color="2C6937"/>
            </w:tcBorders>
          </w:tcPr>
          <w:p>
            <w:pPr>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1,253</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Borders>
              <w:top w:val="single" w:sz="8" w:color="2C6937"/>
              <w:bottom w:val="single" w:sz="8" w:color="2C6937"/>
            </w:tcBorders>
          </w:tcPr>
          <w:p>
            <w:pPr>
              <w:jc w:val="right"/>
              <w:ind w:right="480"/>
              <w:spacing w:after="0"/>
              <w:rPr>
                <w:sz w:val="20"/>
                <w:szCs w:val="20"/>
                <w:color w:val="auto"/>
              </w:rPr>
            </w:pPr>
            <w:r>
              <w:rPr>
                <w:rFonts w:ascii="Arial" w:cs="Arial" w:eastAsia="Arial" w:hAnsi="Arial"/>
                <w:sz w:val="12"/>
                <w:szCs w:val="12"/>
                <w:color w:val="auto"/>
                <w:w w:val="89"/>
              </w:rPr>
              <w:t>$</w:t>
            </w:r>
          </w:p>
        </w:tc>
        <w:tc>
          <w:tcPr>
            <w:tcW w:w="5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(154)</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Borders>
              <w:top w:val="single" w:sz="8" w:color="2C6937"/>
              <w:bottom w:val="single" w:sz="8" w:color="2C6937"/>
            </w:tcBorders>
          </w:tcPr>
          <w:p>
            <w:pPr>
              <w:jc w:val="right"/>
              <w:ind w:right="240"/>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54,645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280" w:type="dxa"/>
            <w:vAlign w:val="bottom"/>
            <w:tcBorders>
              <w:bottom w:val="single" w:sz="8" w:color="2C6937"/>
            </w:tcBorders>
          </w:tcPr>
          <w:p>
            <w:pPr>
              <w:spacing w:after="0"/>
              <w:rPr>
                <w:sz w:val="2"/>
                <w:szCs w:val="2"/>
                <w:color w:val="auto"/>
              </w:rPr>
            </w:pPr>
          </w:p>
        </w:tc>
        <w:tc>
          <w:tcPr>
            <w:tcW w:w="840" w:type="dxa"/>
            <w:vAlign w:val="bottom"/>
            <w:tcBorders>
              <w:bottom w:val="single" w:sz="8" w:color="2C6937"/>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920" w:type="dxa"/>
            <w:vAlign w:val="bottom"/>
            <w:tcBorders>
              <w:bottom w:val="single" w:sz="8" w:color="2C6937"/>
            </w:tcBorders>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2C6937"/>
            </w:tcBorders>
          </w:tcPr>
          <w:p>
            <w:pPr>
              <w:spacing w:after="0"/>
              <w:rPr>
                <w:sz w:val="2"/>
                <w:szCs w:val="2"/>
                <w:color w:val="auto"/>
              </w:rPr>
            </w:pPr>
          </w:p>
        </w:tc>
        <w:tc>
          <w:tcPr>
            <w:tcW w:w="96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Borders>
              <w:bottom w:val="single" w:sz="8" w:color="2C6937"/>
            </w:tcBorders>
          </w:tcPr>
          <w:p>
            <w:pPr>
              <w:spacing w:after="0"/>
              <w:rPr>
                <w:sz w:val="2"/>
                <w:szCs w:val="2"/>
                <w:color w:val="auto"/>
              </w:rPr>
            </w:pPr>
          </w:p>
        </w:tc>
        <w:tc>
          <w:tcPr>
            <w:tcW w:w="500" w:type="dxa"/>
            <w:vAlign w:val="bottom"/>
            <w:tcBorders>
              <w:bottom w:val="single" w:sz="8" w:color="2C6937"/>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2C6937"/>
            </w:tcBorders>
          </w:tcPr>
          <w:p>
            <w:pPr>
              <w:spacing w:after="0"/>
              <w:rPr>
                <w:sz w:val="2"/>
                <w:szCs w:val="2"/>
                <w:color w:val="auto"/>
              </w:rPr>
            </w:pPr>
          </w:p>
        </w:tc>
        <w:tc>
          <w:tcPr>
            <w:tcW w:w="72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22"/>
        </w:trPr>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919</w:t>
            </w:r>
          </w:p>
        </w:tc>
        <w:tc>
          <w:tcPr>
            <w:tcW w:w="50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242</w:t>
            </w:r>
          </w:p>
        </w:tc>
        <w:tc>
          <w:tcPr>
            <w:tcW w:w="160" w:type="dxa"/>
            <w:vAlign w:val="bottom"/>
          </w:tcPr>
          <w:p>
            <w:pPr>
              <w:spacing w:after="0"/>
              <w:rPr>
                <w:sz w:val="24"/>
                <w:szCs w:val="24"/>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1,161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16,124</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136</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16,260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280" w:type="dxa"/>
            <w:vAlign w:val="bottom"/>
            <w:tcBorders>
              <w:top w:val="single" w:sz="8" w:color="2C6937"/>
            </w:tcBorders>
          </w:tcPr>
          <w:p>
            <w:pPr>
              <w:spacing w:after="0"/>
              <w:rPr>
                <w:sz w:val="12"/>
                <w:szCs w:val="12"/>
                <w:color w:val="auto"/>
              </w:rPr>
            </w:pPr>
          </w:p>
        </w:tc>
        <w:tc>
          <w:tcPr>
            <w:tcW w:w="840" w:type="dxa"/>
            <w:vAlign w:val="bottom"/>
            <w:tcBorders>
              <w:top w:val="single" w:sz="8" w:color="2C6937"/>
            </w:tcBorders>
          </w:tcPr>
          <w:p>
            <w:pPr>
              <w:jc w:val="right"/>
              <w:ind w:right="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200" w:type="dxa"/>
            <w:vAlign w:val="bottom"/>
            <w:tcBorders>
              <w:top w:val="single" w:sz="8" w:color="2C6937"/>
            </w:tcBorders>
          </w:tcPr>
          <w:p>
            <w:pPr>
              <w:spacing w:after="0"/>
              <w:rPr>
                <w:sz w:val="12"/>
                <w:szCs w:val="12"/>
                <w:color w:val="auto"/>
              </w:rPr>
            </w:pPr>
          </w:p>
        </w:tc>
        <w:tc>
          <w:tcPr>
            <w:tcW w:w="92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17,043</w:t>
            </w:r>
          </w:p>
        </w:tc>
        <w:tc>
          <w:tcPr>
            <w:tcW w:w="340" w:type="dxa"/>
            <w:vAlign w:val="bottom"/>
          </w:tcPr>
          <w:p>
            <w:pPr>
              <w:spacing w:after="0"/>
              <w:rPr>
                <w:sz w:val="12"/>
                <w:szCs w:val="12"/>
                <w:color w:val="auto"/>
              </w:rPr>
            </w:pPr>
          </w:p>
        </w:tc>
        <w:tc>
          <w:tcPr>
            <w:tcW w:w="160" w:type="dxa"/>
            <w:vAlign w:val="bottom"/>
            <w:tcBorders>
              <w:top w:val="single" w:sz="8" w:color="2C6937"/>
            </w:tcBorders>
          </w:tcPr>
          <w:p>
            <w:pPr>
              <w:spacing w:after="0"/>
              <w:rPr>
                <w:sz w:val="12"/>
                <w:szCs w:val="12"/>
                <w:color w:val="auto"/>
              </w:rPr>
            </w:pPr>
          </w:p>
        </w:tc>
        <w:tc>
          <w:tcPr>
            <w:tcW w:w="9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378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Borders>
              <w:top w:val="single" w:sz="8" w:color="2C6937"/>
            </w:tcBorders>
          </w:tcPr>
          <w:p>
            <w:pPr>
              <w:spacing w:after="0"/>
              <w:rPr>
                <w:sz w:val="12"/>
                <w:szCs w:val="12"/>
                <w:color w:val="auto"/>
              </w:rPr>
            </w:pPr>
          </w:p>
        </w:tc>
        <w:tc>
          <w:tcPr>
            <w:tcW w:w="50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Borders>
              <w:top w:val="single" w:sz="8" w:color="2C6937"/>
            </w:tcBorders>
          </w:tcPr>
          <w:p>
            <w:pPr>
              <w:spacing w:after="0"/>
              <w:rPr>
                <w:sz w:val="12"/>
                <w:szCs w:val="12"/>
                <w:color w:val="auto"/>
              </w:rPr>
            </w:pPr>
          </w:p>
        </w:tc>
        <w:tc>
          <w:tcPr>
            <w:tcW w:w="72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17,421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4,764</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66</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(4,662)</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168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20" w:type="dxa"/>
            <w:vAlign w:val="bottom"/>
          </w:tcPr>
          <w:p>
            <w:pPr>
              <w:spacing w:after="0"/>
              <w:rPr>
                <w:sz w:val="13"/>
                <w:szCs w:val="13"/>
                <w:color w:val="auto"/>
              </w:rPr>
            </w:pPr>
          </w:p>
        </w:tc>
        <w:tc>
          <w:tcPr>
            <w:tcW w:w="280" w:type="dxa"/>
            <w:vAlign w:val="bottom"/>
            <w:tcBorders>
              <w:top w:val="single" w:sz="8" w:color="2C6937"/>
              <w:bottom w:val="single" w:sz="8" w:color="2C6937"/>
            </w:tcBorders>
          </w:tcPr>
          <w:p>
            <w:pPr>
              <w:jc w:val="right"/>
              <w:ind w:right="140"/>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2C6937"/>
              <w:bottom w:val="single" w:sz="8" w:color="2C6937"/>
            </w:tcBorders>
          </w:tcPr>
          <w:p>
            <w:pPr>
              <w:jc w:val="right"/>
              <w:ind w:right="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200" w:type="dxa"/>
            <w:vAlign w:val="bottom"/>
            <w:tcBorders>
              <w:top w:val="single" w:sz="8" w:color="2C6937"/>
              <w:bottom w:val="single" w:sz="8" w:color="2C6937"/>
            </w:tcBorders>
          </w:tcPr>
          <w:p>
            <w:pPr>
              <w:jc w:val="right"/>
              <w:ind w:right="60"/>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21,807</w:t>
            </w:r>
          </w:p>
        </w:tc>
        <w:tc>
          <w:tcPr>
            <w:tcW w:w="340" w:type="dxa"/>
            <w:vAlign w:val="bottom"/>
          </w:tcPr>
          <w:p>
            <w:pPr>
              <w:spacing w:after="0"/>
              <w:rPr>
                <w:sz w:val="13"/>
                <w:szCs w:val="13"/>
                <w:color w:val="auto"/>
              </w:rPr>
            </w:pPr>
          </w:p>
        </w:tc>
        <w:tc>
          <w:tcPr>
            <w:tcW w:w="160" w:type="dxa"/>
            <w:vAlign w:val="bottom"/>
            <w:tcBorders>
              <w:top w:val="single" w:sz="8" w:color="2C6937"/>
              <w:bottom w:val="single" w:sz="8" w:color="2C6937"/>
            </w:tcBorders>
          </w:tcPr>
          <w:p>
            <w:pPr>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444</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Borders>
              <w:top w:val="single" w:sz="8" w:color="2C6937"/>
              <w:bottom w:val="single" w:sz="8" w:color="2C6937"/>
            </w:tcBorders>
          </w:tcPr>
          <w:p>
            <w:pPr>
              <w:jc w:val="right"/>
              <w:ind w:right="480"/>
              <w:spacing w:after="0"/>
              <w:rPr>
                <w:sz w:val="20"/>
                <w:szCs w:val="20"/>
                <w:color w:val="auto"/>
              </w:rPr>
            </w:pPr>
            <w:r>
              <w:rPr>
                <w:rFonts w:ascii="Arial" w:cs="Arial" w:eastAsia="Arial" w:hAnsi="Arial"/>
                <w:sz w:val="12"/>
                <w:szCs w:val="12"/>
                <w:color w:val="auto"/>
                <w:w w:val="89"/>
              </w:rPr>
              <w:t>$</w:t>
            </w:r>
          </w:p>
        </w:tc>
        <w:tc>
          <w:tcPr>
            <w:tcW w:w="5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(4,662)</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Borders>
              <w:top w:val="single" w:sz="8" w:color="2C6937"/>
              <w:bottom w:val="single" w:sz="8" w:color="2C6937"/>
            </w:tcBorders>
          </w:tcPr>
          <w:p>
            <w:pPr>
              <w:jc w:val="right"/>
              <w:ind w:right="240"/>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17,589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280" w:type="dxa"/>
            <w:vAlign w:val="bottom"/>
            <w:tcBorders>
              <w:bottom w:val="single" w:sz="8" w:color="2C6937"/>
            </w:tcBorders>
          </w:tcPr>
          <w:p>
            <w:pPr>
              <w:spacing w:after="0"/>
              <w:rPr>
                <w:sz w:val="2"/>
                <w:szCs w:val="2"/>
                <w:color w:val="auto"/>
              </w:rPr>
            </w:pPr>
          </w:p>
        </w:tc>
        <w:tc>
          <w:tcPr>
            <w:tcW w:w="840" w:type="dxa"/>
            <w:vAlign w:val="bottom"/>
            <w:tcBorders>
              <w:bottom w:val="single" w:sz="8" w:color="2C6937"/>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920" w:type="dxa"/>
            <w:vAlign w:val="bottom"/>
            <w:tcBorders>
              <w:bottom w:val="single" w:sz="8" w:color="2C6937"/>
            </w:tcBorders>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2C6937"/>
            </w:tcBorders>
          </w:tcPr>
          <w:p>
            <w:pPr>
              <w:spacing w:after="0"/>
              <w:rPr>
                <w:sz w:val="2"/>
                <w:szCs w:val="2"/>
                <w:color w:val="auto"/>
              </w:rPr>
            </w:pPr>
          </w:p>
        </w:tc>
        <w:tc>
          <w:tcPr>
            <w:tcW w:w="96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Borders>
              <w:bottom w:val="single" w:sz="8" w:color="2C6937"/>
            </w:tcBorders>
          </w:tcPr>
          <w:p>
            <w:pPr>
              <w:spacing w:after="0"/>
              <w:rPr>
                <w:sz w:val="2"/>
                <w:szCs w:val="2"/>
                <w:color w:val="auto"/>
              </w:rPr>
            </w:pPr>
          </w:p>
        </w:tc>
        <w:tc>
          <w:tcPr>
            <w:tcW w:w="500" w:type="dxa"/>
            <w:vAlign w:val="bottom"/>
            <w:tcBorders>
              <w:bottom w:val="single" w:sz="8" w:color="2C6937"/>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2C6937"/>
            </w:tcBorders>
          </w:tcPr>
          <w:p>
            <w:pPr>
              <w:spacing w:after="0"/>
              <w:rPr>
                <w:sz w:val="2"/>
                <w:szCs w:val="2"/>
                <w:color w:val="auto"/>
              </w:rPr>
            </w:pPr>
          </w:p>
        </w:tc>
        <w:tc>
          <w:tcPr>
            <w:tcW w:w="72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-2195195</wp:posOffset>
            </wp:positionH>
            <wp:positionV relativeFrom="paragraph">
              <wp:posOffset>441960</wp:posOffset>
            </wp:positionV>
            <wp:extent cx="681101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60" w:space="720"/>
            <w:col w:w="7160"/>
          </w:cols>
          <w:pgMar w:left="320" w:top="250" w:right="339" w:bottom="1440" w:gutter="0" w:footer="0" w:header="0"/>
          <w:type w:val="continuous"/>
        </w:sectPr>
      </w:pPr>
    </w:p>
    <w:p>
      <w:pPr>
        <w:spacing w:after="0" w:line="200" w:lineRule="exact"/>
        <w:rPr>
          <w:sz w:val="20"/>
          <w:szCs w:val="20"/>
          <w:color w:val="auto"/>
        </w:rPr>
      </w:pPr>
    </w:p>
    <w:p>
      <w:pPr>
        <w:spacing w:after="0" w:line="316"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157480</wp:posOffset>
            </wp:positionV>
            <wp:extent cx="7164070" cy="4191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type w:val="continuous"/>
        </w:sectPr>
      </w:pPr>
    </w:p>
    <w:bookmarkStart w:id="109" w:name="page110"/>
    <w:bookmarkEnd w:id="109"/>
    <w:p>
      <w:pPr>
        <w:ind w:left="7000"/>
        <w:spacing w:after="0"/>
        <w:rPr>
          <w:sz w:val="20"/>
          <w:szCs w:val="20"/>
          <w:color w:val="auto"/>
        </w:rPr>
      </w:pPr>
      <w:r>
        <w:rPr>
          <w:rFonts w:ascii="Arial" w:cs="Arial" w:eastAsia="Arial" w:hAnsi="Arial"/>
          <w:sz w:val="13"/>
          <w:szCs w:val="13"/>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22860</wp:posOffset>
            </wp:positionV>
            <wp:extent cx="702373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40" w:right="640" w:hanging="237"/>
        <w:spacing w:after="0" w:line="223" w:lineRule="auto"/>
        <w:tabs>
          <w:tab w:leader="none" w:pos="240" w:val="left"/>
        </w:tabs>
        <w:numPr>
          <w:ilvl w:val="0"/>
          <w:numId w:val="117"/>
        </w:numPr>
        <w:rPr>
          <w:rFonts w:ascii="Arial" w:cs="Arial" w:eastAsia="Arial" w:hAnsi="Arial"/>
          <w:sz w:val="18"/>
          <w:szCs w:val="18"/>
          <w:color w:val="auto"/>
          <w:vertAlign w:val="superscript"/>
        </w:rPr>
      </w:pPr>
      <w:r>
        <w:rPr>
          <w:rFonts w:ascii="Arial" w:cs="Arial" w:eastAsia="Arial" w:hAnsi="Arial"/>
          <w:sz w:val="14"/>
          <w:szCs w:val="14"/>
          <w:color w:val="auto"/>
        </w:rPr>
        <w:t>Derivative contracts are reported on a gross basis by level. The netting adjustment represents the effect of the legal right to offset under legally enforceable master netting arrangements to settle with the same counterparty on a net basis, including cash collateral posted and received.</w:t>
      </w:r>
    </w:p>
    <w:p>
      <w:pPr>
        <w:ind w:left="240" w:hanging="237"/>
        <w:spacing w:after="0"/>
        <w:tabs>
          <w:tab w:leader="none" w:pos="240" w:val="left"/>
        </w:tabs>
        <w:numPr>
          <w:ilvl w:val="0"/>
          <w:numId w:val="117"/>
        </w:numPr>
        <w:rPr>
          <w:rFonts w:ascii="Arial" w:cs="Arial" w:eastAsia="Arial" w:hAnsi="Arial"/>
          <w:sz w:val="18"/>
          <w:szCs w:val="18"/>
          <w:color w:val="auto"/>
          <w:vertAlign w:val="superscript"/>
        </w:rPr>
      </w:pPr>
      <w:r>
        <w:rPr>
          <w:rFonts w:ascii="Arial" w:cs="Arial" w:eastAsia="Arial" w:hAnsi="Arial"/>
          <w:sz w:val="14"/>
          <w:szCs w:val="14"/>
          <w:color w:val="auto"/>
        </w:rPr>
        <w:t>Primarily includes U.S. Treasury securities.</w:t>
      </w:r>
    </w:p>
    <w:p>
      <w:pPr>
        <w:spacing w:after="0" w:line="41" w:lineRule="exact"/>
        <w:rPr>
          <w:rFonts w:ascii="Arial" w:cs="Arial" w:eastAsia="Arial" w:hAnsi="Arial"/>
          <w:sz w:val="18"/>
          <w:szCs w:val="18"/>
          <w:color w:val="auto"/>
          <w:vertAlign w:val="superscript"/>
        </w:rPr>
      </w:pPr>
    </w:p>
    <w:p>
      <w:pPr>
        <w:ind w:left="240" w:hanging="237"/>
        <w:spacing w:after="0" w:line="190" w:lineRule="auto"/>
        <w:tabs>
          <w:tab w:leader="none" w:pos="240" w:val="left"/>
        </w:tabs>
        <w:numPr>
          <w:ilvl w:val="0"/>
          <w:numId w:val="117"/>
        </w:numPr>
        <w:rPr>
          <w:rFonts w:ascii="Arial" w:cs="Arial" w:eastAsia="Arial" w:hAnsi="Arial"/>
          <w:sz w:val="18"/>
          <w:szCs w:val="18"/>
          <w:color w:val="auto"/>
          <w:vertAlign w:val="superscript"/>
        </w:rPr>
      </w:pPr>
      <w:r>
        <w:rPr>
          <w:rFonts w:ascii="Arial" w:cs="Arial" w:eastAsia="Arial" w:hAnsi="Arial"/>
          <w:sz w:val="14"/>
          <w:szCs w:val="14"/>
          <w:color w:val="auto"/>
        </w:rPr>
        <w:t>Agency securities consist of securities issued by Fannie Mae, Freddie Mac, and Ginnie Mae.</w:t>
      </w:r>
    </w:p>
    <w:p>
      <w:pPr>
        <w:spacing w:after="0" w:line="72"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The following tables display a reconciliation of all assets and liabilities measured at fair value on a recurring basis using significant unobservable inputs (Level 3). The tables also display gains and losses due to changes in fair value, including both realized and unrealized gains and losses, recognized in our condensed consolidated statements of operations and comprehensive income for Level 3 assets and liabilities.</w:t>
      </w:r>
    </w:p>
    <w:p>
      <w:pPr>
        <w:spacing w:after="0" w:line="94" w:lineRule="exact"/>
        <w:rPr>
          <w:sz w:val="20"/>
          <w:szCs w:val="20"/>
          <w:color w:val="auto"/>
        </w:rPr>
      </w:pPr>
    </w:p>
    <w:p>
      <w:pPr>
        <w:jc w:val="center"/>
        <w:ind w:left="1400"/>
        <w:spacing w:after="0"/>
        <w:rPr>
          <w:sz w:val="20"/>
          <w:szCs w:val="20"/>
          <w:color w:val="auto"/>
        </w:rPr>
      </w:pPr>
      <w:r>
        <w:rPr>
          <w:rFonts w:ascii="Arial" w:cs="Arial" w:eastAsia="Arial" w:hAnsi="Arial"/>
          <w:sz w:val="14"/>
          <w:szCs w:val="14"/>
          <w:b w:val="1"/>
          <w:bCs w:val="1"/>
          <w:color w:val="auto"/>
        </w:rPr>
        <w:t>Fair Value Measurements Using Significant Unobservable Inputs (Level 3)</w:t>
      </w:r>
    </w:p>
    <w:p>
      <w:pPr>
        <w:spacing w:after="0" w:line="45" w:lineRule="exact"/>
        <w:rPr>
          <w:sz w:val="20"/>
          <w:szCs w:val="20"/>
          <w:color w:val="auto"/>
        </w:rPr>
      </w:pPr>
    </w:p>
    <w:p>
      <w:pPr>
        <w:jc w:val="center"/>
        <w:ind w:left="1400"/>
        <w:spacing w:after="0"/>
        <w:rPr>
          <w:sz w:val="20"/>
          <w:szCs w:val="20"/>
          <w:color w:val="auto"/>
        </w:rPr>
      </w:pPr>
      <w:r>
        <w:rPr>
          <w:rFonts w:ascii="Arial" w:cs="Arial" w:eastAsia="Arial" w:hAnsi="Arial"/>
          <w:sz w:val="14"/>
          <w:szCs w:val="14"/>
          <w:b w:val="1"/>
          <w:bCs w:val="1"/>
          <w:color w:val="auto"/>
        </w:rPr>
        <w:t>For the Three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910590</wp:posOffset>
            </wp:positionH>
            <wp:positionV relativeFrom="paragraph">
              <wp:posOffset>11430</wp:posOffset>
            </wp:positionV>
            <wp:extent cx="620522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205220" cy="82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jc w:val="center"/>
              <w:ind w:right="30"/>
              <w:spacing w:after="0"/>
              <w:rPr>
                <w:sz w:val="20"/>
                <w:szCs w:val="20"/>
                <w:color w:val="auto"/>
              </w:rPr>
            </w:pPr>
            <w:r>
              <w:rPr>
                <w:rFonts w:ascii="Arial" w:cs="Arial" w:eastAsia="Arial" w:hAnsi="Arial"/>
                <w:sz w:val="9"/>
                <w:szCs w:val="9"/>
                <w:b w:val="1"/>
                <w:bCs w:val="1"/>
                <w:color w:val="auto"/>
                <w:w w:val="95"/>
              </w:rPr>
              <w:t>Net Unrealized</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gridSpan w:val="4"/>
            <w:vMerge w:val="restart"/>
          </w:tcPr>
          <w:p>
            <w:pPr>
              <w:jc w:val="right"/>
              <w:ind w:right="287"/>
              <w:spacing w:after="0"/>
              <w:rPr>
                <w:sz w:val="20"/>
                <w:szCs w:val="20"/>
                <w:color w:val="auto"/>
              </w:rPr>
            </w:pPr>
            <w:r>
              <w:rPr>
                <w:rFonts w:ascii="Arial" w:cs="Arial" w:eastAsia="Arial" w:hAnsi="Arial"/>
                <w:sz w:val="9"/>
                <w:szCs w:val="9"/>
                <w:b w:val="1"/>
                <w:bCs w:val="1"/>
                <w:color w:val="auto"/>
              </w:rPr>
              <w:t>Total Gains (Losses)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jc w:val="center"/>
              <w:ind w:right="50"/>
              <w:spacing w:after="0"/>
              <w:rPr>
                <w:sz w:val="20"/>
                <w:szCs w:val="20"/>
                <w:color w:val="auto"/>
              </w:rPr>
            </w:pPr>
            <w:r>
              <w:rPr>
                <w:rFonts w:ascii="Arial" w:cs="Arial" w:eastAsia="Arial" w:hAnsi="Arial"/>
                <w:sz w:val="9"/>
                <w:szCs w:val="9"/>
                <w:b w:val="1"/>
                <w:bCs w:val="1"/>
                <w:color w:val="auto"/>
                <w:w w:val="96"/>
              </w:rPr>
              <w:t>Gains (Losses)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jc w:val="center"/>
              <w:ind w:right="48"/>
              <w:spacing w:after="0"/>
              <w:rPr>
                <w:sz w:val="20"/>
                <w:szCs w:val="20"/>
                <w:color w:val="auto"/>
              </w:rPr>
            </w:pPr>
            <w:r>
              <w:rPr>
                <w:rFonts w:ascii="Arial" w:cs="Arial" w:eastAsia="Arial" w:hAnsi="Arial"/>
                <w:sz w:val="9"/>
                <w:szCs w:val="9"/>
                <w:b w:val="1"/>
                <w:bCs w:val="1"/>
                <w:color w:val="auto"/>
                <w:w w:val="95"/>
              </w:rPr>
              <w:t>Net Unrealized</w:t>
            </w:r>
          </w:p>
        </w:tc>
        <w:tc>
          <w:tcPr>
            <w:tcW w:w="0" w:type="dxa"/>
            <w:vAlign w:val="bottom"/>
          </w:tcPr>
          <w:p>
            <w:pPr>
              <w:spacing w:after="0"/>
              <w:rPr>
                <w:sz w:val="1"/>
                <w:szCs w:val="1"/>
                <w:color w:val="auto"/>
              </w:rPr>
            </w:pPr>
          </w:p>
        </w:tc>
      </w:tr>
      <w:tr>
        <w:trPr>
          <w:trHeight w:val="26"/>
        </w:trPr>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4"/>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vMerge w:val="restart"/>
          </w:tcPr>
          <w:p>
            <w:pPr>
              <w:jc w:val="center"/>
              <w:ind w:right="50"/>
              <w:spacing w:after="0"/>
              <w:rPr>
                <w:sz w:val="20"/>
                <w:szCs w:val="20"/>
                <w:color w:val="auto"/>
              </w:rPr>
            </w:pPr>
            <w:r>
              <w:rPr>
                <w:rFonts w:ascii="Arial" w:cs="Arial" w:eastAsia="Arial" w:hAnsi="Arial"/>
                <w:sz w:val="9"/>
                <w:szCs w:val="9"/>
                <w:b w:val="1"/>
                <w:bCs w:val="1"/>
                <w:color w:val="auto"/>
                <w:w w:val="96"/>
              </w:rPr>
              <w:t>Included in Net</w:t>
            </w: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vMerge w:val="restart"/>
          </w:tcPr>
          <w:p>
            <w:pPr>
              <w:jc w:val="center"/>
              <w:ind w:right="28"/>
              <w:spacing w:after="0"/>
              <w:rPr>
                <w:sz w:val="20"/>
                <w:szCs w:val="20"/>
                <w:color w:val="auto"/>
              </w:rPr>
            </w:pPr>
            <w:r>
              <w:rPr>
                <w:rFonts w:ascii="Arial" w:cs="Arial" w:eastAsia="Arial" w:hAnsi="Arial"/>
                <w:sz w:val="9"/>
                <w:szCs w:val="9"/>
                <w:b w:val="1"/>
                <w:bCs w:val="1"/>
                <w:color w:val="auto"/>
                <w:w w:val="96"/>
              </w:rPr>
              <w:t>Gains (Losses)</w:t>
            </w:r>
          </w:p>
        </w:tc>
        <w:tc>
          <w:tcPr>
            <w:tcW w:w="0" w:type="dxa"/>
            <w:vAlign w:val="bottom"/>
          </w:tcPr>
          <w:p>
            <w:pPr>
              <w:spacing w:after="0" w:line="20" w:lineRule="exact"/>
              <w:rPr>
                <w:sz w:val="1"/>
                <w:szCs w:val="1"/>
                <w:color w:val="auto"/>
              </w:rPr>
            </w:pPr>
          </w:p>
        </w:tc>
      </w:tr>
      <w:tr>
        <w:trPr>
          <w:trHeight w:val="88"/>
        </w:trPr>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00" w:type="dxa"/>
            <w:vAlign w:val="bottom"/>
            <w:gridSpan w:val="4"/>
          </w:tcPr>
          <w:p>
            <w:pPr>
              <w:jc w:val="right"/>
              <w:ind w:right="267"/>
              <w:spacing w:after="0" w:line="88" w:lineRule="exact"/>
              <w:rPr>
                <w:sz w:val="20"/>
                <w:szCs w:val="20"/>
                <w:color w:val="auto"/>
              </w:rPr>
            </w:pPr>
            <w:r>
              <w:rPr>
                <w:rFonts w:ascii="Arial" w:cs="Arial" w:eastAsia="Arial" w:hAnsi="Arial"/>
                <w:sz w:val="9"/>
                <w:szCs w:val="9"/>
                <w:b w:val="1"/>
                <w:bCs w:val="1"/>
                <w:color w:val="auto"/>
              </w:rPr>
              <w:t>(Realized/Unrealized)</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2C6937"/>
            </w:tcBorders>
          </w:tcPr>
          <w:p>
            <w:pPr>
              <w:spacing w:after="0"/>
              <w:rPr>
                <w:sz w:val="3"/>
                <w:szCs w:val="3"/>
                <w:color w:val="auto"/>
              </w:rPr>
            </w:pPr>
          </w:p>
        </w:tc>
        <w:tc>
          <w:tcPr>
            <w:tcW w:w="380" w:type="dxa"/>
            <w:vAlign w:val="bottom"/>
            <w:tcBorders>
              <w:bottom w:val="single" w:sz="8" w:color="2C6937"/>
            </w:tcBorders>
          </w:tcPr>
          <w:p>
            <w:pPr>
              <w:spacing w:after="0"/>
              <w:rPr>
                <w:sz w:val="3"/>
                <w:szCs w:val="3"/>
                <w:color w:val="auto"/>
              </w:rPr>
            </w:pPr>
          </w:p>
        </w:tc>
        <w:tc>
          <w:tcPr>
            <w:tcW w:w="340" w:type="dxa"/>
            <w:vAlign w:val="bottom"/>
            <w:tcBorders>
              <w:bottom w:val="single" w:sz="8" w:color="2C6937"/>
            </w:tcBorders>
          </w:tcPr>
          <w:p>
            <w:pPr>
              <w:spacing w:after="0"/>
              <w:rPr>
                <w:sz w:val="3"/>
                <w:szCs w:val="3"/>
                <w:color w:val="auto"/>
              </w:rPr>
            </w:pPr>
          </w:p>
        </w:tc>
        <w:tc>
          <w:tcPr>
            <w:tcW w:w="80" w:type="dxa"/>
            <w:vAlign w:val="bottom"/>
            <w:tcBorders>
              <w:bottom w:val="single" w:sz="8" w:color="2C6937"/>
            </w:tcBorders>
          </w:tcPr>
          <w:p>
            <w:pPr>
              <w:spacing w:after="0"/>
              <w:rPr>
                <w:sz w:val="3"/>
                <w:szCs w:val="3"/>
                <w:color w:val="auto"/>
              </w:rPr>
            </w:pPr>
          </w:p>
        </w:tc>
        <w:tc>
          <w:tcPr>
            <w:tcW w:w="500" w:type="dxa"/>
            <w:vAlign w:val="bottom"/>
            <w:tcBorders>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840" w:type="dxa"/>
            <w:vAlign w:val="bottom"/>
            <w:gridSpan w:val="2"/>
            <w:vMerge w:val="restart"/>
          </w:tcPr>
          <w:p>
            <w:pPr>
              <w:jc w:val="center"/>
              <w:spacing w:after="0" w:line="93" w:lineRule="exact"/>
              <w:rPr>
                <w:sz w:val="20"/>
                <w:szCs w:val="20"/>
                <w:color w:val="auto"/>
              </w:rPr>
            </w:pPr>
            <w:r>
              <w:rPr>
                <w:rFonts w:ascii="Arial" w:cs="Arial" w:eastAsia="Arial" w:hAnsi="Arial"/>
                <w:sz w:val="9"/>
                <w:szCs w:val="9"/>
                <w:b w:val="1"/>
                <w:bCs w:val="1"/>
                <w:color w:val="auto"/>
                <w:w w:val="95"/>
              </w:rPr>
              <w:t>Income Related to</w:t>
            </w: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vMerge w:val="restart"/>
          </w:tcPr>
          <w:p>
            <w:pPr>
              <w:jc w:val="center"/>
              <w:ind w:right="48"/>
              <w:spacing w:after="0" w:line="93" w:lineRule="exact"/>
              <w:rPr>
                <w:sz w:val="20"/>
                <w:szCs w:val="20"/>
                <w:color w:val="auto"/>
              </w:rPr>
            </w:pPr>
            <w:r>
              <w:rPr>
                <w:rFonts w:ascii="Arial" w:cs="Arial" w:eastAsia="Arial" w:hAnsi="Arial"/>
                <w:sz w:val="9"/>
                <w:szCs w:val="9"/>
                <w:b w:val="1"/>
                <w:bCs w:val="1"/>
                <w:color w:val="auto"/>
                <w:w w:val="96"/>
              </w:rPr>
              <w:t>Included in OCI</w:t>
            </w:r>
          </w:p>
        </w:tc>
        <w:tc>
          <w:tcPr>
            <w:tcW w:w="0" w:type="dxa"/>
            <w:vAlign w:val="bottom"/>
          </w:tcPr>
          <w:p>
            <w:pPr>
              <w:spacing w:after="0"/>
              <w:rPr>
                <w:sz w:val="1"/>
                <w:szCs w:val="1"/>
                <w:color w:val="auto"/>
              </w:rPr>
            </w:pPr>
          </w:p>
        </w:tc>
      </w:tr>
      <w:tr>
        <w:trPr>
          <w:trHeight w:val="34"/>
        </w:trPr>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jc w:val="center"/>
              <w:ind w:right="50"/>
              <w:spacing w:after="0"/>
              <w:rPr>
                <w:sz w:val="20"/>
                <w:szCs w:val="20"/>
                <w:color w:val="auto"/>
              </w:rPr>
            </w:pPr>
            <w:r>
              <w:rPr>
                <w:rFonts w:ascii="Arial" w:cs="Arial" w:eastAsia="Arial" w:hAnsi="Arial"/>
                <w:sz w:val="9"/>
                <w:szCs w:val="9"/>
                <w:b w:val="1"/>
                <w:bCs w:val="1"/>
                <w:color w:val="auto"/>
                <w:w w:val="95"/>
              </w:rPr>
              <w:t>Assets and</w:t>
            </w:r>
          </w:p>
        </w:tc>
        <w:tc>
          <w:tcPr>
            <w:tcW w:w="100" w:type="dxa"/>
            <w:vAlign w:val="bottom"/>
          </w:tcPr>
          <w:p>
            <w:pPr>
              <w:spacing w:after="0"/>
              <w:rPr>
                <w:sz w:val="8"/>
                <w:szCs w:val="8"/>
                <w:color w:val="auto"/>
              </w:rPr>
            </w:pPr>
          </w:p>
        </w:tc>
        <w:tc>
          <w:tcPr>
            <w:tcW w:w="840" w:type="dxa"/>
            <w:vAlign w:val="bottom"/>
            <w:gridSpan w:val="2"/>
          </w:tcPr>
          <w:p>
            <w:pPr>
              <w:jc w:val="center"/>
              <w:spacing w:after="0"/>
              <w:rPr>
                <w:sz w:val="20"/>
                <w:szCs w:val="20"/>
                <w:color w:val="auto"/>
              </w:rPr>
            </w:pPr>
            <w:r>
              <w:rPr>
                <w:rFonts w:ascii="Arial" w:cs="Arial" w:eastAsia="Arial" w:hAnsi="Arial"/>
                <w:sz w:val="9"/>
                <w:szCs w:val="9"/>
                <w:b w:val="1"/>
                <w:bCs w:val="1"/>
                <w:color w:val="auto"/>
                <w:w w:val="95"/>
              </w:rPr>
              <w:t>Related to Assets</w:t>
            </w:r>
          </w:p>
        </w:tc>
        <w:tc>
          <w:tcPr>
            <w:tcW w:w="0" w:type="dxa"/>
            <w:vAlign w:val="bottom"/>
          </w:tcPr>
          <w:p>
            <w:pPr>
              <w:spacing w:after="0"/>
              <w:rPr>
                <w:sz w:val="1"/>
                <w:szCs w:val="1"/>
                <w:color w:val="auto"/>
              </w:rPr>
            </w:pPr>
          </w:p>
        </w:tc>
      </w:t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gridSpan w:val="2"/>
          </w:tcPr>
          <w:p>
            <w:pPr>
              <w:jc w:val="center"/>
              <w:spacing w:after="0"/>
              <w:rPr>
                <w:sz w:val="20"/>
                <w:szCs w:val="20"/>
                <w:color w:val="auto"/>
              </w:rPr>
            </w:pPr>
            <w:r>
              <w:rPr>
                <w:rFonts w:ascii="Arial" w:cs="Arial" w:eastAsia="Arial" w:hAnsi="Arial"/>
                <w:sz w:val="9"/>
                <w:szCs w:val="9"/>
                <w:b w:val="1"/>
                <w:bCs w:val="1"/>
                <w:color w:val="auto"/>
                <w:w w:val="96"/>
              </w:rPr>
              <w:t>Included in</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tcPr>
          <w:p>
            <w:pPr>
              <w:jc w:val="center"/>
              <w:spacing w:after="0"/>
              <w:rPr>
                <w:sz w:val="20"/>
                <w:szCs w:val="20"/>
                <w:color w:val="auto"/>
              </w:rPr>
            </w:pPr>
            <w:r>
              <w:rPr>
                <w:rFonts w:ascii="Arial" w:cs="Arial" w:eastAsia="Arial" w:hAnsi="Arial"/>
                <w:sz w:val="9"/>
                <w:szCs w:val="9"/>
                <w:b w:val="1"/>
                <w:bCs w:val="1"/>
                <w:color w:val="auto"/>
                <w:w w:val="94"/>
              </w:rPr>
              <w:t>Liabilities Still Held</w:t>
            </w:r>
          </w:p>
        </w:tc>
        <w:tc>
          <w:tcPr>
            <w:tcW w:w="100" w:type="dxa"/>
            <w:vAlign w:val="bottom"/>
          </w:tcPr>
          <w:p>
            <w:pPr>
              <w:spacing w:after="0"/>
              <w:rPr>
                <w:sz w:val="8"/>
                <w:szCs w:val="8"/>
                <w:color w:val="auto"/>
              </w:rPr>
            </w:pPr>
          </w:p>
        </w:tc>
        <w:tc>
          <w:tcPr>
            <w:tcW w:w="840" w:type="dxa"/>
            <w:vAlign w:val="bottom"/>
            <w:gridSpan w:val="2"/>
          </w:tcPr>
          <w:p>
            <w:pPr>
              <w:jc w:val="center"/>
              <w:spacing w:after="0"/>
              <w:rPr>
                <w:sz w:val="20"/>
                <w:szCs w:val="20"/>
                <w:color w:val="auto"/>
              </w:rPr>
            </w:pPr>
            <w:r>
              <w:rPr>
                <w:rFonts w:ascii="Arial" w:cs="Arial" w:eastAsia="Arial" w:hAnsi="Arial"/>
                <w:sz w:val="9"/>
                <w:szCs w:val="9"/>
                <w:b w:val="1"/>
                <w:bCs w:val="1"/>
                <w:color w:val="auto"/>
                <w:w w:val="96"/>
              </w:rPr>
              <w:t>and Liabilities Still</w:t>
            </w:r>
          </w:p>
        </w:tc>
        <w:tc>
          <w:tcPr>
            <w:tcW w:w="0" w:type="dxa"/>
            <w:vAlign w:val="bottom"/>
          </w:tcPr>
          <w:p>
            <w:pPr>
              <w:spacing w:after="0"/>
              <w:rPr>
                <w:sz w:val="1"/>
                <w:szCs w:val="1"/>
                <w:color w:val="auto"/>
              </w:rPr>
            </w:pPr>
          </w:p>
        </w:tc>
      </w:t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3"/>
          </w:tcPr>
          <w:p>
            <w:pPr>
              <w:ind w:left="20"/>
              <w:spacing w:after="0"/>
              <w:rPr>
                <w:sz w:val="20"/>
                <w:szCs w:val="20"/>
                <w:color w:val="auto"/>
              </w:rPr>
            </w:pPr>
            <w:r>
              <w:rPr>
                <w:rFonts w:ascii="Arial" w:cs="Arial" w:eastAsia="Arial" w:hAnsi="Arial"/>
                <w:sz w:val="9"/>
                <w:szCs w:val="9"/>
                <w:b w:val="1"/>
                <w:bCs w:val="1"/>
                <w:color w:val="auto"/>
              </w:rPr>
              <w:t>Balance, March 31,</w:t>
            </w:r>
          </w:p>
        </w:tc>
        <w:tc>
          <w:tcPr>
            <w:tcW w:w="580" w:type="dxa"/>
            <w:vAlign w:val="bottom"/>
            <w:gridSpan w:val="2"/>
          </w:tcPr>
          <w:p>
            <w:pPr>
              <w:jc w:val="right"/>
              <w:ind w:right="11"/>
              <w:spacing w:after="0"/>
              <w:rPr>
                <w:sz w:val="20"/>
                <w:szCs w:val="20"/>
                <w:color w:val="auto"/>
              </w:rPr>
            </w:pPr>
            <w:r>
              <w:rPr>
                <w:rFonts w:ascii="Arial" w:cs="Arial" w:eastAsia="Arial" w:hAnsi="Arial"/>
                <w:sz w:val="9"/>
                <w:szCs w:val="9"/>
                <w:b w:val="1"/>
                <w:bCs w:val="1"/>
                <w:color w:val="auto"/>
              </w:rPr>
              <w:t>Included in</w:t>
            </w: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center"/>
              <w:ind w:right="27"/>
              <w:spacing w:after="0"/>
              <w:rPr>
                <w:sz w:val="20"/>
                <w:szCs w:val="20"/>
                <w:color w:val="auto"/>
              </w:rPr>
            </w:pPr>
            <w:r>
              <w:rPr>
                <w:rFonts w:ascii="Arial" w:cs="Arial" w:eastAsia="Arial" w:hAnsi="Arial"/>
                <w:sz w:val="9"/>
                <w:szCs w:val="9"/>
                <w:b w:val="1"/>
                <w:bCs w:val="1"/>
                <w:color w:val="auto"/>
                <w:w w:val="94"/>
              </w:rPr>
              <w:t>Total OCI</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2"/>
          </w:tcPr>
          <w:p>
            <w:pPr>
              <w:ind w:left="40"/>
              <w:spacing w:after="0"/>
              <w:rPr>
                <w:sz w:val="20"/>
                <w:szCs w:val="20"/>
                <w:color w:val="auto"/>
              </w:rPr>
            </w:pPr>
            <w:r>
              <w:rPr>
                <w:rFonts w:ascii="Arial" w:cs="Arial" w:eastAsia="Arial" w:hAnsi="Arial"/>
                <w:sz w:val="9"/>
                <w:szCs w:val="9"/>
                <w:b w:val="1"/>
                <w:bCs w:val="1"/>
                <w:color w:val="auto"/>
              </w:rPr>
              <w:t>Transfers out</w:t>
            </w:r>
          </w:p>
        </w:tc>
        <w:tc>
          <w:tcPr>
            <w:tcW w:w="100" w:type="dxa"/>
            <w:vAlign w:val="bottom"/>
          </w:tcPr>
          <w:p>
            <w:pPr>
              <w:spacing w:after="0"/>
              <w:rPr>
                <w:sz w:val="8"/>
                <w:szCs w:val="8"/>
                <w:color w:val="auto"/>
              </w:rPr>
            </w:pPr>
          </w:p>
        </w:tc>
        <w:tc>
          <w:tcPr>
            <w:tcW w:w="620" w:type="dxa"/>
            <w:vAlign w:val="bottom"/>
            <w:gridSpan w:val="2"/>
          </w:tcPr>
          <w:p>
            <w:pPr>
              <w:jc w:val="right"/>
              <w:spacing w:after="0"/>
              <w:rPr>
                <w:sz w:val="20"/>
                <w:szCs w:val="20"/>
                <w:color w:val="auto"/>
              </w:rPr>
            </w:pPr>
            <w:r>
              <w:rPr>
                <w:rFonts w:ascii="Arial" w:cs="Arial" w:eastAsia="Arial" w:hAnsi="Arial"/>
                <w:sz w:val="9"/>
                <w:szCs w:val="9"/>
                <w:b w:val="1"/>
                <w:bCs w:val="1"/>
                <w:color w:val="auto"/>
                <w:w w:val="96"/>
              </w:rPr>
              <w:t>Transfers into</w:t>
            </w:r>
          </w:p>
        </w:tc>
        <w:tc>
          <w:tcPr>
            <w:tcW w:w="120" w:type="dxa"/>
            <w:vAlign w:val="bottom"/>
          </w:tcPr>
          <w:p>
            <w:pPr>
              <w:spacing w:after="0"/>
              <w:rPr>
                <w:sz w:val="8"/>
                <w:szCs w:val="8"/>
                <w:color w:val="auto"/>
              </w:rPr>
            </w:pPr>
          </w:p>
        </w:tc>
        <w:tc>
          <w:tcPr>
            <w:tcW w:w="800" w:type="dxa"/>
            <w:vAlign w:val="bottom"/>
            <w:gridSpan w:val="2"/>
          </w:tcPr>
          <w:p>
            <w:pPr>
              <w:jc w:val="right"/>
              <w:spacing w:after="0"/>
              <w:rPr>
                <w:sz w:val="20"/>
                <w:szCs w:val="20"/>
                <w:color w:val="auto"/>
              </w:rPr>
            </w:pPr>
            <w:r>
              <w:rPr>
                <w:rFonts w:ascii="Arial" w:cs="Arial" w:eastAsia="Arial" w:hAnsi="Arial"/>
                <w:sz w:val="9"/>
                <w:szCs w:val="9"/>
                <w:b w:val="1"/>
                <w:bCs w:val="1"/>
                <w:color w:val="auto"/>
                <w:w w:val="97"/>
              </w:rPr>
              <w:t>Balance, June 30,</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jc w:val="center"/>
              <w:ind w:right="30"/>
              <w:spacing w:after="0"/>
              <w:rPr>
                <w:sz w:val="20"/>
                <w:szCs w:val="20"/>
                <w:color w:val="auto"/>
              </w:rPr>
            </w:pPr>
            <w:r>
              <w:rPr>
                <w:rFonts w:ascii="Arial" w:cs="Arial" w:eastAsia="Arial" w:hAnsi="Arial"/>
                <w:sz w:val="9"/>
                <w:szCs w:val="9"/>
                <w:b w:val="1"/>
                <w:bCs w:val="1"/>
                <w:color w:val="auto"/>
                <w:w w:val="93"/>
              </w:rPr>
              <w:t>as of June 30,</w:t>
            </w:r>
          </w:p>
        </w:tc>
        <w:tc>
          <w:tcPr>
            <w:tcW w:w="100" w:type="dxa"/>
            <w:vAlign w:val="bottom"/>
          </w:tcPr>
          <w:p>
            <w:pPr>
              <w:spacing w:after="0"/>
              <w:rPr>
                <w:sz w:val="8"/>
                <w:szCs w:val="8"/>
                <w:color w:val="auto"/>
              </w:rPr>
            </w:pPr>
          </w:p>
        </w:tc>
        <w:tc>
          <w:tcPr>
            <w:tcW w:w="840" w:type="dxa"/>
            <w:vAlign w:val="bottom"/>
            <w:gridSpan w:val="2"/>
          </w:tcPr>
          <w:p>
            <w:pPr>
              <w:jc w:val="center"/>
              <w:spacing w:after="0"/>
              <w:rPr>
                <w:sz w:val="20"/>
                <w:szCs w:val="20"/>
                <w:color w:val="auto"/>
              </w:rPr>
            </w:pPr>
            <w:r>
              <w:rPr>
                <w:rFonts w:ascii="Arial" w:cs="Arial" w:eastAsia="Arial" w:hAnsi="Arial"/>
                <w:sz w:val="9"/>
                <w:szCs w:val="9"/>
                <w:b w:val="1"/>
                <w:bCs w:val="1"/>
                <w:color w:val="auto"/>
                <w:w w:val="95"/>
              </w:rPr>
              <w:t>Held as of June 30,</w:t>
            </w:r>
          </w:p>
        </w:tc>
        <w:tc>
          <w:tcPr>
            <w:tcW w:w="0" w:type="dxa"/>
            <w:vAlign w:val="bottom"/>
          </w:tcPr>
          <w:p>
            <w:pPr>
              <w:spacing w:after="0"/>
              <w:rPr>
                <w:sz w:val="1"/>
                <w:szCs w:val="1"/>
                <w:color w:val="auto"/>
              </w:rPr>
            </w:pPr>
          </w:p>
        </w:tc>
      </w:tr>
      <w:tr>
        <w:trPr>
          <w:trHeight w:val="139"/>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2C6937"/>
            </w:tcBorders>
          </w:tcPr>
          <w:p>
            <w:pPr>
              <w:spacing w:after="0"/>
              <w:rPr>
                <w:sz w:val="12"/>
                <w:szCs w:val="12"/>
                <w:color w:val="auto"/>
              </w:rPr>
            </w:pPr>
          </w:p>
        </w:tc>
        <w:tc>
          <w:tcPr>
            <w:tcW w:w="600" w:type="dxa"/>
            <w:vAlign w:val="bottom"/>
            <w:tcBorders>
              <w:bottom w:val="single" w:sz="8" w:color="2C6937"/>
            </w:tcBorders>
          </w:tcPr>
          <w:p>
            <w:pPr>
              <w:jc w:val="right"/>
              <w:ind w:right="245"/>
              <w:spacing w:after="0"/>
              <w:rPr>
                <w:sz w:val="20"/>
                <w:szCs w:val="20"/>
                <w:color w:val="auto"/>
              </w:rPr>
            </w:pPr>
            <w:r>
              <w:rPr>
                <w:rFonts w:ascii="Arial" w:cs="Arial" w:eastAsia="Arial" w:hAnsi="Arial"/>
                <w:sz w:val="9"/>
                <w:szCs w:val="9"/>
                <w:b w:val="1"/>
                <w:bCs w:val="1"/>
                <w:color w:val="auto"/>
              </w:rPr>
              <w:t>2023</w:t>
            </w:r>
          </w:p>
        </w:tc>
        <w:tc>
          <w:tcPr>
            <w:tcW w:w="100" w:type="dxa"/>
            <w:vAlign w:val="bottom"/>
            <w:tcBorders>
              <w:bottom w:val="single" w:sz="8" w:color="2C6937"/>
            </w:tcBorders>
          </w:tcPr>
          <w:p>
            <w:pPr>
              <w:spacing w:after="0"/>
              <w:rPr>
                <w:sz w:val="12"/>
                <w:szCs w:val="12"/>
                <w:color w:val="auto"/>
              </w:rPr>
            </w:pPr>
          </w:p>
        </w:tc>
        <w:tc>
          <w:tcPr>
            <w:tcW w:w="580" w:type="dxa"/>
            <w:vAlign w:val="bottom"/>
            <w:tcBorders>
              <w:bottom w:val="single" w:sz="8" w:color="2C6937"/>
            </w:tcBorders>
            <w:gridSpan w:val="2"/>
          </w:tcPr>
          <w:p>
            <w:pPr>
              <w:jc w:val="right"/>
              <w:ind w:right="11"/>
              <w:spacing w:after="0"/>
              <w:rPr>
                <w:sz w:val="20"/>
                <w:szCs w:val="20"/>
                <w:color w:val="auto"/>
              </w:rPr>
            </w:pPr>
            <w:r>
              <w:rPr>
                <w:rFonts w:ascii="Arial" w:cs="Arial" w:eastAsia="Arial" w:hAnsi="Arial"/>
                <w:sz w:val="9"/>
                <w:szCs w:val="9"/>
                <w:b w:val="1"/>
                <w:bCs w:val="1"/>
                <w:color w:val="auto"/>
              </w:rPr>
              <w:t>Net Income</w:t>
            </w:r>
          </w:p>
        </w:tc>
        <w:tc>
          <w:tcPr>
            <w:tcW w:w="340" w:type="dxa"/>
            <w:vAlign w:val="bottom"/>
            <w:tcBorders>
              <w:bottom w:val="single" w:sz="8" w:color="2C6937"/>
            </w:tcBorders>
          </w:tcPr>
          <w:p>
            <w:pPr>
              <w:spacing w:after="0"/>
              <w:rPr>
                <w:sz w:val="12"/>
                <w:szCs w:val="12"/>
                <w:color w:val="auto"/>
              </w:rPr>
            </w:pPr>
          </w:p>
        </w:tc>
        <w:tc>
          <w:tcPr>
            <w:tcW w:w="80" w:type="dxa"/>
            <w:vAlign w:val="bottom"/>
            <w:tcBorders>
              <w:bottom w:val="single" w:sz="8" w:color="2C6937"/>
            </w:tcBorders>
          </w:tcPr>
          <w:p>
            <w:pPr>
              <w:spacing w:after="0"/>
              <w:rPr>
                <w:sz w:val="12"/>
                <w:szCs w:val="12"/>
                <w:color w:val="auto"/>
              </w:rPr>
            </w:pPr>
          </w:p>
        </w:tc>
        <w:tc>
          <w:tcPr>
            <w:tcW w:w="500" w:type="dxa"/>
            <w:vAlign w:val="bottom"/>
            <w:tcBorders>
              <w:bottom w:val="single" w:sz="8" w:color="2C6937"/>
            </w:tcBorders>
          </w:tcPr>
          <w:p>
            <w:pPr>
              <w:jc w:val="center"/>
              <w:ind w:right="47"/>
              <w:spacing w:after="0"/>
              <w:rPr>
                <w:sz w:val="20"/>
                <w:szCs w:val="20"/>
                <w:color w:val="auto"/>
              </w:rPr>
            </w:pPr>
            <w:r>
              <w:rPr>
                <w:rFonts w:ascii="Arial" w:cs="Arial" w:eastAsia="Arial" w:hAnsi="Arial"/>
                <w:sz w:val="9"/>
                <w:szCs w:val="9"/>
                <w:b w:val="1"/>
                <w:bCs w:val="1"/>
                <w:color w:val="auto"/>
                <w:w w:val="88"/>
              </w:rPr>
              <w:t>(Loss)</w:t>
            </w:r>
            <w:r>
              <w:rPr>
                <w:rFonts w:ascii="Arial" w:cs="Arial" w:eastAsia="Arial" w:hAnsi="Arial"/>
                <w:sz w:val="11"/>
                <w:szCs w:val="11"/>
                <w:b w:val="1"/>
                <w:bCs w:val="1"/>
                <w:color w:val="auto"/>
                <w:w w:val="88"/>
                <w:vertAlign w:val="superscript"/>
              </w:rPr>
              <w:t>(1)</w:t>
            </w:r>
          </w:p>
        </w:tc>
        <w:tc>
          <w:tcPr>
            <w:tcW w:w="100" w:type="dxa"/>
            <w:vAlign w:val="bottom"/>
            <w:tcBorders>
              <w:bottom w:val="single" w:sz="8" w:color="2C6937"/>
            </w:tcBorders>
          </w:tcPr>
          <w:p>
            <w:pPr>
              <w:spacing w:after="0"/>
              <w:rPr>
                <w:sz w:val="12"/>
                <w:szCs w:val="12"/>
                <w:color w:val="auto"/>
              </w:rPr>
            </w:pPr>
          </w:p>
        </w:tc>
        <w:tc>
          <w:tcPr>
            <w:tcW w:w="120" w:type="dxa"/>
            <w:vAlign w:val="bottom"/>
            <w:tcBorders>
              <w:bottom w:val="single" w:sz="8" w:color="2C6937"/>
            </w:tcBorders>
          </w:tcPr>
          <w:p>
            <w:pPr>
              <w:spacing w:after="0"/>
              <w:rPr>
                <w:sz w:val="12"/>
                <w:szCs w:val="12"/>
                <w:color w:val="auto"/>
              </w:rPr>
            </w:pPr>
          </w:p>
        </w:tc>
        <w:tc>
          <w:tcPr>
            <w:tcW w:w="660" w:type="dxa"/>
            <w:vAlign w:val="bottom"/>
            <w:tcBorders>
              <w:bottom w:val="single" w:sz="8" w:color="2C6937"/>
            </w:tcBorders>
          </w:tcPr>
          <w:p>
            <w:pPr>
              <w:ind w:left="20"/>
              <w:spacing w:after="0"/>
              <w:rPr>
                <w:sz w:val="20"/>
                <w:szCs w:val="20"/>
                <w:color w:val="auto"/>
              </w:rPr>
            </w:pPr>
            <w:r>
              <w:rPr>
                <w:rFonts w:ascii="Arial" w:cs="Arial" w:eastAsia="Arial" w:hAnsi="Arial"/>
                <w:sz w:val="9"/>
                <w:szCs w:val="9"/>
                <w:b w:val="1"/>
                <w:bCs w:val="1"/>
                <w:color w:val="auto"/>
              </w:rPr>
              <w:t>Purchases</w:t>
            </w:r>
            <w:r>
              <w:rPr>
                <w:rFonts w:ascii="Arial" w:cs="Arial" w:eastAsia="Arial" w:hAnsi="Arial"/>
                <w:sz w:val="11"/>
                <w:szCs w:val="11"/>
                <w:b w:val="1"/>
                <w:bCs w:val="1"/>
                <w:color w:val="auto"/>
                <w:vertAlign w:val="superscript"/>
              </w:rPr>
              <w:t>(2)</w:t>
            </w: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420" w:type="dxa"/>
            <w:vAlign w:val="bottom"/>
            <w:tcBorders>
              <w:bottom w:val="single" w:sz="8" w:color="2C6937"/>
            </w:tcBorders>
          </w:tcPr>
          <w:p>
            <w:pPr>
              <w:ind w:left="20"/>
              <w:spacing w:after="0"/>
              <w:rPr>
                <w:sz w:val="20"/>
                <w:szCs w:val="20"/>
                <w:color w:val="auto"/>
              </w:rPr>
            </w:pPr>
            <w:r>
              <w:rPr>
                <w:rFonts w:ascii="Arial" w:cs="Arial" w:eastAsia="Arial" w:hAnsi="Arial"/>
                <w:sz w:val="9"/>
                <w:szCs w:val="9"/>
                <w:b w:val="1"/>
                <w:bCs w:val="1"/>
                <w:color w:val="auto"/>
              </w:rPr>
              <w:t>Sales</w:t>
            </w:r>
            <w:r>
              <w:rPr>
                <w:rFonts w:ascii="Arial" w:cs="Arial" w:eastAsia="Arial" w:hAnsi="Arial"/>
                <w:sz w:val="11"/>
                <w:szCs w:val="11"/>
                <w:b w:val="1"/>
                <w:bCs w:val="1"/>
                <w:color w:val="auto"/>
                <w:vertAlign w:val="superscript"/>
              </w:rPr>
              <w:t>(2)</w:t>
            </w: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480" w:type="dxa"/>
            <w:vAlign w:val="bottom"/>
            <w:tcBorders>
              <w:bottom w:val="single" w:sz="8" w:color="2C6937"/>
            </w:tcBorders>
          </w:tcPr>
          <w:p>
            <w:pPr>
              <w:ind w:left="20"/>
              <w:spacing w:after="0"/>
              <w:rPr>
                <w:sz w:val="20"/>
                <w:szCs w:val="20"/>
                <w:color w:val="auto"/>
              </w:rPr>
            </w:pPr>
            <w:r>
              <w:rPr>
                <w:rFonts w:ascii="Arial" w:cs="Arial" w:eastAsia="Arial" w:hAnsi="Arial"/>
                <w:sz w:val="9"/>
                <w:szCs w:val="9"/>
                <w:b w:val="1"/>
                <w:bCs w:val="1"/>
                <w:color w:val="auto"/>
              </w:rPr>
              <w:t>Issues</w:t>
            </w:r>
            <w:r>
              <w:rPr>
                <w:rFonts w:ascii="Arial" w:cs="Arial" w:eastAsia="Arial" w:hAnsi="Arial"/>
                <w:sz w:val="11"/>
                <w:szCs w:val="11"/>
                <w:b w:val="1"/>
                <w:bCs w:val="1"/>
                <w:color w:val="auto"/>
                <w:vertAlign w:val="superscript"/>
              </w:rPr>
              <w:t>(3)</w:t>
            </w:r>
          </w:p>
        </w:tc>
        <w:tc>
          <w:tcPr>
            <w:tcW w:w="80" w:type="dxa"/>
            <w:vAlign w:val="bottom"/>
            <w:tcBorders>
              <w:bottom w:val="single" w:sz="8" w:color="2C6937"/>
            </w:tcBorders>
          </w:tcPr>
          <w:p>
            <w:pPr>
              <w:spacing w:after="0"/>
              <w:rPr>
                <w:sz w:val="12"/>
                <w:szCs w:val="12"/>
                <w:color w:val="auto"/>
              </w:rPr>
            </w:pPr>
          </w:p>
        </w:tc>
        <w:tc>
          <w:tcPr>
            <w:tcW w:w="120" w:type="dxa"/>
            <w:vAlign w:val="bottom"/>
            <w:tcBorders>
              <w:bottom w:val="single" w:sz="8" w:color="2C6937"/>
            </w:tcBorders>
          </w:tcPr>
          <w:p>
            <w:pPr>
              <w:spacing w:after="0"/>
              <w:rPr>
                <w:sz w:val="12"/>
                <w:szCs w:val="12"/>
                <w:color w:val="auto"/>
              </w:rPr>
            </w:pPr>
          </w:p>
        </w:tc>
        <w:tc>
          <w:tcPr>
            <w:tcW w:w="740" w:type="dxa"/>
            <w:vAlign w:val="bottom"/>
            <w:tcBorders>
              <w:bottom w:val="single" w:sz="8" w:color="2C6937"/>
            </w:tcBorders>
          </w:tcPr>
          <w:p>
            <w:pPr>
              <w:jc w:val="right"/>
              <w:ind w:right="105"/>
              <w:spacing w:after="0"/>
              <w:rPr>
                <w:sz w:val="20"/>
                <w:szCs w:val="20"/>
                <w:color w:val="auto"/>
              </w:rPr>
            </w:pPr>
            <w:r>
              <w:rPr>
                <w:rFonts w:ascii="Arial" w:cs="Arial" w:eastAsia="Arial" w:hAnsi="Arial"/>
                <w:sz w:val="9"/>
                <w:szCs w:val="9"/>
                <w:b w:val="1"/>
                <w:bCs w:val="1"/>
                <w:color w:val="auto"/>
                <w:w w:val="93"/>
              </w:rPr>
              <w:t>Settlements</w:t>
            </w:r>
            <w:r>
              <w:rPr>
                <w:rFonts w:ascii="Arial" w:cs="Arial" w:eastAsia="Arial" w:hAnsi="Arial"/>
                <w:sz w:val="11"/>
                <w:szCs w:val="11"/>
                <w:b w:val="1"/>
                <w:bCs w:val="1"/>
                <w:color w:val="auto"/>
                <w:w w:val="93"/>
                <w:vertAlign w:val="superscript"/>
              </w:rPr>
              <w:t>(3)</w:t>
            </w:r>
          </w:p>
        </w:tc>
        <w:tc>
          <w:tcPr>
            <w:tcW w:w="8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540" w:type="dxa"/>
            <w:vAlign w:val="bottom"/>
            <w:tcBorders>
              <w:bottom w:val="single" w:sz="8" w:color="2C6937"/>
            </w:tcBorders>
          </w:tcPr>
          <w:p>
            <w:pPr>
              <w:ind w:left="20"/>
              <w:spacing w:after="0"/>
              <w:rPr>
                <w:sz w:val="20"/>
                <w:szCs w:val="20"/>
                <w:color w:val="auto"/>
              </w:rPr>
            </w:pPr>
            <w:r>
              <w:rPr>
                <w:rFonts w:ascii="Arial" w:cs="Arial" w:eastAsia="Arial" w:hAnsi="Arial"/>
                <w:sz w:val="9"/>
                <w:szCs w:val="9"/>
                <w:b w:val="1"/>
                <w:bCs w:val="1"/>
                <w:color w:val="auto"/>
              </w:rPr>
              <w:t>of Level 3</w:t>
            </w:r>
          </w:p>
        </w:tc>
        <w:tc>
          <w:tcPr>
            <w:tcW w:w="100" w:type="dxa"/>
            <w:vAlign w:val="bottom"/>
            <w:tcBorders>
              <w:bottom w:val="single" w:sz="8" w:color="2C6937"/>
            </w:tcBorders>
          </w:tcPr>
          <w:p>
            <w:pPr>
              <w:spacing w:after="0"/>
              <w:rPr>
                <w:sz w:val="12"/>
                <w:szCs w:val="12"/>
                <w:color w:val="auto"/>
              </w:rPr>
            </w:pPr>
          </w:p>
        </w:tc>
        <w:tc>
          <w:tcPr>
            <w:tcW w:w="120" w:type="dxa"/>
            <w:vAlign w:val="bottom"/>
            <w:tcBorders>
              <w:bottom w:val="single" w:sz="8" w:color="2C6937"/>
            </w:tcBorders>
          </w:tcPr>
          <w:p>
            <w:pPr>
              <w:spacing w:after="0"/>
              <w:rPr>
                <w:sz w:val="12"/>
                <w:szCs w:val="12"/>
                <w:color w:val="auto"/>
              </w:rPr>
            </w:pPr>
          </w:p>
        </w:tc>
        <w:tc>
          <w:tcPr>
            <w:tcW w:w="500" w:type="dxa"/>
            <w:vAlign w:val="bottom"/>
            <w:tcBorders>
              <w:bottom w:val="single" w:sz="8" w:color="2C6937"/>
            </w:tcBorders>
          </w:tcPr>
          <w:p>
            <w:pPr>
              <w:jc w:val="right"/>
              <w:ind w:right="105"/>
              <w:spacing w:after="0"/>
              <w:rPr>
                <w:sz w:val="20"/>
                <w:szCs w:val="20"/>
                <w:color w:val="auto"/>
              </w:rPr>
            </w:pPr>
            <w:r>
              <w:rPr>
                <w:rFonts w:ascii="Arial" w:cs="Arial" w:eastAsia="Arial" w:hAnsi="Arial"/>
                <w:sz w:val="9"/>
                <w:szCs w:val="9"/>
                <w:b w:val="1"/>
                <w:bCs w:val="1"/>
                <w:color w:val="auto"/>
              </w:rPr>
              <w:t>Level 3</w:t>
            </w:r>
          </w:p>
        </w:tc>
        <w:tc>
          <w:tcPr>
            <w:tcW w:w="120" w:type="dxa"/>
            <w:vAlign w:val="bottom"/>
            <w:tcBorders>
              <w:bottom w:val="single" w:sz="8" w:color="2C6937"/>
            </w:tcBorders>
          </w:tcPr>
          <w:p>
            <w:pPr>
              <w:spacing w:after="0"/>
              <w:rPr>
                <w:sz w:val="12"/>
                <w:szCs w:val="12"/>
                <w:color w:val="auto"/>
              </w:rPr>
            </w:pPr>
          </w:p>
        </w:tc>
        <w:tc>
          <w:tcPr>
            <w:tcW w:w="180" w:type="dxa"/>
            <w:vAlign w:val="bottom"/>
            <w:tcBorders>
              <w:bottom w:val="single" w:sz="8" w:color="2C6937"/>
            </w:tcBorders>
          </w:tcPr>
          <w:p>
            <w:pPr>
              <w:spacing w:after="0"/>
              <w:rPr>
                <w:sz w:val="12"/>
                <w:szCs w:val="12"/>
                <w:color w:val="auto"/>
              </w:rPr>
            </w:pPr>
          </w:p>
        </w:tc>
        <w:tc>
          <w:tcPr>
            <w:tcW w:w="620" w:type="dxa"/>
            <w:vAlign w:val="bottom"/>
            <w:tcBorders>
              <w:bottom w:val="single" w:sz="8" w:color="2C6937"/>
            </w:tcBorders>
          </w:tcPr>
          <w:p>
            <w:pPr>
              <w:jc w:val="right"/>
              <w:ind w:right="265"/>
              <w:spacing w:after="0"/>
              <w:rPr>
                <w:sz w:val="20"/>
                <w:szCs w:val="20"/>
                <w:color w:val="auto"/>
              </w:rPr>
            </w:pPr>
            <w:r>
              <w:rPr>
                <w:rFonts w:ascii="Arial" w:cs="Arial" w:eastAsia="Arial" w:hAnsi="Arial"/>
                <w:sz w:val="9"/>
                <w:szCs w:val="9"/>
                <w:b w:val="1"/>
                <w:bCs w:val="1"/>
                <w:color w:val="auto"/>
              </w:rPr>
              <w:t>2023</w:t>
            </w:r>
          </w:p>
        </w:tc>
        <w:tc>
          <w:tcPr>
            <w:tcW w:w="100" w:type="dxa"/>
            <w:vAlign w:val="bottom"/>
            <w:tcBorders>
              <w:bottom w:val="single" w:sz="8" w:color="2C6937"/>
            </w:tcBorders>
          </w:tcPr>
          <w:p>
            <w:pPr>
              <w:spacing w:after="0"/>
              <w:rPr>
                <w:sz w:val="12"/>
                <w:szCs w:val="12"/>
                <w:color w:val="auto"/>
              </w:rPr>
            </w:pPr>
          </w:p>
        </w:tc>
        <w:tc>
          <w:tcPr>
            <w:tcW w:w="80" w:type="dxa"/>
            <w:vAlign w:val="bottom"/>
            <w:tcBorders>
              <w:bottom w:val="single" w:sz="8" w:color="2C6937"/>
            </w:tcBorders>
          </w:tcPr>
          <w:p>
            <w:pPr>
              <w:spacing w:after="0"/>
              <w:rPr>
                <w:sz w:val="12"/>
                <w:szCs w:val="12"/>
                <w:color w:val="auto"/>
              </w:rPr>
            </w:pPr>
          </w:p>
        </w:tc>
        <w:tc>
          <w:tcPr>
            <w:tcW w:w="760" w:type="dxa"/>
            <w:vAlign w:val="bottom"/>
            <w:tcBorders>
              <w:bottom w:val="single" w:sz="8" w:color="2C6937"/>
            </w:tcBorders>
          </w:tcPr>
          <w:p>
            <w:pPr>
              <w:jc w:val="center"/>
              <w:ind w:right="30"/>
              <w:spacing w:after="0" w:line="139" w:lineRule="exact"/>
              <w:rPr>
                <w:sz w:val="20"/>
                <w:szCs w:val="20"/>
                <w:color w:val="auto"/>
              </w:rPr>
            </w:pPr>
            <w:r>
              <w:rPr>
                <w:rFonts w:ascii="Arial" w:cs="Arial" w:eastAsia="Arial" w:hAnsi="Arial"/>
                <w:sz w:val="16"/>
                <w:szCs w:val="16"/>
                <w:b w:val="1"/>
                <w:bCs w:val="1"/>
                <w:color w:val="auto"/>
                <w:w w:val="88"/>
                <w:vertAlign w:val="subscript"/>
              </w:rPr>
              <w:t>2023</w:t>
            </w:r>
            <w:r>
              <w:rPr>
                <w:rFonts w:ascii="Arial" w:cs="Arial" w:eastAsia="Arial" w:hAnsi="Arial"/>
                <w:sz w:val="5"/>
                <w:szCs w:val="5"/>
                <w:b w:val="1"/>
                <w:bCs w:val="1"/>
                <w:color w:val="auto"/>
                <w:w w:val="88"/>
              </w:rPr>
              <w:t>(4)(5)</w:t>
            </w: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740" w:type="dxa"/>
            <w:vAlign w:val="bottom"/>
            <w:tcBorders>
              <w:bottom w:val="single" w:sz="8" w:color="2C6937"/>
            </w:tcBorders>
          </w:tcPr>
          <w:p>
            <w:pPr>
              <w:jc w:val="center"/>
              <w:ind w:right="28"/>
              <w:spacing w:after="0"/>
              <w:rPr>
                <w:sz w:val="20"/>
                <w:szCs w:val="20"/>
                <w:color w:val="auto"/>
              </w:rPr>
            </w:pPr>
            <w:r>
              <w:rPr>
                <w:rFonts w:ascii="Arial" w:cs="Arial" w:eastAsia="Arial" w:hAnsi="Arial"/>
                <w:sz w:val="9"/>
                <w:szCs w:val="9"/>
                <w:b w:val="1"/>
                <w:bCs w:val="1"/>
                <w:color w:val="auto"/>
                <w:w w:val="89"/>
              </w:rPr>
              <w:t>2023</w:t>
            </w:r>
            <w:r>
              <w:rPr>
                <w:rFonts w:ascii="Arial" w:cs="Arial" w:eastAsia="Arial" w:hAnsi="Arial"/>
                <w:sz w:val="11"/>
                <w:szCs w:val="11"/>
                <w:b w:val="1"/>
                <w:bCs w:val="1"/>
                <w:color w:val="auto"/>
                <w:w w:val="89"/>
                <w:vertAlign w:val="superscript"/>
              </w:rPr>
              <w:t>(1)</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4"/>
          </w:tcPr>
          <w:p>
            <w:pPr>
              <w:jc w:val="right"/>
              <w:ind w:right="65"/>
              <w:spacing w:after="0"/>
              <w:rPr>
                <w:sz w:val="20"/>
                <w:szCs w:val="20"/>
                <w:color w:val="auto"/>
              </w:rPr>
            </w:pPr>
            <w:r>
              <w:rPr>
                <w:rFonts w:ascii="Arial" w:cs="Arial" w:eastAsia="Arial" w:hAnsi="Arial"/>
                <w:sz w:val="11"/>
                <w:szCs w:val="11"/>
                <w:b w:val="1"/>
                <w:bCs w:val="1"/>
                <w:color w:val="auto"/>
              </w:rPr>
              <w:t>(Dollars in millions)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Trading securities:</w:t>
            </w: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3"/>
        </w:trPr>
        <w:tc>
          <w:tcPr>
            <w:tcW w:w="1440" w:type="dxa"/>
            <w:vAlign w:val="bottom"/>
            <w:gridSpan w:val="2"/>
          </w:tcPr>
          <w:p>
            <w:pPr>
              <w:ind w:left="60"/>
              <w:spacing w:after="0"/>
              <w:rPr>
                <w:sz w:val="20"/>
                <w:szCs w:val="20"/>
                <w:color w:val="auto"/>
              </w:rPr>
            </w:pPr>
            <w:r>
              <w:rPr>
                <w:rFonts w:ascii="Arial" w:cs="Arial" w:eastAsia="Arial" w:hAnsi="Arial"/>
                <w:sz w:val="11"/>
                <w:szCs w:val="11"/>
                <w:color w:val="auto"/>
              </w:rPr>
              <w:t>Mortgage-related</w:t>
            </w:r>
          </w:p>
        </w:tc>
        <w:tc>
          <w:tcPr>
            <w:tcW w:w="200" w:type="dxa"/>
            <w:vAlign w:val="bottom"/>
          </w:tcPr>
          <w:p>
            <w:pPr>
              <w:ind w:left="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24"/>
                <w:szCs w:val="24"/>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126"/>
              <w:spacing w:after="0"/>
              <w:rPr>
                <w:sz w:val="20"/>
                <w:szCs w:val="20"/>
                <w:color w:val="auto"/>
              </w:rPr>
            </w:pPr>
            <w:r>
              <w:rPr>
                <w:rFonts w:ascii="Arial" w:cs="Arial" w:eastAsia="Arial" w:hAnsi="Arial"/>
                <w:sz w:val="22"/>
                <w:szCs w:val="22"/>
                <w:color w:val="auto"/>
                <w:vertAlign w:val="subscript"/>
              </w:rPr>
              <w:t>(2)</w:t>
            </w:r>
            <w:r>
              <w:rPr>
                <w:rFonts w:ascii="Arial" w:cs="Arial" w:eastAsia="Arial" w:hAnsi="Arial"/>
                <w:sz w:val="7"/>
                <w:szCs w:val="7"/>
                <w:color w:val="auto"/>
              </w:rPr>
              <w:t xml:space="preserve"> (5)(6)</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ind w:left="50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ind w:left="26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ind w:left="30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ind w:left="380"/>
              <w:spacing w:after="0"/>
              <w:rPr>
                <w:sz w:val="20"/>
                <w:szCs w:val="20"/>
                <w:color w:val="auto"/>
              </w:rPr>
            </w:pPr>
            <w:r>
              <w:rPr>
                <w:rFonts w:ascii="Arial" w:cs="Arial" w:eastAsia="Arial" w:hAnsi="Arial"/>
                <w:sz w:val="11"/>
                <w:szCs w:val="11"/>
                <w:color w:val="auto"/>
              </w:rPr>
              <w:t>(2)</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gridSpan w:val="2"/>
          </w:tcPr>
          <w:p>
            <w:pPr>
              <w:jc w:val="right"/>
              <w:ind w:right="73"/>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28</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ind w:left="600"/>
              <w:spacing w:after="0"/>
              <w:rPr>
                <w:sz w:val="20"/>
                <w:szCs w:val="20"/>
                <w:color w:val="auto"/>
              </w:rPr>
            </w:pPr>
            <w:r>
              <w:rPr>
                <w:rFonts w:ascii="Arial" w:cs="Arial" w:eastAsia="Arial" w:hAnsi="Arial"/>
                <w:sz w:val="11"/>
                <w:szCs w:val="11"/>
                <w:color w:val="auto"/>
              </w:rPr>
              <w:t>(1)</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98"/>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Available-for-sale</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1440" w:type="dxa"/>
            <w:vAlign w:val="bottom"/>
            <w:gridSpan w:val="2"/>
          </w:tcPr>
          <w:p>
            <w:pPr>
              <w:ind w:left="140"/>
              <w:spacing w:after="0"/>
              <w:rPr>
                <w:sz w:val="20"/>
                <w:szCs w:val="20"/>
                <w:color w:val="auto"/>
              </w:rPr>
            </w:pPr>
            <w:r>
              <w:rPr>
                <w:rFonts w:ascii="Arial" w:cs="Arial" w:eastAsia="Arial" w:hAnsi="Arial"/>
                <w:sz w:val="11"/>
                <w:szCs w:val="11"/>
                <w:color w:val="auto"/>
              </w:rPr>
              <w:t>securities:</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440" w:type="dxa"/>
            <w:vAlign w:val="bottom"/>
            <w:gridSpan w:val="2"/>
          </w:tcPr>
          <w:p>
            <w:pPr>
              <w:ind w:left="60"/>
              <w:spacing w:after="0"/>
              <w:rPr>
                <w:sz w:val="20"/>
                <w:szCs w:val="20"/>
                <w:color w:val="auto"/>
              </w:rPr>
            </w:pPr>
            <w:r>
              <w:rPr>
                <w:rFonts w:ascii="Arial" w:cs="Arial" w:eastAsia="Arial" w:hAnsi="Arial"/>
                <w:sz w:val="11"/>
                <w:szCs w:val="11"/>
                <w:color w:val="auto"/>
              </w:rPr>
              <w:t>Agency</w:t>
            </w:r>
          </w:p>
        </w:tc>
        <w:tc>
          <w:tcPr>
            <w:tcW w:w="200" w:type="dxa"/>
            <w:vAlign w:val="bottom"/>
          </w:tcPr>
          <w:p>
            <w:pPr>
              <w:ind w:left="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362</w:t>
            </w:r>
          </w:p>
        </w:tc>
        <w:tc>
          <w:tcPr>
            <w:tcW w:w="100" w:type="dxa"/>
            <w:vAlign w:val="bottom"/>
          </w:tcPr>
          <w:p>
            <w:pPr>
              <w:spacing w:after="0"/>
              <w:rPr>
                <w:sz w:val="15"/>
                <w:szCs w:val="15"/>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ind w:right="11"/>
              <w:spacing w:after="0"/>
              <w:rPr>
                <w:sz w:val="20"/>
                <w:szCs w:val="20"/>
                <w:color w:val="auto"/>
              </w:rPr>
            </w:pPr>
            <w:r>
              <w:rPr>
                <w:rFonts w:ascii="Arial" w:cs="Arial" w:eastAsia="Arial" w:hAnsi="Arial"/>
                <w:sz w:val="11"/>
                <w:szCs w:val="11"/>
                <w:color w:val="auto"/>
              </w:rPr>
              <w:t>1</w:t>
            </w:r>
          </w:p>
        </w:tc>
        <w:tc>
          <w:tcPr>
            <w:tcW w:w="3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2</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ind w:left="50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ind w:left="26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ind w:left="30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(9)</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ind w:left="360"/>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gridSpan w:val="2"/>
          </w:tcPr>
          <w:p>
            <w:pPr>
              <w:jc w:val="right"/>
              <w:ind w:right="73"/>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356</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ind w:left="60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71"/>
        </w:trPr>
        <w:tc>
          <w:tcPr>
            <w:tcW w:w="1340" w:type="dxa"/>
            <w:vAlign w:val="bottom"/>
            <w:tcBorders>
              <w:bottom w:val="single" w:sz="8" w:color="2C6937"/>
            </w:tcBorders>
          </w:tcPr>
          <w:p>
            <w:pPr>
              <w:ind w:left="60"/>
              <w:spacing w:after="0"/>
              <w:rPr>
                <w:sz w:val="20"/>
                <w:szCs w:val="20"/>
                <w:color w:val="auto"/>
              </w:rPr>
            </w:pPr>
            <w:r>
              <w:rPr>
                <w:rFonts w:ascii="Arial" w:cs="Arial" w:eastAsia="Arial" w:hAnsi="Arial"/>
                <w:sz w:val="11"/>
                <w:szCs w:val="11"/>
                <w:color w:val="auto"/>
              </w:rPr>
              <w:t>Other mortgage-related</w:t>
            </w:r>
          </w:p>
        </w:tc>
        <w:tc>
          <w:tcPr>
            <w:tcW w:w="100" w:type="dxa"/>
            <w:vAlign w:val="bottom"/>
          </w:tcPr>
          <w:p>
            <w:pPr>
              <w:spacing w:after="0"/>
              <w:rPr>
                <w:sz w:val="14"/>
                <w:szCs w:val="14"/>
                <w:color w:val="auto"/>
              </w:rPr>
            </w:pPr>
          </w:p>
        </w:tc>
        <w:tc>
          <w:tcPr>
            <w:tcW w:w="200" w:type="dxa"/>
            <w:vAlign w:val="bottom"/>
            <w:tcBorders>
              <w:bottom w:val="single" w:sz="8" w:color="2C6937"/>
            </w:tcBorders>
          </w:tcPr>
          <w:p>
            <w:pPr>
              <w:spacing w:after="0"/>
              <w:rPr>
                <w:sz w:val="14"/>
                <w:szCs w:val="14"/>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260</w:t>
            </w:r>
          </w:p>
        </w:tc>
        <w:tc>
          <w:tcPr>
            <w:tcW w:w="100" w:type="dxa"/>
            <w:vAlign w:val="bottom"/>
          </w:tcPr>
          <w:p>
            <w:pPr>
              <w:spacing w:after="0"/>
              <w:rPr>
                <w:sz w:val="14"/>
                <w:szCs w:val="14"/>
                <w:color w:val="auto"/>
              </w:rPr>
            </w:pPr>
          </w:p>
        </w:tc>
        <w:tc>
          <w:tcPr>
            <w:tcW w:w="200" w:type="dxa"/>
            <w:vAlign w:val="bottom"/>
            <w:tcBorders>
              <w:bottom w:val="single" w:sz="8" w:color="2C6937"/>
            </w:tcBorders>
          </w:tcPr>
          <w:p>
            <w:pPr>
              <w:spacing w:after="0"/>
              <w:rPr>
                <w:sz w:val="14"/>
                <w:szCs w:val="14"/>
                <w:color w:val="auto"/>
              </w:rPr>
            </w:pPr>
          </w:p>
        </w:tc>
        <w:tc>
          <w:tcPr>
            <w:tcW w:w="380" w:type="dxa"/>
            <w:vAlign w:val="bottom"/>
            <w:tcBorders>
              <w:bottom w:val="single" w:sz="8" w:color="2C6937"/>
            </w:tcBorders>
          </w:tcPr>
          <w:p>
            <w:pPr>
              <w:jc w:val="right"/>
              <w:ind w:right="11"/>
              <w:spacing w:after="0"/>
              <w:rPr>
                <w:sz w:val="20"/>
                <w:szCs w:val="20"/>
                <w:color w:val="auto"/>
              </w:rPr>
            </w:pPr>
            <w:r>
              <w:rPr>
                <w:rFonts w:ascii="Arial" w:cs="Arial" w:eastAsia="Arial" w:hAnsi="Arial"/>
                <w:sz w:val="11"/>
                <w:szCs w:val="11"/>
                <w:color w:val="auto"/>
              </w:rPr>
              <w:t>3</w:t>
            </w:r>
          </w:p>
        </w:tc>
        <w:tc>
          <w:tcPr>
            <w:tcW w:w="340" w:type="dxa"/>
            <w:vAlign w:val="bottom"/>
          </w:tcPr>
          <w:p>
            <w:pPr>
              <w:spacing w:after="0"/>
              <w:rPr>
                <w:sz w:val="14"/>
                <w:szCs w:val="14"/>
                <w:color w:val="auto"/>
              </w:rPr>
            </w:pPr>
          </w:p>
        </w:tc>
        <w:tc>
          <w:tcPr>
            <w:tcW w:w="80" w:type="dxa"/>
            <w:vAlign w:val="bottom"/>
            <w:tcBorders>
              <w:bottom w:val="single" w:sz="8" w:color="2C6937"/>
            </w:tcBorders>
          </w:tcPr>
          <w:p>
            <w:pPr>
              <w:spacing w:after="0"/>
              <w:rPr>
                <w:sz w:val="14"/>
                <w:szCs w:val="14"/>
                <w:color w:val="auto"/>
              </w:rPr>
            </w:pPr>
          </w:p>
        </w:tc>
        <w:tc>
          <w:tcPr>
            <w:tcW w:w="500" w:type="dxa"/>
            <w:vAlign w:val="bottom"/>
            <w:tcBorders>
              <w:bottom w:val="single" w:sz="8" w:color="2C6937"/>
            </w:tcBorders>
          </w:tcPr>
          <w:p>
            <w:pPr>
              <w:jc w:val="right"/>
              <w:ind w:right="7"/>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120" w:type="dxa"/>
            <w:vAlign w:val="bottom"/>
            <w:tcBorders>
              <w:bottom w:val="single" w:sz="8" w:color="2C6937"/>
            </w:tcBorders>
          </w:tcPr>
          <w:p>
            <w:pPr>
              <w:spacing w:after="0"/>
              <w:rPr>
                <w:sz w:val="14"/>
                <w:szCs w:val="14"/>
                <w:color w:val="auto"/>
              </w:rPr>
            </w:pPr>
          </w:p>
        </w:tc>
        <w:tc>
          <w:tcPr>
            <w:tcW w:w="66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420" w:type="dxa"/>
            <w:vAlign w:val="bottom"/>
            <w:tcBorders>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480" w:type="dxa"/>
            <w:vAlign w:val="bottom"/>
            <w:tcBorders>
              <w:bottom w:val="single" w:sz="8" w:color="2C6937"/>
            </w:tcBorders>
          </w:tcPr>
          <w:p>
            <w:pPr>
              <w:ind w:left="3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20" w:type="dxa"/>
            <w:vAlign w:val="bottom"/>
            <w:tcBorders>
              <w:bottom w:val="single" w:sz="8" w:color="2C6937"/>
            </w:tcBorders>
          </w:tcPr>
          <w:p>
            <w:pPr>
              <w:spacing w:after="0"/>
              <w:rPr>
                <w:sz w:val="14"/>
                <w:szCs w:val="1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(28)</w:t>
            </w:r>
          </w:p>
        </w:tc>
        <w:tc>
          <w:tcPr>
            <w:tcW w:w="80" w:type="dxa"/>
            <w:vAlign w:val="bottom"/>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540" w:type="dxa"/>
            <w:vAlign w:val="bottom"/>
            <w:tcBorders>
              <w:bottom w:val="single" w:sz="8" w:color="2C6937"/>
            </w:tcBorders>
          </w:tcPr>
          <w:p>
            <w:pPr>
              <w:ind w:left="380"/>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120" w:type="dxa"/>
            <w:vAlign w:val="bottom"/>
            <w:tcBorders>
              <w:bottom w:val="single" w:sz="8" w:color="2C6937"/>
            </w:tcBorders>
          </w:tcPr>
          <w:p>
            <w:pPr>
              <w:spacing w:after="0"/>
              <w:rPr>
                <w:sz w:val="14"/>
                <w:szCs w:val="14"/>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80" w:type="dxa"/>
            <w:vAlign w:val="bottom"/>
            <w:tcBorders>
              <w:bottom w:val="single" w:sz="8" w:color="2C6937"/>
            </w:tcBorders>
          </w:tcPr>
          <w:p>
            <w:pPr>
              <w:spacing w:after="0"/>
              <w:rPr>
                <w:sz w:val="14"/>
                <w:szCs w:val="14"/>
                <w:color w:val="auto"/>
              </w:rPr>
            </w:pPr>
          </w:p>
        </w:tc>
        <w:tc>
          <w:tcPr>
            <w:tcW w:w="6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235</w:t>
            </w:r>
          </w:p>
        </w:tc>
        <w:tc>
          <w:tcPr>
            <w:tcW w:w="100" w:type="dxa"/>
            <w:vAlign w:val="bottom"/>
          </w:tcPr>
          <w:p>
            <w:pPr>
              <w:spacing w:after="0"/>
              <w:rPr>
                <w:sz w:val="14"/>
                <w:szCs w:val="14"/>
                <w:color w:val="auto"/>
              </w:rPr>
            </w:pPr>
          </w:p>
        </w:tc>
        <w:tc>
          <w:tcPr>
            <w:tcW w:w="80" w:type="dxa"/>
            <w:vAlign w:val="bottom"/>
            <w:tcBorders>
              <w:bottom w:val="single" w:sz="8" w:color="2C6937"/>
            </w:tcBorders>
          </w:tcPr>
          <w:p>
            <w:pPr>
              <w:spacing w:after="0"/>
              <w:rPr>
                <w:sz w:val="14"/>
                <w:szCs w:val="14"/>
                <w:color w:val="auto"/>
              </w:rPr>
            </w:pPr>
          </w:p>
        </w:tc>
        <w:tc>
          <w:tcPr>
            <w:tcW w:w="760" w:type="dxa"/>
            <w:vAlign w:val="bottom"/>
            <w:tcBorders>
              <w:bottom w:val="single" w:sz="8" w:color="2C6937"/>
            </w:tcBorders>
          </w:tcPr>
          <w:p>
            <w:pPr>
              <w:ind w:left="6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740" w:type="dxa"/>
            <w:vAlign w:val="bottom"/>
            <w:tcBorders>
              <w:bottom w:val="single" w:sz="8" w:color="2C6937"/>
            </w:tcBorders>
          </w:tcPr>
          <w:p>
            <w:pPr>
              <w:jc w:val="right"/>
              <w:ind w:right="8"/>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8"/>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Total available-for-sale</w:t>
            </w: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7"/>
                <w:szCs w:val="7"/>
                <w:color w:val="auto"/>
              </w:rPr>
              <w:t>(6)(7)</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340" w:type="dxa"/>
            <w:vAlign w:val="bottom"/>
            <w:tcBorders>
              <w:bottom w:val="single" w:sz="8" w:color="2C6937"/>
            </w:tcBorders>
          </w:tcPr>
          <w:p>
            <w:pPr>
              <w:ind w:left="140"/>
              <w:spacing w:after="0"/>
              <w:rPr>
                <w:sz w:val="20"/>
                <w:szCs w:val="20"/>
                <w:color w:val="auto"/>
              </w:rPr>
            </w:pPr>
            <w:r>
              <w:rPr>
                <w:rFonts w:ascii="Arial" w:cs="Arial" w:eastAsia="Arial" w:hAnsi="Arial"/>
                <w:sz w:val="11"/>
                <w:szCs w:val="11"/>
                <w:color w:val="auto"/>
              </w:rPr>
              <w:t>securities</w:t>
            </w:r>
          </w:p>
        </w:tc>
        <w:tc>
          <w:tcPr>
            <w:tcW w:w="100" w:type="dxa"/>
            <w:vAlign w:val="bottom"/>
          </w:tcPr>
          <w:p>
            <w:pPr>
              <w:spacing w:after="0"/>
              <w:rPr>
                <w:sz w:val="13"/>
                <w:szCs w:val="13"/>
                <w:color w:val="auto"/>
              </w:rPr>
            </w:pPr>
          </w:p>
        </w:tc>
        <w:tc>
          <w:tcPr>
            <w:tcW w:w="200" w:type="dxa"/>
            <w:vAlign w:val="bottom"/>
            <w:tcBorders>
              <w:bottom w:val="single" w:sz="8" w:color="2C6937"/>
            </w:tcBorders>
          </w:tcPr>
          <w:p>
            <w:pPr>
              <w:ind w:left="2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622</w:t>
            </w:r>
          </w:p>
        </w:tc>
        <w:tc>
          <w:tcPr>
            <w:tcW w:w="100" w:type="dxa"/>
            <w:vAlign w:val="bottom"/>
          </w:tcPr>
          <w:p>
            <w:pPr>
              <w:spacing w:after="0"/>
              <w:rPr>
                <w:sz w:val="13"/>
                <w:szCs w:val="13"/>
                <w:color w:val="auto"/>
              </w:rPr>
            </w:pPr>
          </w:p>
        </w:tc>
        <w:tc>
          <w:tcPr>
            <w:tcW w:w="200" w:type="dxa"/>
            <w:vAlign w:val="bottom"/>
            <w:tcBorders>
              <w:bottom w:val="single" w:sz="8" w:color="2C6937"/>
            </w:tcBorders>
          </w:tcPr>
          <w:p>
            <w:pPr>
              <w:jc w:val="right"/>
              <w:ind w:right="67"/>
              <w:spacing w:after="0"/>
              <w:rPr>
                <w:sz w:val="20"/>
                <w:szCs w:val="20"/>
                <w:color w:val="auto"/>
              </w:rPr>
            </w:pPr>
            <w:r>
              <w:rPr>
                <w:rFonts w:ascii="Arial" w:cs="Arial" w:eastAsia="Arial" w:hAnsi="Arial"/>
                <w:sz w:val="11"/>
                <w:szCs w:val="11"/>
                <w:color w:val="auto"/>
                <w:w w:val="97"/>
              </w:rPr>
              <w:t>$</w:t>
            </w:r>
          </w:p>
        </w:tc>
        <w:tc>
          <w:tcPr>
            <w:tcW w:w="380" w:type="dxa"/>
            <w:vAlign w:val="bottom"/>
            <w:tcBorders>
              <w:bottom w:val="single" w:sz="8" w:color="2C6937"/>
            </w:tcBorders>
          </w:tcPr>
          <w:p>
            <w:pPr>
              <w:jc w:val="right"/>
              <w:ind w:right="11"/>
              <w:spacing w:after="0"/>
              <w:rPr>
                <w:sz w:val="20"/>
                <w:szCs w:val="20"/>
                <w:color w:val="auto"/>
              </w:rPr>
            </w:pPr>
            <w:r>
              <w:rPr>
                <w:rFonts w:ascii="Arial" w:cs="Arial" w:eastAsia="Arial" w:hAnsi="Arial"/>
                <w:sz w:val="11"/>
                <w:szCs w:val="11"/>
                <w:color w:val="auto"/>
              </w:rPr>
              <w:t>4</w:t>
            </w:r>
          </w:p>
        </w:tc>
        <w:tc>
          <w:tcPr>
            <w:tcW w:w="340" w:type="dxa"/>
            <w:vAlign w:val="bottom"/>
          </w:tcPr>
          <w:p>
            <w:pPr>
              <w:spacing w:after="0"/>
              <w:rPr>
                <w:sz w:val="13"/>
                <w:szCs w:val="13"/>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2C6937"/>
            </w:tcBorders>
          </w:tcPr>
          <w:p>
            <w:pPr>
              <w:jc w:val="right"/>
              <w:ind w:right="7"/>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3"/>
                <w:szCs w:val="13"/>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2C6937"/>
            </w:tcBorders>
          </w:tcPr>
          <w:p>
            <w:pPr>
              <w:ind w:left="3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(37)</w:t>
            </w:r>
          </w:p>
        </w:tc>
        <w:tc>
          <w:tcPr>
            <w:tcW w:w="80" w:type="dxa"/>
            <w:vAlign w:val="bottom"/>
          </w:tcPr>
          <w:p>
            <w:pPr>
              <w:spacing w:after="0"/>
              <w:rPr>
                <w:sz w:val="13"/>
                <w:szCs w:val="13"/>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2C6937"/>
            </w:tcBorders>
          </w:tcPr>
          <w:p>
            <w:pPr>
              <w:ind w:left="380"/>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80" w:type="dxa"/>
            <w:vAlign w:val="bottom"/>
            <w:tcBorders>
              <w:bottom w:val="single" w:sz="8" w:color="2C6937"/>
            </w:tcBorders>
          </w:tcPr>
          <w:p>
            <w:pPr>
              <w:jc w:val="right"/>
              <w:ind w:right="73"/>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591</w:t>
            </w:r>
          </w:p>
        </w:tc>
        <w:tc>
          <w:tcPr>
            <w:tcW w:w="100" w:type="dxa"/>
            <w:vAlign w:val="bottom"/>
          </w:tcPr>
          <w:p>
            <w:pPr>
              <w:spacing w:after="0"/>
              <w:rPr>
                <w:sz w:val="13"/>
                <w:szCs w:val="13"/>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2C6937"/>
            </w:tcBorders>
          </w:tcPr>
          <w:p>
            <w:pPr>
              <w:ind w:left="6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2C6937"/>
            </w:tcBorders>
          </w:tcPr>
          <w:p>
            <w:pPr>
              <w:jc w:val="right"/>
              <w:ind w:right="8"/>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6"/>
        </w:trPr>
        <w:tc>
          <w:tcPr>
            <w:tcW w:w="13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6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380" w:type="dxa"/>
            <w:vAlign w:val="bottom"/>
            <w:tcBorders>
              <w:bottom w:val="single" w:sz="8" w:color="2C6937"/>
            </w:tcBorders>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5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4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0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6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Mortgage loans</w:t>
            </w:r>
          </w:p>
        </w:tc>
        <w:tc>
          <w:tcPr>
            <w:tcW w:w="200" w:type="dxa"/>
            <w:vAlign w:val="bottom"/>
          </w:tcPr>
          <w:p>
            <w:pPr>
              <w:ind w:left="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526</w:t>
            </w:r>
          </w:p>
        </w:tc>
        <w:tc>
          <w:tcPr>
            <w:tcW w:w="100" w:type="dxa"/>
            <w:vAlign w:val="bottom"/>
          </w:tcPr>
          <w:p>
            <w:pPr>
              <w:spacing w:after="0"/>
              <w:rPr>
                <w:sz w:val="24"/>
                <w:szCs w:val="24"/>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126"/>
              <w:spacing w:after="0"/>
              <w:rPr>
                <w:sz w:val="20"/>
                <w:szCs w:val="20"/>
                <w:color w:val="auto"/>
              </w:rPr>
            </w:pPr>
            <w:r>
              <w:rPr>
                <w:rFonts w:ascii="Arial" w:cs="Arial" w:eastAsia="Arial" w:hAnsi="Arial"/>
                <w:sz w:val="22"/>
                <w:szCs w:val="22"/>
                <w:color w:val="auto"/>
                <w:vertAlign w:val="subscript"/>
              </w:rPr>
              <w:t>(4)</w:t>
            </w:r>
            <w:r>
              <w:rPr>
                <w:rFonts w:ascii="Arial" w:cs="Arial" w:eastAsia="Arial" w:hAnsi="Arial"/>
                <w:sz w:val="7"/>
                <w:szCs w:val="7"/>
                <w:color w:val="auto"/>
              </w:rPr>
              <w:t xml:space="preserve"> (5)(6)</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ind w:left="50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ind w:left="26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ind w:left="30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(20)</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ind w:left="380"/>
              <w:spacing w:after="0"/>
              <w:rPr>
                <w:sz w:val="20"/>
                <w:szCs w:val="20"/>
                <w:color w:val="auto"/>
              </w:rPr>
            </w:pPr>
            <w:r>
              <w:rPr>
                <w:rFonts w:ascii="Arial" w:cs="Arial" w:eastAsia="Arial" w:hAnsi="Arial"/>
                <w:sz w:val="11"/>
                <w:szCs w:val="11"/>
                <w:color w:val="auto"/>
              </w:rPr>
              <w:t>(6)</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14</w:t>
            </w:r>
          </w:p>
        </w:tc>
        <w:tc>
          <w:tcPr>
            <w:tcW w:w="300" w:type="dxa"/>
            <w:vAlign w:val="bottom"/>
            <w:gridSpan w:val="2"/>
          </w:tcPr>
          <w:p>
            <w:pPr>
              <w:jc w:val="right"/>
              <w:ind w:right="73"/>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510</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ind w:left="600"/>
              <w:spacing w:after="0"/>
              <w:rPr>
                <w:sz w:val="20"/>
                <w:szCs w:val="20"/>
                <w:color w:val="auto"/>
              </w:rPr>
            </w:pPr>
            <w:r>
              <w:rPr>
                <w:rFonts w:ascii="Arial" w:cs="Arial" w:eastAsia="Arial" w:hAnsi="Arial"/>
                <w:sz w:val="11"/>
                <w:szCs w:val="11"/>
                <w:color w:val="auto"/>
              </w:rPr>
              <w:t>(5)</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07"/>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Net derivatives</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jc w:val="right"/>
              <w:ind w:right="11"/>
              <w:spacing w:after="0"/>
              <w:rPr>
                <w:sz w:val="20"/>
                <w:szCs w:val="20"/>
                <w:color w:val="auto"/>
              </w:rPr>
            </w:pPr>
            <w:r>
              <w:rPr>
                <w:rFonts w:ascii="Arial" w:cs="Arial" w:eastAsia="Arial" w:hAnsi="Arial"/>
                <w:sz w:val="11"/>
                <w:szCs w:val="11"/>
                <w:color w:val="auto"/>
              </w:rPr>
              <w:t>38</w:t>
            </w:r>
          </w:p>
        </w:tc>
        <w:tc>
          <w:tcPr>
            <w:tcW w:w="340" w:type="dxa"/>
            <w:vAlign w:val="bottom"/>
          </w:tcPr>
          <w:p>
            <w:pPr>
              <w:ind w:left="20"/>
              <w:spacing w:after="0"/>
              <w:rPr>
                <w:sz w:val="20"/>
                <w:szCs w:val="20"/>
                <w:color w:val="auto"/>
              </w:rPr>
            </w:pPr>
            <w:r>
              <w:rPr>
                <w:rFonts w:ascii="Arial" w:cs="Arial" w:eastAsia="Arial" w:hAnsi="Arial"/>
                <w:sz w:val="7"/>
                <w:szCs w:val="7"/>
                <w:color w:val="auto"/>
              </w:rPr>
              <w:t>(5)</w:t>
            </w:r>
          </w:p>
        </w:tc>
        <w:tc>
          <w:tcPr>
            <w:tcW w:w="80" w:type="dxa"/>
            <w:vAlign w:val="bottom"/>
          </w:tcPr>
          <w:p>
            <w:pPr>
              <w:spacing w:after="0"/>
              <w:rPr>
                <w:sz w:val="24"/>
                <w:szCs w:val="24"/>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ind w:left="3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ind w:right="25"/>
              <w:spacing w:after="0"/>
              <w:rPr>
                <w:sz w:val="20"/>
                <w:szCs w:val="20"/>
                <w:color w:val="auto"/>
              </w:rPr>
            </w:pPr>
            <w:r>
              <w:rPr>
                <w:rFonts w:ascii="Arial" w:cs="Arial" w:eastAsia="Arial" w:hAnsi="Arial"/>
                <w:sz w:val="11"/>
                <w:szCs w:val="11"/>
                <w:color w:val="auto"/>
              </w:rPr>
              <w:t>12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ind w:left="3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1"/>
                <w:szCs w:val="11"/>
                <w:color w:val="auto"/>
              </w:rPr>
              <w:t>51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09"/>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Long-term debt:</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440" w:type="dxa"/>
            <w:vAlign w:val="bottom"/>
            <w:gridSpan w:val="2"/>
          </w:tcPr>
          <w:p>
            <w:pPr>
              <w:ind w:left="100"/>
              <w:spacing w:after="0"/>
              <w:rPr>
                <w:sz w:val="20"/>
                <w:szCs w:val="20"/>
                <w:color w:val="auto"/>
              </w:rPr>
            </w:pPr>
            <w:r>
              <w:rPr>
                <w:rFonts w:ascii="Arial" w:cs="Arial" w:eastAsia="Arial" w:hAnsi="Arial"/>
                <w:sz w:val="11"/>
                <w:szCs w:val="11"/>
                <w:color w:val="auto"/>
              </w:rPr>
              <w:t>Of Fannie Mae</w:t>
            </w:r>
          </w:p>
        </w:tc>
        <w:tc>
          <w:tcPr>
            <w:tcW w:w="200" w:type="dxa"/>
            <w:vAlign w:val="bottom"/>
          </w:tcPr>
          <w:p>
            <w:pPr>
              <w:ind w:left="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(250)</w:t>
            </w:r>
          </w:p>
        </w:tc>
        <w:tc>
          <w:tcPr>
            <w:tcW w:w="100" w:type="dxa"/>
            <w:vAlign w:val="bottom"/>
          </w:tcPr>
          <w:p>
            <w:pPr>
              <w:spacing w:after="0"/>
              <w:rPr>
                <w:sz w:val="15"/>
                <w:szCs w:val="15"/>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206"/>
              <w:spacing w:after="0"/>
              <w:rPr>
                <w:sz w:val="20"/>
                <w:szCs w:val="20"/>
                <w:color w:val="auto"/>
              </w:rPr>
            </w:pPr>
            <w:r>
              <w:rPr>
                <w:rFonts w:ascii="Arial" w:cs="Arial" w:eastAsia="Arial" w:hAnsi="Arial"/>
                <w:sz w:val="11"/>
                <w:szCs w:val="11"/>
                <w:color w:val="auto"/>
              </w:rPr>
              <w:t xml:space="preserve">(6) </w:t>
            </w:r>
            <w:r>
              <w:rPr>
                <w:rFonts w:ascii="Arial" w:cs="Arial" w:eastAsia="Arial" w:hAnsi="Arial"/>
                <w:sz w:val="13"/>
                <w:szCs w:val="13"/>
                <w:color w:val="auto"/>
                <w:vertAlign w:val="superscript"/>
              </w:rPr>
              <w:t>(5)</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ind w:left="50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ind w:left="26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ind w:left="30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ind w:left="360"/>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gridSpan w:val="2"/>
          </w:tcPr>
          <w:p>
            <w:pPr>
              <w:jc w:val="right"/>
              <w:ind w:right="73"/>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(256)</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ind w:left="600"/>
              <w:spacing w:after="0"/>
              <w:rPr>
                <w:sz w:val="20"/>
                <w:szCs w:val="20"/>
                <w:color w:val="auto"/>
              </w:rPr>
            </w:pPr>
            <w:r>
              <w:rPr>
                <w:rFonts w:ascii="Arial" w:cs="Arial" w:eastAsia="Arial" w:hAnsi="Arial"/>
                <w:sz w:val="11"/>
                <w:szCs w:val="11"/>
                <w:color w:val="auto"/>
              </w:rPr>
              <w:t>(6)</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9"/>
        </w:trPr>
        <w:tc>
          <w:tcPr>
            <w:tcW w:w="1340" w:type="dxa"/>
            <w:vAlign w:val="bottom"/>
            <w:tcBorders>
              <w:bottom w:val="single" w:sz="8" w:color="2C6937"/>
            </w:tcBorders>
          </w:tcPr>
          <w:p>
            <w:pPr>
              <w:ind w:left="100"/>
              <w:spacing w:after="0"/>
              <w:rPr>
                <w:sz w:val="20"/>
                <w:szCs w:val="20"/>
                <w:color w:val="auto"/>
              </w:rPr>
            </w:pPr>
            <w:r>
              <w:rPr>
                <w:rFonts w:ascii="Arial" w:cs="Arial" w:eastAsia="Arial" w:hAnsi="Arial"/>
                <w:sz w:val="11"/>
                <w:szCs w:val="11"/>
                <w:color w:val="auto"/>
              </w:rPr>
              <w:t>Of consolidated trusts</w:t>
            </w:r>
          </w:p>
        </w:tc>
        <w:tc>
          <w:tcPr>
            <w:tcW w:w="100" w:type="dxa"/>
            <w:vAlign w:val="bottom"/>
          </w:tcPr>
          <w:p>
            <w:pPr>
              <w:spacing w:after="0"/>
              <w:rPr>
                <w:sz w:val="14"/>
                <w:szCs w:val="14"/>
                <w:color w:val="auto"/>
              </w:rPr>
            </w:pPr>
          </w:p>
        </w:tc>
        <w:tc>
          <w:tcPr>
            <w:tcW w:w="200" w:type="dxa"/>
            <w:vAlign w:val="bottom"/>
            <w:tcBorders>
              <w:bottom w:val="single" w:sz="8" w:color="2C6937"/>
            </w:tcBorders>
          </w:tcPr>
          <w:p>
            <w:pPr>
              <w:spacing w:after="0"/>
              <w:rPr>
                <w:sz w:val="14"/>
                <w:szCs w:val="14"/>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(133)</w:t>
            </w:r>
          </w:p>
        </w:tc>
        <w:tc>
          <w:tcPr>
            <w:tcW w:w="100" w:type="dxa"/>
            <w:vAlign w:val="bottom"/>
          </w:tcPr>
          <w:p>
            <w:pPr>
              <w:spacing w:after="0"/>
              <w:rPr>
                <w:sz w:val="14"/>
                <w:szCs w:val="14"/>
                <w:color w:val="auto"/>
              </w:rPr>
            </w:pPr>
          </w:p>
        </w:tc>
        <w:tc>
          <w:tcPr>
            <w:tcW w:w="200" w:type="dxa"/>
            <w:vAlign w:val="bottom"/>
            <w:tcBorders>
              <w:bottom w:val="single" w:sz="8" w:color="2C6937"/>
            </w:tcBorders>
          </w:tcPr>
          <w:p>
            <w:pPr>
              <w:spacing w:after="0"/>
              <w:rPr>
                <w:sz w:val="14"/>
                <w:szCs w:val="14"/>
                <w:color w:val="auto"/>
              </w:rPr>
            </w:pPr>
          </w:p>
        </w:tc>
        <w:tc>
          <w:tcPr>
            <w:tcW w:w="380" w:type="dxa"/>
            <w:vAlign w:val="bottom"/>
            <w:tcBorders>
              <w:bottom w:val="single" w:sz="8" w:color="2C6937"/>
            </w:tcBorders>
          </w:tcPr>
          <w:p>
            <w:pPr>
              <w:jc w:val="right"/>
              <w:ind w:right="11"/>
              <w:spacing w:after="0"/>
              <w:rPr>
                <w:sz w:val="20"/>
                <w:szCs w:val="20"/>
                <w:color w:val="auto"/>
              </w:rPr>
            </w:pPr>
            <w:r>
              <w:rPr>
                <w:rFonts w:ascii="Arial" w:cs="Arial" w:eastAsia="Arial" w:hAnsi="Arial"/>
                <w:sz w:val="11"/>
                <w:szCs w:val="11"/>
                <w:color w:val="auto"/>
              </w:rPr>
              <w:t>2</w:t>
            </w:r>
          </w:p>
        </w:tc>
        <w:tc>
          <w:tcPr>
            <w:tcW w:w="340" w:type="dxa"/>
            <w:vAlign w:val="bottom"/>
          </w:tcPr>
          <w:p>
            <w:pPr>
              <w:ind w:left="20"/>
              <w:spacing w:after="0"/>
              <w:rPr>
                <w:sz w:val="20"/>
                <w:szCs w:val="20"/>
                <w:color w:val="auto"/>
              </w:rPr>
            </w:pPr>
            <w:r>
              <w:rPr>
                <w:rFonts w:ascii="Arial" w:cs="Arial" w:eastAsia="Arial" w:hAnsi="Arial"/>
                <w:sz w:val="7"/>
                <w:szCs w:val="7"/>
                <w:color w:val="auto"/>
              </w:rPr>
              <w:t>(5)(6)</w:t>
            </w:r>
          </w:p>
        </w:tc>
        <w:tc>
          <w:tcPr>
            <w:tcW w:w="80" w:type="dxa"/>
            <w:vAlign w:val="bottom"/>
            <w:tcBorders>
              <w:bottom w:val="single" w:sz="8" w:color="2C6937"/>
            </w:tcBorders>
          </w:tcPr>
          <w:p>
            <w:pPr>
              <w:spacing w:after="0"/>
              <w:rPr>
                <w:sz w:val="14"/>
                <w:szCs w:val="14"/>
                <w:color w:val="auto"/>
              </w:rPr>
            </w:pPr>
          </w:p>
        </w:tc>
        <w:tc>
          <w:tcPr>
            <w:tcW w:w="500" w:type="dxa"/>
            <w:vAlign w:val="bottom"/>
            <w:tcBorders>
              <w:bottom w:val="single" w:sz="8" w:color="2C6937"/>
            </w:tcBorders>
          </w:tcPr>
          <w:p>
            <w:pPr>
              <w:jc w:val="right"/>
              <w:ind w:right="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20" w:type="dxa"/>
            <w:vAlign w:val="bottom"/>
            <w:tcBorders>
              <w:bottom w:val="single" w:sz="8" w:color="2C6937"/>
            </w:tcBorders>
          </w:tcPr>
          <w:p>
            <w:pPr>
              <w:spacing w:after="0"/>
              <w:rPr>
                <w:sz w:val="14"/>
                <w:szCs w:val="14"/>
                <w:color w:val="auto"/>
              </w:rPr>
            </w:pPr>
          </w:p>
        </w:tc>
        <w:tc>
          <w:tcPr>
            <w:tcW w:w="66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420" w:type="dxa"/>
            <w:vAlign w:val="bottom"/>
            <w:tcBorders>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480" w:type="dxa"/>
            <w:vAlign w:val="bottom"/>
            <w:tcBorders>
              <w:bottom w:val="single" w:sz="8" w:color="2C6937"/>
            </w:tcBorders>
          </w:tcPr>
          <w:p>
            <w:pPr>
              <w:ind w:left="3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20" w:type="dxa"/>
            <w:vAlign w:val="bottom"/>
            <w:tcBorders>
              <w:bottom w:val="single" w:sz="8" w:color="2C6937"/>
            </w:tcBorders>
          </w:tcPr>
          <w:p>
            <w:pPr>
              <w:spacing w:after="0"/>
              <w:rPr>
                <w:sz w:val="14"/>
                <w:szCs w:val="14"/>
                <w:color w:val="auto"/>
              </w:rPr>
            </w:pPr>
          </w:p>
        </w:tc>
        <w:tc>
          <w:tcPr>
            <w:tcW w:w="740" w:type="dxa"/>
            <w:vAlign w:val="bottom"/>
            <w:tcBorders>
              <w:bottom w:val="single" w:sz="8" w:color="2C6937"/>
            </w:tcBorders>
          </w:tcPr>
          <w:p>
            <w:pPr>
              <w:jc w:val="right"/>
              <w:ind w:right="25"/>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540" w:type="dxa"/>
            <w:vAlign w:val="bottom"/>
            <w:tcBorders>
              <w:bottom w:val="single" w:sz="8" w:color="2C6937"/>
            </w:tcBorders>
          </w:tcPr>
          <w:p>
            <w:pPr>
              <w:ind w:left="3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20" w:type="dxa"/>
            <w:vAlign w:val="bottom"/>
            <w:tcBorders>
              <w:bottom w:val="single" w:sz="8" w:color="2C6937"/>
            </w:tcBorders>
          </w:tcPr>
          <w:p>
            <w:pPr>
              <w:spacing w:after="0"/>
              <w:rPr>
                <w:sz w:val="14"/>
                <w:szCs w:val="14"/>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80" w:type="dxa"/>
            <w:vAlign w:val="bottom"/>
            <w:tcBorders>
              <w:bottom w:val="single" w:sz="8" w:color="2C6937"/>
            </w:tcBorders>
          </w:tcPr>
          <w:p>
            <w:pPr>
              <w:spacing w:after="0"/>
              <w:rPr>
                <w:sz w:val="14"/>
                <w:szCs w:val="14"/>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(125)</w:t>
            </w:r>
          </w:p>
        </w:tc>
        <w:tc>
          <w:tcPr>
            <w:tcW w:w="100" w:type="dxa"/>
            <w:vAlign w:val="bottom"/>
          </w:tcPr>
          <w:p>
            <w:pPr>
              <w:spacing w:after="0"/>
              <w:rPr>
                <w:sz w:val="14"/>
                <w:szCs w:val="14"/>
                <w:color w:val="auto"/>
              </w:rPr>
            </w:pPr>
          </w:p>
        </w:tc>
        <w:tc>
          <w:tcPr>
            <w:tcW w:w="80" w:type="dxa"/>
            <w:vAlign w:val="bottom"/>
            <w:tcBorders>
              <w:bottom w:val="single" w:sz="8" w:color="2C6937"/>
            </w:tcBorders>
          </w:tcPr>
          <w:p>
            <w:pPr>
              <w:spacing w:after="0"/>
              <w:rPr>
                <w:sz w:val="14"/>
                <w:szCs w:val="14"/>
                <w:color w:val="auto"/>
              </w:rPr>
            </w:pPr>
          </w:p>
        </w:tc>
        <w:tc>
          <w:tcPr>
            <w:tcW w:w="760" w:type="dxa"/>
            <w:vAlign w:val="bottom"/>
            <w:tcBorders>
              <w:bottom w:val="single" w:sz="8" w:color="2C6937"/>
            </w:tcBorders>
          </w:tcPr>
          <w:p>
            <w:pPr>
              <w:jc w:val="right"/>
              <w:ind w:right="10"/>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740" w:type="dxa"/>
            <w:vAlign w:val="bottom"/>
            <w:tcBorders>
              <w:bottom w:val="single" w:sz="8" w:color="2C6937"/>
            </w:tcBorders>
          </w:tcPr>
          <w:p>
            <w:pPr>
              <w:jc w:val="right"/>
              <w:ind w:right="8"/>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2"/>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Total long-term debt</w:t>
            </w:r>
          </w:p>
        </w:tc>
        <w:tc>
          <w:tcPr>
            <w:tcW w:w="200" w:type="dxa"/>
            <w:vAlign w:val="bottom"/>
          </w:tcPr>
          <w:p>
            <w:pPr>
              <w:ind w:left="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(383)</w:t>
            </w:r>
          </w:p>
        </w:tc>
        <w:tc>
          <w:tcPr>
            <w:tcW w:w="100" w:type="dxa"/>
            <w:vAlign w:val="bottom"/>
          </w:tcPr>
          <w:p>
            <w:pPr>
              <w:spacing w:after="0"/>
              <w:rPr>
                <w:sz w:val="15"/>
                <w:szCs w:val="15"/>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(4)</w:t>
            </w:r>
          </w:p>
        </w:tc>
        <w:tc>
          <w:tcPr>
            <w:tcW w:w="3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ind w:left="50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ind w:left="26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ind w:left="30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25"/>
              <w:spacing w:after="0"/>
              <w:rPr>
                <w:sz w:val="20"/>
                <w:szCs w:val="20"/>
                <w:color w:val="auto"/>
              </w:rPr>
            </w:pPr>
            <w:r>
              <w:rPr>
                <w:rFonts w:ascii="Arial" w:cs="Arial" w:eastAsia="Arial" w:hAnsi="Arial"/>
                <w:sz w:val="11"/>
                <w:szCs w:val="11"/>
                <w:color w:val="auto"/>
              </w:rPr>
              <w:t>6</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ind w:left="360"/>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gridSpan w:val="2"/>
          </w:tcPr>
          <w:p>
            <w:pPr>
              <w:jc w:val="right"/>
              <w:ind w:right="73"/>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(381)</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ind w:left="600"/>
              <w:spacing w:after="0"/>
              <w:rPr>
                <w:sz w:val="20"/>
                <w:szCs w:val="20"/>
                <w:color w:val="auto"/>
              </w:rPr>
            </w:pPr>
            <w:r>
              <w:rPr>
                <w:rFonts w:ascii="Arial" w:cs="Arial" w:eastAsia="Arial" w:hAnsi="Arial"/>
                <w:sz w:val="11"/>
                <w:szCs w:val="11"/>
                <w:color w:val="auto"/>
              </w:rPr>
              <w:t>(4)</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6"/>
        </w:trPr>
        <w:tc>
          <w:tcPr>
            <w:tcW w:w="134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60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380" w:type="dxa"/>
            <w:vAlign w:val="bottom"/>
            <w:tcBorders>
              <w:top w:val="single" w:sz="8" w:color="2C6937"/>
              <w:bottom w:val="single" w:sz="8" w:color="2C6937"/>
            </w:tcBorders>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Borders>
              <w:top w:val="single" w:sz="8" w:color="2C6937"/>
              <w:bottom w:val="single" w:sz="8" w:color="2C6937"/>
            </w:tcBorders>
          </w:tcPr>
          <w:p>
            <w:pPr>
              <w:spacing w:after="0"/>
              <w:rPr>
                <w:sz w:val="2"/>
                <w:szCs w:val="2"/>
                <w:color w:val="auto"/>
              </w:rPr>
            </w:pPr>
          </w:p>
        </w:tc>
        <w:tc>
          <w:tcPr>
            <w:tcW w:w="50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2C6937"/>
              <w:bottom w:val="single" w:sz="8" w:color="2C6937"/>
            </w:tcBorders>
          </w:tcPr>
          <w:p>
            <w:pPr>
              <w:spacing w:after="0"/>
              <w:rPr>
                <w:sz w:val="2"/>
                <w:szCs w:val="2"/>
                <w:color w:val="auto"/>
              </w:rPr>
            </w:pPr>
          </w:p>
        </w:tc>
        <w:tc>
          <w:tcPr>
            <w:tcW w:w="6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42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48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2C6937"/>
              <w:bottom w:val="single" w:sz="8" w:color="2C6937"/>
            </w:tcBorders>
          </w:tcPr>
          <w:p>
            <w:pPr>
              <w:spacing w:after="0"/>
              <w:rPr>
                <w:sz w:val="2"/>
                <w:szCs w:val="2"/>
                <w:color w:val="auto"/>
              </w:rPr>
            </w:pPr>
          </w:p>
        </w:tc>
        <w:tc>
          <w:tcPr>
            <w:tcW w:w="74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54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2C6937"/>
              <w:bottom w:val="single" w:sz="8" w:color="2C6937"/>
            </w:tcBorders>
          </w:tcPr>
          <w:p>
            <w:pPr>
              <w:spacing w:after="0"/>
              <w:rPr>
                <w:sz w:val="2"/>
                <w:szCs w:val="2"/>
                <w:color w:val="auto"/>
              </w:rPr>
            </w:pPr>
          </w:p>
        </w:tc>
        <w:tc>
          <w:tcPr>
            <w:tcW w:w="500" w:type="dxa"/>
            <w:vAlign w:val="bottom"/>
            <w:tcBorders>
              <w:top w:val="single" w:sz="8" w:color="2C6937"/>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2C6937"/>
              <w:bottom w:val="single" w:sz="8" w:color="2C6937"/>
            </w:tcBorders>
          </w:tcPr>
          <w:p>
            <w:pPr>
              <w:spacing w:after="0"/>
              <w:rPr>
                <w:sz w:val="2"/>
                <w:szCs w:val="2"/>
                <w:color w:val="auto"/>
              </w:rPr>
            </w:pPr>
          </w:p>
        </w:tc>
        <w:tc>
          <w:tcPr>
            <w:tcW w:w="62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2C6937"/>
              <w:bottom w:val="single" w:sz="8" w:color="2C6937"/>
            </w:tcBorders>
          </w:tcPr>
          <w:p>
            <w:pPr>
              <w:spacing w:after="0"/>
              <w:rPr>
                <w:sz w:val="2"/>
                <w:szCs w:val="2"/>
                <w:color w:val="auto"/>
              </w:rPr>
            </w:pPr>
          </w:p>
        </w:tc>
        <w:tc>
          <w:tcPr>
            <w:tcW w:w="7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740" w:type="dxa"/>
            <w:vAlign w:val="bottom"/>
            <w:tcBorders>
              <w:top w:val="single" w:sz="8" w:color="2C6937"/>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458470</wp:posOffset>
            </wp:positionV>
            <wp:extent cx="681101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164070" cy="4191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50" w:right="379" w:bottom="1440" w:gutter="0" w:footer="0" w:header="0"/>
        </w:sectPr>
      </w:pPr>
    </w:p>
    <w:bookmarkStart w:id="110" w:name="page111"/>
    <w:bookmarkEnd w:id="110"/>
    <w:p>
      <w:pPr>
        <w:ind w:left="6980"/>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15875</wp:posOffset>
            </wp:positionV>
            <wp:extent cx="702373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1420"/>
        <w:spacing w:after="0"/>
        <w:rPr>
          <w:sz w:val="20"/>
          <w:szCs w:val="20"/>
          <w:color w:val="auto"/>
        </w:rPr>
      </w:pPr>
      <w:r>
        <w:rPr>
          <w:rFonts w:ascii="Arial" w:cs="Arial" w:eastAsia="Arial" w:hAnsi="Arial"/>
          <w:sz w:val="14"/>
          <w:szCs w:val="14"/>
          <w:b w:val="1"/>
          <w:bCs w:val="1"/>
          <w:color w:val="auto"/>
        </w:rPr>
        <w:t>Fair Value Measurements Using Significant Unobservable Inputs (Level 3)</w:t>
      </w:r>
    </w:p>
    <w:p>
      <w:pPr>
        <w:spacing w:after="0" w:line="45" w:lineRule="exact"/>
        <w:rPr>
          <w:sz w:val="20"/>
          <w:szCs w:val="20"/>
          <w:color w:val="auto"/>
        </w:rPr>
      </w:pPr>
    </w:p>
    <w:p>
      <w:pPr>
        <w:jc w:val="center"/>
        <w:ind w:left="1420"/>
        <w:spacing w:after="0"/>
        <w:rPr>
          <w:sz w:val="20"/>
          <w:szCs w:val="20"/>
          <w:color w:val="auto"/>
        </w:rPr>
      </w:pPr>
      <w:r>
        <w:rPr>
          <w:rFonts w:ascii="Arial" w:cs="Arial" w:eastAsia="Arial" w:hAnsi="Arial"/>
          <w:sz w:val="14"/>
          <w:szCs w:val="14"/>
          <w:b w:val="1"/>
          <w:bCs w:val="1"/>
          <w:color w:val="auto"/>
        </w:rPr>
        <w:t>For the Six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11430</wp:posOffset>
            </wp:positionV>
            <wp:extent cx="620522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205220" cy="82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center"/>
              <w:ind w:right="30"/>
              <w:spacing w:after="0"/>
              <w:rPr>
                <w:sz w:val="20"/>
                <w:szCs w:val="20"/>
                <w:color w:val="auto"/>
              </w:rPr>
            </w:pPr>
            <w:r>
              <w:rPr>
                <w:rFonts w:ascii="Arial" w:cs="Arial" w:eastAsia="Arial" w:hAnsi="Arial"/>
                <w:sz w:val="9"/>
                <w:szCs w:val="9"/>
                <w:b w:val="1"/>
                <w:bCs w:val="1"/>
                <w:color w:val="auto"/>
                <w:w w:val="95"/>
              </w:rPr>
              <w:t>Net Unrealized</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gridSpan w:val="4"/>
            <w:vMerge w:val="restart"/>
          </w:tcPr>
          <w:p>
            <w:pPr>
              <w:jc w:val="right"/>
              <w:ind w:right="267"/>
              <w:spacing w:after="0"/>
              <w:rPr>
                <w:sz w:val="20"/>
                <w:szCs w:val="20"/>
                <w:color w:val="auto"/>
              </w:rPr>
            </w:pPr>
            <w:r>
              <w:rPr>
                <w:rFonts w:ascii="Arial" w:cs="Arial" w:eastAsia="Arial" w:hAnsi="Arial"/>
                <w:sz w:val="9"/>
                <w:szCs w:val="9"/>
                <w:b w:val="1"/>
                <w:bCs w:val="1"/>
                <w:color w:val="auto"/>
              </w:rPr>
              <w:t>Total Gains (Losses)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center"/>
              <w:ind w:right="50"/>
              <w:spacing w:after="0"/>
              <w:rPr>
                <w:sz w:val="20"/>
                <w:szCs w:val="20"/>
                <w:color w:val="auto"/>
              </w:rPr>
            </w:pPr>
            <w:r>
              <w:rPr>
                <w:rFonts w:ascii="Arial" w:cs="Arial" w:eastAsia="Arial" w:hAnsi="Arial"/>
                <w:sz w:val="9"/>
                <w:szCs w:val="9"/>
                <w:b w:val="1"/>
                <w:bCs w:val="1"/>
                <w:color w:val="auto"/>
                <w:w w:val="96"/>
              </w:rPr>
              <w:t>Gains (Losses)</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jc w:val="center"/>
              <w:ind w:right="48"/>
              <w:spacing w:after="0"/>
              <w:rPr>
                <w:sz w:val="20"/>
                <w:szCs w:val="20"/>
                <w:color w:val="auto"/>
              </w:rPr>
            </w:pPr>
            <w:r>
              <w:rPr>
                <w:rFonts w:ascii="Arial" w:cs="Arial" w:eastAsia="Arial" w:hAnsi="Arial"/>
                <w:sz w:val="9"/>
                <w:szCs w:val="9"/>
                <w:b w:val="1"/>
                <w:bCs w:val="1"/>
                <w:color w:val="auto"/>
                <w:w w:val="95"/>
              </w:rPr>
              <w:t>Net Unrealized</w:t>
            </w:r>
          </w:p>
        </w:tc>
        <w:tc>
          <w:tcPr>
            <w:tcW w:w="0" w:type="dxa"/>
            <w:vAlign w:val="bottom"/>
          </w:tcPr>
          <w:p>
            <w:pPr>
              <w:spacing w:after="0"/>
              <w:rPr>
                <w:sz w:val="1"/>
                <w:szCs w:val="1"/>
                <w:color w:val="auto"/>
              </w:rPr>
            </w:pPr>
          </w:p>
        </w:tc>
      </w:tr>
      <w:tr>
        <w:trPr>
          <w:trHeight w:val="26"/>
        </w:trPr>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4"/>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vMerge w:val="restart"/>
          </w:tcPr>
          <w:p>
            <w:pPr>
              <w:jc w:val="center"/>
              <w:ind w:right="50"/>
              <w:spacing w:after="0"/>
              <w:rPr>
                <w:sz w:val="20"/>
                <w:szCs w:val="20"/>
                <w:color w:val="auto"/>
              </w:rPr>
            </w:pPr>
            <w:r>
              <w:rPr>
                <w:rFonts w:ascii="Arial" w:cs="Arial" w:eastAsia="Arial" w:hAnsi="Arial"/>
                <w:sz w:val="9"/>
                <w:szCs w:val="9"/>
                <w:b w:val="1"/>
                <w:bCs w:val="1"/>
                <w:color w:val="auto"/>
                <w:w w:val="96"/>
              </w:rPr>
              <w:t>Included in Net</w:t>
            </w: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vMerge w:val="restart"/>
          </w:tcPr>
          <w:p>
            <w:pPr>
              <w:jc w:val="center"/>
              <w:ind w:right="48"/>
              <w:spacing w:after="0"/>
              <w:rPr>
                <w:sz w:val="20"/>
                <w:szCs w:val="20"/>
                <w:color w:val="auto"/>
              </w:rPr>
            </w:pPr>
            <w:r>
              <w:rPr>
                <w:rFonts w:ascii="Arial" w:cs="Arial" w:eastAsia="Arial" w:hAnsi="Arial"/>
                <w:sz w:val="9"/>
                <w:szCs w:val="9"/>
                <w:b w:val="1"/>
                <w:bCs w:val="1"/>
                <w:color w:val="auto"/>
                <w:w w:val="92"/>
              </w:rPr>
              <w:t>Gains (Losses)</w:t>
            </w:r>
          </w:p>
        </w:tc>
        <w:tc>
          <w:tcPr>
            <w:tcW w:w="0" w:type="dxa"/>
            <w:vAlign w:val="bottom"/>
          </w:tcPr>
          <w:p>
            <w:pPr>
              <w:spacing w:after="0" w:line="20" w:lineRule="exact"/>
              <w:rPr>
                <w:sz w:val="1"/>
                <w:szCs w:val="1"/>
                <w:color w:val="auto"/>
              </w:rPr>
            </w:pPr>
          </w:p>
        </w:tc>
      </w:tr>
      <w:tr>
        <w:trPr>
          <w:trHeight w:val="88"/>
        </w:trPr>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00" w:type="dxa"/>
            <w:vAlign w:val="bottom"/>
            <w:gridSpan w:val="4"/>
          </w:tcPr>
          <w:p>
            <w:pPr>
              <w:jc w:val="right"/>
              <w:ind w:right="267"/>
              <w:spacing w:after="0" w:line="88" w:lineRule="exact"/>
              <w:rPr>
                <w:sz w:val="20"/>
                <w:szCs w:val="20"/>
                <w:color w:val="auto"/>
              </w:rPr>
            </w:pPr>
            <w:r>
              <w:rPr>
                <w:rFonts w:ascii="Arial" w:cs="Arial" w:eastAsia="Arial" w:hAnsi="Arial"/>
                <w:sz w:val="9"/>
                <w:szCs w:val="9"/>
                <w:b w:val="1"/>
                <w:bCs w:val="1"/>
                <w:color w:val="auto"/>
              </w:rPr>
              <w:t>(Realized/Unrealized)</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2C6937"/>
            </w:tcBorders>
          </w:tcPr>
          <w:p>
            <w:pPr>
              <w:spacing w:after="0"/>
              <w:rPr>
                <w:sz w:val="3"/>
                <w:szCs w:val="3"/>
                <w:color w:val="auto"/>
              </w:rPr>
            </w:pPr>
          </w:p>
        </w:tc>
        <w:tc>
          <w:tcPr>
            <w:tcW w:w="380" w:type="dxa"/>
            <w:vAlign w:val="bottom"/>
            <w:tcBorders>
              <w:bottom w:val="single" w:sz="8" w:color="2C6937"/>
            </w:tcBorders>
          </w:tcPr>
          <w:p>
            <w:pPr>
              <w:spacing w:after="0"/>
              <w:rPr>
                <w:sz w:val="3"/>
                <w:szCs w:val="3"/>
                <w:color w:val="auto"/>
              </w:rPr>
            </w:pPr>
          </w:p>
        </w:tc>
        <w:tc>
          <w:tcPr>
            <w:tcW w:w="340" w:type="dxa"/>
            <w:vAlign w:val="bottom"/>
            <w:tcBorders>
              <w:bottom w:val="single" w:sz="8" w:color="2C6937"/>
            </w:tcBorders>
          </w:tcPr>
          <w:p>
            <w:pPr>
              <w:spacing w:after="0"/>
              <w:rPr>
                <w:sz w:val="3"/>
                <w:szCs w:val="3"/>
                <w:color w:val="auto"/>
              </w:rPr>
            </w:pPr>
          </w:p>
        </w:tc>
        <w:tc>
          <w:tcPr>
            <w:tcW w:w="80" w:type="dxa"/>
            <w:vAlign w:val="bottom"/>
            <w:tcBorders>
              <w:bottom w:val="single" w:sz="8" w:color="2C6937"/>
            </w:tcBorders>
          </w:tcPr>
          <w:p>
            <w:pPr>
              <w:spacing w:after="0"/>
              <w:rPr>
                <w:sz w:val="3"/>
                <w:szCs w:val="3"/>
                <w:color w:val="auto"/>
              </w:rPr>
            </w:pPr>
          </w:p>
        </w:tc>
        <w:tc>
          <w:tcPr>
            <w:tcW w:w="500" w:type="dxa"/>
            <w:vAlign w:val="bottom"/>
            <w:tcBorders>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860" w:type="dxa"/>
            <w:vAlign w:val="bottom"/>
            <w:gridSpan w:val="2"/>
            <w:vMerge w:val="restart"/>
          </w:tcPr>
          <w:p>
            <w:pPr>
              <w:jc w:val="center"/>
              <w:spacing w:after="0" w:line="93" w:lineRule="exact"/>
              <w:rPr>
                <w:sz w:val="20"/>
                <w:szCs w:val="20"/>
                <w:color w:val="auto"/>
              </w:rPr>
            </w:pPr>
            <w:r>
              <w:rPr>
                <w:rFonts w:ascii="Arial" w:cs="Arial" w:eastAsia="Arial" w:hAnsi="Arial"/>
                <w:sz w:val="9"/>
                <w:szCs w:val="9"/>
                <w:b w:val="1"/>
                <w:bCs w:val="1"/>
                <w:color w:val="auto"/>
                <w:w w:val="95"/>
              </w:rPr>
              <w:t>Income Related to</w:t>
            </w: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vMerge w:val="restart"/>
          </w:tcPr>
          <w:p>
            <w:pPr>
              <w:jc w:val="center"/>
              <w:ind w:right="48"/>
              <w:spacing w:after="0" w:line="93" w:lineRule="exact"/>
              <w:rPr>
                <w:sz w:val="20"/>
                <w:szCs w:val="20"/>
                <w:color w:val="auto"/>
              </w:rPr>
            </w:pPr>
            <w:r>
              <w:rPr>
                <w:rFonts w:ascii="Arial" w:cs="Arial" w:eastAsia="Arial" w:hAnsi="Arial"/>
                <w:sz w:val="9"/>
                <w:szCs w:val="9"/>
                <w:b w:val="1"/>
                <w:bCs w:val="1"/>
                <w:color w:val="auto"/>
                <w:w w:val="96"/>
              </w:rPr>
              <w:t>Included in OCI</w:t>
            </w:r>
          </w:p>
        </w:tc>
        <w:tc>
          <w:tcPr>
            <w:tcW w:w="0" w:type="dxa"/>
            <w:vAlign w:val="bottom"/>
          </w:tcPr>
          <w:p>
            <w:pPr>
              <w:spacing w:after="0"/>
              <w:rPr>
                <w:sz w:val="1"/>
                <w:szCs w:val="1"/>
                <w:color w:val="auto"/>
              </w:rPr>
            </w:pPr>
          </w:p>
        </w:tc>
      </w:tr>
      <w:tr>
        <w:trPr>
          <w:trHeight w:val="34"/>
        </w:trPr>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center"/>
              <w:ind w:right="50"/>
              <w:spacing w:after="0"/>
              <w:rPr>
                <w:sz w:val="20"/>
                <w:szCs w:val="20"/>
                <w:color w:val="auto"/>
              </w:rPr>
            </w:pPr>
            <w:r>
              <w:rPr>
                <w:rFonts w:ascii="Arial" w:cs="Arial" w:eastAsia="Arial" w:hAnsi="Arial"/>
                <w:sz w:val="9"/>
                <w:szCs w:val="9"/>
                <w:b w:val="1"/>
                <w:bCs w:val="1"/>
                <w:color w:val="auto"/>
                <w:w w:val="95"/>
              </w:rPr>
              <w:t>Assets and</w:t>
            </w:r>
          </w:p>
        </w:tc>
        <w:tc>
          <w:tcPr>
            <w:tcW w:w="80" w:type="dxa"/>
            <w:vAlign w:val="bottom"/>
          </w:tcPr>
          <w:p>
            <w:pPr>
              <w:spacing w:after="0"/>
              <w:rPr>
                <w:sz w:val="8"/>
                <w:szCs w:val="8"/>
                <w:color w:val="auto"/>
              </w:rPr>
            </w:pPr>
          </w:p>
        </w:tc>
        <w:tc>
          <w:tcPr>
            <w:tcW w:w="880" w:type="dxa"/>
            <w:vAlign w:val="bottom"/>
            <w:gridSpan w:val="2"/>
          </w:tcPr>
          <w:p>
            <w:pPr>
              <w:jc w:val="center"/>
              <w:spacing w:after="0"/>
              <w:rPr>
                <w:sz w:val="20"/>
                <w:szCs w:val="20"/>
                <w:color w:val="auto"/>
              </w:rPr>
            </w:pPr>
            <w:r>
              <w:rPr>
                <w:rFonts w:ascii="Arial" w:cs="Arial" w:eastAsia="Arial" w:hAnsi="Arial"/>
                <w:sz w:val="9"/>
                <w:szCs w:val="9"/>
                <w:b w:val="1"/>
                <w:bCs w:val="1"/>
                <w:color w:val="auto"/>
                <w:w w:val="95"/>
              </w:rPr>
              <w:t>Related to Assets</w:t>
            </w:r>
          </w:p>
        </w:tc>
        <w:tc>
          <w:tcPr>
            <w:tcW w:w="0" w:type="dxa"/>
            <w:vAlign w:val="bottom"/>
          </w:tcPr>
          <w:p>
            <w:pPr>
              <w:spacing w:after="0"/>
              <w:rPr>
                <w:sz w:val="1"/>
                <w:szCs w:val="1"/>
                <w:color w:val="auto"/>
              </w:rPr>
            </w:pPr>
          </w:p>
        </w:tc>
      </w:t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gridSpan w:val="2"/>
          </w:tcPr>
          <w:p>
            <w:pPr>
              <w:jc w:val="center"/>
              <w:spacing w:after="0"/>
              <w:rPr>
                <w:sz w:val="20"/>
                <w:szCs w:val="20"/>
                <w:color w:val="auto"/>
              </w:rPr>
            </w:pPr>
            <w:r>
              <w:rPr>
                <w:rFonts w:ascii="Arial" w:cs="Arial" w:eastAsia="Arial" w:hAnsi="Arial"/>
                <w:sz w:val="9"/>
                <w:szCs w:val="9"/>
                <w:b w:val="1"/>
                <w:bCs w:val="1"/>
                <w:color w:val="auto"/>
                <w:w w:val="96"/>
              </w:rPr>
              <w:t>Included in</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tcPr>
          <w:p>
            <w:pPr>
              <w:jc w:val="center"/>
              <w:spacing w:after="0"/>
              <w:rPr>
                <w:sz w:val="20"/>
                <w:szCs w:val="20"/>
                <w:color w:val="auto"/>
              </w:rPr>
            </w:pPr>
            <w:r>
              <w:rPr>
                <w:rFonts w:ascii="Arial" w:cs="Arial" w:eastAsia="Arial" w:hAnsi="Arial"/>
                <w:sz w:val="9"/>
                <w:szCs w:val="9"/>
                <w:b w:val="1"/>
                <w:bCs w:val="1"/>
                <w:color w:val="auto"/>
                <w:w w:val="94"/>
              </w:rPr>
              <w:t>Liabilities Still Held</w:t>
            </w:r>
          </w:p>
        </w:tc>
        <w:tc>
          <w:tcPr>
            <w:tcW w:w="80" w:type="dxa"/>
            <w:vAlign w:val="bottom"/>
          </w:tcPr>
          <w:p>
            <w:pPr>
              <w:spacing w:after="0"/>
              <w:rPr>
                <w:sz w:val="8"/>
                <w:szCs w:val="8"/>
                <w:color w:val="auto"/>
              </w:rPr>
            </w:pPr>
          </w:p>
        </w:tc>
        <w:tc>
          <w:tcPr>
            <w:tcW w:w="880" w:type="dxa"/>
            <w:vAlign w:val="bottom"/>
            <w:gridSpan w:val="2"/>
          </w:tcPr>
          <w:p>
            <w:pPr>
              <w:jc w:val="center"/>
              <w:spacing w:after="0"/>
              <w:rPr>
                <w:sz w:val="20"/>
                <w:szCs w:val="20"/>
                <w:color w:val="auto"/>
              </w:rPr>
            </w:pPr>
            <w:r>
              <w:rPr>
                <w:rFonts w:ascii="Arial" w:cs="Arial" w:eastAsia="Arial" w:hAnsi="Arial"/>
                <w:sz w:val="9"/>
                <w:szCs w:val="9"/>
                <w:b w:val="1"/>
                <w:bCs w:val="1"/>
                <w:color w:val="auto"/>
                <w:w w:val="96"/>
              </w:rPr>
              <w:t>and Liabilities Still</w:t>
            </w:r>
          </w:p>
        </w:tc>
        <w:tc>
          <w:tcPr>
            <w:tcW w:w="0" w:type="dxa"/>
            <w:vAlign w:val="bottom"/>
          </w:tcPr>
          <w:p>
            <w:pPr>
              <w:spacing w:after="0"/>
              <w:rPr>
                <w:sz w:val="1"/>
                <w:szCs w:val="1"/>
                <w:color w:val="auto"/>
              </w:rPr>
            </w:pPr>
          </w:p>
        </w:tc>
      </w:t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gridSpan w:val="2"/>
          </w:tcPr>
          <w:p>
            <w:pPr>
              <w:ind w:left="60"/>
              <w:spacing w:after="0"/>
              <w:rPr>
                <w:sz w:val="20"/>
                <w:szCs w:val="20"/>
                <w:color w:val="auto"/>
              </w:rPr>
            </w:pPr>
            <w:r>
              <w:rPr>
                <w:rFonts w:ascii="Arial" w:cs="Arial" w:eastAsia="Arial" w:hAnsi="Arial"/>
                <w:sz w:val="9"/>
                <w:szCs w:val="9"/>
                <w:b w:val="1"/>
                <w:bCs w:val="1"/>
                <w:color w:val="auto"/>
              </w:rPr>
              <w:t>Balance,</w:t>
            </w:r>
          </w:p>
        </w:tc>
        <w:tc>
          <w:tcPr>
            <w:tcW w:w="580" w:type="dxa"/>
            <w:vAlign w:val="bottom"/>
            <w:gridSpan w:val="2"/>
          </w:tcPr>
          <w:p>
            <w:pPr>
              <w:jc w:val="right"/>
              <w:ind w:right="9"/>
              <w:spacing w:after="0"/>
              <w:rPr>
                <w:sz w:val="20"/>
                <w:szCs w:val="20"/>
                <w:color w:val="auto"/>
              </w:rPr>
            </w:pPr>
            <w:r>
              <w:rPr>
                <w:rFonts w:ascii="Arial" w:cs="Arial" w:eastAsia="Arial" w:hAnsi="Arial"/>
                <w:sz w:val="9"/>
                <w:szCs w:val="9"/>
                <w:b w:val="1"/>
                <w:bCs w:val="1"/>
                <w:color w:val="auto"/>
              </w:rPr>
              <w:t>Included in</w:t>
            </w: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center"/>
              <w:ind w:right="27"/>
              <w:spacing w:after="0"/>
              <w:rPr>
                <w:sz w:val="20"/>
                <w:szCs w:val="20"/>
                <w:color w:val="auto"/>
              </w:rPr>
            </w:pPr>
            <w:r>
              <w:rPr>
                <w:rFonts w:ascii="Arial" w:cs="Arial" w:eastAsia="Arial" w:hAnsi="Arial"/>
                <w:sz w:val="9"/>
                <w:szCs w:val="9"/>
                <w:b w:val="1"/>
                <w:bCs w:val="1"/>
                <w:color w:val="auto"/>
                <w:w w:val="94"/>
              </w:rPr>
              <w:t>Total OCI</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right"/>
              <w:ind w:right="5"/>
              <w:spacing w:after="0"/>
              <w:rPr>
                <w:sz w:val="20"/>
                <w:szCs w:val="20"/>
                <w:color w:val="auto"/>
              </w:rPr>
            </w:pPr>
            <w:r>
              <w:rPr>
                <w:rFonts w:ascii="Arial" w:cs="Arial" w:eastAsia="Arial" w:hAnsi="Arial"/>
                <w:sz w:val="9"/>
                <w:szCs w:val="9"/>
                <w:b w:val="1"/>
                <w:bCs w:val="1"/>
                <w:color w:val="auto"/>
                <w:w w:val="97"/>
              </w:rPr>
              <w:t>Transfers out</w:t>
            </w:r>
          </w:p>
        </w:tc>
        <w:tc>
          <w:tcPr>
            <w:tcW w:w="80" w:type="dxa"/>
            <w:vAlign w:val="bottom"/>
          </w:tcPr>
          <w:p>
            <w:pPr>
              <w:spacing w:after="0"/>
              <w:rPr>
                <w:sz w:val="8"/>
                <w:szCs w:val="8"/>
                <w:color w:val="auto"/>
              </w:rPr>
            </w:pPr>
          </w:p>
        </w:tc>
        <w:tc>
          <w:tcPr>
            <w:tcW w:w="660" w:type="dxa"/>
            <w:vAlign w:val="bottom"/>
            <w:gridSpan w:val="2"/>
          </w:tcPr>
          <w:p>
            <w:pPr>
              <w:jc w:val="right"/>
              <w:spacing w:after="0"/>
              <w:rPr>
                <w:sz w:val="20"/>
                <w:szCs w:val="20"/>
                <w:color w:val="auto"/>
              </w:rPr>
            </w:pPr>
            <w:r>
              <w:rPr>
                <w:rFonts w:ascii="Arial" w:cs="Arial" w:eastAsia="Arial" w:hAnsi="Arial"/>
                <w:sz w:val="9"/>
                <w:szCs w:val="9"/>
                <w:b w:val="1"/>
                <w:bCs w:val="1"/>
                <w:color w:val="auto"/>
                <w:w w:val="99"/>
              </w:rPr>
              <w:t>Transfers into</w:t>
            </w:r>
          </w:p>
        </w:tc>
        <w:tc>
          <w:tcPr>
            <w:tcW w:w="80" w:type="dxa"/>
            <w:vAlign w:val="bottom"/>
          </w:tcPr>
          <w:p>
            <w:pPr>
              <w:spacing w:after="0"/>
              <w:rPr>
                <w:sz w:val="8"/>
                <w:szCs w:val="8"/>
                <w:color w:val="auto"/>
              </w:rPr>
            </w:pPr>
          </w:p>
        </w:tc>
        <w:tc>
          <w:tcPr>
            <w:tcW w:w="820" w:type="dxa"/>
            <w:vAlign w:val="bottom"/>
            <w:gridSpan w:val="2"/>
          </w:tcPr>
          <w:p>
            <w:pPr>
              <w:jc w:val="right"/>
              <w:ind w:right="5"/>
              <w:spacing w:after="0"/>
              <w:rPr>
                <w:sz w:val="20"/>
                <w:szCs w:val="20"/>
                <w:color w:val="auto"/>
              </w:rPr>
            </w:pPr>
            <w:r>
              <w:rPr>
                <w:rFonts w:ascii="Arial" w:cs="Arial" w:eastAsia="Arial" w:hAnsi="Arial"/>
                <w:sz w:val="9"/>
                <w:szCs w:val="9"/>
                <w:b w:val="1"/>
                <w:bCs w:val="1"/>
                <w:color w:val="auto"/>
                <w:w w:val="97"/>
              </w:rPr>
              <w:t>Balance, June 30,</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center"/>
              <w:ind w:right="50"/>
              <w:spacing w:after="0"/>
              <w:rPr>
                <w:sz w:val="20"/>
                <w:szCs w:val="20"/>
                <w:color w:val="auto"/>
              </w:rPr>
            </w:pPr>
            <w:r>
              <w:rPr>
                <w:rFonts w:ascii="Arial" w:cs="Arial" w:eastAsia="Arial" w:hAnsi="Arial"/>
                <w:sz w:val="9"/>
                <w:szCs w:val="9"/>
                <w:b w:val="1"/>
                <w:bCs w:val="1"/>
                <w:color w:val="auto"/>
                <w:w w:val="97"/>
              </w:rPr>
              <w:t>as of June 30,</w:t>
            </w:r>
          </w:p>
        </w:tc>
        <w:tc>
          <w:tcPr>
            <w:tcW w:w="80" w:type="dxa"/>
            <w:vAlign w:val="bottom"/>
          </w:tcPr>
          <w:p>
            <w:pPr>
              <w:spacing w:after="0"/>
              <w:rPr>
                <w:sz w:val="8"/>
                <w:szCs w:val="8"/>
                <w:color w:val="auto"/>
              </w:rPr>
            </w:pPr>
          </w:p>
        </w:tc>
        <w:tc>
          <w:tcPr>
            <w:tcW w:w="880" w:type="dxa"/>
            <w:vAlign w:val="bottom"/>
            <w:gridSpan w:val="2"/>
          </w:tcPr>
          <w:p>
            <w:pPr>
              <w:jc w:val="center"/>
              <w:spacing w:after="0"/>
              <w:rPr>
                <w:sz w:val="20"/>
                <w:szCs w:val="20"/>
                <w:color w:val="auto"/>
              </w:rPr>
            </w:pPr>
            <w:r>
              <w:rPr>
                <w:rFonts w:ascii="Arial" w:cs="Arial" w:eastAsia="Arial" w:hAnsi="Arial"/>
                <w:sz w:val="9"/>
                <w:szCs w:val="9"/>
                <w:b w:val="1"/>
                <w:bCs w:val="1"/>
                <w:color w:val="auto"/>
                <w:w w:val="93"/>
              </w:rPr>
              <w:t>Held as of June 30,</w:t>
            </w:r>
          </w:p>
        </w:tc>
        <w:tc>
          <w:tcPr>
            <w:tcW w:w="0" w:type="dxa"/>
            <w:vAlign w:val="bottom"/>
          </w:tcPr>
          <w:p>
            <w:pPr>
              <w:spacing w:after="0"/>
              <w:rPr>
                <w:sz w:val="1"/>
                <w:szCs w:val="1"/>
                <w:color w:val="auto"/>
              </w:rPr>
            </w:pPr>
          </w:p>
        </w:tc>
      </w:tr>
      <w:tr>
        <w:trPr>
          <w:trHeight w:val="139"/>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bottom w:val="single" w:sz="8" w:color="2C6937"/>
            </w:tcBorders>
            <w:gridSpan w:val="3"/>
          </w:tcPr>
          <w:p>
            <w:pPr>
              <w:ind w:left="20"/>
              <w:spacing w:after="0"/>
              <w:rPr>
                <w:sz w:val="20"/>
                <w:szCs w:val="20"/>
                <w:color w:val="auto"/>
              </w:rPr>
            </w:pPr>
            <w:r>
              <w:rPr>
                <w:rFonts w:ascii="Arial" w:cs="Arial" w:eastAsia="Arial" w:hAnsi="Arial"/>
                <w:sz w:val="9"/>
                <w:szCs w:val="9"/>
                <w:b w:val="1"/>
                <w:bCs w:val="1"/>
                <w:color w:val="auto"/>
              </w:rPr>
              <w:t>December 31, 2022</w:t>
            </w:r>
          </w:p>
        </w:tc>
        <w:tc>
          <w:tcPr>
            <w:tcW w:w="580" w:type="dxa"/>
            <w:vAlign w:val="bottom"/>
            <w:tcBorders>
              <w:bottom w:val="single" w:sz="8" w:color="2C6937"/>
            </w:tcBorders>
            <w:gridSpan w:val="2"/>
          </w:tcPr>
          <w:p>
            <w:pPr>
              <w:jc w:val="right"/>
              <w:ind w:right="9"/>
              <w:spacing w:after="0"/>
              <w:rPr>
                <w:sz w:val="20"/>
                <w:szCs w:val="20"/>
                <w:color w:val="auto"/>
              </w:rPr>
            </w:pPr>
            <w:r>
              <w:rPr>
                <w:rFonts w:ascii="Arial" w:cs="Arial" w:eastAsia="Arial" w:hAnsi="Arial"/>
                <w:sz w:val="9"/>
                <w:szCs w:val="9"/>
                <w:b w:val="1"/>
                <w:bCs w:val="1"/>
                <w:color w:val="auto"/>
              </w:rPr>
              <w:t>Net Income</w:t>
            </w:r>
          </w:p>
        </w:tc>
        <w:tc>
          <w:tcPr>
            <w:tcW w:w="340" w:type="dxa"/>
            <w:vAlign w:val="bottom"/>
            <w:tcBorders>
              <w:bottom w:val="single" w:sz="8" w:color="2C6937"/>
            </w:tcBorders>
          </w:tcPr>
          <w:p>
            <w:pPr>
              <w:spacing w:after="0"/>
              <w:rPr>
                <w:sz w:val="12"/>
                <w:szCs w:val="12"/>
                <w:color w:val="auto"/>
              </w:rPr>
            </w:pPr>
          </w:p>
        </w:tc>
        <w:tc>
          <w:tcPr>
            <w:tcW w:w="80" w:type="dxa"/>
            <w:vAlign w:val="bottom"/>
            <w:tcBorders>
              <w:bottom w:val="single" w:sz="8" w:color="2C6937"/>
            </w:tcBorders>
          </w:tcPr>
          <w:p>
            <w:pPr>
              <w:spacing w:after="0"/>
              <w:rPr>
                <w:sz w:val="12"/>
                <w:szCs w:val="12"/>
                <w:color w:val="auto"/>
              </w:rPr>
            </w:pPr>
          </w:p>
        </w:tc>
        <w:tc>
          <w:tcPr>
            <w:tcW w:w="500" w:type="dxa"/>
            <w:vAlign w:val="bottom"/>
            <w:tcBorders>
              <w:bottom w:val="single" w:sz="8" w:color="2C6937"/>
            </w:tcBorders>
          </w:tcPr>
          <w:p>
            <w:pPr>
              <w:jc w:val="center"/>
              <w:ind w:right="27"/>
              <w:spacing w:after="0"/>
              <w:rPr>
                <w:sz w:val="20"/>
                <w:szCs w:val="20"/>
                <w:color w:val="auto"/>
              </w:rPr>
            </w:pPr>
            <w:r>
              <w:rPr>
                <w:rFonts w:ascii="Arial" w:cs="Arial" w:eastAsia="Arial" w:hAnsi="Arial"/>
                <w:sz w:val="9"/>
                <w:szCs w:val="9"/>
                <w:b w:val="1"/>
                <w:bCs w:val="1"/>
                <w:color w:val="auto"/>
                <w:w w:val="94"/>
              </w:rPr>
              <w:t>(Loss)</w:t>
            </w:r>
            <w:r>
              <w:rPr>
                <w:rFonts w:ascii="Arial" w:cs="Arial" w:eastAsia="Arial" w:hAnsi="Arial"/>
                <w:sz w:val="11"/>
                <w:szCs w:val="11"/>
                <w:b w:val="1"/>
                <w:bCs w:val="1"/>
                <w:color w:val="auto"/>
                <w:w w:val="94"/>
                <w:vertAlign w:val="superscript"/>
              </w:rPr>
              <w:t>(1)</w:t>
            </w:r>
          </w:p>
        </w:tc>
        <w:tc>
          <w:tcPr>
            <w:tcW w:w="100" w:type="dxa"/>
            <w:vAlign w:val="bottom"/>
            <w:tcBorders>
              <w:bottom w:val="single" w:sz="8" w:color="2C6937"/>
            </w:tcBorders>
          </w:tcPr>
          <w:p>
            <w:pPr>
              <w:spacing w:after="0"/>
              <w:rPr>
                <w:sz w:val="12"/>
                <w:szCs w:val="12"/>
                <w:color w:val="auto"/>
              </w:rPr>
            </w:pPr>
          </w:p>
        </w:tc>
        <w:tc>
          <w:tcPr>
            <w:tcW w:w="120" w:type="dxa"/>
            <w:vAlign w:val="bottom"/>
            <w:tcBorders>
              <w:bottom w:val="single" w:sz="8" w:color="2C6937"/>
            </w:tcBorders>
          </w:tcPr>
          <w:p>
            <w:pPr>
              <w:spacing w:after="0"/>
              <w:rPr>
                <w:sz w:val="12"/>
                <w:szCs w:val="12"/>
                <w:color w:val="auto"/>
              </w:rPr>
            </w:pPr>
          </w:p>
        </w:tc>
        <w:tc>
          <w:tcPr>
            <w:tcW w:w="660" w:type="dxa"/>
            <w:vAlign w:val="bottom"/>
            <w:tcBorders>
              <w:bottom w:val="single" w:sz="8" w:color="2C6937"/>
            </w:tcBorders>
          </w:tcPr>
          <w:p>
            <w:pPr>
              <w:ind w:left="20"/>
              <w:spacing w:after="0"/>
              <w:rPr>
                <w:sz w:val="20"/>
                <w:szCs w:val="20"/>
                <w:color w:val="auto"/>
              </w:rPr>
            </w:pPr>
            <w:r>
              <w:rPr>
                <w:rFonts w:ascii="Arial" w:cs="Arial" w:eastAsia="Arial" w:hAnsi="Arial"/>
                <w:sz w:val="9"/>
                <w:szCs w:val="9"/>
                <w:b w:val="1"/>
                <w:bCs w:val="1"/>
                <w:color w:val="auto"/>
              </w:rPr>
              <w:t>Purchases</w:t>
            </w:r>
            <w:r>
              <w:rPr>
                <w:rFonts w:ascii="Arial" w:cs="Arial" w:eastAsia="Arial" w:hAnsi="Arial"/>
                <w:sz w:val="11"/>
                <w:szCs w:val="11"/>
                <w:b w:val="1"/>
                <w:bCs w:val="1"/>
                <w:color w:val="auto"/>
                <w:vertAlign w:val="superscript"/>
              </w:rPr>
              <w:t>(2)</w:t>
            </w: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420" w:type="dxa"/>
            <w:vAlign w:val="bottom"/>
            <w:tcBorders>
              <w:bottom w:val="single" w:sz="8" w:color="2C6937"/>
            </w:tcBorders>
          </w:tcPr>
          <w:p>
            <w:pPr>
              <w:ind w:left="20"/>
              <w:spacing w:after="0"/>
              <w:rPr>
                <w:sz w:val="20"/>
                <w:szCs w:val="20"/>
                <w:color w:val="auto"/>
              </w:rPr>
            </w:pPr>
            <w:r>
              <w:rPr>
                <w:rFonts w:ascii="Arial" w:cs="Arial" w:eastAsia="Arial" w:hAnsi="Arial"/>
                <w:sz w:val="9"/>
                <w:szCs w:val="9"/>
                <w:b w:val="1"/>
                <w:bCs w:val="1"/>
                <w:color w:val="auto"/>
              </w:rPr>
              <w:t>Sales</w:t>
            </w:r>
            <w:r>
              <w:rPr>
                <w:rFonts w:ascii="Arial" w:cs="Arial" w:eastAsia="Arial" w:hAnsi="Arial"/>
                <w:sz w:val="11"/>
                <w:szCs w:val="11"/>
                <w:b w:val="1"/>
                <w:bCs w:val="1"/>
                <w:color w:val="auto"/>
                <w:vertAlign w:val="superscript"/>
              </w:rPr>
              <w:t>(2)</w:t>
            </w: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460" w:type="dxa"/>
            <w:vAlign w:val="bottom"/>
            <w:tcBorders>
              <w:bottom w:val="single" w:sz="8" w:color="2C6937"/>
            </w:tcBorders>
          </w:tcPr>
          <w:p>
            <w:pPr>
              <w:ind w:left="20"/>
              <w:spacing w:after="0"/>
              <w:rPr>
                <w:sz w:val="20"/>
                <w:szCs w:val="20"/>
                <w:color w:val="auto"/>
              </w:rPr>
            </w:pPr>
            <w:r>
              <w:rPr>
                <w:rFonts w:ascii="Arial" w:cs="Arial" w:eastAsia="Arial" w:hAnsi="Arial"/>
                <w:sz w:val="9"/>
                <w:szCs w:val="9"/>
                <w:b w:val="1"/>
                <w:bCs w:val="1"/>
                <w:color w:val="auto"/>
              </w:rPr>
              <w:t>Issues</w:t>
            </w:r>
            <w:r>
              <w:rPr>
                <w:rFonts w:ascii="Arial" w:cs="Arial" w:eastAsia="Arial" w:hAnsi="Arial"/>
                <w:sz w:val="11"/>
                <w:szCs w:val="11"/>
                <w:b w:val="1"/>
                <w:bCs w:val="1"/>
                <w:color w:val="auto"/>
                <w:vertAlign w:val="superscript"/>
              </w:rPr>
              <w:t>(3)</w:t>
            </w:r>
          </w:p>
        </w:tc>
        <w:tc>
          <w:tcPr>
            <w:tcW w:w="100" w:type="dxa"/>
            <w:vAlign w:val="bottom"/>
            <w:tcBorders>
              <w:bottom w:val="single" w:sz="8" w:color="2C6937"/>
            </w:tcBorders>
          </w:tcPr>
          <w:p>
            <w:pPr>
              <w:spacing w:after="0"/>
              <w:rPr>
                <w:sz w:val="12"/>
                <w:szCs w:val="12"/>
                <w:color w:val="auto"/>
              </w:rPr>
            </w:pPr>
          </w:p>
        </w:tc>
        <w:tc>
          <w:tcPr>
            <w:tcW w:w="120" w:type="dxa"/>
            <w:vAlign w:val="bottom"/>
            <w:tcBorders>
              <w:bottom w:val="single" w:sz="8" w:color="2C6937"/>
            </w:tcBorders>
          </w:tcPr>
          <w:p>
            <w:pPr>
              <w:spacing w:after="0"/>
              <w:rPr>
                <w:sz w:val="12"/>
                <w:szCs w:val="12"/>
                <w:color w:val="auto"/>
              </w:rPr>
            </w:pPr>
          </w:p>
        </w:tc>
        <w:tc>
          <w:tcPr>
            <w:tcW w:w="720" w:type="dxa"/>
            <w:vAlign w:val="bottom"/>
            <w:tcBorders>
              <w:bottom w:val="single" w:sz="8" w:color="2C6937"/>
            </w:tcBorders>
          </w:tcPr>
          <w:p>
            <w:pPr>
              <w:jc w:val="right"/>
              <w:ind w:right="85"/>
              <w:spacing w:after="0"/>
              <w:rPr>
                <w:sz w:val="20"/>
                <w:szCs w:val="20"/>
                <w:color w:val="auto"/>
              </w:rPr>
            </w:pPr>
            <w:r>
              <w:rPr>
                <w:rFonts w:ascii="Arial" w:cs="Arial" w:eastAsia="Arial" w:hAnsi="Arial"/>
                <w:sz w:val="9"/>
                <w:szCs w:val="9"/>
                <w:b w:val="1"/>
                <w:bCs w:val="1"/>
                <w:color w:val="auto"/>
                <w:w w:val="93"/>
              </w:rPr>
              <w:t>Settlements</w:t>
            </w:r>
            <w:r>
              <w:rPr>
                <w:rFonts w:ascii="Arial" w:cs="Arial" w:eastAsia="Arial" w:hAnsi="Arial"/>
                <w:sz w:val="11"/>
                <w:szCs w:val="11"/>
                <w:b w:val="1"/>
                <w:bCs w:val="1"/>
                <w:color w:val="auto"/>
                <w:w w:val="93"/>
                <w:vertAlign w:val="superscript"/>
              </w:rPr>
              <w:t>(3)</w:t>
            </w: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540" w:type="dxa"/>
            <w:vAlign w:val="bottom"/>
            <w:tcBorders>
              <w:bottom w:val="single" w:sz="8" w:color="2C6937"/>
            </w:tcBorders>
          </w:tcPr>
          <w:p>
            <w:pPr>
              <w:ind w:left="20"/>
              <w:spacing w:after="0"/>
              <w:rPr>
                <w:sz w:val="20"/>
                <w:szCs w:val="20"/>
                <w:color w:val="auto"/>
              </w:rPr>
            </w:pPr>
            <w:r>
              <w:rPr>
                <w:rFonts w:ascii="Arial" w:cs="Arial" w:eastAsia="Arial" w:hAnsi="Arial"/>
                <w:sz w:val="9"/>
                <w:szCs w:val="9"/>
                <w:b w:val="1"/>
                <w:bCs w:val="1"/>
                <w:color w:val="auto"/>
              </w:rPr>
              <w:t>of Level 3</w:t>
            </w:r>
          </w:p>
        </w:tc>
        <w:tc>
          <w:tcPr>
            <w:tcW w:w="80" w:type="dxa"/>
            <w:vAlign w:val="bottom"/>
            <w:tcBorders>
              <w:bottom w:val="single" w:sz="8" w:color="2C6937"/>
            </w:tcBorders>
          </w:tcPr>
          <w:p>
            <w:pPr>
              <w:spacing w:after="0"/>
              <w:rPr>
                <w:sz w:val="12"/>
                <w:szCs w:val="12"/>
                <w:color w:val="auto"/>
              </w:rPr>
            </w:pPr>
          </w:p>
        </w:tc>
        <w:tc>
          <w:tcPr>
            <w:tcW w:w="140" w:type="dxa"/>
            <w:vAlign w:val="bottom"/>
            <w:tcBorders>
              <w:bottom w:val="single" w:sz="8" w:color="2C6937"/>
            </w:tcBorders>
          </w:tcPr>
          <w:p>
            <w:pPr>
              <w:spacing w:after="0"/>
              <w:rPr>
                <w:sz w:val="12"/>
                <w:szCs w:val="12"/>
                <w:color w:val="auto"/>
              </w:rPr>
            </w:pPr>
          </w:p>
        </w:tc>
        <w:tc>
          <w:tcPr>
            <w:tcW w:w="520" w:type="dxa"/>
            <w:vAlign w:val="bottom"/>
            <w:tcBorders>
              <w:bottom w:val="single" w:sz="8" w:color="2C6937"/>
            </w:tcBorders>
          </w:tcPr>
          <w:p>
            <w:pPr>
              <w:jc w:val="right"/>
              <w:ind w:right="125"/>
              <w:spacing w:after="0"/>
              <w:rPr>
                <w:sz w:val="20"/>
                <w:szCs w:val="20"/>
                <w:color w:val="auto"/>
              </w:rPr>
            </w:pPr>
            <w:r>
              <w:rPr>
                <w:rFonts w:ascii="Arial" w:cs="Arial" w:eastAsia="Arial" w:hAnsi="Arial"/>
                <w:sz w:val="9"/>
                <w:szCs w:val="9"/>
                <w:b w:val="1"/>
                <w:bCs w:val="1"/>
                <w:color w:val="auto"/>
              </w:rPr>
              <w:t>Level 3</w:t>
            </w:r>
          </w:p>
        </w:tc>
        <w:tc>
          <w:tcPr>
            <w:tcW w:w="80" w:type="dxa"/>
            <w:vAlign w:val="bottom"/>
            <w:tcBorders>
              <w:bottom w:val="single" w:sz="8" w:color="2C6937"/>
            </w:tcBorders>
          </w:tcPr>
          <w:p>
            <w:pPr>
              <w:spacing w:after="0"/>
              <w:rPr>
                <w:sz w:val="12"/>
                <w:szCs w:val="12"/>
                <w:color w:val="auto"/>
              </w:rPr>
            </w:pPr>
          </w:p>
        </w:tc>
        <w:tc>
          <w:tcPr>
            <w:tcW w:w="200" w:type="dxa"/>
            <w:vAlign w:val="bottom"/>
            <w:tcBorders>
              <w:bottom w:val="single" w:sz="8" w:color="2C6937"/>
            </w:tcBorders>
          </w:tcPr>
          <w:p>
            <w:pPr>
              <w:spacing w:after="0"/>
              <w:rPr>
                <w:sz w:val="12"/>
                <w:szCs w:val="12"/>
                <w:color w:val="auto"/>
              </w:rPr>
            </w:pPr>
          </w:p>
        </w:tc>
        <w:tc>
          <w:tcPr>
            <w:tcW w:w="620" w:type="dxa"/>
            <w:vAlign w:val="bottom"/>
            <w:tcBorders>
              <w:bottom w:val="single" w:sz="8" w:color="2C6937"/>
            </w:tcBorders>
          </w:tcPr>
          <w:p>
            <w:pPr>
              <w:jc w:val="right"/>
              <w:ind w:right="265"/>
              <w:spacing w:after="0"/>
              <w:rPr>
                <w:sz w:val="20"/>
                <w:szCs w:val="20"/>
                <w:color w:val="auto"/>
              </w:rPr>
            </w:pPr>
            <w:r>
              <w:rPr>
                <w:rFonts w:ascii="Arial" w:cs="Arial" w:eastAsia="Arial" w:hAnsi="Arial"/>
                <w:sz w:val="9"/>
                <w:szCs w:val="9"/>
                <w:b w:val="1"/>
                <w:bCs w:val="1"/>
                <w:color w:val="auto"/>
              </w:rPr>
              <w:t>2023</w:t>
            </w:r>
          </w:p>
        </w:tc>
        <w:tc>
          <w:tcPr>
            <w:tcW w:w="8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760" w:type="dxa"/>
            <w:vAlign w:val="bottom"/>
            <w:tcBorders>
              <w:bottom w:val="single" w:sz="8" w:color="2C6937"/>
            </w:tcBorders>
          </w:tcPr>
          <w:p>
            <w:pPr>
              <w:jc w:val="center"/>
              <w:ind w:right="50"/>
              <w:spacing w:after="0" w:line="139" w:lineRule="exact"/>
              <w:rPr>
                <w:sz w:val="20"/>
                <w:szCs w:val="20"/>
                <w:color w:val="auto"/>
              </w:rPr>
            </w:pPr>
            <w:r>
              <w:rPr>
                <w:rFonts w:ascii="Arial" w:cs="Arial" w:eastAsia="Arial" w:hAnsi="Arial"/>
                <w:sz w:val="16"/>
                <w:szCs w:val="16"/>
                <w:b w:val="1"/>
                <w:bCs w:val="1"/>
                <w:color w:val="auto"/>
                <w:w w:val="94"/>
                <w:vertAlign w:val="subscript"/>
              </w:rPr>
              <w:t>2023</w:t>
            </w:r>
            <w:r>
              <w:rPr>
                <w:rFonts w:ascii="Arial" w:cs="Arial" w:eastAsia="Arial" w:hAnsi="Arial"/>
                <w:sz w:val="5"/>
                <w:szCs w:val="5"/>
                <w:b w:val="1"/>
                <w:bCs w:val="1"/>
                <w:color w:val="auto"/>
                <w:w w:val="94"/>
              </w:rPr>
              <w:t>(4)(5)</w:t>
            </w:r>
          </w:p>
        </w:tc>
        <w:tc>
          <w:tcPr>
            <w:tcW w:w="8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780" w:type="dxa"/>
            <w:vAlign w:val="bottom"/>
            <w:tcBorders>
              <w:bottom w:val="single" w:sz="8" w:color="2C6937"/>
            </w:tcBorders>
          </w:tcPr>
          <w:p>
            <w:pPr>
              <w:jc w:val="center"/>
              <w:ind w:right="68"/>
              <w:spacing w:after="0"/>
              <w:rPr>
                <w:sz w:val="20"/>
                <w:szCs w:val="20"/>
                <w:color w:val="auto"/>
              </w:rPr>
            </w:pPr>
            <w:r>
              <w:rPr>
                <w:rFonts w:ascii="Arial" w:cs="Arial" w:eastAsia="Arial" w:hAnsi="Arial"/>
                <w:sz w:val="9"/>
                <w:szCs w:val="9"/>
                <w:b w:val="1"/>
                <w:bCs w:val="1"/>
                <w:color w:val="auto"/>
                <w:w w:val="89"/>
              </w:rPr>
              <w:t>2023</w:t>
            </w:r>
            <w:r>
              <w:rPr>
                <w:rFonts w:ascii="Arial" w:cs="Arial" w:eastAsia="Arial" w:hAnsi="Arial"/>
                <w:sz w:val="11"/>
                <w:szCs w:val="11"/>
                <w:b w:val="1"/>
                <w:bCs w:val="1"/>
                <w:color w:val="auto"/>
                <w:w w:val="89"/>
                <w:vertAlign w:val="superscript"/>
              </w:rPr>
              <w:t>(1)</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4"/>
          </w:tcPr>
          <w:p>
            <w:pPr>
              <w:jc w:val="right"/>
              <w:ind w:right="45"/>
              <w:spacing w:after="0"/>
              <w:rPr>
                <w:sz w:val="20"/>
                <w:szCs w:val="20"/>
                <w:color w:val="auto"/>
              </w:rPr>
            </w:pPr>
            <w:r>
              <w:rPr>
                <w:rFonts w:ascii="Arial" w:cs="Arial" w:eastAsia="Arial" w:hAnsi="Arial"/>
                <w:sz w:val="11"/>
                <w:szCs w:val="11"/>
                <w:b w:val="1"/>
                <w:bCs w:val="1"/>
                <w:color w:val="auto"/>
              </w:rPr>
              <w:t>(Dollars in millions)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Trading securities:</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3"/>
        </w:trPr>
        <w:tc>
          <w:tcPr>
            <w:tcW w:w="1440" w:type="dxa"/>
            <w:vAlign w:val="bottom"/>
            <w:gridSpan w:val="2"/>
          </w:tcPr>
          <w:p>
            <w:pPr>
              <w:ind w:left="60"/>
              <w:spacing w:after="0"/>
              <w:rPr>
                <w:sz w:val="20"/>
                <w:szCs w:val="20"/>
                <w:color w:val="auto"/>
              </w:rPr>
            </w:pPr>
            <w:r>
              <w:rPr>
                <w:rFonts w:ascii="Arial" w:cs="Arial" w:eastAsia="Arial" w:hAnsi="Arial"/>
                <w:sz w:val="11"/>
                <w:szCs w:val="11"/>
                <w:color w:val="auto"/>
              </w:rPr>
              <w:t>Mortgage-related</w:t>
            </w: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47</w:t>
            </w:r>
          </w:p>
        </w:tc>
        <w:tc>
          <w:tcPr>
            <w:tcW w:w="80" w:type="dxa"/>
            <w:vAlign w:val="bottom"/>
          </w:tcPr>
          <w:p>
            <w:pPr>
              <w:spacing w:after="0"/>
              <w:rPr>
                <w:sz w:val="24"/>
                <w:szCs w:val="24"/>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126"/>
              <w:spacing w:after="0"/>
              <w:rPr>
                <w:sz w:val="20"/>
                <w:szCs w:val="20"/>
                <w:color w:val="auto"/>
              </w:rPr>
            </w:pPr>
            <w:r>
              <w:rPr>
                <w:rFonts w:ascii="Arial" w:cs="Arial" w:eastAsia="Arial" w:hAnsi="Arial"/>
                <w:sz w:val="22"/>
                <w:szCs w:val="22"/>
                <w:color w:val="auto"/>
                <w:vertAlign w:val="subscript"/>
              </w:rPr>
              <w:t>(8)</w:t>
            </w:r>
            <w:r>
              <w:rPr>
                <w:rFonts w:ascii="Arial" w:cs="Arial" w:eastAsia="Arial" w:hAnsi="Arial"/>
                <w:sz w:val="7"/>
                <w:szCs w:val="7"/>
                <w:color w:val="auto"/>
              </w:rPr>
              <w:t xml:space="preserve"> (5)(6)</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ind w:left="50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ind w:left="26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ind w:left="300"/>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(11)</w:t>
            </w:r>
          </w:p>
        </w:tc>
        <w:tc>
          <w:tcPr>
            <w:tcW w:w="22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71"/>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28</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(5)</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28"/>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0"/>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Available-for-sale</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440" w:type="dxa"/>
            <w:vAlign w:val="bottom"/>
            <w:gridSpan w:val="2"/>
          </w:tcPr>
          <w:p>
            <w:pPr>
              <w:ind w:left="140"/>
              <w:spacing w:after="0"/>
              <w:rPr>
                <w:sz w:val="20"/>
                <w:szCs w:val="20"/>
                <w:color w:val="auto"/>
              </w:rPr>
            </w:pPr>
            <w:r>
              <w:rPr>
                <w:rFonts w:ascii="Arial" w:cs="Arial" w:eastAsia="Arial" w:hAnsi="Arial"/>
                <w:sz w:val="11"/>
                <w:szCs w:val="11"/>
                <w:color w:val="auto"/>
              </w:rPr>
              <w:t>securities:</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440" w:type="dxa"/>
            <w:vAlign w:val="bottom"/>
            <w:gridSpan w:val="2"/>
          </w:tcPr>
          <w:p>
            <w:pPr>
              <w:ind w:left="60"/>
              <w:spacing w:after="0"/>
              <w:rPr>
                <w:sz w:val="20"/>
                <w:szCs w:val="20"/>
                <w:color w:val="auto"/>
              </w:rPr>
            </w:pPr>
            <w:r>
              <w:rPr>
                <w:rFonts w:ascii="Arial" w:cs="Arial" w:eastAsia="Arial" w:hAnsi="Arial"/>
                <w:sz w:val="11"/>
                <w:szCs w:val="11"/>
                <w:color w:val="auto"/>
              </w:rPr>
              <w:t>Agency</w:t>
            </w: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371</w:t>
            </w:r>
          </w:p>
        </w:tc>
        <w:tc>
          <w:tcPr>
            <w:tcW w:w="80" w:type="dxa"/>
            <w:vAlign w:val="bottom"/>
          </w:tcPr>
          <w:p>
            <w:pPr>
              <w:spacing w:after="0"/>
              <w:rPr>
                <w:sz w:val="14"/>
                <w:szCs w:val="14"/>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ind w:right="9"/>
              <w:spacing w:after="0"/>
              <w:rPr>
                <w:sz w:val="20"/>
                <w:szCs w:val="20"/>
                <w:color w:val="auto"/>
              </w:rPr>
            </w:pPr>
            <w:r>
              <w:rPr>
                <w:rFonts w:ascii="Arial" w:cs="Arial" w:eastAsia="Arial" w:hAnsi="Arial"/>
                <w:sz w:val="11"/>
                <w:szCs w:val="11"/>
                <w:color w:val="auto"/>
              </w:rPr>
              <w:t>1</w:t>
            </w:r>
          </w:p>
        </w:tc>
        <w:tc>
          <w:tcPr>
            <w:tcW w:w="3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1</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ind w:left="50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ind w:left="26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ind w:left="300"/>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(17)</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ind w:left="360"/>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71"/>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356</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
              <w:spacing w:after="0"/>
              <w:rPr>
                <w:sz w:val="20"/>
                <w:szCs w:val="20"/>
                <w:color w:val="auto"/>
              </w:rPr>
            </w:pPr>
            <w:r>
              <w:rPr>
                <w:rFonts w:ascii="Arial" w:cs="Arial" w:eastAsia="Arial" w:hAnsi="Arial"/>
                <w:sz w:val="11"/>
                <w:szCs w:val="11"/>
                <w:color w:val="auto"/>
              </w:rPr>
              <w:t>—</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28"/>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71"/>
        </w:trPr>
        <w:tc>
          <w:tcPr>
            <w:tcW w:w="1340" w:type="dxa"/>
            <w:vAlign w:val="bottom"/>
            <w:tcBorders>
              <w:bottom w:val="single" w:sz="8" w:color="2C6937"/>
            </w:tcBorders>
          </w:tcPr>
          <w:p>
            <w:pPr>
              <w:ind w:left="60"/>
              <w:spacing w:after="0"/>
              <w:rPr>
                <w:sz w:val="20"/>
                <w:szCs w:val="20"/>
                <w:color w:val="auto"/>
              </w:rPr>
            </w:pPr>
            <w:r>
              <w:rPr>
                <w:rFonts w:ascii="Arial" w:cs="Arial" w:eastAsia="Arial" w:hAnsi="Arial"/>
                <w:sz w:val="11"/>
                <w:szCs w:val="11"/>
                <w:color w:val="auto"/>
              </w:rPr>
              <w:t>Other mortgage-related</w:t>
            </w:r>
          </w:p>
        </w:tc>
        <w:tc>
          <w:tcPr>
            <w:tcW w:w="100" w:type="dxa"/>
            <w:vAlign w:val="bottom"/>
          </w:tcPr>
          <w:p>
            <w:pPr>
              <w:spacing w:after="0"/>
              <w:rPr>
                <w:sz w:val="14"/>
                <w:szCs w:val="14"/>
                <w:color w:val="auto"/>
              </w:rPr>
            </w:pPr>
          </w:p>
        </w:tc>
        <w:tc>
          <w:tcPr>
            <w:tcW w:w="160" w:type="dxa"/>
            <w:vAlign w:val="bottom"/>
            <w:tcBorders>
              <w:bottom w:val="single" w:sz="8" w:color="2C6937"/>
            </w:tcBorders>
          </w:tcPr>
          <w:p>
            <w:pPr>
              <w:spacing w:after="0"/>
              <w:rPr>
                <w:sz w:val="14"/>
                <w:szCs w:val="14"/>
                <w:color w:val="auto"/>
              </w:rPr>
            </w:pPr>
          </w:p>
        </w:tc>
        <w:tc>
          <w:tcPr>
            <w:tcW w:w="66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263</w:t>
            </w:r>
          </w:p>
        </w:tc>
        <w:tc>
          <w:tcPr>
            <w:tcW w:w="80" w:type="dxa"/>
            <w:vAlign w:val="bottom"/>
          </w:tcPr>
          <w:p>
            <w:pPr>
              <w:spacing w:after="0"/>
              <w:rPr>
                <w:sz w:val="14"/>
                <w:szCs w:val="14"/>
                <w:color w:val="auto"/>
              </w:rPr>
            </w:pPr>
          </w:p>
        </w:tc>
        <w:tc>
          <w:tcPr>
            <w:tcW w:w="200" w:type="dxa"/>
            <w:vAlign w:val="bottom"/>
            <w:tcBorders>
              <w:bottom w:val="single" w:sz="8" w:color="2C6937"/>
            </w:tcBorders>
          </w:tcPr>
          <w:p>
            <w:pPr>
              <w:spacing w:after="0"/>
              <w:rPr>
                <w:sz w:val="14"/>
                <w:szCs w:val="14"/>
                <w:color w:val="auto"/>
              </w:rPr>
            </w:pPr>
          </w:p>
        </w:tc>
        <w:tc>
          <w:tcPr>
            <w:tcW w:w="380" w:type="dxa"/>
            <w:vAlign w:val="bottom"/>
            <w:tcBorders>
              <w:bottom w:val="single" w:sz="8" w:color="2C6937"/>
            </w:tcBorders>
          </w:tcPr>
          <w:p>
            <w:pPr>
              <w:jc w:val="right"/>
              <w:ind w:right="9"/>
              <w:spacing w:after="0"/>
              <w:rPr>
                <w:sz w:val="20"/>
                <w:szCs w:val="20"/>
                <w:color w:val="auto"/>
              </w:rPr>
            </w:pPr>
            <w:r>
              <w:rPr>
                <w:rFonts w:ascii="Arial" w:cs="Arial" w:eastAsia="Arial" w:hAnsi="Arial"/>
                <w:sz w:val="11"/>
                <w:szCs w:val="11"/>
                <w:color w:val="auto"/>
              </w:rPr>
              <w:t>5</w:t>
            </w:r>
          </w:p>
        </w:tc>
        <w:tc>
          <w:tcPr>
            <w:tcW w:w="340" w:type="dxa"/>
            <w:vAlign w:val="bottom"/>
          </w:tcPr>
          <w:p>
            <w:pPr>
              <w:spacing w:after="0"/>
              <w:rPr>
                <w:sz w:val="14"/>
                <w:szCs w:val="14"/>
                <w:color w:val="auto"/>
              </w:rPr>
            </w:pPr>
          </w:p>
        </w:tc>
        <w:tc>
          <w:tcPr>
            <w:tcW w:w="80" w:type="dxa"/>
            <w:vAlign w:val="bottom"/>
            <w:tcBorders>
              <w:bottom w:val="single" w:sz="8" w:color="2C6937"/>
            </w:tcBorders>
          </w:tcPr>
          <w:p>
            <w:pPr>
              <w:spacing w:after="0"/>
              <w:rPr>
                <w:sz w:val="14"/>
                <w:szCs w:val="14"/>
                <w:color w:val="auto"/>
              </w:rPr>
            </w:pPr>
          </w:p>
        </w:tc>
        <w:tc>
          <w:tcPr>
            <w:tcW w:w="500" w:type="dxa"/>
            <w:vAlign w:val="bottom"/>
            <w:tcBorders>
              <w:bottom w:val="single" w:sz="8" w:color="2C6937"/>
            </w:tcBorders>
          </w:tcPr>
          <w:p>
            <w:pPr>
              <w:jc w:val="right"/>
              <w:ind w:right="7"/>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4"/>
                <w:szCs w:val="14"/>
                <w:color w:val="auto"/>
              </w:rPr>
            </w:pPr>
          </w:p>
        </w:tc>
        <w:tc>
          <w:tcPr>
            <w:tcW w:w="120" w:type="dxa"/>
            <w:vAlign w:val="bottom"/>
            <w:tcBorders>
              <w:bottom w:val="single" w:sz="8" w:color="2C6937"/>
            </w:tcBorders>
          </w:tcPr>
          <w:p>
            <w:pPr>
              <w:spacing w:after="0"/>
              <w:rPr>
                <w:sz w:val="14"/>
                <w:szCs w:val="14"/>
                <w:color w:val="auto"/>
              </w:rPr>
            </w:pPr>
          </w:p>
        </w:tc>
        <w:tc>
          <w:tcPr>
            <w:tcW w:w="66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420" w:type="dxa"/>
            <w:vAlign w:val="bottom"/>
            <w:tcBorders>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460" w:type="dxa"/>
            <w:vAlign w:val="bottom"/>
            <w:tcBorders>
              <w:bottom w:val="single" w:sz="8" w:color="2C6937"/>
            </w:tcBorders>
          </w:tcPr>
          <w:p>
            <w:pPr>
              <w:ind w:left="3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20" w:type="dxa"/>
            <w:vAlign w:val="bottom"/>
            <w:tcBorders>
              <w:bottom w:val="single" w:sz="8" w:color="2C6937"/>
            </w:tcBorders>
          </w:tcPr>
          <w:p>
            <w:pPr>
              <w:spacing w:after="0"/>
              <w:rPr>
                <w:sz w:val="14"/>
                <w:szCs w:val="1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(38)</w:t>
            </w:r>
          </w:p>
        </w:tc>
        <w:tc>
          <w:tcPr>
            <w:tcW w:w="100" w:type="dxa"/>
            <w:vAlign w:val="bottom"/>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540" w:type="dxa"/>
            <w:vAlign w:val="bottom"/>
            <w:tcBorders>
              <w:bottom w:val="single" w:sz="8" w:color="2C6937"/>
            </w:tcBorders>
          </w:tcPr>
          <w:p>
            <w:pPr>
              <w:ind w:left="380"/>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4"/>
                <w:szCs w:val="14"/>
                <w:color w:val="auto"/>
              </w:rPr>
            </w:pPr>
          </w:p>
        </w:tc>
        <w:tc>
          <w:tcPr>
            <w:tcW w:w="140" w:type="dxa"/>
            <w:vAlign w:val="bottom"/>
            <w:tcBorders>
              <w:bottom w:val="single" w:sz="8" w:color="2C6937"/>
            </w:tcBorders>
          </w:tcPr>
          <w:p>
            <w:pPr>
              <w:spacing w:after="0"/>
              <w:rPr>
                <w:sz w:val="14"/>
                <w:szCs w:val="14"/>
                <w:color w:val="auto"/>
              </w:rPr>
            </w:pPr>
          </w:p>
        </w:tc>
        <w:tc>
          <w:tcPr>
            <w:tcW w:w="5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4"/>
                <w:szCs w:val="14"/>
                <w:color w:val="auto"/>
              </w:rPr>
            </w:pPr>
          </w:p>
        </w:tc>
        <w:tc>
          <w:tcPr>
            <w:tcW w:w="200" w:type="dxa"/>
            <w:vAlign w:val="bottom"/>
            <w:tcBorders>
              <w:bottom w:val="single" w:sz="8" w:color="2C6937"/>
            </w:tcBorders>
          </w:tcPr>
          <w:p>
            <w:pPr>
              <w:spacing w:after="0"/>
              <w:rPr>
                <w:sz w:val="14"/>
                <w:szCs w:val="14"/>
                <w:color w:val="auto"/>
              </w:rPr>
            </w:pPr>
          </w:p>
        </w:tc>
        <w:tc>
          <w:tcPr>
            <w:tcW w:w="6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235</w:t>
            </w:r>
          </w:p>
        </w:tc>
        <w:tc>
          <w:tcPr>
            <w:tcW w:w="80" w:type="dxa"/>
            <w:vAlign w:val="bottom"/>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760" w:type="dxa"/>
            <w:vAlign w:val="bottom"/>
            <w:tcBorders>
              <w:bottom w:val="single" w:sz="8" w:color="2C6937"/>
            </w:tcBorders>
          </w:tcPr>
          <w:p>
            <w:pPr>
              <w:jc w:val="right"/>
              <w:ind w:right="1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780" w:type="dxa"/>
            <w:vAlign w:val="bottom"/>
            <w:tcBorders>
              <w:bottom w:val="single" w:sz="8" w:color="2C6937"/>
            </w:tcBorders>
          </w:tcPr>
          <w:p>
            <w:pPr>
              <w:jc w:val="right"/>
              <w:ind w:right="28"/>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58"/>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Total available-for-sale</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jc w:val="right"/>
              <w:ind w:right="126"/>
              <w:spacing w:after="0"/>
              <w:rPr>
                <w:sz w:val="20"/>
                <w:szCs w:val="20"/>
                <w:color w:val="auto"/>
              </w:rPr>
            </w:pPr>
            <w:r>
              <w:rPr>
                <w:rFonts w:ascii="Arial" w:cs="Arial" w:eastAsia="Arial" w:hAnsi="Arial"/>
                <w:sz w:val="7"/>
                <w:szCs w:val="7"/>
                <w:color w:val="auto"/>
                <w:w w:val="93"/>
              </w:rPr>
              <w:t>(6)(7)</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340" w:type="dxa"/>
            <w:vAlign w:val="bottom"/>
            <w:tcBorders>
              <w:bottom w:val="single" w:sz="8" w:color="2C6937"/>
            </w:tcBorders>
          </w:tcPr>
          <w:p>
            <w:pPr>
              <w:ind w:left="140"/>
              <w:spacing w:after="0"/>
              <w:rPr>
                <w:sz w:val="20"/>
                <w:szCs w:val="20"/>
                <w:color w:val="auto"/>
              </w:rPr>
            </w:pPr>
            <w:r>
              <w:rPr>
                <w:rFonts w:ascii="Arial" w:cs="Arial" w:eastAsia="Arial" w:hAnsi="Arial"/>
                <w:sz w:val="11"/>
                <w:szCs w:val="11"/>
                <w:color w:val="auto"/>
              </w:rPr>
              <w:t>securities</w:t>
            </w:r>
          </w:p>
        </w:tc>
        <w:tc>
          <w:tcPr>
            <w:tcW w:w="100" w:type="dxa"/>
            <w:vAlign w:val="bottom"/>
          </w:tcPr>
          <w:p>
            <w:pPr>
              <w:spacing w:after="0"/>
              <w:rPr>
                <w:sz w:val="13"/>
                <w:szCs w:val="13"/>
                <w:color w:val="auto"/>
              </w:rPr>
            </w:pPr>
          </w:p>
        </w:tc>
        <w:tc>
          <w:tcPr>
            <w:tcW w:w="160" w:type="dxa"/>
            <w:vAlign w:val="bottom"/>
            <w:tcBorders>
              <w:bottom w:val="single" w:sz="8" w:color="2C6937"/>
            </w:tcBorders>
          </w:tcPr>
          <w:p>
            <w:pPr>
              <w:ind w:left="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634</w:t>
            </w:r>
          </w:p>
        </w:tc>
        <w:tc>
          <w:tcPr>
            <w:tcW w:w="80" w:type="dxa"/>
            <w:vAlign w:val="bottom"/>
          </w:tcPr>
          <w:p>
            <w:pPr>
              <w:spacing w:after="0"/>
              <w:rPr>
                <w:sz w:val="13"/>
                <w:szCs w:val="13"/>
                <w:color w:val="auto"/>
              </w:rPr>
            </w:pPr>
          </w:p>
        </w:tc>
        <w:tc>
          <w:tcPr>
            <w:tcW w:w="200" w:type="dxa"/>
            <w:vAlign w:val="bottom"/>
            <w:tcBorders>
              <w:bottom w:val="single" w:sz="8" w:color="2C6937"/>
            </w:tcBorders>
          </w:tcPr>
          <w:p>
            <w:pPr>
              <w:jc w:val="right"/>
              <w:ind w:right="67"/>
              <w:spacing w:after="0"/>
              <w:rPr>
                <w:sz w:val="20"/>
                <w:szCs w:val="20"/>
                <w:color w:val="auto"/>
              </w:rPr>
            </w:pPr>
            <w:r>
              <w:rPr>
                <w:rFonts w:ascii="Arial" w:cs="Arial" w:eastAsia="Arial" w:hAnsi="Arial"/>
                <w:sz w:val="11"/>
                <w:szCs w:val="11"/>
                <w:color w:val="auto"/>
                <w:w w:val="97"/>
              </w:rPr>
              <w:t>$</w:t>
            </w:r>
          </w:p>
        </w:tc>
        <w:tc>
          <w:tcPr>
            <w:tcW w:w="380" w:type="dxa"/>
            <w:vAlign w:val="bottom"/>
            <w:tcBorders>
              <w:bottom w:val="single" w:sz="8" w:color="2C6937"/>
            </w:tcBorders>
          </w:tcPr>
          <w:p>
            <w:pPr>
              <w:jc w:val="right"/>
              <w:ind w:right="9"/>
              <w:spacing w:after="0"/>
              <w:rPr>
                <w:sz w:val="20"/>
                <w:szCs w:val="20"/>
                <w:color w:val="auto"/>
              </w:rPr>
            </w:pPr>
            <w:r>
              <w:rPr>
                <w:rFonts w:ascii="Arial" w:cs="Arial" w:eastAsia="Arial" w:hAnsi="Arial"/>
                <w:sz w:val="11"/>
                <w:szCs w:val="11"/>
                <w:color w:val="auto"/>
              </w:rPr>
              <w:t>6</w:t>
            </w:r>
          </w:p>
        </w:tc>
        <w:tc>
          <w:tcPr>
            <w:tcW w:w="340" w:type="dxa"/>
            <w:vAlign w:val="bottom"/>
          </w:tcPr>
          <w:p>
            <w:pPr>
              <w:spacing w:after="0"/>
              <w:rPr>
                <w:sz w:val="13"/>
                <w:szCs w:val="13"/>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2C6937"/>
            </w:tcBorders>
          </w:tcPr>
          <w:p>
            <w:pPr>
              <w:jc w:val="right"/>
              <w:ind w:right="7"/>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3"/>
                <w:szCs w:val="13"/>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2C6937"/>
            </w:tcBorders>
          </w:tcPr>
          <w:p>
            <w:pPr>
              <w:ind w:left="3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(55)</w:t>
            </w:r>
          </w:p>
        </w:tc>
        <w:tc>
          <w:tcPr>
            <w:tcW w:w="100" w:type="dxa"/>
            <w:vAlign w:val="bottom"/>
          </w:tcPr>
          <w:p>
            <w:pPr>
              <w:spacing w:after="0"/>
              <w:rPr>
                <w:sz w:val="13"/>
                <w:szCs w:val="13"/>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2C6937"/>
            </w:tcBorders>
          </w:tcPr>
          <w:p>
            <w:pPr>
              <w:ind w:left="380"/>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40" w:type="dxa"/>
            <w:vAlign w:val="bottom"/>
            <w:tcBorders>
              <w:bottom w:val="single" w:sz="8" w:color="2C6937"/>
            </w:tcBorders>
          </w:tcPr>
          <w:p>
            <w:pPr>
              <w:jc w:val="right"/>
              <w:ind w:right="11"/>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200" w:type="dxa"/>
            <w:vAlign w:val="bottom"/>
            <w:tcBorders>
              <w:bottom w:val="single" w:sz="8" w:color="2C6937"/>
            </w:tcBorders>
          </w:tcPr>
          <w:p>
            <w:pPr>
              <w:jc w:val="right"/>
              <w:ind w:right="71"/>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591</w:t>
            </w:r>
          </w:p>
        </w:tc>
        <w:tc>
          <w:tcPr>
            <w:tcW w:w="80" w:type="dxa"/>
            <w:vAlign w:val="bottom"/>
          </w:tcPr>
          <w:p>
            <w:pPr>
              <w:spacing w:after="0"/>
              <w:rPr>
                <w:sz w:val="13"/>
                <w:szCs w:val="13"/>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2C6937"/>
            </w:tcBorders>
          </w:tcPr>
          <w:p>
            <w:pPr>
              <w:jc w:val="right"/>
              <w:ind w:right="1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2C6937"/>
            </w:tcBorders>
          </w:tcPr>
          <w:p>
            <w:pPr>
              <w:jc w:val="right"/>
              <w:ind w:right="28"/>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6"/>
        </w:trPr>
        <w:tc>
          <w:tcPr>
            <w:tcW w:w="13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2C6937"/>
            </w:tcBorders>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380" w:type="dxa"/>
            <w:vAlign w:val="bottom"/>
            <w:tcBorders>
              <w:bottom w:val="single" w:sz="8" w:color="2C6937"/>
            </w:tcBorders>
          </w:tcPr>
          <w:p>
            <w:pPr>
              <w:spacing w:after="0"/>
              <w:rPr>
                <w:sz w:val="2"/>
                <w:szCs w:val="2"/>
                <w:color w:val="auto"/>
              </w:rPr>
            </w:pPr>
          </w:p>
        </w:tc>
        <w:tc>
          <w:tcPr>
            <w:tcW w:w="340" w:type="dxa"/>
            <w:vAlign w:val="bottom"/>
            <w:vMerge w:val="restart"/>
          </w:tcPr>
          <w:p>
            <w:pPr>
              <w:jc w:val="right"/>
              <w:ind w:right="126"/>
              <w:spacing w:after="0"/>
              <w:rPr>
                <w:sz w:val="20"/>
                <w:szCs w:val="20"/>
                <w:color w:val="auto"/>
              </w:rPr>
            </w:pPr>
            <w:r>
              <w:rPr>
                <w:rFonts w:ascii="Arial" w:cs="Arial" w:eastAsia="Arial" w:hAnsi="Arial"/>
                <w:sz w:val="7"/>
                <w:szCs w:val="7"/>
                <w:color w:val="auto"/>
                <w:w w:val="93"/>
              </w:rPr>
              <w:t>(5)(6)</w:t>
            </w:r>
          </w:p>
        </w:tc>
        <w:tc>
          <w:tcPr>
            <w:tcW w:w="80" w:type="dxa"/>
            <w:vAlign w:val="bottom"/>
            <w:tcBorders>
              <w:bottom w:val="single" w:sz="8" w:color="2C6937"/>
            </w:tcBorders>
          </w:tcPr>
          <w:p>
            <w:pPr>
              <w:spacing w:after="0"/>
              <w:rPr>
                <w:sz w:val="2"/>
                <w:szCs w:val="2"/>
                <w:color w:val="auto"/>
              </w:rPr>
            </w:pPr>
          </w:p>
        </w:tc>
        <w:tc>
          <w:tcPr>
            <w:tcW w:w="5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4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4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7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52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62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8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Mortgage loans</w:t>
            </w: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543</w:t>
            </w:r>
          </w:p>
        </w:tc>
        <w:tc>
          <w:tcPr>
            <w:tcW w:w="80" w:type="dxa"/>
            <w:vAlign w:val="bottom"/>
          </w:tcPr>
          <w:p>
            <w:pPr>
              <w:spacing w:after="0"/>
              <w:rPr>
                <w:sz w:val="23"/>
                <w:szCs w:val="23"/>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ind w:right="9"/>
              <w:spacing w:after="0"/>
              <w:rPr>
                <w:sz w:val="20"/>
                <w:szCs w:val="20"/>
                <w:color w:val="auto"/>
              </w:rPr>
            </w:pPr>
            <w:r>
              <w:rPr>
                <w:rFonts w:ascii="Arial" w:cs="Arial" w:eastAsia="Arial" w:hAnsi="Arial"/>
                <w:sz w:val="11"/>
                <w:szCs w:val="11"/>
                <w:color w:val="auto"/>
              </w:rPr>
              <w:t>3</w:t>
            </w:r>
          </w:p>
        </w:tc>
        <w:tc>
          <w:tcPr>
            <w:tcW w:w="340" w:type="dxa"/>
            <w:vAlign w:val="bottom"/>
            <w:vMerge w:val="continue"/>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ind w:left="50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ind w:left="26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ind w:left="300"/>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(45)</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(15)</w:t>
            </w:r>
          </w:p>
        </w:tc>
        <w:tc>
          <w:tcPr>
            <w:tcW w:w="22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24</w:t>
            </w:r>
          </w:p>
        </w:tc>
        <w:tc>
          <w:tcPr>
            <w:tcW w:w="280" w:type="dxa"/>
            <w:vAlign w:val="bottom"/>
            <w:gridSpan w:val="2"/>
          </w:tcPr>
          <w:p>
            <w:pPr>
              <w:jc w:val="right"/>
              <w:ind w:right="71"/>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510</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
              <w:spacing w:after="0"/>
              <w:rPr>
                <w:sz w:val="20"/>
                <w:szCs w:val="20"/>
                <w:color w:val="auto"/>
              </w:rPr>
            </w:pPr>
            <w:r>
              <w:rPr>
                <w:rFonts w:ascii="Arial" w:cs="Arial" w:eastAsia="Arial" w:hAnsi="Arial"/>
                <w:sz w:val="11"/>
                <w:szCs w:val="11"/>
                <w:color w:val="auto"/>
              </w:rPr>
              <w:t>1</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28"/>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35"/>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Net derivatives</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jc w:val="right"/>
              <w:ind w:right="9"/>
              <w:spacing w:after="0"/>
              <w:rPr>
                <w:sz w:val="20"/>
                <w:szCs w:val="20"/>
                <w:color w:val="auto"/>
              </w:rPr>
            </w:pPr>
            <w:r>
              <w:rPr>
                <w:rFonts w:ascii="Arial" w:cs="Arial" w:eastAsia="Arial" w:hAnsi="Arial"/>
                <w:sz w:val="11"/>
                <w:szCs w:val="11"/>
                <w:color w:val="auto"/>
              </w:rPr>
              <w:t>32</w:t>
            </w:r>
          </w:p>
        </w:tc>
        <w:tc>
          <w:tcPr>
            <w:tcW w:w="340" w:type="dxa"/>
            <w:vAlign w:val="bottom"/>
          </w:tcPr>
          <w:p>
            <w:pPr>
              <w:jc w:val="right"/>
              <w:ind w:right="206"/>
              <w:spacing w:after="0"/>
              <w:rPr>
                <w:sz w:val="20"/>
                <w:szCs w:val="20"/>
                <w:color w:val="auto"/>
              </w:rPr>
            </w:pPr>
            <w:r>
              <w:rPr>
                <w:rFonts w:ascii="Arial" w:cs="Arial" w:eastAsia="Arial" w:hAnsi="Arial"/>
                <w:sz w:val="7"/>
                <w:szCs w:val="7"/>
                <w:color w:val="auto"/>
                <w:w w:val="92"/>
              </w:rPr>
              <w:t>(5)</w:t>
            </w:r>
          </w:p>
        </w:tc>
        <w:tc>
          <w:tcPr>
            <w:tcW w:w="80" w:type="dxa"/>
            <w:vAlign w:val="bottom"/>
          </w:tcPr>
          <w:p>
            <w:pPr>
              <w:spacing w:after="0"/>
              <w:rPr>
                <w:sz w:val="24"/>
                <w:szCs w:val="24"/>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ind w:left="3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5"/>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ind w:left="3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12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1"/>
                <w:szCs w:val="11"/>
                <w:color w:val="auto"/>
              </w:rPr>
              <w:t>49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97"/>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Long-term debt:</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440" w:type="dxa"/>
            <w:vAlign w:val="bottom"/>
            <w:gridSpan w:val="2"/>
          </w:tcPr>
          <w:p>
            <w:pPr>
              <w:ind w:left="100"/>
              <w:spacing w:after="0"/>
              <w:rPr>
                <w:sz w:val="20"/>
                <w:szCs w:val="20"/>
                <w:color w:val="auto"/>
              </w:rPr>
            </w:pPr>
            <w:r>
              <w:rPr>
                <w:rFonts w:ascii="Arial" w:cs="Arial" w:eastAsia="Arial" w:hAnsi="Arial"/>
                <w:sz w:val="11"/>
                <w:szCs w:val="11"/>
                <w:color w:val="auto"/>
              </w:rPr>
              <w:t>Of Fannie Mae</w:t>
            </w: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(242)</w:t>
            </w:r>
          </w:p>
        </w:tc>
        <w:tc>
          <w:tcPr>
            <w:tcW w:w="80" w:type="dxa"/>
            <w:vAlign w:val="bottom"/>
          </w:tcPr>
          <w:p>
            <w:pPr>
              <w:spacing w:after="0"/>
              <w:rPr>
                <w:sz w:val="13"/>
                <w:szCs w:val="13"/>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(14)</w:t>
            </w:r>
          </w:p>
        </w:tc>
        <w:tc>
          <w:tcPr>
            <w:tcW w:w="340" w:type="dxa"/>
            <w:vAlign w:val="bottom"/>
          </w:tcPr>
          <w:p>
            <w:pPr>
              <w:jc w:val="right"/>
              <w:ind w:right="206"/>
              <w:spacing w:after="0"/>
              <w:rPr>
                <w:sz w:val="20"/>
                <w:szCs w:val="20"/>
                <w:color w:val="auto"/>
              </w:rPr>
            </w:pPr>
            <w:r>
              <w:rPr>
                <w:rFonts w:ascii="Arial" w:cs="Arial" w:eastAsia="Arial" w:hAnsi="Arial"/>
                <w:sz w:val="7"/>
                <w:szCs w:val="7"/>
                <w:color w:val="auto"/>
                <w:w w:val="92"/>
              </w:rPr>
              <w:t>(5)</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ind w:left="50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ind w:left="26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ind w:left="300"/>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ind w:left="360"/>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71"/>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(256)</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(14)</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28"/>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6"/>
        </w:trPr>
        <w:tc>
          <w:tcPr>
            <w:tcW w:w="1340" w:type="dxa"/>
            <w:vAlign w:val="bottom"/>
            <w:tcBorders>
              <w:bottom w:val="single" w:sz="8" w:color="2C6937"/>
            </w:tcBorders>
          </w:tcPr>
          <w:p>
            <w:pPr>
              <w:ind w:left="100"/>
              <w:spacing w:after="0"/>
              <w:rPr>
                <w:sz w:val="20"/>
                <w:szCs w:val="20"/>
                <w:color w:val="auto"/>
              </w:rPr>
            </w:pPr>
            <w:r>
              <w:rPr>
                <w:rFonts w:ascii="Arial" w:cs="Arial" w:eastAsia="Arial" w:hAnsi="Arial"/>
                <w:sz w:val="11"/>
                <w:szCs w:val="11"/>
                <w:color w:val="auto"/>
              </w:rPr>
              <w:t>Of consolidated trusts</w:t>
            </w:r>
          </w:p>
        </w:tc>
        <w:tc>
          <w:tcPr>
            <w:tcW w:w="10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(136)</w:t>
            </w:r>
          </w:p>
        </w:tc>
        <w:tc>
          <w:tcPr>
            <w:tcW w:w="8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380" w:type="dxa"/>
            <w:vAlign w:val="bottom"/>
            <w:tcBorders>
              <w:bottom w:val="single" w:sz="8" w:color="2C6937"/>
            </w:tcBorders>
          </w:tcPr>
          <w:p>
            <w:pPr>
              <w:jc w:val="right"/>
              <w:ind w:right="9"/>
              <w:spacing w:after="0"/>
              <w:rPr>
                <w:sz w:val="20"/>
                <w:szCs w:val="20"/>
                <w:color w:val="auto"/>
              </w:rPr>
            </w:pPr>
            <w:r>
              <w:rPr>
                <w:rFonts w:ascii="Arial" w:cs="Arial" w:eastAsia="Arial" w:hAnsi="Arial"/>
                <w:sz w:val="11"/>
                <w:szCs w:val="11"/>
                <w:color w:val="auto"/>
              </w:rPr>
              <w:t>—</w:t>
            </w:r>
          </w:p>
        </w:tc>
        <w:tc>
          <w:tcPr>
            <w:tcW w:w="340" w:type="dxa"/>
            <w:vAlign w:val="bottom"/>
          </w:tcPr>
          <w:p>
            <w:pPr>
              <w:jc w:val="right"/>
              <w:ind w:right="126"/>
              <w:spacing w:after="0"/>
              <w:rPr>
                <w:sz w:val="20"/>
                <w:szCs w:val="20"/>
                <w:color w:val="auto"/>
              </w:rPr>
            </w:pPr>
            <w:r>
              <w:rPr>
                <w:rFonts w:ascii="Arial" w:cs="Arial" w:eastAsia="Arial" w:hAnsi="Arial"/>
                <w:sz w:val="7"/>
                <w:szCs w:val="7"/>
                <w:color w:val="auto"/>
                <w:w w:val="93"/>
              </w:rPr>
              <w:t>(5)(6)</w:t>
            </w:r>
          </w:p>
        </w:tc>
        <w:tc>
          <w:tcPr>
            <w:tcW w:w="80" w:type="dxa"/>
            <w:vAlign w:val="bottom"/>
            <w:tcBorders>
              <w:bottom w:val="single" w:sz="8" w:color="2C6937"/>
            </w:tcBorders>
          </w:tcPr>
          <w:p>
            <w:pPr>
              <w:spacing w:after="0"/>
              <w:rPr>
                <w:sz w:val="17"/>
                <w:szCs w:val="17"/>
                <w:color w:val="auto"/>
              </w:rPr>
            </w:pPr>
          </w:p>
        </w:tc>
        <w:tc>
          <w:tcPr>
            <w:tcW w:w="500" w:type="dxa"/>
            <w:vAlign w:val="bottom"/>
            <w:tcBorders>
              <w:bottom w:val="single" w:sz="8" w:color="2C6937"/>
            </w:tcBorders>
          </w:tcPr>
          <w:p>
            <w:pPr>
              <w:jc w:val="right"/>
              <w:ind w:right="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66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420" w:type="dxa"/>
            <w:vAlign w:val="bottom"/>
            <w:tcBorders>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460" w:type="dxa"/>
            <w:vAlign w:val="bottom"/>
            <w:tcBorders>
              <w:bottom w:val="single" w:sz="8" w:color="2C6937"/>
            </w:tcBorders>
          </w:tcPr>
          <w:p>
            <w:pPr>
              <w:ind w:left="3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7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540" w:type="dxa"/>
            <w:vAlign w:val="bottom"/>
            <w:tcBorders>
              <w:bottom w:val="single" w:sz="8" w:color="2C6937"/>
            </w:tcBorders>
          </w:tcPr>
          <w:p>
            <w:pPr>
              <w:ind w:left="3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5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(125)</w:t>
            </w:r>
          </w:p>
        </w:tc>
        <w:tc>
          <w:tcPr>
            <w:tcW w:w="8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jc w:val="right"/>
              <w:ind w:right="1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780" w:type="dxa"/>
            <w:vAlign w:val="bottom"/>
            <w:tcBorders>
              <w:bottom w:val="single" w:sz="8" w:color="2C6937"/>
            </w:tcBorders>
          </w:tcPr>
          <w:p>
            <w:pPr>
              <w:jc w:val="right"/>
              <w:ind w:right="28"/>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3"/>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Total long-term debt</w:t>
            </w: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(378)</w:t>
            </w:r>
          </w:p>
        </w:tc>
        <w:tc>
          <w:tcPr>
            <w:tcW w:w="80" w:type="dxa"/>
            <w:vAlign w:val="bottom"/>
          </w:tcPr>
          <w:p>
            <w:pPr>
              <w:spacing w:after="0"/>
              <w:rPr>
                <w:sz w:val="15"/>
                <w:szCs w:val="15"/>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(14)</w:t>
            </w:r>
          </w:p>
        </w:tc>
        <w:tc>
          <w:tcPr>
            <w:tcW w:w="3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ind w:left="50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ind w:left="26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ind w:left="300"/>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5"/>
              <w:spacing w:after="0"/>
              <w:rPr>
                <w:sz w:val="20"/>
                <w:szCs w:val="20"/>
                <w:color w:val="auto"/>
              </w:rPr>
            </w:pPr>
            <w:r>
              <w:rPr>
                <w:rFonts w:ascii="Arial" w:cs="Arial" w:eastAsia="Arial" w:hAnsi="Arial"/>
                <w:sz w:val="11"/>
                <w:szCs w:val="11"/>
                <w:color w:val="auto"/>
              </w:rPr>
              <w:t>11</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ind w:left="360"/>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71"/>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(381)</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(14)</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28"/>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6"/>
        </w:trPr>
        <w:tc>
          <w:tcPr>
            <w:tcW w:w="134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2C6937"/>
              <w:bottom w:val="single" w:sz="8" w:color="2C6937"/>
            </w:tcBorders>
          </w:tcPr>
          <w:p>
            <w:pPr>
              <w:spacing w:after="0"/>
              <w:rPr>
                <w:sz w:val="2"/>
                <w:szCs w:val="2"/>
                <w:color w:val="auto"/>
              </w:rPr>
            </w:pPr>
          </w:p>
        </w:tc>
        <w:tc>
          <w:tcPr>
            <w:tcW w:w="66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380" w:type="dxa"/>
            <w:vAlign w:val="bottom"/>
            <w:tcBorders>
              <w:top w:val="single" w:sz="8" w:color="2C6937"/>
              <w:bottom w:val="single" w:sz="8" w:color="2C6937"/>
            </w:tcBorders>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Borders>
              <w:top w:val="single" w:sz="8" w:color="2C6937"/>
              <w:bottom w:val="single" w:sz="8" w:color="2C6937"/>
            </w:tcBorders>
          </w:tcPr>
          <w:p>
            <w:pPr>
              <w:spacing w:after="0"/>
              <w:rPr>
                <w:sz w:val="2"/>
                <w:szCs w:val="2"/>
                <w:color w:val="auto"/>
              </w:rPr>
            </w:pPr>
          </w:p>
        </w:tc>
        <w:tc>
          <w:tcPr>
            <w:tcW w:w="50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2C6937"/>
              <w:bottom w:val="single" w:sz="8" w:color="2C6937"/>
            </w:tcBorders>
          </w:tcPr>
          <w:p>
            <w:pPr>
              <w:spacing w:after="0"/>
              <w:rPr>
                <w:sz w:val="2"/>
                <w:szCs w:val="2"/>
                <w:color w:val="auto"/>
              </w:rPr>
            </w:pPr>
          </w:p>
        </w:tc>
        <w:tc>
          <w:tcPr>
            <w:tcW w:w="6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42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4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2C6937"/>
              <w:bottom w:val="single" w:sz="8" w:color="2C6937"/>
            </w:tcBorders>
          </w:tcPr>
          <w:p>
            <w:pPr>
              <w:spacing w:after="0"/>
              <w:rPr>
                <w:sz w:val="2"/>
                <w:szCs w:val="2"/>
                <w:color w:val="auto"/>
              </w:rPr>
            </w:pPr>
          </w:p>
        </w:tc>
        <w:tc>
          <w:tcPr>
            <w:tcW w:w="72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54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2C6937"/>
              <w:bottom w:val="single" w:sz="8" w:color="2C6937"/>
            </w:tcBorders>
          </w:tcPr>
          <w:p>
            <w:pPr>
              <w:spacing w:after="0"/>
              <w:rPr>
                <w:sz w:val="2"/>
                <w:szCs w:val="2"/>
                <w:color w:val="auto"/>
              </w:rPr>
            </w:pPr>
          </w:p>
        </w:tc>
        <w:tc>
          <w:tcPr>
            <w:tcW w:w="52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62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76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780" w:type="dxa"/>
            <w:vAlign w:val="bottom"/>
            <w:tcBorders>
              <w:top w:val="single" w:sz="8" w:color="2C6937"/>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5" w:lineRule="exact"/>
        <w:rPr>
          <w:sz w:val="20"/>
          <w:szCs w:val="20"/>
          <w:color w:val="auto"/>
        </w:rPr>
      </w:pPr>
    </w:p>
    <w:p>
      <w:pPr>
        <w:jc w:val="center"/>
        <w:ind w:left="1420"/>
        <w:spacing w:after="0"/>
        <w:rPr>
          <w:sz w:val="20"/>
          <w:szCs w:val="20"/>
          <w:color w:val="auto"/>
        </w:rPr>
      </w:pPr>
      <w:r>
        <w:rPr>
          <w:rFonts w:ascii="Arial" w:cs="Arial" w:eastAsia="Arial" w:hAnsi="Arial"/>
          <w:sz w:val="14"/>
          <w:szCs w:val="14"/>
          <w:b w:val="1"/>
          <w:bCs w:val="1"/>
          <w:color w:val="auto"/>
        </w:rPr>
        <w:t>Fair Value Measurements Using Significant Unobservable Inputs (Level 3)</w:t>
      </w:r>
    </w:p>
    <w:p>
      <w:pPr>
        <w:spacing w:after="0" w:line="32" w:lineRule="exact"/>
        <w:rPr>
          <w:sz w:val="20"/>
          <w:szCs w:val="20"/>
          <w:color w:val="auto"/>
        </w:rPr>
      </w:pPr>
    </w:p>
    <w:p>
      <w:pPr>
        <w:jc w:val="center"/>
        <w:ind w:left="1420"/>
        <w:spacing w:after="0"/>
        <w:rPr>
          <w:sz w:val="20"/>
          <w:szCs w:val="20"/>
          <w:color w:val="auto"/>
        </w:rPr>
      </w:pPr>
      <w:r>
        <w:rPr>
          <w:rFonts w:ascii="Arial" w:cs="Arial" w:eastAsia="Arial" w:hAnsi="Arial"/>
          <w:sz w:val="14"/>
          <w:szCs w:val="14"/>
          <w:b w:val="1"/>
          <w:bCs w:val="1"/>
          <w:color w:val="auto"/>
        </w:rPr>
        <w:t>For the Three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19685</wp:posOffset>
            </wp:positionV>
            <wp:extent cx="620522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205220"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center"/>
              <w:ind w:right="30"/>
              <w:spacing w:after="0"/>
              <w:rPr>
                <w:sz w:val="20"/>
                <w:szCs w:val="20"/>
                <w:color w:val="auto"/>
              </w:rPr>
            </w:pPr>
            <w:r>
              <w:rPr>
                <w:rFonts w:ascii="Arial" w:cs="Arial" w:eastAsia="Arial" w:hAnsi="Arial"/>
                <w:sz w:val="9"/>
                <w:szCs w:val="9"/>
                <w:b w:val="1"/>
                <w:bCs w:val="1"/>
                <w:color w:val="auto"/>
                <w:w w:val="95"/>
              </w:rPr>
              <w:t>Net Unrealized</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gridSpan w:val="4"/>
          </w:tcPr>
          <w:p>
            <w:pPr>
              <w:ind w:left="120"/>
              <w:spacing w:after="0"/>
              <w:rPr>
                <w:sz w:val="20"/>
                <w:szCs w:val="20"/>
                <w:color w:val="auto"/>
              </w:rPr>
            </w:pPr>
            <w:r>
              <w:rPr>
                <w:rFonts w:ascii="Arial" w:cs="Arial" w:eastAsia="Arial" w:hAnsi="Arial"/>
                <w:sz w:val="9"/>
                <w:szCs w:val="9"/>
                <w:b w:val="1"/>
                <w:bCs w:val="1"/>
                <w:color w:val="auto"/>
              </w:rPr>
              <w:t>Total Gains (Losses)</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jc w:val="center"/>
              <w:ind w:right="50"/>
              <w:spacing w:after="0"/>
              <w:rPr>
                <w:sz w:val="20"/>
                <w:szCs w:val="20"/>
                <w:color w:val="auto"/>
              </w:rPr>
            </w:pPr>
            <w:r>
              <w:rPr>
                <w:rFonts w:ascii="Arial" w:cs="Arial" w:eastAsia="Arial" w:hAnsi="Arial"/>
                <w:sz w:val="9"/>
                <w:szCs w:val="9"/>
                <w:b w:val="1"/>
                <w:bCs w:val="1"/>
                <w:color w:val="auto"/>
                <w:w w:val="96"/>
              </w:rPr>
              <w:t>Gains (Losses)</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jc w:val="center"/>
              <w:ind w:right="48"/>
              <w:spacing w:after="0"/>
              <w:rPr>
                <w:sz w:val="20"/>
                <w:szCs w:val="20"/>
                <w:color w:val="auto"/>
              </w:rPr>
            </w:pPr>
            <w:r>
              <w:rPr>
                <w:rFonts w:ascii="Arial" w:cs="Arial" w:eastAsia="Arial" w:hAnsi="Arial"/>
                <w:sz w:val="9"/>
                <w:szCs w:val="9"/>
                <w:b w:val="1"/>
                <w:bCs w:val="1"/>
                <w:color w:val="auto"/>
                <w:w w:val="95"/>
              </w:rPr>
              <w:t>Net Unrealized</w:t>
            </w:r>
          </w:p>
        </w:tc>
        <w:tc>
          <w:tcPr>
            <w:tcW w:w="0" w:type="dxa"/>
            <w:vAlign w:val="bottom"/>
          </w:tcPr>
          <w:p>
            <w:pPr>
              <w:spacing w:after="0"/>
              <w:rPr>
                <w:sz w:val="1"/>
                <w:szCs w:val="1"/>
                <w:color w:val="auto"/>
              </w:rPr>
            </w:pPr>
          </w:p>
        </w:tc>
      </w:tr>
      <w:tr>
        <w:trPr>
          <w:trHeight w:val="9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gridSpan w:val="4"/>
          </w:tcPr>
          <w:p>
            <w:pPr>
              <w:ind w:left="120"/>
              <w:spacing w:after="0" w:line="93" w:lineRule="exact"/>
              <w:rPr>
                <w:sz w:val="20"/>
                <w:szCs w:val="20"/>
                <w:color w:val="auto"/>
              </w:rPr>
            </w:pPr>
            <w:r>
              <w:rPr>
                <w:rFonts w:ascii="Arial" w:cs="Arial" w:eastAsia="Arial" w:hAnsi="Arial"/>
                <w:sz w:val="9"/>
                <w:szCs w:val="9"/>
                <w:b w:val="1"/>
                <w:bCs w:val="1"/>
                <w:color w:val="auto"/>
              </w:rPr>
              <w:t>(Realized/Unrealized)</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center"/>
              <w:ind w:right="50"/>
              <w:spacing w:after="0" w:line="93" w:lineRule="exact"/>
              <w:rPr>
                <w:sz w:val="20"/>
                <w:szCs w:val="20"/>
                <w:color w:val="auto"/>
              </w:rPr>
            </w:pPr>
            <w:r>
              <w:rPr>
                <w:rFonts w:ascii="Arial" w:cs="Arial" w:eastAsia="Arial" w:hAnsi="Arial"/>
                <w:sz w:val="9"/>
                <w:szCs w:val="9"/>
                <w:b w:val="1"/>
                <w:bCs w:val="1"/>
                <w:color w:val="auto"/>
                <w:w w:val="96"/>
              </w:rPr>
              <w:t>Included in Net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jc w:val="center"/>
              <w:ind w:right="48"/>
              <w:spacing w:after="0" w:line="93" w:lineRule="exact"/>
              <w:rPr>
                <w:sz w:val="20"/>
                <w:szCs w:val="20"/>
                <w:color w:val="auto"/>
              </w:rPr>
            </w:pPr>
            <w:r>
              <w:rPr>
                <w:rFonts w:ascii="Arial" w:cs="Arial" w:eastAsia="Arial" w:hAnsi="Arial"/>
                <w:sz w:val="9"/>
                <w:szCs w:val="9"/>
                <w:b w:val="1"/>
                <w:bCs w:val="1"/>
                <w:color w:val="auto"/>
                <w:w w:val="92"/>
              </w:rPr>
              <w:t>Gains (Losses)</w:t>
            </w:r>
          </w:p>
        </w:tc>
        <w:tc>
          <w:tcPr>
            <w:tcW w:w="0" w:type="dxa"/>
            <w:vAlign w:val="bottom"/>
          </w:tcPr>
          <w:p>
            <w:pPr>
              <w:spacing w:after="0"/>
              <w:rPr>
                <w:sz w:val="1"/>
                <w:szCs w:val="1"/>
                <w:color w:val="auto"/>
              </w:rPr>
            </w:pPr>
          </w:p>
        </w:tc>
      </w:tr>
      <w:tr>
        <w:trPr>
          <w:trHeight w:val="49"/>
        </w:trPr>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2C6937"/>
            </w:tcBorders>
          </w:tcPr>
          <w:p>
            <w:pPr>
              <w:spacing w:after="0"/>
              <w:rPr>
                <w:sz w:val="4"/>
                <w:szCs w:val="4"/>
                <w:color w:val="auto"/>
              </w:rPr>
            </w:pPr>
          </w:p>
        </w:tc>
        <w:tc>
          <w:tcPr>
            <w:tcW w:w="380" w:type="dxa"/>
            <w:vAlign w:val="bottom"/>
            <w:tcBorders>
              <w:bottom w:val="single" w:sz="8" w:color="2C6937"/>
            </w:tcBorders>
          </w:tcPr>
          <w:p>
            <w:pPr>
              <w:spacing w:after="0"/>
              <w:rPr>
                <w:sz w:val="4"/>
                <w:szCs w:val="4"/>
                <w:color w:val="auto"/>
              </w:rPr>
            </w:pPr>
          </w:p>
        </w:tc>
        <w:tc>
          <w:tcPr>
            <w:tcW w:w="340" w:type="dxa"/>
            <w:vAlign w:val="bottom"/>
            <w:tcBorders>
              <w:bottom w:val="single" w:sz="8" w:color="2C6937"/>
            </w:tcBorders>
          </w:tcPr>
          <w:p>
            <w:pPr>
              <w:spacing w:after="0"/>
              <w:rPr>
                <w:sz w:val="4"/>
                <w:szCs w:val="4"/>
                <w:color w:val="auto"/>
              </w:rPr>
            </w:pPr>
          </w:p>
        </w:tc>
        <w:tc>
          <w:tcPr>
            <w:tcW w:w="80" w:type="dxa"/>
            <w:vAlign w:val="bottom"/>
            <w:tcBorders>
              <w:bottom w:val="single" w:sz="8" w:color="2C6937"/>
            </w:tcBorders>
          </w:tcPr>
          <w:p>
            <w:pPr>
              <w:spacing w:after="0"/>
              <w:rPr>
                <w:sz w:val="4"/>
                <w:szCs w:val="4"/>
                <w:color w:val="auto"/>
              </w:rPr>
            </w:pPr>
          </w:p>
        </w:tc>
        <w:tc>
          <w:tcPr>
            <w:tcW w:w="500" w:type="dxa"/>
            <w:vAlign w:val="bottom"/>
            <w:tcBorders>
              <w:bottom w:val="single" w:sz="8" w:color="2C6937"/>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9"/>
                <w:szCs w:val="9"/>
                <w:b w:val="1"/>
                <w:bCs w:val="1"/>
                <w:color w:val="auto"/>
                <w:w w:val="95"/>
              </w:rPr>
              <w:t>Income Related to</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vMerge w:val="restart"/>
          </w:tcPr>
          <w:p>
            <w:pPr>
              <w:jc w:val="center"/>
              <w:ind w:right="48"/>
              <w:spacing w:after="0"/>
              <w:rPr>
                <w:sz w:val="20"/>
                <w:szCs w:val="20"/>
                <w:color w:val="auto"/>
              </w:rPr>
            </w:pPr>
            <w:r>
              <w:rPr>
                <w:rFonts w:ascii="Arial" w:cs="Arial" w:eastAsia="Arial" w:hAnsi="Arial"/>
                <w:sz w:val="9"/>
                <w:szCs w:val="9"/>
                <w:b w:val="1"/>
                <w:bCs w:val="1"/>
                <w:color w:val="auto"/>
                <w:w w:val="96"/>
              </w:rPr>
              <w:t>Included in OCI</w:t>
            </w:r>
          </w:p>
        </w:tc>
        <w:tc>
          <w:tcPr>
            <w:tcW w:w="0" w:type="dxa"/>
            <w:vAlign w:val="bottom"/>
          </w:tcPr>
          <w:p>
            <w:pPr>
              <w:spacing w:after="0"/>
              <w:rPr>
                <w:sz w:val="1"/>
                <w:szCs w:val="1"/>
                <w:color w:val="auto"/>
              </w:rPr>
            </w:pPr>
          </w:p>
        </w:tc>
      </w:tr>
      <w:tr>
        <w:trPr>
          <w:trHeight w:val="34"/>
        </w:trPr>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center"/>
              <w:ind w:right="50"/>
              <w:spacing w:after="0"/>
              <w:rPr>
                <w:sz w:val="20"/>
                <w:szCs w:val="20"/>
                <w:color w:val="auto"/>
              </w:rPr>
            </w:pPr>
            <w:r>
              <w:rPr>
                <w:rFonts w:ascii="Arial" w:cs="Arial" w:eastAsia="Arial" w:hAnsi="Arial"/>
                <w:sz w:val="9"/>
                <w:szCs w:val="9"/>
                <w:b w:val="1"/>
                <w:bCs w:val="1"/>
                <w:color w:val="auto"/>
                <w:w w:val="95"/>
              </w:rPr>
              <w:t>Assets and</w:t>
            </w:r>
          </w:p>
        </w:tc>
        <w:tc>
          <w:tcPr>
            <w:tcW w:w="80" w:type="dxa"/>
            <w:vAlign w:val="bottom"/>
          </w:tcPr>
          <w:p>
            <w:pPr>
              <w:spacing w:after="0"/>
              <w:rPr>
                <w:sz w:val="8"/>
                <w:szCs w:val="8"/>
                <w:color w:val="auto"/>
              </w:rPr>
            </w:pPr>
          </w:p>
        </w:tc>
        <w:tc>
          <w:tcPr>
            <w:tcW w:w="880" w:type="dxa"/>
            <w:vAlign w:val="bottom"/>
            <w:gridSpan w:val="2"/>
          </w:tcPr>
          <w:p>
            <w:pPr>
              <w:jc w:val="center"/>
              <w:spacing w:after="0"/>
              <w:rPr>
                <w:sz w:val="20"/>
                <w:szCs w:val="20"/>
                <w:color w:val="auto"/>
              </w:rPr>
            </w:pPr>
            <w:r>
              <w:rPr>
                <w:rFonts w:ascii="Arial" w:cs="Arial" w:eastAsia="Arial" w:hAnsi="Arial"/>
                <w:sz w:val="9"/>
                <w:szCs w:val="9"/>
                <w:b w:val="1"/>
                <w:bCs w:val="1"/>
                <w:color w:val="auto"/>
                <w:w w:val="95"/>
              </w:rPr>
              <w:t>Related to Assets</w:t>
            </w:r>
          </w:p>
        </w:tc>
        <w:tc>
          <w:tcPr>
            <w:tcW w:w="0" w:type="dxa"/>
            <w:vAlign w:val="bottom"/>
          </w:tcPr>
          <w:p>
            <w:pPr>
              <w:spacing w:after="0"/>
              <w:rPr>
                <w:sz w:val="1"/>
                <w:szCs w:val="1"/>
                <w:color w:val="auto"/>
              </w:rPr>
            </w:pPr>
          </w:p>
        </w:tc>
      </w:t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gridSpan w:val="2"/>
          </w:tcPr>
          <w:p>
            <w:pPr>
              <w:jc w:val="center"/>
              <w:spacing w:after="0"/>
              <w:rPr>
                <w:sz w:val="20"/>
                <w:szCs w:val="20"/>
                <w:color w:val="auto"/>
              </w:rPr>
            </w:pPr>
            <w:r>
              <w:rPr>
                <w:rFonts w:ascii="Arial" w:cs="Arial" w:eastAsia="Arial" w:hAnsi="Arial"/>
                <w:sz w:val="9"/>
                <w:szCs w:val="9"/>
                <w:b w:val="1"/>
                <w:bCs w:val="1"/>
                <w:color w:val="auto"/>
                <w:w w:val="92"/>
              </w:rPr>
              <w:t>Included in</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tcPr>
          <w:p>
            <w:pPr>
              <w:jc w:val="center"/>
              <w:spacing w:after="0"/>
              <w:rPr>
                <w:sz w:val="20"/>
                <w:szCs w:val="20"/>
                <w:color w:val="auto"/>
              </w:rPr>
            </w:pPr>
            <w:r>
              <w:rPr>
                <w:rFonts w:ascii="Arial" w:cs="Arial" w:eastAsia="Arial" w:hAnsi="Arial"/>
                <w:sz w:val="9"/>
                <w:szCs w:val="9"/>
                <w:b w:val="1"/>
                <w:bCs w:val="1"/>
                <w:color w:val="auto"/>
                <w:w w:val="94"/>
              </w:rPr>
              <w:t>Liabilities Still Held</w:t>
            </w:r>
          </w:p>
        </w:tc>
        <w:tc>
          <w:tcPr>
            <w:tcW w:w="80" w:type="dxa"/>
            <w:vAlign w:val="bottom"/>
          </w:tcPr>
          <w:p>
            <w:pPr>
              <w:spacing w:after="0"/>
              <w:rPr>
                <w:sz w:val="8"/>
                <w:szCs w:val="8"/>
                <w:color w:val="auto"/>
              </w:rPr>
            </w:pPr>
          </w:p>
        </w:tc>
        <w:tc>
          <w:tcPr>
            <w:tcW w:w="880" w:type="dxa"/>
            <w:vAlign w:val="bottom"/>
            <w:gridSpan w:val="2"/>
          </w:tcPr>
          <w:p>
            <w:pPr>
              <w:jc w:val="center"/>
              <w:spacing w:after="0"/>
              <w:rPr>
                <w:sz w:val="20"/>
                <w:szCs w:val="20"/>
                <w:color w:val="auto"/>
              </w:rPr>
            </w:pPr>
            <w:r>
              <w:rPr>
                <w:rFonts w:ascii="Arial" w:cs="Arial" w:eastAsia="Arial" w:hAnsi="Arial"/>
                <w:sz w:val="9"/>
                <w:szCs w:val="9"/>
                <w:b w:val="1"/>
                <w:bCs w:val="1"/>
                <w:color w:val="auto"/>
                <w:w w:val="96"/>
              </w:rPr>
              <w:t>and Liabilities Still</w:t>
            </w:r>
          </w:p>
        </w:tc>
        <w:tc>
          <w:tcPr>
            <w:tcW w:w="0" w:type="dxa"/>
            <w:vAlign w:val="bottom"/>
          </w:tcPr>
          <w:p>
            <w:pPr>
              <w:spacing w:after="0"/>
              <w:rPr>
                <w:sz w:val="1"/>
                <w:szCs w:val="1"/>
                <w:color w:val="auto"/>
              </w:rPr>
            </w:pPr>
          </w:p>
        </w:tc>
      </w:tr>
      <w:tr>
        <w:trPr>
          <w:trHeight w:val="96"/>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3"/>
          </w:tcPr>
          <w:p>
            <w:pPr>
              <w:ind w:left="20"/>
              <w:spacing w:after="0" w:line="96" w:lineRule="exact"/>
              <w:rPr>
                <w:sz w:val="20"/>
                <w:szCs w:val="20"/>
                <w:color w:val="auto"/>
              </w:rPr>
            </w:pPr>
            <w:r>
              <w:rPr>
                <w:rFonts w:ascii="Arial" w:cs="Arial" w:eastAsia="Arial" w:hAnsi="Arial"/>
                <w:sz w:val="9"/>
                <w:szCs w:val="9"/>
                <w:b w:val="1"/>
                <w:bCs w:val="1"/>
                <w:color w:val="auto"/>
              </w:rPr>
              <w:t>Balance, March 31,</w:t>
            </w:r>
          </w:p>
        </w:tc>
        <w:tc>
          <w:tcPr>
            <w:tcW w:w="580" w:type="dxa"/>
            <w:vAlign w:val="bottom"/>
            <w:gridSpan w:val="2"/>
          </w:tcPr>
          <w:p>
            <w:pPr>
              <w:jc w:val="right"/>
              <w:ind w:right="11"/>
              <w:spacing w:after="0" w:line="96" w:lineRule="exact"/>
              <w:rPr>
                <w:sz w:val="20"/>
                <w:szCs w:val="20"/>
                <w:color w:val="auto"/>
              </w:rPr>
            </w:pPr>
            <w:r>
              <w:rPr>
                <w:rFonts w:ascii="Arial" w:cs="Arial" w:eastAsia="Arial" w:hAnsi="Arial"/>
                <w:sz w:val="9"/>
                <w:szCs w:val="9"/>
                <w:b w:val="1"/>
                <w:bCs w:val="1"/>
                <w:color w:val="auto"/>
              </w:rPr>
              <w:t>Included in</w:t>
            </w: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center"/>
              <w:ind w:right="27"/>
              <w:spacing w:after="0" w:line="96" w:lineRule="exact"/>
              <w:rPr>
                <w:sz w:val="20"/>
                <w:szCs w:val="20"/>
                <w:color w:val="auto"/>
              </w:rPr>
            </w:pPr>
            <w:r>
              <w:rPr>
                <w:rFonts w:ascii="Arial" w:cs="Arial" w:eastAsia="Arial" w:hAnsi="Arial"/>
                <w:sz w:val="9"/>
                <w:szCs w:val="9"/>
                <w:b w:val="1"/>
                <w:bCs w:val="1"/>
                <w:color w:val="auto"/>
                <w:w w:val="94"/>
              </w:rPr>
              <w:t>Total OCI</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ind w:left="40"/>
              <w:spacing w:after="0" w:line="96" w:lineRule="exact"/>
              <w:rPr>
                <w:sz w:val="20"/>
                <w:szCs w:val="20"/>
                <w:color w:val="auto"/>
              </w:rPr>
            </w:pPr>
            <w:r>
              <w:rPr>
                <w:rFonts w:ascii="Arial" w:cs="Arial" w:eastAsia="Arial" w:hAnsi="Arial"/>
                <w:sz w:val="9"/>
                <w:szCs w:val="9"/>
                <w:b w:val="1"/>
                <w:bCs w:val="1"/>
                <w:color w:val="auto"/>
              </w:rPr>
              <w:t>Transfers out</w:t>
            </w:r>
          </w:p>
        </w:tc>
        <w:tc>
          <w:tcPr>
            <w:tcW w:w="80" w:type="dxa"/>
            <w:vAlign w:val="bottom"/>
          </w:tcPr>
          <w:p>
            <w:pPr>
              <w:spacing w:after="0"/>
              <w:rPr>
                <w:sz w:val="8"/>
                <w:szCs w:val="8"/>
                <w:color w:val="auto"/>
              </w:rPr>
            </w:pPr>
          </w:p>
        </w:tc>
        <w:tc>
          <w:tcPr>
            <w:tcW w:w="660" w:type="dxa"/>
            <w:vAlign w:val="bottom"/>
            <w:gridSpan w:val="2"/>
          </w:tcPr>
          <w:p>
            <w:pPr>
              <w:jc w:val="right"/>
              <w:spacing w:after="0" w:line="96" w:lineRule="exact"/>
              <w:rPr>
                <w:sz w:val="20"/>
                <w:szCs w:val="20"/>
                <w:color w:val="auto"/>
              </w:rPr>
            </w:pPr>
            <w:r>
              <w:rPr>
                <w:rFonts w:ascii="Arial" w:cs="Arial" w:eastAsia="Arial" w:hAnsi="Arial"/>
                <w:sz w:val="9"/>
                <w:szCs w:val="9"/>
                <w:b w:val="1"/>
                <w:bCs w:val="1"/>
                <w:color w:val="auto"/>
                <w:w w:val="99"/>
              </w:rPr>
              <w:t>Transfers into</w:t>
            </w:r>
          </w:p>
        </w:tc>
        <w:tc>
          <w:tcPr>
            <w:tcW w:w="80" w:type="dxa"/>
            <w:vAlign w:val="bottom"/>
          </w:tcPr>
          <w:p>
            <w:pPr>
              <w:spacing w:after="0"/>
              <w:rPr>
                <w:sz w:val="8"/>
                <w:szCs w:val="8"/>
                <w:color w:val="auto"/>
              </w:rPr>
            </w:pPr>
          </w:p>
        </w:tc>
        <w:tc>
          <w:tcPr>
            <w:tcW w:w="820" w:type="dxa"/>
            <w:vAlign w:val="bottom"/>
            <w:gridSpan w:val="2"/>
          </w:tcPr>
          <w:p>
            <w:pPr>
              <w:jc w:val="right"/>
              <w:ind w:right="5"/>
              <w:spacing w:after="0" w:line="96" w:lineRule="exact"/>
              <w:rPr>
                <w:sz w:val="20"/>
                <w:szCs w:val="20"/>
                <w:color w:val="auto"/>
              </w:rPr>
            </w:pPr>
            <w:r>
              <w:rPr>
                <w:rFonts w:ascii="Arial" w:cs="Arial" w:eastAsia="Arial" w:hAnsi="Arial"/>
                <w:sz w:val="9"/>
                <w:szCs w:val="9"/>
                <w:b w:val="1"/>
                <w:bCs w:val="1"/>
                <w:color w:val="auto"/>
                <w:w w:val="97"/>
              </w:rPr>
              <w:t>Balance, June 30,</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center"/>
              <w:ind w:right="50"/>
              <w:spacing w:after="0" w:line="96" w:lineRule="exact"/>
              <w:rPr>
                <w:sz w:val="20"/>
                <w:szCs w:val="20"/>
                <w:color w:val="auto"/>
              </w:rPr>
            </w:pPr>
            <w:r>
              <w:rPr>
                <w:rFonts w:ascii="Arial" w:cs="Arial" w:eastAsia="Arial" w:hAnsi="Arial"/>
                <w:sz w:val="9"/>
                <w:szCs w:val="9"/>
                <w:b w:val="1"/>
                <w:bCs w:val="1"/>
                <w:color w:val="auto"/>
                <w:w w:val="97"/>
              </w:rPr>
              <w:t>as of June 30,</w:t>
            </w:r>
          </w:p>
        </w:tc>
        <w:tc>
          <w:tcPr>
            <w:tcW w:w="80" w:type="dxa"/>
            <w:vAlign w:val="bottom"/>
          </w:tcPr>
          <w:p>
            <w:pPr>
              <w:spacing w:after="0"/>
              <w:rPr>
                <w:sz w:val="8"/>
                <w:szCs w:val="8"/>
                <w:color w:val="auto"/>
              </w:rPr>
            </w:pPr>
          </w:p>
        </w:tc>
        <w:tc>
          <w:tcPr>
            <w:tcW w:w="880" w:type="dxa"/>
            <w:vAlign w:val="bottom"/>
            <w:gridSpan w:val="2"/>
          </w:tcPr>
          <w:p>
            <w:pPr>
              <w:jc w:val="center"/>
              <w:spacing w:after="0" w:line="96" w:lineRule="exact"/>
              <w:rPr>
                <w:sz w:val="20"/>
                <w:szCs w:val="20"/>
                <w:color w:val="auto"/>
              </w:rPr>
            </w:pPr>
            <w:r>
              <w:rPr>
                <w:rFonts w:ascii="Arial" w:cs="Arial" w:eastAsia="Arial" w:hAnsi="Arial"/>
                <w:sz w:val="9"/>
                <w:szCs w:val="9"/>
                <w:b w:val="1"/>
                <w:bCs w:val="1"/>
                <w:color w:val="auto"/>
                <w:w w:val="93"/>
              </w:rPr>
              <w:t>Held as of June 30,</w:t>
            </w:r>
          </w:p>
        </w:tc>
        <w:tc>
          <w:tcPr>
            <w:tcW w:w="0" w:type="dxa"/>
            <w:vAlign w:val="bottom"/>
          </w:tcPr>
          <w:p>
            <w:pPr>
              <w:spacing w:after="0"/>
              <w:rPr>
                <w:sz w:val="1"/>
                <w:szCs w:val="1"/>
                <w:color w:val="auto"/>
              </w:rPr>
            </w:pPr>
          </w:p>
        </w:tc>
      </w:tr>
      <w:tr>
        <w:trPr>
          <w:trHeight w:val="147"/>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2C6937"/>
            </w:tcBorders>
          </w:tcPr>
          <w:p>
            <w:pPr>
              <w:spacing w:after="0"/>
              <w:rPr>
                <w:sz w:val="12"/>
                <w:szCs w:val="12"/>
                <w:color w:val="auto"/>
              </w:rPr>
            </w:pPr>
          </w:p>
        </w:tc>
        <w:tc>
          <w:tcPr>
            <w:tcW w:w="620" w:type="dxa"/>
            <w:vAlign w:val="bottom"/>
            <w:tcBorders>
              <w:bottom w:val="single" w:sz="8" w:color="2C6937"/>
            </w:tcBorders>
          </w:tcPr>
          <w:p>
            <w:pPr>
              <w:jc w:val="right"/>
              <w:ind w:right="265"/>
              <w:spacing w:after="0"/>
              <w:rPr>
                <w:sz w:val="20"/>
                <w:szCs w:val="20"/>
                <w:color w:val="auto"/>
              </w:rPr>
            </w:pPr>
            <w:r>
              <w:rPr>
                <w:rFonts w:ascii="Arial" w:cs="Arial" w:eastAsia="Arial" w:hAnsi="Arial"/>
                <w:sz w:val="9"/>
                <w:szCs w:val="9"/>
                <w:b w:val="1"/>
                <w:bCs w:val="1"/>
                <w:color w:val="auto"/>
              </w:rPr>
              <w:t>2022</w:t>
            </w:r>
          </w:p>
        </w:tc>
        <w:tc>
          <w:tcPr>
            <w:tcW w:w="80" w:type="dxa"/>
            <w:vAlign w:val="bottom"/>
            <w:tcBorders>
              <w:bottom w:val="single" w:sz="8" w:color="2C6937"/>
            </w:tcBorders>
          </w:tcPr>
          <w:p>
            <w:pPr>
              <w:spacing w:after="0"/>
              <w:rPr>
                <w:sz w:val="12"/>
                <w:szCs w:val="12"/>
                <w:color w:val="auto"/>
              </w:rPr>
            </w:pPr>
          </w:p>
        </w:tc>
        <w:tc>
          <w:tcPr>
            <w:tcW w:w="580" w:type="dxa"/>
            <w:vAlign w:val="bottom"/>
            <w:tcBorders>
              <w:bottom w:val="single" w:sz="8" w:color="2C6937"/>
            </w:tcBorders>
            <w:gridSpan w:val="2"/>
          </w:tcPr>
          <w:p>
            <w:pPr>
              <w:jc w:val="right"/>
              <w:ind w:right="11"/>
              <w:spacing w:after="0"/>
              <w:rPr>
                <w:sz w:val="20"/>
                <w:szCs w:val="20"/>
                <w:color w:val="auto"/>
              </w:rPr>
            </w:pPr>
            <w:r>
              <w:rPr>
                <w:rFonts w:ascii="Arial" w:cs="Arial" w:eastAsia="Arial" w:hAnsi="Arial"/>
                <w:sz w:val="9"/>
                <w:szCs w:val="9"/>
                <w:b w:val="1"/>
                <w:bCs w:val="1"/>
                <w:color w:val="auto"/>
              </w:rPr>
              <w:t>Net Income</w:t>
            </w:r>
          </w:p>
        </w:tc>
        <w:tc>
          <w:tcPr>
            <w:tcW w:w="340" w:type="dxa"/>
            <w:vAlign w:val="bottom"/>
            <w:tcBorders>
              <w:bottom w:val="single" w:sz="8" w:color="2C6937"/>
            </w:tcBorders>
          </w:tcPr>
          <w:p>
            <w:pPr>
              <w:spacing w:after="0"/>
              <w:rPr>
                <w:sz w:val="12"/>
                <w:szCs w:val="12"/>
                <w:color w:val="auto"/>
              </w:rPr>
            </w:pPr>
          </w:p>
        </w:tc>
        <w:tc>
          <w:tcPr>
            <w:tcW w:w="80" w:type="dxa"/>
            <w:vAlign w:val="bottom"/>
            <w:tcBorders>
              <w:bottom w:val="single" w:sz="8" w:color="2C6937"/>
            </w:tcBorders>
          </w:tcPr>
          <w:p>
            <w:pPr>
              <w:spacing w:after="0"/>
              <w:rPr>
                <w:sz w:val="12"/>
                <w:szCs w:val="12"/>
                <w:color w:val="auto"/>
              </w:rPr>
            </w:pPr>
          </w:p>
        </w:tc>
        <w:tc>
          <w:tcPr>
            <w:tcW w:w="500" w:type="dxa"/>
            <w:vAlign w:val="bottom"/>
            <w:tcBorders>
              <w:bottom w:val="single" w:sz="8" w:color="2C6937"/>
            </w:tcBorders>
          </w:tcPr>
          <w:p>
            <w:pPr>
              <w:jc w:val="center"/>
              <w:ind w:right="47"/>
              <w:spacing w:after="0"/>
              <w:rPr>
                <w:sz w:val="20"/>
                <w:szCs w:val="20"/>
                <w:color w:val="auto"/>
              </w:rPr>
            </w:pPr>
            <w:r>
              <w:rPr>
                <w:rFonts w:ascii="Arial" w:cs="Arial" w:eastAsia="Arial" w:hAnsi="Arial"/>
                <w:sz w:val="9"/>
                <w:szCs w:val="9"/>
                <w:b w:val="1"/>
                <w:bCs w:val="1"/>
                <w:color w:val="auto"/>
                <w:w w:val="88"/>
              </w:rPr>
              <w:t>(Loss)</w:t>
            </w:r>
            <w:r>
              <w:rPr>
                <w:rFonts w:ascii="Arial" w:cs="Arial" w:eastAsia="Arial" w:hAnsi="Arial"/>
                <w:sz w:val="11"/>
                <w:szCs w:val="11"/>
                <w:b w:val="1"/>
                <w:bCs w:val="1"/>
                <w:color w:val="auto"/>
                <w:w w:val="88"/>
                <w:vertAlign w:val="superscript"/>
              </w:rPr>
              <w:t>(1)</w:t>
            </w: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680" w:type="dxa"/>
            <w:vAlign w:val="bottom"/>
            <w:tcBorders>
              <w:bottom w:val="single" w:sz="8" w:color="2C6937"/>
            </w:tcBorders>
          </w:tcPr>
          <w:p>
            <w:pPr>
              <w:ind w:left="40"/>
              <w:spacing w:after="0"/>
              <w:rPr>
                <w:sz w:val="20"/>
                <w:szCs w:val="20"/>
                <w:color w:val="auto"/>
              </w:rPr>
            </w:pPr>
            <w:r>
              <w:rPr>
                <w:rFonts w:ascii="Arial" w:cs="Arial" w:eastAsia="Arial" w:hAnsi="Arial"/>
                <w:sz w:val="9"/>
                <w:szCs w:val="9"/>
                <w:b w:val="1"/>
                <w:bCs w:val="1"/>
                <w:color w:val="auto"/>
              </w:rPr>
              <w:t>Purchases</w:t>
            </w:r>
            <w:r>
              <w:rPr>
                <w:rFonts w:ascii="Arial" w:cs="Arial" w:eastAsia="Arial" w:hAnsi="Arial"/>
                <w:sz w:val="11"/>
                <w:szCs w:val="11"/>
                <w:b w:val="1"/>
                <w:bCs w:val="1"/>
                <w:color w:val="auto"/>
                <w:vertAlign w:val="superscript"/>
              </w:rPr>
              <w:t>(2)</w:t>
            </w: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420" w:type="dxa"/>
            <w:vAlign w:val="bottom"/>
            <w:tcBorders>
              <w:bottom w:val="single" w:sz="8" w:color="2C6937"/>
            </w:tcBorders>
          </w:tcPr>
          <w:p>
            <w:pPr>
              <w:ind w:left="20"/>
              <w:spacing w:after="0"/>
              <w:rPr>
                <w:sz w:val="20"/>
                <w:szCs w:val="20"/>
                <w:color w:val="auto"/>
              </w:rPr>
            </w:pPr>
            <w:r>
              <w:rPr>
                <w:rFonts w:ascii="Arial" w:cs="Arial" w:eastAsia="Arial" w:hAnsi="Arial"/>
                <w:sz w:val="9"/>
                <w:szCs w:val="9"/>
                <w:b w:val="1"/>
                <w:bCs w:val="1"/>
                <w:color w:val="auto"/>
              </w:rPr>
              <w:t>Sales</w:t>
            </w:r>
            <w:r>
              <w:rPr>
                <w:rFonts w:ascii="Arial" w:cs="Arial" w:eastAsia="Arial" w:hAnsi="Arial"/>
                <w:sz w:val="11"/>
                <w:szCs w:val="11"/>
                <w:b w:val="1"/>
                <w:bCs w:val="1"/>
                <w:color w:val="auto"/>
                <w:vertAlign w:val="superscript"/>
              </w:rPr>
              <w:t>(2)</w:t>
            </w: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460" w:type="dxa"/>
            <w:vAlign w:val="bottom"/>
            <w:tcBorders>
              <w:bottom w:val="single" w:sz="8" w:color="2C6937"/>
            </w:tcBorders>
          </w:tcPr>
          <w:p>
            <w:pPr>
              <w:ind w:left="20"/>
              <w:spacing w:after="0"/>
              <w:rPr>
                <w:sz w:val="20"/>
                <w:szCs w:val="20"/>
                <w:color w:val="auto"/>
              </w:rPr>
            </w:pPr>
            <w:r>
              <w:rPr>
                <w:rFonts w:ascii="Arial" w:cs="Arial" w:eastAsia="Arial" w:hAnsi="Arial"/>
                <w:sz w:val="9"/>
                <w:szCs w:val="9"/>
                <w:b w:val="1"/>
                <w:bCs w:val="1"/>
                <w:color w:val="auto"/>
              </w:rPr>
              <w:t>Issues</w:t>
            </w:r>
            <w:r>
              <w:rPr>
                <w:rFonts w:ascii="Arial" w:cs="Arial" w:eastAsia="Arial" w:hAnsi="Arial"/>
                <w:sz w:val="11"/>
                <w:szCs w:val="11"/>
                <w:b w:val="1"/>
                <w:bCs w:val="1"/>
                <w:color w:val="auto"/>
                <w:vertAlign w:val="superscript"/>
              </w:rPr>
              <w:t>(3)</w:t>
            </w:r>
          </w:p>
        </w:tc>
        <w:tc>
          <w:tcPr>
            <w:tcW w:w="100" w:type="dxa"/>
            <w:vAlign w:val="bottom"/>
            <w:tcBorders>
              <w:bottom w:val="single" w:sz="8" w:color="2C6937"/>
            </w:tcBorders>
          </w:tcPr>
          <w:p>
            <w:pPr>
              <w:spacing w:after="0"/>
              <w:rPr>
                <w:sz w:val="12"/>
                <w:szCs w:val="12"/>
                <w:color w:val="auto"/>
              </w:rPr>
            </w:pPr>
          </w:p>
        </w:tc>
        <w:tc>
          <w:tcPr>
            <w:tcW w:w="120" w:type="dxa"/>
            <w:vAlign w:val="bottom"/>
            <w:tcBorders>
              <w:bottom w:val="single" w:sz="8" w:color="2C6937"/>
            </w:tcBorders>
          </w:tcPr>
          <w:p>
            <w:pPr>
              <w:spacing w:after="0"/>
              <w:rPr>
                <w:sz w:val="12"/>
                <w:szCs w:val="12"/>
                <w:color w:val="auto"/>
              </w:rPr>
            </w:pPr>
          </w:p>
        </w:tc>
        <w:tc>
          <w:tcPr>
            <w:tcW w:w="720" w:type="dxa"/>
            <w:vAlign w:val="bottom"/>
            <w:tcBorders>
              <w:bottom w:val="single" w:sz="8" w:color="2C6937"/>
            </w:tcBorders>
          </w:tcPr>
          <w:p>
            <w:pPr>
              <w:jc w:val="right"/>
              <w:ind w:right="85"/>
              <w:spacing w:after="0"/>
              <w:rPr>
                <w:sz w:val="20"/>
                <w:szCs w:val="20"/>
                <w:color w:val="auto"/>
              </w:rPr>
            </w:pPr>
            <w:r>
              <w:rPr>
                <w:rFonts w:ascii="Arial" w:cs="Arial" w:eastAsia="Arial" w:hAnsi="Arial"/>
                <w:sz w:val="9"/>
                <w:szCs w:val="9"/>
                <w:b w:val="1"/>
                <w:bCs w:val="1"/>
                <w:color w:val="auto"/>
                <w:w w:val="93"/>
              </w:rPr>
              <w:t>Settlements</w:t>
            </w:r>
            <w:r>
              <w:rPr>
                <w:rFonts w:ascii="Arial" w:cs="Arial" w:eastAsia="Arial" w:hAnsi="Arial"/>
                <w:sz w:val="11"/>
                <w:szCs w:val="11"/>
                <w:b w:val="1"/>
                <w:bCs w:val="1"/>
                <w:color w:val="auto"/>
                <w:w w:val="93"/>
                <w:vertAlign w:val="superscript"/>
              </w:rPr>
              <w:t>(3)</w:t>
            </w: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540" w:type="dxa"/>
            <w:vAlign w:val="bottom"/>
            <w:tcBorders>
              <w:bottom w:val="single" w:sz="8" w:color="2C6937"/>
            </w:tcBorders>
          </w:tcPr>
          <w:p>
            <w:pPr>
              <w:ind w:left="20"/>
              <w:spacing w:after="0"/>
              <w:rPr>
                <w:sz w:val="20"/>
                <w:szCs w:val="20"/>
                <w:color w:val="auto"/>
              </w:rPr>
            </w:pPr>
            <w:r>
              <w:rPr>
                <w:rFonts w:ascii="Arial" w:cs="Arial" w:eastAsia="Arial" w:hAnsi="Arial"/>
                <w:sz w:val="9"/>
                <w:szCs w:val="9"/>
                <w:b w:val="1"/>
                <w:bCs w:val="1"/>
                <w:color w:val="auto"/>
              </w:rPr>
              <w:t>of Level 3</w:t>
            </w:r>
          </w:p>
        </w:tc>
        <w:tc>
          <w:tcPr>
            <w:tcW w:w="80" w:type="dxa"/>
            <w:vAlign w:val="bottom"/>
            <w:tcBorders>
              <w:bottom w:val="single" w:sz="8" w:color="2C6937"/>
            </w:tcBorders>
          </w:tcPr>
          <w:p>
            <w:pPr>
              <w:spacing w:after="0"/>
              <w:rPr>
                <w:sz w:val="12"/>
                <w:szCs w:val="12"/>
                <w:color w:val="auto"/>
              </w:rPr>
            </w:pPr>
          </w:p>
        </w:tc>
        <w:tc>
          <w:tcPr>
            <w:tcW w:w="140" w:type="dxa"/>
            <w:vAlign w:val="bottom"/>
            <w:tcBorders>
              <w:bottom w:val="single" w:sz="8" w:color="2C6937"/>
            </w:tcBorders>
          </w:tcPr>
          <w:p>
            <w:pPr>
              <w:spacing w:after="0"/>
              <w:rPr>
                <w:sz w:val="12"/>
                <w:szCs w:val="12"/>
                <w:color w:val="auto"/>
              </w:rPr>
            </w:pPr>
          </w:p>
        </w:tc>
        <w:tc>
          <w:tcPr>
            <w:tcW w:w="520" w:type="dxa"/>
            <w:vAlign w:val="bottom"/>
            <w:tcBorders>
              <w:bottom w:val="single" w:sz="8" w:color="2C6937"/>
            </w:tcBorders>
          </w:tcPr>
          <w:p>
            <w:pPr>
              <w:jc w:val="right"/>
              <w:ind w:right="125"/>
              <w:spacing w:after="0"/>
              <w:rPr>
                <w:sz w:val="20"/>
                <w:szCs w:val="20"/>
                <w:color w:val="auto"/>
              </w:rPr>
            </w:pPr>
            <w:r>
              <w:rPr>
                <w:rFonts w:ascii="Arial" w:cs="Arial" w:eastAsia="Arial" w:hAnsi="Arial"/>
                <w:sz w:val="9"/>
                <w:szCs w:val="9"/>
                <w:b w:val="1"/>
                <w:bCs w:val="1"/>
                <w:color w:val="auto"/>
              </w:rPr>
              <w:t>Level 3</w:t>
            </w:r>
          </w:p>
        </w:tc>
        <w:tc>
          <w:tcPr>
            <w:tcW w:w="80" w:type="dxa"/>
            <w:vAlign w:val="bottom"/>
            <w:tcBorders>
              <w:bottom w:val="single" w:sz="8" w:color="2C6937"/>
            </w:tcBorders>
          </w:tcPr>
          <w:p>
            <w:pPr>
              <w:spacing w:after="0"/>
              <w:rPr>
                <w:sz w:val="12"/>
                <w:szCs w:val="12"/>
                <w:color w:val="auto"/>
              </w:rPr>
            </w:pPr>
          </w:p>
        </w:tc>
        <w:tc>
          <w:tcPr>
            <w:tcW w:w="200" w:type="dxa"/>
            <w:vAlign w:val="bottom"/>
            <w:tcBorders>
              <w:bottom w:val="single" w:sz="8" w:color="2C6937"/>
            </w:tcBorders>
          </w:tcPr>
          <w:p>
            <w:pPr>
              <w:spacing w:after="0"/>
              <w:rPr>
                <w:sz w:val="12"/>
                <w:szCs w:val="12"/>
                <w:color w:val="auto"/>
              </w:rPr>
            </w:pPr>
          </w:p>
        </w:tc>
        <w:tc>
          <w:tcPr>
            <w:tcW w:w="620" w:type="dxa"/>
            <w:vAlign w:val="bottom"/>
            <w:tcBorders>
              <w:bottom w:val="single" w:sz="8" w:color="2C6937"/>
            </w:tcBorders>
          </w:tcPr>
          <w:p>
            <w:pPr>
              <w:jc w:val="right"/>
              <w:ind w:right="265"/>
              <w:spacing w:after="0"/>
              <w:rPr>
                <w:sz w:val="20"/>
                <w:szCs w:val="20"/>
                <w:color w:val="auto"/>
              </w:rPr>
            </w:pPr>
            <w:r>
              <w:rPr>
                <w:rFonts w:ascii="Arial" w:cs="Arial" w:eastAsia="Arial" w:hAnsi="Arial"/>
                <w:sz w:val="9"/>
                <w:szCs w:val="9"/>
                <w:b w:val="1"/>
                <w:bCs w:val="1"/>
                <w:color w:val="auto"/>
              </w:rPr>
              <w:t>2022</w:t>
            </w:r>
          </w:p>
        </w:tc>
        <w:tc>
          <w:tcPr>
            <w:tcW w:w="8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760" w:type="dxa"/>
            <w:vAlign w:val="bottom"/>
            <w:tcBorders>
              <w:bottom w:val="single" w:sz="8" w:color="2C6937"/>
            </w:tcBorders>
          </w:tcPr>
          <w:p>
            <w:pPr>
              <w:jc w:val="center"/>
              <w:ind w:right="50"/>
              <w:spacing w:after="0" w:line="147" w:lineRule="exact"/>
              <w:rPr>
                <w:sz w:val="20"/>
                <w:szCs w:val="20"/>
                <w:color w:val="auto"/>
              </w:rPr>
            </w:pPr>
            <w:r>
              <w:rPr>
                <w:rFonts w:ascii="Arial" w:cs="Arial" w:eastAsia="Arial" w:hAnsi="Arial"/>
                <w:sz w:val="17"/>
                <w:szCs w:val="17"/>
                <w:b w:val="1"/>
                <w:bCs w:val="1"/>
                <w:color w:val="auto"/>
                <w:w w:val="85"/>
                <w:vertAlign w:val="subscript"/>
              </w:rPr>
              <w:t>2022</w:t>
            </w:r>
            <w:r>
              <w:rPr>
                <w:rFonts w:ascii="Arial" w:cs="Arial" w:eastAsia="Arial" w:hAnsi="Arial"/>
                <w:sz w:val="6"/>
                <w:szCs w:val="6"/>
                <w:b w:val="1"/>
                <w:bCs w:val="1"/>
                <w:color w:val="auto"/>
                <w:w w:val="85"/>
              </w:rPr>
              <w:t>(4)(5)</w:t>
            </w:r>
          </w:p>
        </w:tc>
        <w:tc>
          <w:tcPr>
            <w:tcW w:w="8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780" w:type="dxa"/>
            <w:vAlign w:val="bottom"/>
            <w:tcBorders>
              <w:bottom w:val="single" w:sz="8" w:color="2C6937"/>
            </w:tcBorders>
          </w:tcPr>
          <w:p>
            <w:pPr>
              <w:jc w:val="center"/>
              <w:ind w:right="48"/>
              <w:spacing w:after="0"/>
              <w:rPr>
                <w:sz w:val="20"/>
                <w:szCs w:val="20"/>
                <w:color w:val="auto"/>
              </w:rPr>
            </w:pPr>
            <w:r>
              <w:rPr>
                <w:rFonts w:ascii="Arial" w:cs="Arial" w:eastAsia="Arial" w:hAnsi="Arial"/>
                <w:sz w:val="9"/>
                <w:szCs w:val="9"/>
                <w:b w:val="1"/>
                <w:bCs w:val="1"/>
                <w:color w:val="auto"/>
                <w:w w:val="82"/>
              </w:rPr>
              <w:t>2022</w:t>
            </w:r>
            <w:r>
              <w:rPr>
                <w:rFonts w:ascii="Arial" w:cs="Arial" w:eastAsia="Arial" w:hAnsi="Arial"/>
                <w:sz w:val="11"/>
                <w:szCs w:val="11"/>
                <w:b w:val="1"/>
                <w:bCs w:val="1"/>
                <w:color w:val="auto"/>
                <w:w w:val="82"/>
                <w:vertAlign w:val="superscript"/>
              </w:rPr>
              <w:t>(1)</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4"/>
          </w:tcPr>
          <w:p>
            <w:pPr>
              <w:jc w:val="right"/>
              <w:ind w:right="45"/>
              <w:spacing w:after="0"/>
              <w:rPr>
                <w:sz w:val="20"/>
                <w:szCs w:val="20"/>
                <w:color w:val="auto"/>
              </w:rPr>
            </w:pPr>
            <w:r>
              <w:rPr>
                <w:rFonts w:ascii="Arial" w:cs="Arial" w:eastAsia="Arial" w:hAnsi="Arial"/>
                <w:sz w:val="11"/>
                <w:szCs w:val="11"/>
                <w:b w:val="1"/>
                <w:bCs w:val="1"/>
                <w:color w:val="auto"/>
              </w:rPr>
              <w:t>(Dollars in millions)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Trading securities:</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1440" w:type="dxa"/>
            <w:vAlign w:val="bottom"/>
            <w:gridSpan w:val="2"/>
          </w:tcPr>
          <w:p>
            <w:pPr>
              <w:ind w:left="60"/>
              <w:spacing w:after="0"/>
              <w:rPr>
                <w:sz w:val="20"/>
                <w:szCs w:val="20"/>
                <w:color w:val="auto"/>
              </w:rPr>
            </w:pPr>
            <w:r>
              <w:rPr>
                <w:rFonts w:ascii="Arial" w:cs="Arial" w:eastAsia="Arial" w:hAnsi="Arial"/>
                <w:sz w:val="11"/>
                <w:szCs w:val="11"/>
                <w:color w:val="auto"/>
              </w:rPr>
              <w:t>Mortgage-related</w:t>
            </w:r>
          </w:p>
        </w:tc>
        <w:tc>
          <w:tcPr>
            <w:tcW w:w="200" w:type="dxa"/>
            <w:vAlign w:val="bottom"/>
          </w:tcPr>
          <w:p>
            <w:pPr>
              <w:ind w:left="2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47</w:t>
            </w:r>
          </w:p>
        </w:tc>
        <w:tc>
          <w:tcPr>
            <w:tcW w:w="80" w:type="dxa"/>
            <w:vAlign w:val="bottom"/>
          </w:tcPr>
          <w:p>
            <w:pPr>
              <w:spacing w:after="0"/>
              <w:rPr>
                <w:sz w:val="24"/>
                <w:szCs w:val="24"/>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126"/>
              <w:spacing w:after="0"/>
              <w:rPr>
                <w:sz w:val="20"/>
                <w:szCs w:val="20"/>
                <w:color w:val="auto"/>
              </w:rPr>
            </w:pPr>
            <w:r>
              <w:rPr>
                <w:rFonts w:ascii="Arial" w:cs="Arial" w:eastAsia="Arial" w:hAnsi="Arial"/>
                <w:sz w:val="22"/>
                <w:szCs w:val="22"/>
                <w:color w:val="auto"/>
                <w:vertAlign w:val="subscript"/>
              </w:rPr>
              <w:t>(2)</w:t>
            </w:r>
            <w:r>
              <w:rPr>
                <w:rFonts w:ascii="Arial" w:cs="Arial" w:eastAsia="Arial" w:hAnsi="Arial"/>
                <w:sz w:val="7"/>
                <w:szCs w:val="7"/>
                <w:color w:val="auto"/>
              </w:rPr>
              <w:t xml:space="preserve"> (5)(6)</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ind w:left="32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ind w:left="50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ind w:left="24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ind w:left="300"/>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ind w:left="380"/>
              <w:spacing w:after="0"/>
              <w:rPr>
                <w:sz w:val="20"/>
                <w:szCs w:val="20"/>
                <w:color w:val="auto"/>
              </w:rPr>
            </w:pPr>
            <w:r>
              <w:rPr>
                <w:rFonts w:ascii="Arial" w:cs="Arial" w:eastAsia="Arial" w:hAnsi="Arial"/>
                <w:sz w:val="11"/>
                <w:szCs w:val="11"/>
                <w:color w:val="auto"/>
              </w:rPr>
              <w:t>(5)</w:t>
            </w:r>
          </w:p>
        </w:tc>
        <w:tc>
          <w:tcPr>
            <w:tcW w:w="22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25"/>
              <w:spacing w:after="0"/>
              <w:rPr>
                <w:sz w:val="20"/>
                <w:szCs w:val="20"/>
                <w:color w:val="auto"/>
              </w:rPr>
            </w:pPr>
            <w:r>
              <w:rPr>
                <w:rFonts w:ascii="Arial" w:cs="Arial" w:eastAsia="Arial" w:hAnsi="Arial"/>
                <w:sz w:val="11"/>
                <w:szCs w:val="11"/>
                <w:color w:val="auto"/>
              </w:rPr>
              <w:t>37</w:t>
            </w:r>
          </w:p>
        </w:tc>
        <w:tc>
          <w:tcPr>
            <w:tcW w:w="280" w:type="dxa"/>
            <w:vAlign w:val="bottom"/>
            <w:gridSpan w:val="2"/>
          </w:tcPr>
          <w:p>
            <w:pPr>
              <w:jc w:val="right"/>
              <w:ind w:right="71"/>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76</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ind w:left="6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1"/>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Available-for-sale</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1440" w:type="dxa"/>
            <w:vAlign w:val="bottom"/>
            <w:gridSpan w:val="2"/>
          </w:tcPr>
          <w:p>
            <w:pPr>
              <w:ind w:left="140"/>
              <w:spacing w:after="0"/>
              <w:rPr>
                <w:sz w:val="20"/>
                <w:szCs w:val="20"/>
                <w:color w:val="auto"/>
              </w:rPr>
            </w:pPr>
            <w:r>
              <w:rPr>
                <w:rFonts w:ascii="Arial" w:cs="Arial" w:eastAsia="Arial" w:hAnsi="Arial"/>
                <w:sz w:val="11"/>
                <w:szCs w:val="11"/>
                <w:color w:val="auto"/>
              </w:rPr>
              <w:t>securities:</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440" w:type="dxa"/>
            <w:vAlign w:val="bottom"/>
            <w:gridSpan w:val="2"/>
          </w:tcPr>
          <w:p>
            <w:pPr>
              <w:ind w:left="60"/>
              <w:spacing w:after="0"/>
              <w:rPr>
                <w:sz w:val="20"/>
                <w:szCs w:val="20"/>
                <w:color w:val="auto"/>
              </w:rPr>
            </w:pPr>
            <w:r>
              <w:rPr>
                <w:rFonts w:ascii="Arial" w:cs="Arial" w:eastAsia="Arial" w:hAnsi="Arial"/>
                <w:sz w:val="11"/>
                <w:szCs w:val="11"/>
                <w:color w:val="auto"/>
              </w:rPr>
              <w:t>Agency</w:t>
            </w:r>
          </w:p>
        </w:tc>
        <w:tc>
          <w:tcPr>
            <w:tcW w:w="200" w:type="dxa"/>
            <w:vAlign w:val="bottom"/>
          </w:tcPr>
          <w:p>
            <w:pPr>
              <w:ind w:left="2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418</w:t>
            </w:r>
          </w:p>
        </w:tc>
        <w:tc>
          <w:tcPr>
            <w:tcW w:w="80" w:type="dxa"/>
            <w:vAlign w:val="bottom"/>
          </w:tcPr>
          <w:p>
            <w:pPr>
              <w:spacing w:after="0"/>
              <w:rPr>
                <w:sz w:val="15"/>
                <w:szCs w:val="15"/>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ind w:right="11"/>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ind w:left="32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ind w:left="50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ind w:left="24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ind w:left="300"/>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(14)</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ind w:left="360"/>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71"/>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404</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
              <w:spacing w:after="0"/>
              <w:rPr>
                <w:sz w:val="20"/>
                <w:szCs w:val="20"/>
                <w:color w:val="auto"/>
              </w:rPr>
            </w:pPr>
            <w:r>
              <w:rPr>
                <w:rFonts w:ascii="Arial" w:cs="Arial" w:eastAsia="Arial" w:hAnsi="Arial"/>
                <w:sz w:val="11"/>
                <w:szCs w:val="11"/>
                <w:color w:val="auto"/>
              </w:rPr>
              <w:t>—</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ind w:left="60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7"/>
        </w:trPr>
        <w:tc>
          <w:tcPr>
            <w:tcW w:w="1340" w:type="dxa"/>
            <w:vAlign w:val="bottom"/>
            <w:tcBorders>
              <w:bottom w:val="single" w:sz="8" w:color="2C6937"/>
            </w:tcBorders>
          </w:tcPr>
          <w:p>
            <w:pPr>
              <w:ind w:left="60"/>
              <w:spacing w:after="0"/>
              <w:rPr>
                <w:sz w:val="20"/>
                <w:szCs w:val="20"/>
                <w:color w:val="auto"/>
              </w:rPr>
            </w:pPr>
            <w:r>
              <w:rPr>
                <w:rFonts w:ascii="Arial" w:cs="Arial" w:eastAsia="Arial" w:hAnsi="Arial"/>
                <w:sz w:val="11"/>
                <w:szCs w:val="11"/>
                <w:color w:val="auto"/>
              </w:rPr>
              <w:t>Other mortgage-related</w:t>
            </w:r>
          </w:p>
        </w:tc>
        <w:tc>
          <w:tcPr>
            <w:tcW w:w="100" w:type="dxa"/>
            <w:vAlign w:val="bottom"/>
          </w:tcPr>
          <w:p>
            <w:pPr>
              <w:spacing w:after="0"/>
              <w:rPr>
                <w:sz w:val="14"/>
                <w:szCs w:val="14"/>
                <w:color w:val="auto"/>
              </w:rPr>
            </w:pPr>
          </w:p>
        </w:tc>
        <w:tc>
          <w:tcPr>
            <w:tcW w:w="200" w:type="dxa"/>
            <w:vAlign w:val="bottom"/>
            <w:tcBorders>
              <w:bottom w:val="single" w:sz="8" w:color="2C6937"/>
            </w:tcBorders>
          </w:tcPr>
          <w:p>
            <w:pPr>
              <w:spacing w:after="0"/>
              <w:rPr>
                <w:sz w:val="14"/>
                <w:szCs w:val="14"/>
                <w:color w:val="auto"/>
              </w:rPr>
            </w:pPr>
          </w:p>
        </w:tc>
        <w:tc>
          <w:tcPr>
            <w:tcW w:w="6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309</w:t>
            </w:r>
          </w:p>
        </w:tc>
        <w:tc>
          <w:tcPr>
            <w:tcW w:w="80" w:type="dxa"/>
            <w:vAlign w:val="bottom"/>
          </w:tcPr>
          <w:p>
            <w:pPr>
              <w:spacing w:after="0"/>
              <w:rPr>
                <w:sz w:val="14"/>
                <w:szCs w:val="14"/>
                <w:color w:val="auto"/>
              </w:rPr>
            </w:pPr>
          </w:p>
        </w:tc>
        <w:tc>
          <w:tcPr>
            <w:tcW w:w="200" w:type="dxa"/>
            <w:vAlign w:val="bottom"/>
            <w:tcBorders>
              <w:bottom w:val="single" w:sz="8" w:color="2C6937"/>
            </w:tcBorders>
          </w:tcPr>
          <w:p>
            <w:pPr>
              <w:spacing w:after="0"/>
              <w:rPr>
                <w:sz w:val="14"/>
                <w:szCs w:val="14"/>
                <w:color w:val="auto"/>
              </w:rPr>
            </w:pPr>
          </w:p>
        </w:tc>
        <w:tc>
          <w:tcPr>
            <w:tcW w:w="380" w:type="dxa"/>
            <w:vAlign w:val="bottom"/>
            <w:tcBorders>
              <w:bottom w:val="single" w:sz="8" w:color="2C6937"/>
            </w:tcBorders>
          </w:tcPr>
          <w:p>
            <w:pPr>
              <w:jc w:val="right"/>
              <w:ind w:right="11"/>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80" w:type="dxa"/>
            <w:vAlign w:val="bottom"/>
            <w:tcBorders>
              <w:bottom w:val="single" w:sz="8" w:color="2C6937"/>
            </w:tcBorders>
          </w:tcPr>
          <w:p>
            <w:pPr>
              <w:spacing w:after="0"/>
              <w:rPr>
                <w:sz w:val="14"/>
                <w:szCs w:val="14"/>
                <w:color w:val="auto"/>
              </w:rPr>
            </w:pPr>
          </w:p>
        </w:tc>
        <w:tc>
          <w:tcPr>
            <w:tcW w:w="500" w:type="dxa"/>
            <w:vAlign w:val="bottom"/>
            <w:tcBorders>
              <w:bottom w:val="single" w:sz="8" w:color="2C6937"/>
            </w:tcBorders>
          </w:tcPr>
          <w:p>
            <w:pPr>
              <w:ind w:left="320"/>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68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420" w:type="dxa"/>
            <w:vAlign w:val="bottom"/>
            <w:tcBorders>
              <w:bottom w:val="single" w:sz="8" w:color="2C6937"/>
            </w:tcBorders>
          </w:tcPr>
          <w:p>
            <w:pPr>
              <w:ind w:lef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460" w:type="dxa"/>
            <w:vAlign w:val="bottom"/>
            <w:tcBorders>
              <w:bottom w:val="single" w:sz="8" w:color="2C6937"/>
            </w:tcBorders>
          </w:tcPr>
          <w:p>
            <w:pPr>
              <w:ind w:left="3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20" w:type="dxa"/>
            <w:vAlign w:val="bottom"/>
            <w:tcBorders>
              <w:bottom w:val="single" w:sz="8" w:color="2C6937"/>
            </w:tcBorders>
          </w:tcPr>
          <w:p>
            <w:pPr>
              <w:spacing w:after="0"/>
              <w:rPr>
                <w:sz w:val="14"/>
                <w:szCs w:val="1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540" w:type="dxa"/>
            <w:vAlign w:val="bottom"/>
            <w:tcBorders>
              <w:bottom w:val="single" w:sz="8" w:color="2C6937"/>
            </w:tcBorders>
          </w:tcPr>
          <w:p>
            <w:pPr>
              <w:ind w:left="3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40" w:type="dxa"/>
            <w:vAlign w:val="bottom"/>
            <w:tcBorders>
              <w:bottom w:val="single" w:sz="8" w:color="2C6937"/>
            </w:tcBorders>
          </w:tcPr>
          <w:p>
            <w:pPr>
              <w:spacing w:after="0"/>
              <w:rPr>
                <w:sz w:val="14"/>
                <w:szCs w:val="14"/>
                <w:color w:val="auto"/>
              </w:rPr>
            </w:pPr>
          </w:p>
        </w:tc>
        <w:tc>
          <w:tcPr>
            <w:tcW w:w="520" w:type="dxa"/>
            <w:vAlign w:val="bottom"/>
            <w:tcBorders>
              <w:bottom w:val="single" w:sz="8" w:color="2C6937"/>
            </w:tcBorders>
          </w:tcPr>
          <w:p>
            <w:pPr>
              <w:jc w:val="right"/>
              <w:ind w:right="2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200" w:type="dxa"/>
            <w:vAlign w:val="bottom"/>
            <w:tcBorders>
              <w:bottom w:val="single" w:sz="8" w:color="2C6937"/>
            </w:tcBorders>
          </w:tcPr>
          <w:p>
            <w:pPr>
              <w:spacing w:after="0"/>
              <w:rPr>
                <w:sz w:val="14"/>
                <w:szCs w:val="14"/>
                <w:color w:val="auto"/>
              </w:rPr>
            </w:pPr>
          </w:p>
        </w:tc>
        <w:tc>
          <w:tcPr>
            <w:tcW w:w="6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289</w:t>
            </w:r>
          </w:p>
        </w:tc>
        <w:tc>
          <w:tcPr>
            <w:tcW w:w="80" w:type="dxa"/>
            <w:vAlign w:val="bottom"/>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760" w:type="dxa"/>
            <w:vAlign w:val="bottom"/>
            <w:tcBorders>
              <w:bottom w:val="single" w:sz="8" w:color="2C6937"/>
            </w:tcBorders>
          </w:tcPr>
          <w:p>
            <w:pPr>
              <w:jc w:val="right"/>
              <w:ind w:right="1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780" w:type="dxa"/>
            <w:vAlign w:val="bottom"/>
            <w:tcBorders>
              <w:bottom w:val="single" w:sz="8" w:color="2C6937"/>
            </w:tcBorders>
          </w:tcPr>
          <w:p>
            <w:pPr>
              <w:ind w:left="60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5"/>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Total available-for-sale</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jc w:val="right"/>
              <w:ind w:right="126"/>
              <w:spacing w:after="0"/>
              <w:rPr>
                <w:sz w:val="20"/>
                <w:szCs w:val="20"/>
                <w:color w:val="auto"/>
              </w:rPr>
            </w:pPr>
            <w:r>
              <w:rPr>
                <w:rFonts w:ascii="Arial" w:cs="Arial" w:eastAsia="Arial" w:hAnsi="Arial"/>
                <w:sz w:val="7"/>
                <w:szCs w:val="7"/>
                <w:color w:val="auto"/>
                <w:w w:val="93"/>
              </w:rPr>
              <w:t>(6)(7)</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40" w:type="dxa"/>
            <w:vAlign w:val="bottom"/>
            <w:tcBorders>
              <w:bottom w:val="single" w:sz="8" w:color="2C6937"/>
            </w:tcBorders>
          </w:tcPr>
          <w:p>
            <w:pPr>
              <w:ind w:left="140"/>
              <w:spacing w:after="0"/>
              <w:rPr>
                <w:sz w:val="20"/>
                <w:szCs w:val="20"/>
                <w:color w:val="auto"/>
              </w:rPr>
            </w:pPr>
            <w:r>
              <w:rPr>
                <w:rFonts w:ascii="Arial" w:cs="Arial" w:eastAsia="Arial" w:hAnsi="Arial"/>
                <w:sz w:val="11"/>
                <w:szCs w:val="11"/>
                <w:color w:val="auto"/>
              </w:rPr>
              <w:t>securities</w:t>
            </w:r>
          </w:p>
        </w:tc>
        <w:tc>
          <w:tcPr>
            <w:tcW w:w="100" w:type="dxa"/>
            <w:vAlign w:val="bottom"/>
          </w:tcPr>
          <w:p>
            <w:pPr>
              <w:spacing w:after="0"/>
              <w:rPr>
                <w:sz w:val="13"/>
                <w:szCs w:val="13"/>
                <w:color w:val="auto"/>
              </w:rPr>
            </w:pPr>
          </w:p>
        </w:tc>
        <w:tc>
          <w:tcPr>
            <w:tcW w:w="200" w:type="dxa"/>
            <w:vAlign w:val="bottom"/>
            <w:tcBorders>
              <w:bottom w:val="single" w:sz="8" w:color="2C6937"/>
            </w:tcBorders>
          </w:tcPr>
          <w:p>
            <w:pPr>
              <w:ind w:left="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727</w:t>
            </w:r>
          </w:p>
        </w:tc>
        <w:tc>
          <w:tcPr>
            <w:tcW w:w="80" w:type="dxa"/>
            <w:vAlign w:val="bottom"/>
          </w:tcPr>
          <w:p>
            <w:pPr>
              <w:spacing w:after="0"/>
              <w:rPr>
                <w:sz w:val="13"/>
                <w:szCs w:val="13"/>
                <w:color w:val="auto"/>
              </w:rPr>
            </w:pPr>
          </w:p>
        </w:tc>
        <w:tc>
          <w:tcPr>
            <w:tcW w:w="200" w:type="dxa"/>
            <w:vAlign w:val="bottom"/>
            <w:tcBorders>
              <w:bottom w:val="single" w:sz="8" w:color="2C6937"/>
            </w:tcBorders>
          </w:tcPr>
          <w:p>
            <w:pPr>
              <w:jc w:val="right"/>
              <w:ind w:right="67"/>
              <w:spacing w:after="0"/>
              <w:rPr>
                <w:sz w:val="20"/>
                <w:szCs w:val="20"/>
                <w:color w:val="auto"/>
              </w:rPr>
            </w:pPr>
            <w:r>
              <w:rPr>
                <w:rFonts w:ascii="Arial" w:cs="Arial" w:eastAsia="Arial" w:hAnsi="Arial"/>
                <w:sz w:val="11"/>
                <w:szCs w:val="11"/>
                <w:color w:val="auto"/>
                <w:w w:val="97"/>
              </w:rPr>
              <w:t>$</w:t>
            </w:r>
          </w:p>
        </w:tc>
        <w:tc>
          <w:tcPr>
            <w:tcW w:w="380" w:type="dxa"/>
            <w:vAlign w:val="bottom"/>
            <w:tcBorders>
              <w:bottom w:val="single" w:sz="8" w:color="2C6937"/>
            </w:tcBorders>
          </w:tcPr>
          <w:p>
            <w:pPr>
              <w:jc w:val="right"/>
              <w:ind w:right="11"/>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2C6937"/>
            </w:tcBorders>
          </w:tcPr>
          <w:p>
            <w:pPr>
              <w:ind w:left="320"/>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2C6937"/>
            </w:tcBorders>
          </w:tcPr>
          <w:p>
            <w:pPr>
              <w:ind w:lef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2C6937"/>
            </w:tcBorders>
          </w:tcPr>
          <w:p>
            <w:pPr>
              <w:ind w:left="3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(33)</w:t>
            </w:r>
          </w:p>
        </w:tc>
        <w:tc>
          <w:tcPr>
            <w:tcW w:w="100" w:type="dxa"/>
            <w:vAlign w:val="bottom"/>
          </w:tcPr>
          <w:p>
            <w:pPr>
              <w:spacing w:after="0"/>
              <w:rPr>
                <w:sz w:val="13"/>
                <w:szCs w:val="13"/>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2C6937"/>
            </w:tcBorders>
          </w:tcPr>
          <w:p>
            <w:pPr>
              <w:ind w:left="3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40" w:type="dxa"/>
            <w:vAlign w:val="bottom"/>
            <w:tcBorders>
              <w:bottom w:val="single" w:sz="8" w:color="2C6937"/>
            </w:tcBorders>
          </w:tcPr>
          <w:p>
            <w:pPr>
              <w:jc w:val="right"/>
              <w:ind w:right="11"/>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2C6937"/>
            </w:tcBorders>
          </w:tcPr>
          <w:p>
            <w:pPr>
              <w:jc w:val="right"/>
              <w:ind w:right="2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00" w:type="dxa"/>
            <w:vAlign w:val="bottom"/>
            <w:tcBorders>
              <w:bottom w:val="single" w:sz="8" w:color="2C6937"/>
            </w:tcBorders>
          </w:tcPr>
          <w:p>
            <w:pPr>
              <w:jc w:val="right"/>
              <w:ind w:right="71"/>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693</w:t>
            </w:r>
          </w:p>
        </w:tc>
        <w:tc>
          <w:tcPr>
            <w:tcW w:w="80" w:type="dxa"/>
            <w:vAlign w:val="bottom"/>
          </w:tcPr>
          <w:p>
            <w:pPr>
              <w:spacing w:after="0"/>
              <w:rPr>
                <w:sz w:val="13"/>
                <w:szCs w:val="13"/>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2C6937"/>
            </w:tcBorders>
          </w:tcPr>
          <w:p>
            <w:pPr>
              <w:jc w:val="right"/>
              <w:ind w:right="1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2C6937"/>
            </w:tcBorders>
          </w:tcPr>
          <w:p>
            <w:pPr>
              <w:ind w:left="60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6"/>
        </w:trPr>
        <w:tc>
          <w:tcPr>
            <w:tcW w:w="13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62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380" w:type="dxa"/>
            <w:vAlign w:val="bottom"/>
            <w:tcBorders>
              <w:bottom w:val="single" w:sz="8" w:color="2C6937"/>
            </w:tcBorders>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5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6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4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4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7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52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62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8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Mortgage loans</w:t>
            </w:r>
          </w:p>
        </w:tc>
        <w:tc>
          <w:tcPr>
            <w:tcW w:w="200" w:type="dxa"/>
            <w:vAlign w:val="bottom"/>
          </w:tcPr>
          <w:p>
            <w:pPr>
              <w:ind w:left="2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668</w:t>
            </w:r>
          </w:p>
        </w:tc>
        <w:tc>
          <w:tcPr>
            <w:tcW w:w="80" w:type="dxa"/>
            <w:vAlign w:val="bottom"/>
          </w:tcPr>
          <w:p>
            <w:pPr>
              <w:spacing w:after="0"/>
              <w:rPr>
                <w:sz w:val="24"/>
                <w:szCs w:val="24"/>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126"/>
              <w:spacing w:after="0"/>
              <w:rPr>
                <w:sz w:val="20"/>
                <w:szCs w:val="20"/>
                <w:color w:val="auto"/>
              </w:rPr>
            </w:pPr>
            <w:r>
              <w:rPr>
                <w:rFonts w:ascii="Arial" w:cs="Arial" w:eastAsia="Arial" w:hAnsi="Arial"/>
                <w:sz w:val="22"/>
                <w:szCs w:val="22"/>
                <w:color w:val="auto"/>
                <w:vertAlign w:val="subscript"/>
              </w:rPr>
              <w:t>(23)</w:t>
            </w:r>
            <w:r>
              <w:rPr>
                <w:rFonts w:ascii="Arial" w:cs="Arial" w:eastAsia="Arial" w:hAnsi="Arial"/>
                <w:sz w:val="7"/>
                <w:szCs w:val="7"/>
                <w:color w:val="auto"/>
              </w:rPr>
              <w:t xml:space="preserve"> (5)(6)</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ind w:left="32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ind w:left="50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ind w:left="260"/>
              <w:spacing w:after="0"/>
              <w:rPr>
                <w:sz w:val="20"/>
                <w:szCs w:val="20"/>
                <w:color w:val="auto"/>
              </w:rPr>
            </w:pPr>
            <w:r>
              <w:rPr>
                <w:rFonts w:ascii="Arial" w:cs="Arial" w:eastAsia="Arial" w:hAnsi="Arial"/>
                <w:sz w:val="11"/>
                <w:szCs w:val="11"/>
                <w:color w:val="auto"/>
              </w:rPr>
              <w:t>(2)</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ind w:left="300"/>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(41)</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ind w:left="300"/>
              <w:spacing w:after="0"/>
              <w:rPr>
                <w:sz w:val="20"/>
                <w:szCs w:val="20"/>
                <w:color w:val="auto"/>
              </w:rPr>
            </w:pPr>
            <w:r>
              <w:rPr>
                <w:rFonts w:ascii="Arial" w:cs="Arial" w:eastAsia="Arial" w:hAnsi="Arial"/>
                <w:sz w:val="11"/>
                <w:szCs w:val="11"/>
                <w:color w:val="auto"/>
              </w:rPr>
              <w:t>(16)</w:t>
            </w:r>
          </w:p>
        </w:tc>
        <w:tc>
          <w:tcPr>
            <w:tcW w:w="22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25"/>
              <w:spacing w:after="0"/>
              <w:rPr>
                <w:sz w:val="20"/>
                <w:szCs w:val="20"/>
                <w:color w:val="auto"/>
              </w:rPr>
            </w:pPr>
            <w:r>
              <w:rPr>
                <w:rFonts w:ascii="Arial" w:cs="Arial" w:eastAsia="Arial" w:hAnsi="Arial"/>
                <w:sz w:val="11"/>
                <w:szCs w:val="11"/>
                <w:color w:val="auto"/>
              </w:rPr>
              <w:t>13</w:t>
            </w:r>
          </w:p>
        </w:tc>
        <w:tc>
          <w:tcPr>
            <w:tcW w:w="280" w:type="dxa"/>
            <w:vAlign w:val="bottom"/>
            <w:gridSpan w:val="2"/>
          </w:tcPr>
          <w:p>
            <w:pPr>
              <w:jc w:val="right"/>
              <w:ind w:right="71"/>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599</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(23)</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ind w:left="6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21"/>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Net derivatives</w:t>
            </w:r>
          </w:p>
        </w:tc>
        <w:tc>
          <w:tcPr>
            <w:tcW w:w="200" w:type="dxa"/>
            <w:vAlign w:val="bottom"/>
          </w:tcPr>
          <w:p>
            <w:pPr>
              <w:spacing w:after="0"/>
              <w:rPr>
                <w:sz w:val="24"/>
                <w:szCs w:val="24"/>
                <w:color w:val="auto"/>
              </w:rPr>
            </w:pP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57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2"/>
          </w:tcPr>
          <w:p>
            <w:pPr>
              <w:jc w:val="right"/>
              <w:ind w:right="206"/>
              <w:spacing w:after="0"/>
              <w:rPr>
                <w:sz w:val="20"/>
                <w:szCs w:val="20"/>
                <w:color w:val="auto"/>
              </w:rPr>
            </w:pPr>
            <w:r>
              <w:rPr>
                <w:rFonts w:ascii="Arial" w:cs="Arial" w:eastAsia="Arial" w:hAnsi="Arial"/>
                <w:sz w:val="11"/>
                <w:szCs w:val="11"/>
                <w:color w:val="auto"/>
              </w:rPr>
              <w:t xml:space="preserve">(75) </w:t>
            </w:r>
            <w:r>
              <w:rPr>
                <w:rFonts w:ascii="Arial" w:cs="Arial" w:eastAsia="Arial" w:hAnsi="Arial"/>
                <w:sz w:val="13"/>
                <w:szCs w:val="13"/>
                <w:color w:val="auto"/>
                <w:vertAlign w:val="superscript"/>
              </w:rPr>
              <w:t>(5)</w:t>
            </w:r>
          </w:p>
        </w:tc>
        <w:tc>
          <w:tcPr>
            <w:tcW w:w="80" w:type="dxa"/>
            <w:vAlign w:val="bottom"/>
          </w:tcPr>
          <w:p>
            <w:pPr>
              <w:spacing w:after="0"/>
              <w:rPr>
                <w:sz w:val="24"/>
                <w:szCs w:val="24"/>
                <w:color w:val="auto"/>
              </w:rPr>
            </w:pPr>
          </w:p>
        </w:tc>
        <w:tc>
          <w:tcPr>
            <w:tcW w:w="500" w:type="dxa"/>
            <w:vAlign w:val="bottom"/>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ind w:lef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ind w:left="3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5"/>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ind w:left="3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(64)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ind w:left="6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82"/>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Long-term debt:</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440" w:type="dxa"/>
            <w:vAlign w:val="bottom"/>
            <w:gridSpan w:val="2"/>
          </w:tcPr>
          <w:p>
            <w:pPr>
              <w:ind w:left="100"/>
              <w:spacing w:after="0"/>
              <w:rPr>
                <w:sz w:val="20"/>
                <w:szCs w:val="20"/>
                <w:color w:val="auto"/>
              </w:rPr>
            </w:pPr>
            <w:r>
              <w:rPr>
                <w:rFonts w:ascii="Arial" w:cs="Arial" w:eastAsia="Arial" w:hAnsi="Arial"/>
                <w:sz w:val="11"/>
                <w:szCs w:val="11"/>
                <w:color w:val="auto"/>
              </w:rPr>
              <w:t>Of Fannie Mae</w:t>
            </w:r>
          </w:p>
        </w:tc>
        <w:tc>
          <w:tcPr>
            <w:tcW w:w="200" w:type="dxa"/>
            <w:vAlign w:val="bottom"/>
          </w:tcPr>
          <w:p>
            <w:pPr>
              <w:ind w:left="2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(307)</w:t>
            </w:r>
          </w:p>
        </w:tc>
        <w:tc>
          <w:tcPr>
            <w:tcW w:w="80" w:type="dxa"/>
            <w:vAlign w:val="bottom"/>
          </w:tcPr>
          <w:p>
            <w:pPr>
              <w:spacing w:after="0"/>
              <w:rPr>
                <w:sz w:val="14"/>
                <w:szCs w:val="14"/>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ind w:right="11"/>
              <w:spacing w:after="0"/>
              <w:rPr>
                <w:sz w:val="20"/>
                <w:szCs w:val="20"/>
                <w:color w:val="auto"/>
              </w:rPr>
            </w:pPr>
            <w:r>
              <w:rPr>
                <w:rFonts w:ascii="Arial" w:cs="Arial" w:eastAsia="Arial" w:hAnsi="Arial"/>
                <w:sz w:val="11"/>
                <w:szCs w:val="11"/>
                <w:color w:val="auto"/>
              </w:rPr>
              <w:t>54</w:t>
            </w:r>
          </w:p>
        </w:tc>
        <w:tc>
          <w:tcPr>
            <w:tcW w:w="340" w:type="dxa"/>
            <w:vAlign w:val="bottom"/>
          </w:tcPr>
          <w:p>
            <w:pPr>
              <w:jc w:val="right"/>
              <w:ind w:right="206"/>
              <w:spacing w:after="0"/>
              <w:rPr>
                <w:sz w:val="20"/>
                <w:szCs w:val="20"/>
                <w:color w:val="auto"/>
              </w:rPr>
            </w:pPr>
            <w:r>
              <w:rPr>
                <w:rFonts w:ascii="Arial" w:cs="Arial" w:eastAsia="Arial" w:hAnsi="Arial"/>
                <w:sz w:val="7"/>
                <w:szCs w:val="7"/>
                <w:color w:val="auto"/>
                <w:w w:val="92"/>
              </w:rPr>
              <w:t>(5)</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ind w:left="32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ind w:left="50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ind w:left="24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ind w:left="300"/>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ind w:left="360"/>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71"/>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(253)</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
              <w:spacing w:after="0"/>
              <w:rPr>
                <w:sz w:val="20"/>
                <w:szCs w:val="20"/>
                <w:color w:val="auto"/>
              </w:rPr>
            </w:pPr>
            <w:r>
              <w:rPr>
                <w:rFonts w:ascii="Arial" w:cs="Arial" w:eastAsia="Arial" w:hAnsi="Arial"/>
                <w:sz w:val="11"/>
                <w:szCs w:val="11"/>
                <w:color w:val="auto"/>
              </w:rPr>
              <w:t>54</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ind w:left="6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93"/>
        </w:trPr>
        <w:tc>
          <w:tcPr>
            <w:tcW w:w="1340" w:type="dxa"/>
            <w:vAlign w:val="bottom"/>
            <w:tcBorders>
              <w:bottom w:val="single" w:sz="8" w:color="2C6937"/>
            </w:tcBorders>
          </w:tcPr>
          <w:p>
            <w:pPr>
              <w:ind w:left="100"/>
              <w:spacing w:after="0"/>
              <w:rPr>
                <w:sz w:val="20"/>
                <w:szCs w:val="20"/>
                <w:color w:val="auto"/>
              </w:rPr>
            </w:pPr>
            <w:r>
              <w:rPr>
                <w:rFonts w:ascii="Arial" w:cs="Arial" w:eastAsia="Arial" w:hAnsi="Arial"/>
                <w:sz w:val="11"/>
                <w:szCs w:val="11"/>
                <w:color w:val="auto"/>
              </w:rPr>
              <w:t>Of consolidated trusts</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(161)</w:t>
            </w:r>
          </w:p>
        </w:tc>
        <w:tc>
          <w:tcPr>
            <w:tcW w:w="8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380" w:type="dxa"/>
            <w:vAlign w:val="bottom"/>
            <w:tcBorders>
              <w:bottom w:val="single" w:sz="8" w:color="2C6937"/>
            </w:tcBorders>
          </w:tcPr>
          <w:p>
            <w:pPr>
              <w:jc w:val="right"/>
              <w:ind w:right="11"/>
              <w:spacing w:after="0"/>
              <w:rPr>
                <w:sz w:val="20"/>
                <w:szCs w:val="20"/>
                <w:color w:val="auto"/>
              </w:rPr>
            </w:pPr>
            <w:r>
              <w:rPr>
                <w:rFonts w:ascii="Arial" w:cs="Arial" w:eastAsia="Arial" w:hAnsi="Arial"/>
                <w:sz w:val="11"/>
                <w:szCs w:val="11"/>
                <w:color w:val="auto"/>
              </w:rPr>
              <w:t>—</w:t>
            </w:r>
          </w:p>
        </w:tc>
        <w:tc>
          <w:tcPr>
            <w:tcW w:w="340" w:type="dxa"/>
            <w:vAlign w:val="bottom"/>
          </w:tcPr>
          <w:p>
            <w:pPr>
              <w:jc w:val="right"/>
              <w:ind w:right="126"/>
              <w:spacing w:after="0"/>
              <w:rPr>
                <w:sz w:val="20"/>
                <w:szCs w:val="20"/>
                <w:color w:val="auto"/>
              </w:rPr>
            </w:pPr>
            <w:r>
              <w:rPr>
                <w:rFonts w:ascii="Arial" w:cs="Arial" w:eastAsia="Arial" w:hAnsi="Arial"/>
                <w:sz w:val="7"/>
                <w:szCs w:val="7"/>
                <w:color w:val="auto"/>
                <w:w w:val="93"/>
              </w:rPr>
              <w:t>(5)(6)</w:t>
            </w:r>
          </w:p>
        </w:tc>
        <w:tc>
          <w:tcPr>
            <w:tcW w:w="80" w:type="dxa"/>
            <w:vAlign w:val="bottom"/>
            <w:tcBorders>
              <w:bottom w:val="single" w:sz="8" w:color="2C6937"/>
            </w:tcBorders>
          </w:tcPr>
          <w:p>
            <w:pPr>
              <w:spacing w:after="0"/>
              <w:rPr>
                <w:sz w:val="16"/>
                <w:szCs w:val="16"/>
                <w:color w:val="auto"/>
              </w:rPr>
            </w:pPr>
          </w:p>
        </w:tc>
        <w:tc>
          <w:tcPr>
            <w:tcW w:w="500" w:type="dxa"/>
            <w:vAlign w:val="bottom"/>
            <w:tcBorders>
              <w:bottom w:val="single" w:sz="8" w:color="2C6937"/>
            </w:tcBorders>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420" w:type="dxa"/>
            <w:vAlign w:val="bottom"/>
            <w:tcBorders>
              <w:bottom w:val="single" w:sz="8" w:color="2C6937"/>
            </w:tcBorders>
          </w:tcPr>
          <w:p>
            <w:pPr>
              <w:ind w:lef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460" w:type="dxa"/>
            <w:vAlign w:val="bottom"/>
            <w:tcBorders>
              <w:bottom w:val="single" w:sz="8" w:color="2C6937"/>
            </w:tcBorders>
          </w:tcPr>
          <w:p>
            <w:pPr>
              <w:ind w:left="3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540" w:type="dxa"/>
            <w:vAlign w:val="bottom"/>
            <w:tcBorders>
              <w:bottom w:val="single" w:sz="8" w:color="2C6937"/>
            </w:tcBorders>
          </w:tcPr>
          <w:p>
            <w:pPr>
              <w:ind w:left="3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520" w:type="dxa"/>
            <w:vAlign w:val="bottom"/>
            <w:tcBorders>
              <w:bottom w:val="single" w:sz="8" w:color="2C6937"/>
            </w:tcBorders>
          </w:tcPr>
          <w:p>
            <w:pPr>
              <w:jc w:val="right"/>
              <w:ind w:right="2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(152)</w:t>
            </w:r>
          </w:p>
        </w:tc>
        <w:tc>
          <w:tcPr>
            <w:tcW w:w="8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ind w:right="10"/>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ind w:left="6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6"/>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Total long-term debt</w:t>
            </w:r>
          </w:p>
        </w:tc>
        <w:tc>
          <w:tcPr>
            <w:tcW w:w="200" w:type="dxa"/>
            <w:vAlign w:val="bottom"/>
          </w:tcPr>
          <w:p>
            <w:pPr>
              <w:ind w:left="2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(468)</w:t>
            </w:r>
          </w:p>
        </w:tc>
        <w:tc>
          <w:tcPr>
            <w:tcW w:w="80" w:type="dxa"/>
            <w:vAlign w:val="bottom"/>
          </w:tcPr>
          <w:p>
            <w:pPr>
              <w:spacing w:after="0"/>
              <w:rPr>
                <w:sz w:val="16"/>
                <w:szCs w:val="16"/>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ind w:right="11"/>
              <w:spacing w:after="0"/>
              <w:rPr>
                <w:sz w:val="20"/>
                <w:szCs w:val="20"/>
                <w:color w:val="auto"/>
              </w:rPr>
            </w:pPr>
            <w:r>
              <w:rPr>
                <w:rFonts w:ascii="Arial" w:cs="Arial" w:eastAsia="Arial" w:hAnsi="Arial"/>
                <w:sz w:val="11"/>
                <w:szCs w:val="11"/>
                <w:color w:val="auto"/>
              </w:rPr>
              <w:t>54</w:t>
            </w:r>
          </w:p>
        </w:tc>
        <w:tc>
          <w:tcPr>
            <w:tcW w:w="3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ind w:left="32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ind w:left="50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ind w:left="24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ind w:left="300"/>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5"/>
              <w:spacing w:after="0"/>
              <w:rPr>
                <w:sz w:val="20"/>
                <w:szCs w:val="20"/>
                <w:color w:val="auto"/>
              </w:rPr>
            </w:pPr>
            <w:r>
              <w:rPr>
                <w:rFonts w:ascii="Arial" w:cs="Arial" w:eastAsia="Arial" w:hAnsi="Arial"/>
                <w:sz w:val="11"/>
                <w:szCs w:val="11"/>
                <w:color w:val="auto"/>
              </w:rPr>
              <w:t>9</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ind w:left="360"/>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71"/>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(405)</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
              <w:spacing w:after="0"/>
              <w:rPr>
                <w:sz w:val="20"/>
                <w:szCs w:val="20"/>
                <w:color w:val="auto"/>
              </w:rPr>
            </w:pPr>
            <w:r>
              <w:rPr>
                <w:rFonts w:ascii="Arial" w:cs="Arial" w:eastAsia="Arial" w:hAnsi="Arial"/>
                <w:sz w:val="11"/>
                <w:szCs w:val="11"/>
                <w:color w:val="auto"/>
              </w:rPr>
              <w:t>55</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ind w:left="6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6"/>
        </w:trPr>
        <w:tc>
          <w:tcPr>
            <w:tcW w:w="134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62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380" w:type="dxa"/>
            <w:vAlign w:val="bottom"/>
            <w:tcBorders>
              <w:top w:val="single" w:sz="8" w:color="2C6937"/>
              <w:bottom w:val="single" w:sz="8" w:color="2C6937"/>
            </w:tcBorders>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Borders>
              <w:top w:val="single" w:sz="8" w:color="2C6937"/>
              <w:bottom w:val="single" w:sz="8" w:color="2C6937"/>
            </w:tcBorders>
          </w:tcPr>
          <w:p>
            <w:pPr>
              <w:spacing w:after="0"/>
              <w:rPr>
                <w:sz w:val="2"/>
                <w:szCs w:val="2"/>
                <w:color w:val="auto"/>
              </w:rPr>
            </w:pPr>
          </w:p>
        </w:tc>
        <w:tc>
          <w:tcPr>
            <w:tcW w:w="50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68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42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4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2C6937"/>
              <w:bottom w:val="single" w:sz="8" w:color="2C6937"/>
            </w:tcBorders>
          </w:tcPr>
          <w:p>
            <w:pPr>
              <w:spacing w:after="0"/>
              <w:rPr>
                <w:sz w:val="2"/>
                <w:szCs w:val="2"/>
                <w:color w:val="auto"/>
              </w:rPr>
            </w:pPr>
          </w:p>
        </w:tc>
        <w:tc>
          <w:tcPr>
            <w:tcW w:w="72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54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2C6937"/>
              <w:bottom w:val="single" w:sz="8" w:color="2C6937"/>
            </w:tcBorders>
          </w:tcPr>
          <w:p>
            <w:pPr>
              <w:spacing w:after="0"/>
              <w:rPr>
                <w:sz w:val="2"/>
                <w:szCs w:val="2"/>
                <w:color w:val="auto"/>
              </w:rPr>
            </w:pPr>
          </w:p>
        </w:tc>
        <w:tc>
          <w:tcPr>
            <w:tcW w:w="52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62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76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780" w:type="dxa"/>
            <w:vAlign w:val="bottom"/>
            <w:tcBorders>
              <w:top w:val="single" w:sz="8" w:color="2C6937"/>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425450</wp:posOffset>
            </wp:positionV>
            <wp:extent cx="681101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2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150495</wp:posOffset>
            </wp:positionV>
            <wp:extent cx="7164070" cy="4191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250" w:right="339" w:bottom="1440" w:gutter="0" w:footer="0" w:header="0"/>
        </w:sectPr>
      </w:pPr>
    </w:p>
    <w:bookmarkStart w:id="111" w:name="page112"/>
    <w:bookmarkEnd w:id="111"/>
    <w:p>
      <w:pPr>
        <w:ind w:left="6997"/>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15875</wp:posOffset>
            </wp:positionV>
            <wp:extent cx="702373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1420"/>
        <w:spacing w:after="0"/>
        <w:rPr>
          <w:sz w:val="20"/>
          <w:szCs w:val="20"/>
          <w:color w:val="auto"/>
        </w:rPr>
      </w:pPr>
      <w:r>
        <w:rPr>
          <w:rFonts w:ascii="Arial" w:cs="Arial" w:eastAsia="Arial" w:hAnsi="Arial"/>
          <w:sz w:val="14"/>
          <w:szCs w:val="14"/>
          <w:b w:val="1"/>
          <w:bCs w:val="1"/>
          <w:color w:val="auto"/>
        </w:rPr>
        <w:t>Fair Value Measurements Using Significant Unobservable Inputs (Level 3)</w:t>
      </w:r>
    </w:p>
    <w:p>
      <w:pPr>
        <w:spacing w:after="0" w:line="45" w:lineRule="exact"/>
        <w:rPr>
          <w:sz w:val="20"/>
          <w:szCs w:val="20"/>
          <w:color w:val="auto"/>
        </w:rPr>
      </w:pPr>
    </w:p>
    <w:p>
      <w:pPr>
        <w:jc w:val="center"/>
        <w:ind w:left="1420"/>
        <w:spacing w:after="0"/>
        <w:rPr>
          <w:sz w:val="20"/>
          <w:szCs w:val="20"/>
          <w:color w:val="auto"/>
        </w:rPr>
      </w:pPr>
      <w:r>
        <w:rPr>
          <w:rFonts w:ascii="Arial" w:cs="Arial" w:eastAsia="Arial" w:hAnsi="Arial"/>
          <w:sz w:val="14"/>
          <w:szCs w:val="14"/>
          <w:b w:val="1"/>
          <w:bCs w:val="1"/>
          <w:color w:val="auto"/>
        </w:rPr>
        <w:t>For the 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925195</wp:posOffset>
            </wp:positionH>
            <wp:positionV relativeFrom="paragraph">
              <wp:posOffset>11430</wp:posOffset>
            </wp:positionV>
            <wp:extent cx="620522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205220" cy="82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tbl>
      <w:tblPr>
        <w:tblLayout w:type="fixed"/>
        <w:tblInd w:w="17" w:type="dxa"/>
        <w:tblCellMar>
          <w:top w:w="0" w:type="dxa"/>
          <w:left w:w="0" w:type="dxa"/>
          <w:bottom w:w="0" w:type="dxa"/>
          <w:right w:w="0" w:type="dxa"/>
        </w:tblCellMar>
      </w:tblP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center"/>
              <w:ind w:right="30"/>
              <w:spacing w:after="0"/>
              <w:rPr>
                <w:sz w:val="20"/>
                <w:szCs w:val="20"/>
                <w:color w:val="auto"/>
              </w:rPr>
            </w:pPr>
            <w:r>
              <w:rPr>
                <w:rFonts w:ascii="Arial" w:cs="Arial" w:eastAsia="Arial" w:hAnsi="Arial"/>
                <w:sz w:val="9"/>
                <w:szCs w:val="9"/>
                <w:b w:val="1"/>
                <w:bCs w:val="1"/>
                <w:color w:val="auto"/>
                <w:w w:val="95"/>
              </w:rPr>
              <w:t>Net Unrealized</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gridSpan w:val="4"/>
            <w:vMerge w:val="restart"/>
          </w:tcPr>
          <w:p>
            <w:pPr>
              <w:ind w:left="140"/>
              <w:spacing w:after="0"/>
              <w:rPr>
                <w:sz w:val="20"/>
                <w:szCs w:val="20"/>
                <w:color w:val="auto"/>
              </w:rPr>
            </w:pPr>
            <w:r>
              <w:rPr>
                <w:rFonts w:ascii="Arial" w:cs="Arial" w:eastAsia="Arial" w:hAnsi="Arial"/>
                <w:sz w:val="9"/>
                <w:szCs w:val="9"/>
                <w:b w:val="1"/>
                <w:bCs w:val="1"/>
                <w:color w:val="auto"/>
              </w:rPr>
              <w:t>Total Gains (Losses)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center"/>
              <w:ind w:right="50"/>
              <w:spacing w:after="0"/>
              <w:rPr>
                <w:sz w:val="20"/>
                <w:szCs w:val="20"/>
                <w:color w:val="auto"/>
              </w:rPr>
            </w:pPr>
            <w:r>
              <w:rPr>
                <w:rFonts w:ascii="Arial" w:cs="Arial" w:eastAsia="Arial" w:hAnsi="Arial"/>
                <w:sz w:val="9"/>
                <w:szCs w:val="9"/>
                <w:b w:val="1"/>
                <w:bCs w:val="1"/>
                <w:color w:val="auto"/>
                <w:w w:val="96"/>
              </w:rPr>
              <w:t>Gains (Losses)</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jc w:val="center"/>
              <w:ind w:right="48"/>
              <w:spacing w:after="0"/>
              <w:rPr>
                <w:sz w:val="20"/>
                <w:szCs w:val="20"/>
                <w:color w:val="auto"/>
              </w:rPr>
            </w:pPr>
            <w:r>
              <w:rPr>
                <w:rFonts w:ascii="Arial" w:cs="Arial" w:eastAsia="Arial" w:hAnsi="Arial"/>
                <w:sz w:val="9"/>
                <w:szCs w:val="9"/>
                <w:b w:val="1"/>
                <w:bCs w:val="1"/>
                <w:color w:val="auto"/>
                <w:w w:val="95"/>
              </w:rPr>
              <w:t>Net Unrealized</w:t>
            </w:r>
          </w:p>
        </w:tc>
        <w:tc>
          <w:tcPr>
            <w:tcW w:w="0" w:type="dxa"/>
            <w:vAlign w:val="bottom"/>
          </w:tcPr>
          <w:p>
            <w:pPr>
              <w:spacing w:after="0"/>
              <w:rPr>
                <w:sz w:val="1"/>
                <w:szCs w:val="1"/>
                <w:color w:val="auto"/>
              </w:rPr>
            </w:pPr>
          </w:p>
        </w:tc>
      </w:tr>
      <w:tr>
        <w:trPr>
          <w:trHeight w:val="26"/>
        </w:trPr>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4"/>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vMerge w:val="restart"/>
          </w:tcPr>
          <w:p>
            <w:pPr>
              <w:jc w:val="center"/>
              <w:ind w:right="50"/>
              <w:spacing w:after="0"/>
              <w:rPr>
                <w:sz w:val="20"/>
                <w:szCs w:val="20"/>
                <w:color w:val="auto"/>
              </w:rPr>
            </w:pPr>
            <w:r>
              <w:rPr>
                <w:rFonts w:ascii="Arial" w:cs="Arial" w:eastAsia="Arial" w:hAnsi="Arial"/>
                <w:sz w:val="9"/>
                <w:szCs w:val="9"/>
                <w:b w:val="1"/>
                <w:bCs w:val="1"/>
                <w:color w:val="auto"/>
                <w:w w:val="96"/>
              </w:rPr>
              <w:t>Included in Net</w:t>
            </w: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vMerge w:val="restart"/>
          </w:tcPr>
          <w:p>
            <w:pPr>
              <w:jc w:val="center"/>
              <w:ind w:right="48"/>
              <w:spacing w:after="0"/>
              <w:rPr>
                <w:sz w:val="20"/>
                <w:szCs w:val="20"/>
                <w:color w:val="auto"/>
              </w:rPr>
            </w:pPr>
            <w:r>
              <w:rPr>
                <w:rFonts w:ascii="Arial" w:cs="Arial" w:eastAsia="Arial" w:hAnsi="Arial"/>
                <w:sz w:val="9"/>
                <w:szCs w:val="9"/>
                <w:b w:val="1"/>
                <w:bCs w:val="1"/>
                <w:color w:val="auto"/>
                <w:w w:val="92"/>
              </w:rPr>
              <w:t>Gains (Losses)</w:t>
            </w:r>
          </w:p>
        </w:tc>
        <w:tc>
          <w:tcPr>
            <w:tcW w:w="0" w:type="dxa"/>
            <w:vAlign w:val="bottom"/>
          </w:tcPr>
          <w:p>
            <w:pPr>
              <w:spacing w:after="0" w:line="20" w:lineRule="exact"/>
              <w:rPr>
                <w:sz w:val="1"/>
                <w:szCs w:val="1"/>
                <w:color w:val="auto"/>
              </w:rPr>
            </w:pPr>
          </w:p>
        </w:tc>
      </w:tr>
      <w:tr>
        <w:trPr>
          <w:trHeight w:val="88"/>
        </w:trPr>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00" w:type="dxa"/>
            <w:vAlign w:val="bottom"/>
            <w:gridSpan w:val="4"/>
          </w:tcPr>
          <w:p>
            <w:pPr>
              <w:ind w:left="120"/>
              <w:spacing w:after="0" w:line="88" w:lineRule="exact"/>
              <w:rPr>
                <w:sz w:val="20"/>
                <w:szCs w:val="20"/>
                <w:color w:val="auto"/>
              </w:rPr>
            </w:pPr>
            <w:r>
              <w:rPr>
                <w:rFonts w:ascii="Arial" w:cs="Arial" w:eastAsia="Arial" w:hAnsi="Arial"/>
                <w:sz w:val="9"/>
                <w:szCs w:val="9"/>
                <w:b w:val="1"/>
                <w:bCs w:val="1"/>
                <w:color w:val="auto"/>
              </w:rPr>
              <w:t>(Realized/Unrealized)</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2C6937"/>
            </w:tcBorders>
          </w:tcPr>
          <w:p>
            <w:pPr>
              <w:spacing w:after="0"/>
              <w:rPr>
                <w:sz w:val="3"/>
                <w:szCs w:val="3"/>
                <w:color w:val="auto"/>
              </w:rPr>
            </w:pPr>
          </w:p>
        </w:tc>
        <w:tc>
          <w:tcPr>
            <w:tcW w:w="380" w:type="dxa"/>
            <w:vAlign w:val="bottom"/>
            <w:tcBorders>
              <w:bottom w:val="single" w:sz="8" w:color="2C6937"/>
            </w:tcBorders>
          </w:tcPr>
          <w:p>
            <w:pPr>
              <w:spacing w:after="0"/>
              <w:rPr>
                <w:sz w:val="3"/>
                <w:szCs w:val="3"/>
                <w:color w:val="auto"/>
              </w:rPr>
            </w:pPr>
          </w:p>
        </w:tc>
        <w:tc>
          <w:tcPr>
            <w:tcW w:w="340" w:type="dxa"/>
            <w:vAlign w:val="bottom"/>
            <w:tcBorders>
              <w:bottom w:val="single" w:sz="8" w:color="2C6937"/>
            </w:tcBorders>
          </w:tcPr>
          <w:p>
            <w:pPr>
              <w:spacing w:after="0"/>
              <w:rPr>
                <w:sz w:val="3"/>
                <w:szCs w:val="3"/>
                <w:color w:val="auto"/>
              </w:rPr>
            </w:pPr>
          </w:p>
        </w:tc>
        <w:tc>
          <w:tcPr>
            <w:tcW w:w="80" w:type="dxa"/>
            <w:vAlign w:val="bottom"/>
            <w:tcBorders>
              <w:bottom w:val="single" w:sz="8" w:color="2C6937"/>
            </w:tcBorders>
          </w:tcPr>
          <w:p>
            <w:pPr>
              <w:spacing w:after="0"/>
              <w:rPr>
                <w:sz w:val="3"/>
                <w:szCs w:val="3"/>
                <w:color w:val="auto"/>
              </w:rPr>
            </w:pPr>
          </w:p>
        </w:tc>
        <w:tc>
          <w:tcPr>
            <w:tcW w:w="500" w:type="dxa"/>
            <w:vAlign w:val="bottom"/>
            <w:tcBorders>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860" w:type="dxa"/>
            <w:vAlign w:val="bottom"/>
            <w:gridSpan w:val="2"/>
            <w:vMerge w:val="restart"/>
          </w:tcPr>
          <w:p>
            <w:pPr>
              <w:jc w:val="center"/>
              <w:spacing w:after="0" w:line="93" w:lineRule="exact"/>
              <w:rPr>
                <w:sz w:val="20"/>
                <w:szCs w:val="20"/>
                <w:color w:val="auto"/>
              </w:rPr>
            </w:pPr>
            <w:r>
              <w:rPr>
                <w:rFonts w:ascii="Arial" w:cs="Arial" w:eastAsia="Arial" w:hAnsi="Arial"/>
                <w:sz w:val="9"/>
                <w:szCs w:val="9"/>
                <w:b w:val="1"/>
                <w:bCs w:val="1"/>
                <w:color w:val="auto"/>
                <w:w w:val="95"/>
              </w:rPr>
              <w:t>Income Related to</w:t>
            </w: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vMerge w:val="restart"/>
          </w:tcPr>
          <w:p>
            <w:pPr>
              <w:jc w:val="center"/>
              <w:ind w:right="48"/>
              <w:spacing w:after="0" w:line="93" w:lineRule="exact"/>
              <w:rPr>
                <w:sz w:val="20"/>
                <w:szCs w:val="20"/>
                <w:color w:val="auto"/>
              </w:rPr>
            </w:pPr>
            <w:r>
              <w:rPr>
                <w:rFonts w:ascii="Arial" w:cs="Arial" w:eastAsia="Arial" w:hAnsi="Arial"/>
                <w:sz w:val="9"/>
                <w:szCs w:val="9"/>
                <w:b w:val="1"/>
                <w:bCs w:val="1"/>
                <w:color w:val="auto"/>
                <w:w w:val="96"/>
              </w:rPr>
              <w:t>Included in OCI</w:t>
            </w:r>
          </w:p>
        </w:tc>
        <w:tc>
          <w:tcPr>
            <w:tcW w:w="0" w:type="dxa"/>
            <w:vAlign w:val="bottom"/>
          </w:tcPr>
          <w:p>
            <w:pPr>
              <w:spacing w:after="0"/>
              <w:rPr>
                <w:sz w:val="1"/>
                <w:szCs w:val="1"/>
                <w:color w:val="auto"/>
              </w:rPr>
            </w:pPr>
          </w:p>
        </w:tc>
      </w:tr>
      <w:tr>
        <w:trPr>
          <w:trHeight w:val="34"/>
        </w:trPr>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center"/>
              <w:ind w:right="50"/>
              <w:spacing w:after="0"/>
              <w:rPr>
                <w:sz w:val="20"/>
                <w:szCs w:val="20"/>
                <w:color w:val="auto"/>
              </w:rPr>
            </w:pPr>
            <w:r>
              <w:rPr>
                <w:rFonts w:ascii="Arial" w:cs="Arial" w:eastAsia="Arial" w:hAnsi="Arial"/>
                <w:sz w:val="9"/>
                <w:szCs w:val="9"/>
                <w:b w:val="1"/>
                <w:bCs w:val="1"/>
                <w:color w:val="auto"/>
                <w:w w:val="95"/>
              </w:rPr>
              <w:t>Assets and</w:t>
            </w:r>
          </w:p>
        </w:tc>
        <w:tc>
          <w:tcPr>
            <w:tcW w:w="80" w:type="dxa"/>
            <w:vAlign w:val="bottom"/>
          </w:tcPr>
          <w:p>
            <w:pPr>
              <w:spacing w:after="0"/>
              <w:rPr>
                <w:sz w:val="8"/>
                <w:szCs w:val="8"/>
                <w:color w:val="auto"/>
              </w:rPr>
            </w:pPr>
          </w:p>
        </w:tc>
        <w:tc>
          <w:tcPr>
            <w:tcW w:w="880" w:type="dxa"/>
            <w:vAlign w:val="bottom"/>
            <w:gridSpan w:val="2"/>
          </w:tcPr>
          <w:p>
            <w:pPr>
              <w:jc w:val="center"/>
              <w:spacing w:after="0"/>
              <w:rPr>
                <w:sz w:val="20"/>
                <w:szCs w:val="20"/>
                <w:color w:val="auto"/>
              </w:rPr>
            </w:pPr>
            <w:r>
              <w:rPr>
                <w:rFonts w:ascii="Arial" w:cs="Arial" w:eastAsia="Arial" w:hAnsi="Arial"/>
                <w:sz w:val="9"/>
                <w:szCs w:val="9"/>
                <w:b w:val="1"/>
                <w:bCs w:val="1"/>
                <w:color w:val="auto"/>
                <w:w w:val="95"/>
              </w:rPr>
              <w:t>Related to Assets</w:t>
            </w:r>
          </w:p>
        </w:tc>
        <w:tc>
          <w:tcPr>
            <w:tcW w:w="0" w:type="dxa"/>
            <w:vAlign w:val="bottom"/>
          </w:tcPr>
          <w:p>
            <w:pPr>
              <w:spacing w:after="0"/>
              <w:rPr>
                <w:sz w:val="1"/>
                <w:szCs w:val="1"/>
                <w:color w:val="auto"/>
              </w:rPr>
            </w:pPr>
          </w:p>
        </w:tc>
      </w:t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gridSpan w:val="2"/>
          </w:tcPr>
          <w:p>
            <w:pPr>
              <w:jc w:val="center"/>
              <w:spacing w:after="0"/>
              <w:rPr>
                <w:sz w:val="20"/>
                <w:szCs w:val="20"/>
                <w:color w:val="auto"/>
              </w:rPr>
            </w:pPr>
            <w:r>
              <w:rPr>
                <w:rFonts w:ascii="Arial" w:cs="Arial" w:eastAsia="Arial" w:hAnsi="Arial"/>
                <w:sz w:val="9"/>
                <w:szCs w:val="9"/>
                <w:b w:val="1"/>
                <w:bCs w:val="1"/>
                <w:color w:val="auto"/>
                <w:w w:val="96"/>
              </w:rPr>
              <w:t>Included in</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tcPr>
          <w:p>
            <w:pPr>
              <w:jc w:val="center"/>
              <w:spacing w:after="0"/>
              <w:rPr>
                <w:sz w:val="20"/>
                <w:szCs w:val="20"/>
                <w:color w:val="auto"/>
              </w:rPr>
            </w:pPr>
            <w:r>
              <w:rPr>
                <w:rFonts w:ascii="Arial" w:cs="Arial" w:eastAsia="Arial" w:hAnsi="Arial"/>
                <w:sz w:val="9"/>
                <w:szCs w:val="9"/>
                <w:b w:val="1"/>
                <w:bCs w:val="1"/>
                <w:color w:val="auto"/>
                <w:w w:val="94"/>
              </w:rPr>
              <w:t>Liabilities Still Held</w:t>
            </w:r>
          </w:p>
        </w:tc>
        <w:tc>
          <w:tcPr>
            <w:tcW w:w="80" w:type="dxa"/>
            <w:vAlign w:val="bottom"/>
          </w:tcPr>
          <w:p>
            <w:pPr>
              <w:spacing w:after="0"/>
              <w:rPr>
                <w:sz w:val="8"/>
                <w:szCs w:val="8"/>
                <w:color w:val="auto"/>
              </w:rPr>
            </w:pPr>
          </w:p>
        </w:tc>
        <w:tc>
          <w:tcPr>
            <w:tcW w:w="880" w:type="dxa"/>
            <w:vAlign w:val="bottom"/>
            <w:gridSpan w:val="2"/>
          </w:tcPr>
          <w:p>
            <w:pPr>
              <w:jc w:val="center"/>
              <w:spacing w:after="0"/>
              <w:rPr>
                <w:sz w:val="20"/>
                <w:szCs w:val="20"/>
                <w:color w:val="auto"/>
              </w:rPr>
            </w:pPr>
            <w:r>
              <w:rPr>
                <w:rFonts w:ascii="Arial" w:cs="Arial" w:eastAsia="Arial" w:hAnsi="Arial"/>
                <w:sz w:val="9"/>
                <w:szCs w:val="9"/>
                <w:b w:val="1"/>
                <w:bCs w:val="1"/>
                <w:color w:val="auto"/>
                <w:w w:val="96"/>
              </w:rPr>
              <w:t>and Liabilities Still</w:t>
            </w:r>
          </w:p>
        </w:tc>
        <w:tc>
          <w:tcPr>
            <w:tcW w:w="0" w:type="dxa"/>
            <w:vAlign w:val="bottom"/>
          </w:tcPr>
          <w:p>
            <w:pPr>
              <w:spacing w:after="0"/>
              <w:rPr>
                <w:sz w:val="1"/>
                <w:szCs w:val="1"/>
                <w:color w:val="auto"/>
              </w:rPr>
            </w:pPr>
          </w:p>
        </w:tc>
      </w:t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gridSpan w:val="2"/>
          </w:tcPr>
          <w:p>
            <w:pPr>
              <w:ind w:left="60"/>
              <w:spacing w:after="0"/>
              <w:rPr>
                <w:sz w:val="20"/>
                <w:szCs w:val="20"/>
                <w:color w:val="auto"/>
              </w:rPr>
            </w:pPr>
            <w:r>
              <w:rPr>
                <w:rFonts w:ascii="Arial" w:cs="Arial" w:eastAsia="Arial" w:hAnsi="Arial"/>
                <w:sz w:val="9"/>
                <w:szCs w:val="9"/>
                <w:b w:val="1"/>
                <w:bCs w:val="1"/>
                <w:color w:val="auto"/>
              </w:rPr>
              <w:t>Balance,</w:t>
            </w:r>
          </w:p>
        </w:tc>
        <w:tc>
          <w:tcPr>
            <w:tcW w:w="580" w:type="dxa"/>
            <w:vAlign w:val="bottom"/>
            <w:gridSpan w:val="2"/>
          </w:tcPr>
          <w:p>
            <w:pPr>
              <w:jc w:val="right"/>
              <w:ind w:right="11"/>
              <w:spacing w:after="0"/>
              <w:rPr>
                <w:sz w:val="20"/>
                <w:szCs w:val="20"/>
                <w:color w:val="auto"/>
              </w:rPr>
            </w:pPr>
            <w:r>
              <w:rPr>
                <w:rFonts w:ascii="Arial" w:cs="Arial" w:eastAsia="Arial" w:hAnsi="Arial"/>
                <w:sz w:val="9"/>
                <w:szCs w:val="9"/>
                <w:b w:val="1"/>
                <w:bCs w:val="1"/>
                <w:color w:val="auto"/>
              </w:rPr>
              <w:t>Included in</w:t>
            </w: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center"/>
              <w:ind w:right="27"/>
              <w:spacing w:after="0"/>
              <w:rPr>
                <w:sz w:val="20"/>
                <w:szCs w:val="20"/>
                <w:color w:val="auto"/>
              </w:rPr>
            </w:pPr>
            <w:r>
              <w:rPr>
                <w:rFonts w:ascii="Arial" w:cs="Arial" w:eastAsia="Arial" w:hAnsi="Arial"/>
                <w:sz w:val="9"/>
                <w:szCs w:val="9"/>
                <w:b w:val="1"/>
                <w:bCs w:val="1"/>
                <w:color w:val="auto"/>
                <w:w w:val="94"/>
              </w:rPr>
              <w:t>Total OCI</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right"/>
              <w:ind w:right="5"/>
              <w:spacing w:after="0"/>
              <w:rPr>
                <w:sz w:val="20"/>
                <w:szCs w:val="20"/>
                <w:color w:val="auto"/>
              </w:rPr>
            </w:pPr>
            <w:r>
              <w:rPr>
                <w:rFonts w:ascii="Arial" w:cs="Arial" w:eastAsia="Arial" w:hAnsi="Arial"/>
                <w:sz w:val="9"/>
                <w:szCs w:val="9"/>
                <w:b w:val="1"/>
                <w:bCs w:val="1"/>
                <w:color w:val="auto"/>
                <w:w w:val="97"/>
              </w:rPr>
              <w:t>Transfers out</w:t>
            </w:r>
          </w:p>
        </w:tc>
        <w:tc>
          <w:tcPr>
            <w:tcW w:w="80" w:type="dxa"/>
            <w:vAlign w:val="bottom"/>
          </w:tcPr>
          <w:p>
            <w:pPr>
              <w:spacing w:after="0"/>
              <w:rPr>
                <w:sz w:val="8"/>
                <w:szCs w:val="8"/>
                <w:color w:val="auto"/>
              </w:rPr>
            </w:pPr>
          </w:p>
        </w:tc>
        <w:tc>
          <w:tcPr>
            <w:tcW w:w="660" w:type="dxa"/>
            <w:vAlign w:val="bottom"/>
            <w:gridSpan w:val="2"/>
          </w:tcPr>
          <w:p>
            <w:pPr>
              <w:jc w:val="right"/>
              <w:spacing w:after="0"/>
              <w:rPr>
                <w:sz w:val="20"/>
                <w:szCs w:val="20"/>
                <w:color w:val="auto"/>
              </w:rPr>
            </w:pPr>
            <w:r>
              <w:rPr>
                <w:rFonts w:ascii="Arial" w:cs="Arial" w:eastAsia="Arial" w:hAnsi="Arial"/>
                <w:sz w:val="9"/>
                <w:szCs w:val="9"/>
                <w:b w:val="1"/>
                <w:bCs w:val="1"/>
                <w:color w:val="auto"/>
                <w:w w:val="99"/>
              </w:rPr>
              <w:t>Transfers into</w:t>
            </w:r>
          </w:p>
        </w:tc>
        <w:tc>
          <w:tcPr>
            <w:tcW w:w="80" w:type="dxa"/>
            <w:vAlign w:val="bottom"/>
          </w:tcPr>
          <w:p>
            <w:pPr>
              <w:spacing w:after="0"/>
              <w:rPr>
                <w:sz w:val="8"/>
                <w:szCs w:val="8"/>
                <w:color w:val="auto"/>
              </w:rPr>
            </w:pPr>
          </w:p>
        </w:tc>
        <w:tc>
          <w:tcPr>
            <w:tcW w:w="820" w:type="dxa"/>
            <w:vAlign w:val="bottom"/>
            <w:gridSpan w:val="2"/>
          </w:tcPr>
          <w:p>
            <w:pPr>
              <w:jc w:val="right"/>
              <w:ind w:right="5"/>
              <w:spacing w:after="0"/>
              <w:rPr>
                <w:sz w:val="20"/>
                <w:szCs w:val="20"/>
                <w:color w:val="auto"/>
              </w:rPr>
            </w:pPr>
            <w:r>
              <w:rPr>
                <w:rFonts w:ascii="Arial" w:cs="Arial" w:eastAsia="Arial" w:hAnsi="Arial"/>
                <w:sz w:val="9"/>
                <w:szCs w:val="9"/>
                <w:b w:val="1"/>
                <w:bCs w:val="1"/>
                <w:color w:val="auto"/>
                <w:w w:val="97"/>
              </w:rPr>
              <w:t>Balance, June 30,</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center"/>
              <w:ind w:right="50"/>
              <w:spacing w:after="0"/>
              <w:rPr>
                <w:sz w:val="20"/>
                <w:szCs w:val="20"/>
                <w:color w:val="auto"/>
              </w:rPr>
            </w:pPr>
            <w:r>
              <w:rPr>
                <w:rFonts w:ascii="Arial" w:cs="Arial" w:eastAsia="Arial" w:hAnsi="Arial"/>
                <w:sz w:val="9"/>
                <w:szCs w:val="9"/>
                <w:b w:val="1"/>
                <w:bCs w:val="1"/>
                <w:color w:val="auto"/>
                <w:w w:val="97"/>
              </w:rPr>
              <w:t>as of June 30,</w:t>
            </w:r>
          </w:p>
        </w:tc>
        <w:tc>
          <w:tcPr>
            <w:tcW w:w="80" w:type="dxa"/>
            <w:vAlign w:val="bottom"/>
          </w:tcPr>
          <w:p>
            <w:pPr>
              <w:spacing w:after="0"/>
              <w:rPr>
                <w:sz w:val="8"/>
                <w:szCs w:val="8"/>
                <w:color w:val="auto"/>
              </w:rPr>
            </w:pPr>
          </w:p>
        </w:tc>
        <w:tc>
          <w:tcPr>
            <w:tcW w:w="880" w:type="dxa"/>
            <w:vAlign w:val="bottom"/>
            <w:gridSpan w:val="2"/>
          </w:tcPr>
          <w:p>
            <w:pPr>
              <w:jc w:val="center"/>
              <w:spacing w:after="0"/>
              <w:rPr>
                <w:sz w:val="20"/>
                <w:szCs w:val="20"/>
                <w:color w:val="auto"/>
              </w:rPr>
            </w:pPr>
            <w:r>
              <w:rPr>
                <w:rFonts w:ascii="Arial" w:cs="Arial" w:eastAsia="Arial" w:hAnsi="Arial"/>
                <w:sz w:val="9"/>
                <w:szCs w:val="9"/>
                <w:b w:val="1"/>
                <w:bCs w:val="1"/>
                <w:color w:val="auto"/>
                <w:w w:val="93"/>
              </w:rPr>
              <w:t>Held as of June 30,</w:t>
            </w:r>
          </w:p>
        </w:tc>
        <w:tc>
          <w:tcPr>
            <w:tcW w:w="0" w:type="dxa"/>
            <w:vAlign w:val="bottom"/>
          </w:tcPr>
          <w:p>
            <w:pPr>
              <w:spacing w:after="0"/>
              <w:rPr>
                <w:sz w:val="1"/>
                <w:szCs w:val="1"/>
                <w:color w:val="auto"/>
              </w:rPr>
            </w:pPr>
          </w:p>
        </w:tc>
      </w:tr>
      <w:tr>
        <w:trPr>
          <w:trHeight w:val="139"/>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bottom w:val="single" w:sz="8" w:color="2C6937"/>
            </w:tcBorders>
            <w:gridSpan w:val="3"/>
          </w:tcPr>
          <w:p>
            <w:pPr>
              <w:ind w:left="20"/>
              <w:spacing w:after="0"/>
              <w:rPr>
                <w:sz w:val="20"/>
                <w:szCs w:val="20"/>
                <w:color w:val="auto"/>
              </w:rPr>
            </w:pPr>
            <w:r>
              <w:rPr>
                <w:rFonts w:ascii="Arial" w:cs="Arial" w:eastAsia="Arial" w:hAnsi="Arial"/>
                <w:sz w:val="9"/>
                <w:szCs w:val="9"/>
                <w:b w:val="1"/>
                <w:bCs w:val="1"/>
                <w:color w:val="auto"/>
              </w:rPr>
              <w:t>December 31, 2021</w:t>
            </w:r>
          </w:p>
        </w:tc>
        <w:tc>
          <w:tcPr>
            <w:tcW w:w="580" w:type="dxa"/>
            <w:vAlign w:val="bottom"/>
            <w:tcBorders>
              <w:bottom w:val="single" w:sz="8" w:color="2C6937"/>
            </w:tcBorders>
            <w:gridSpan w:val="2"/>
          </w:tcPr>
          <w:p>
            <w:pPr>
              <w:jc w:val="right"/>
              <w:ind w:right="11"/>
              <w:spacing w:after="0"/>
              <w:rPr>
                <w:sz w:val="20"/>
                <w:szCs w:val="20"/>
                <w:color w:val="auto"/>
              </w:rPr>
            </w:pPr>
            <w:r>
              <w:rPr>
                <w:rFonts w:ascii="Arial" w:cs="Arial" w:eastAsia="Arial" w:hAnsi="Arial"/>
                <w:sz w:val="9"/>
                <w:szCs w:val="9"/>
                <w:b w:val="1"/>
                <w:bCs w:val="1"/>
                <w:color w:val="auto"/>
              </w:rPr>
              <w:t>Net Income</w:t>
            </w:r>
          </w:p>
        </w:tc>
        <w:tc>
          <w:tcPr>
            <w:tcW w:w="340" w:type="dxa"/>
            <w:vAlign w:val="bottom"/>
            <w:tcBorders>
              <w:bottom w:val="single" w:sz="8" w:color="2C6937"/>
            </w:tcBorders>
          </w:tcPr>
          <w:p>
            <w:pPr>
              <w:spacing w:after="0"/>
              <w:rPr>
                <w:sz w:val="12"/>
                <w:szCs w:val="12"/>
                <w:color w:val="auto"/>
              </w:rPr>
            </w:pPr>
          </w:p>
        </w:tc>
        <w:tc>
          <w:tcPr>
            <w:tcW w:w="80" w:type="dxa"/>
            <w:vAlign w:val="bottom"/>
            <w:tcBorders>
              <w:bottom w:val="single" w:sz="8" w:color="2C6937"/>
            </w:tcBorders>
          </w:tcPr>
          <w:p>
            <w:pPr>
              <w:spacing w:after="0"/>
              <w:rPr>
                <w:sz w:val="12"/>
                <w:szCs w:val="12"/>
                <w:color w:val="auto"/>
              </w:rPr>
            </w:pPr>
          </w:p>
        </w:tc>
        <w:tc>
          <w:tcPr>
            <w:tcW w:w="500" w:type="dxa"/>
            <w:vAlign w:val="bottom"/>
            <w:tcBorders>
              <w:bottom w:val="single" w:sz="8" w:color="2C6937"/>
            </w:tcBorders>
          </w:tcPr>
          <w:p>
            <w:pPr>
              <w:jc w:val="center"/>
              <w:ind w:right="27"/>
              <w:spacing w:after="0"/>
              <w:rPr>
                <w:sz w:val="20"/>
                <w:szCs w:val="20"/>
                <w:color w:val="auto"/>
              </w:rPr>
            </w:pPr>
            <w:r>
              <w:rPr>
                <w:rFonts w:ascii="Arial" w:cs="Arial" w:eastAsia="Arial" w:hAnsi="Arial"/>
                <w:sz w:val="9"/>
                <w:szCs w:val="9"/>
                <w:b w:val="1"/>
                <w:bCs w:val="1"/>
                <w:color w:val="auto"/>
                <w:w w:val="94"/>
              </w:rPr>
              <w:t>(Loss)</w:t>
            </w:r>
            <w:r>
              <w:rPr>
                <w:rFonts w:ascii="Arial" w:cs="Arial" w:eastAsia="Arial" w:hAnsi="Arial"/>
                <w:sz w:val="11"/>
                <w:szCs w:val="11"/>
                <w:b w:val="1"/>
                <w:bCs w:val="1"/>
                <w:color w:val="auto"/>
                <w:w w:val="94"/>
                <w:vertAlign w:val="superscript"/>
              </w:rPr>
              <w:t>(1)</w:t>
            </w:r>
          </w:p>
        </w:tc>
        <w:tc>
          <w:tcPr>
            <w:tcW w:w="100" w:type="dxa"/>
            <w:vAlign w:val="bottom"/>
            <w:tcBorders>
              <w:bottom w:val="single" w:sz="8" w:color="2C6937"/>
            </w:tcBorders>
          </w:tcPr>
          <w:p>
            <w:pPr>
              <w:spacing w:after="0"/>
              <w:rPr>
                <w:sz w:val="12"/>
                <w:szCs w:val="12"/>
                <w:color w:val="auto"/>
              </w:rPr>
            </w:pPr>
          </w:p>
        </w:tc>
        <w:tc>
          <w:tcPr>
            <w:tcW w:w="120" w:type="dxa"/>
            <w:vAlign w:val="bottom"/>
            <w:tcBorders>
              <w:bottom w:val="single" w:sz="8" w:color="2C6937"/>
            </w:tcBorders>
          </w:tcPr>
          <w:p>
            <w:pPr>
              <w:spacing w:after="0"/>
              <w:rPr>
                <w:sz w:val="12"/>
                <w:szCs w:val="12"/>
                <w:color w:val="auto"/>
              </w:rPr>
            </w:pPr>
          </w:p>
        </w:tc>
        <w:tc>
          <w:tcPr>
            <w:tcW w:w="660" w:type="dxa"/>
            <w:vAlign w:val="bottom"/>
            <w:tcBorders>
              <w:bottom w:val="single" w:sz="8" w:color="2C6937"/>
            </w:tcBorders>
          </w:tcPr>
          <w:p>
            <w:pPr>
              <w:ind w:left="20"/>
              <w:spacing w:after="0"/>
              <w:rPr>
                <w:sz w:val="20"/>
                <w:szCs w:val="20"/>
                <w:color w:val="auto"/>
              </w:rPr>
            </w:pPr>
            <w:r>
              <w:rPr>
                <w:rFonts w:ascii="Arial" w:cs="Arial" w:eastAsia="Arial" w:hAnsi="Arial"/>
                <w:sz w:val="9"/>
                <w:szCs w:val="9"/>
                <w:b w:val="1"/>
                <w:bCs w:val="1"/>
                <w:color w:val="auto"/>
              </w:rPr>
              <w:t>Purchases</w:t>
            </w:r>
            <w:r>
              <w:rPr>
                <w:rFonts w:ascii="Arial" w:cs="Arial" w:eastAsia="Arial" w:hAnsi="Arial"/>
                <w:sz w:val="11"/>
                <w:szCs w:val="11"/>
                <w:b w:val="1"/>
                <w:bCs w:val="1"/>
                <w:color w:val="auto"/>
                <w:vertAlign w:val="superscript"/>
              </w:rPr>
              <w:t>(2)</w:t>
            </w: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420" w:type="dxa"/>
            <w:vAlign w:val="bottom"/>
            <w:tcBorders>
              <w:bottom w:val="single" w:sz="8" w:color="2C6937"/>
            </w:tcBorders>
          </w:tcPr>
          <w:p>
            <w:pPr>
              <w:ind w:left="20"/>
              <w:spacing w:after="0"/>
              <w:rPr>
                <w:sz w:val="20"/>
                <w:szCs w:val="20"/>
                <w:color w:val="auto"/>
              </w:rPr>
            </w:pPr>
            <w:r>
              <w:rPr>
                <w:rFonts w:ascii="Arial" w:cs="Arial" w:eastAsia="Arial" w:hAnsi="Arial"/>
                <w:sz w:val="9"/>
                <w:szCs w:val="9"/>
                <w:b w:val="1"/>
                <w:bCs w:val="1"/>
                <w:color w:val="auto"/>
              </w:rPr>
              <w:t>Sales</w:t>
            </w:r>
            <w:r>
              <w:rPr>
                <w:rFonts w:ascii="Arial" w:cs="Arial" w:eastAsia="Arial" w:hAnsi="Arial"/>
                <w:sz w:val="11"/>
                <w:szCs w:val="11"/>
                <w:b w:val="1"/>
                <w:bCs w:val="1"/>
                <w:color w:val="auto"/>
                <w:vertAlign w:val="superscript"/>
              </w:rPr>
              <w:t>(2)</w:t>
            </w: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460" w:type="dxa"/>
            <w:vAlign w:val="bottom"/>
            <w:tcBorders>
              <w:bottom w:val="single" w:sz="8" w:color="2C6937"/>
            </w:tcBorders>
          </w:tcPr>
          <w:p>
            <w:pPr>
              <w:ind w:left="20"/>
              <w:spacing w:after="0"/>
              <w:rPr>
                <w:sz w:val="20"/>
                <w:szCs w:val="20"/>
                <w:color w:val="auto"/>
              </w:rPr>
            </w:pPr>
            <w:r>
              <w:rPr>
                <w:rFonts w:ascii="Arial" w:cs="Arial" w:eastAsia="Arial" w:hAnsi="Arial"/>
                <w:sz w:val="9"/>
                <w:szCs w:val="9"/>
                <w:b w:val="1"/>
                <w:bCs w:val="1"/>
                <w:color w:val="auto"/>
              </w:rPr>
              <w:t>Issues</w:t>
            </w:r>
            <w:r>
              <w:rPr>
                <w:rFonts w:ascii="Arial" w:cs="Arial" w:eastAsia="Arial" w:hAnsi="Arial"/>
                <w:sz w:val="11"/>
                <w:szCs w:val="11"/>
                <w:b w:val="1"/>
                <w:bCs w:val="1"/>
                <w:color w:val="auto"/>
                <w:vertAlign w:val="superscript"/>
              </w:rPr>
              <w:t>(3)</w:t>
            </w:r>
          </w:p>
        </w:tc>
        <w:tc>
          <w:tcPr>
            <w:tcW w:w="100" w:type="dxa"/>
            <w:vAlign w:val="bottom"/>
            <w:tcBorders>
              <w:bottom w:val="single" w:sz="8" w:color="2C6937"/>
            </w:tcBorders>
          </w:tcPr>
          <w:p>
            <w:pPr>
              <w:spacing w:after="0"/>
              <w:rPr>
                <w:sz w:val="12"/>
                <w:szCs w:val="12"/>
                <w:color w:val="auto"/>
              </w:rPr>
            </w:pPr>
          </w:p>
        </w:tc>
        <w:tc>
          <w:tcPr>
            <w:tcW w:w="120" w:type="dxa"/>
            <w:vAlign w:val="bottom"/>
            <w:tcBorders>
              <w:bottom w:val="single" w:sz="8" w:color="2C6937"/>
            </w:tcBorders>
          </w:tcPr>
          <w:p>
            <w:pPr>
              <w:spacing w:after="0"/>
              <w:rPr>
                <w:sz w:val="12"/>
                <w:szCs w:val="12"/>
                <w:color w:val="auto"/>
              </w:rPr>
            </w:pPr>
          </w:p>
        </w:tc>
        <w:tc>
          <w:tcPr>
            <w:tcW w:w="720" w:type="dxa"/>
            <w:vAlign w:val="bottom"/>
            <w:tcBorders>
              <w:bottom w:val="single" w:sz="8" w:color="2C6937"/>
            </w:tcBorders>
          </w:tcPr>
          <w:p>
            <w:pPr>
              <w:jc w:val="right"/>
              <w:ind w:right="85"/>
              <w:spacing w:after="0"/>
              <w:rPr>
                <w:sz w:val="20"/>
                <w:szCs w:val="20"/>
                <w:color w:val="auto"/>
              </w:rPr>
            </w:pPr>
            <w:r>
              <w:rPr>
                <w:rFonts w:ascii="Arial" w:cs="Arial" w:eastAsia="Arial" w:hAnsi="Arial"/>
                <w:sz w:val="9"/>
                <w:szCs w:val="9"/>
                <w:b w:val="1"/>
                <w:bCs w:val="1"/>
                <w:color w:val="auto"/>
                <w:w w:val="93"/>
              </w:rPr>
              <w:t>Settlements</w:t>
            </w:r>
            <w:r>
              <w:rPr>
                <w:rFonts w:ascii="Arial" w:cs="Arial" w:eastAsia="Arial" w:hAnsi="Arial"/>
                <w:sz w:val="11"/>
                <w:szCs w:val="11"/>
                <w:b w:val="1"/>
                <w:bCs w:val="1"/>
                <w:color w:val="auto"/>
                <w:w w:val="93"/>
                <w:vertAlign w:val="superscript"/>
              </w:rPr>
              <w:t>(3)</w:t>
            </w: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540" w:type="dxa"/>
            <w:vAlign w:val="bottom"/>
            <w:tcBorders>
              <w:bottom w:val="single" w:sz="8" w:color="2C6937"/>
            </w:tcBorders>
          </w:tcPr>
          <w:p>
            <w:pPr>
              <w:jc w:val="right"/>
              <w:ind w:right="65"/>
              <w:spacing w:after="0"/>
              <w:rPr>
                <w:sz w:val="20"/>
                <w:szCs w:val="20"/>
                <w:color w:val="auto"/>
              </w:rPr>
            </w:pPr>
            <w:r>
              <w:rPr>
                <w:rFonts w:ascii="Arial" w:cs="Arial" w:eastAsia="Arial" w:hAnsi="Arial"/>
                <w:sz w:val="9"/>
                <w:szCs w:val="9"/>
                <w:b w:val="1"/>
                <w:bCs w:val="1"/>
                <w:color w:val="auto"/>
                <w:w w:val="96"/>
              </w:rPr>
              <w:t>of Level 3</w:t>
            </w:r>
          </w:p>
        </w:tc>
        <w:tc>
          <w:tcPr>
            <w:tcW w:w="80" w:type="dxa"/>
            <w:vAlign w:val="bottom"/>
            <w:tcBorders>
              <w:bottom w:val="single" w:sz="8" w:color="2C6937"/>
            </w:tcBorders>
          </w:tcPr>
          <w:p>
            <w:pPr>
              <w:spacing w:after="0"/>
              <w:rPr>
                <w:sz w:val="12"/>
                <w:szCs w:val="12"/>
                <w:color w:val="auto"/>
              </w:rPr>
            </w:pPr>
          </w:p>
        </w:tc>
        <w:tc>
          <w:tcPr>
            <w:tcW w:w="140" w:type="dxa"/>
            <w:vAlign w:val="bottom"/>
            <w:tcBorders>
              <w:bottom w:val="single" w:sz="8" w:color="2C6937"/>
            </w:tcBorders>
          </w:tcPr>
          <w:p>
            <w:pPr>
              <w:spacing w:after="0"/>
              <w:rPr>
                <w:sz w:val="12"/>
                <w:szCs w:val="12"/>
                <w:color w:val="auto"/>
              </w:rPr>
            </w:pPr>
          </w:p>
        </w:tc>
        <w:tc>
          <w:tcPr>
            <w:tcW w:w="520" w:type="dxa"/>
            <w:vAlign w:val="bottom"/>
            <w:tcBorders>
              <w:bottom w:val="single" w:sz="8" w:color="2C6937"/>
            </w:tcBorders>
          </w:tcPr>
          <w:p>
            <w:pPr>
              <w:jc w:val="right"/>
              <w:ind w:right="125"/>
              <w:spacing w:after="0"/>
              <w:rPr>
                <w:sz w:val="20"/>
                <w:szCs w:val="20"/>
                <w:color w:val="auto"/>
              </w:rPr>
            </w:pPr>
            <w:r>
              <w:rPr>
                <w:rFonts w:ascii="Arial" w:cs="Arial" w:eastAsia="Arial" w:hAnsi="Arial"/>
                <w:sz w:val="9"/>
                <w:szCs w:val="9"/>
                <w:b w:val="1"/>
                <w:bCs w:val="1"/>
                <w:color w:val="auto"/>
              </w:rPr>
              <w:t>Level 3</w:t>
            </w:r>
          </w:p>
        </w:tc>
        <w:tc>
          <w:tcPr>
            <w:tcW w:w="80" w:type="dxa"/>
            <w:vAlign w:val="bottom"/>
            <w:tcBorders>
              <w:bottom w:val="single" w:sz="8" w:color="2C6937"/>
            </w:tcBorders>
          </w:tcPr>
          <w:p>
            <w:pPr>
              <w:spacing w:after="0"/>
              <w:rPr>
                <w:sz w:val="12"/>
                <w:szCs w:val="12"/>
                <w:color w:val="auto"/>
              </w:rPr>
            </w:pPr>
          </w:p>
        </w:tc>
        <w:tc>
          <w:tcPr>
            <w:tcW w:w="200" w:type="dxa"/>
            <w:vAlign w:val="bottom"/>
            <w:tcBorders>
              <w:bottom w:val="single" w:sz="8" w:color="2C6937"/>
            </w:tcBorders>
          </w:tcPr>
          <w:p>
            <w:pPr>
              <w:spacing w:after="0"/>
              <w:rPr>
                <w:sz w:val="12"/>
                <w:szCs w:val="12"/>
                <w:color w:val="auto"/>
              </w:rPr>
            </w:pPr>
          </w:p>
        </w:tc>
        <w:tc>
          <w:tcPr>
            <w:tcW w:w="620" w:type="dxa"/>
            <w:vAlign w:val="bottom"/>
            <w:tcBorders>
              <w:bottom w:val="single" w:sz="8" w:color="2C6937"/>
            </w:tcBorders>
          </w:tcPr>
          <w:p>
            <w:pPr>
              <w:jc w:val="right"/>
              <w:ind w:right="265"/>
              <w:spacing w:after="0"/>
              <w:rPr>
                <w:sz w:val="20"/>
                <w:szCs w:val="20"/>
                <w:color w:val="auto"/>
              </w:rPr>
            </w:pPr>
            <w:r>
              <w:rPr>
                <w:rFonts w:ascii="Arial" w:cs="Arial" w:eastAsia="Arial" w:hAnsi="Arial"/>
                <w:sz w:val="9"/>
                <w:szCs w:val="9"/>
                <w:b w:val="1"/>
                <w:bCs w:val="1"/>
                <w:color w:val="auto"/>
              </w:rPr>
              <w:t>2022</w:t>
            </w:r>
          </w:p>
        </w:tc>
        <w:tc>
          <w:tcPr>
            <w:tcW w:w="8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760" w:type="dxa"/>
            <w:vAlign w:val="bottom"/>
            <w:tcBorders>
              <w:bottom w:val="single" w:sz="8" w:color="2C6937"/>
            </w:tcBorders>
          </w:tcPr>
          <w:p>
            <w:pPr>
              <w:jc w:val="center"/>
              <w:ind w:right="50"/>
              <w:spacing w:after="0" w:line="139" w:lineRule="exact"/>
              <w:rPr>
                <w:sz w:val="20"/>
                <w:szCs w:val="20"/>
                <w:color w:val="auto"/>
              </w:rPr>
            </w:pPr>
            <w:r>
              <w:rPr>
                <w:rFonts w:ascii="Arial" w:cs="Arial" w:eastAsia="Arial" w:hAnsi="Arial"/>
                <w:sz w:val="16"/>
                <w:szCs w:val="16"/>
                <w:b w:val="1"/>
                <w:bCs w:val="1"/>
                <w:color w:val="auto"/>
                <w:w w:val="94"/>
                <w:vertAlign w:val="subscript"/>
              </w:rPr>
              <w:t>2022</w:t>
            </w:r>
            <w:r>
              <w:rPr>
                <w:rFonts w:ascii="Arial" w:cs="Arial" w:eastAsia="Arial" w:hAnsi="Arial"/>
                <w:sz w:val="5"/>
                <w:szCs w:val="5"/>
                <w:b w:val="1"/>
                <w:bCs w:val="1"/>
                <w:color w:val="auto"/>
                <w:w w:val="94"/>
              </w:rPr>
              <w:t>(4)(5)</w:t>
            </w:r>
          </w:p>
        </w:tc>
        <w:tc>
          <w:tcPr>
            <w:tcW w:w="8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780" w:type="dxa"/>
            <w:vAlign w:val="bottom"/>
            <w:tcBorders>
              <w:bottom w:val="single" w:sz="8" w:color="2C6937"/>
            </w:tcBorders>
          </w:tcPr>
          <w:p>
            <w:pPr>
              <w:jc w:val="center"/>
              <w:ind w:right="68"/>
              <w:spacing w:after="0"/>
              <w:rPr>
                <w:sz w:val="20"/>
                <w:szCs w:val="20"/>
                <w:color w:val="auto"/>
              </w:rPr>
            </w:pPr>
            <w:r>
              <w:rPr>
                <w:rFonts w:ascii="Arial" w:cs="Arial" w:eastAsia="Arial" w:hAnsi="Arial"/>
                <w:sz w:val="9"/>
                <w:szCs w:val="9"/>
                <w:b w:val="1"/>
                <w:bCs w:val="1"/>
                <w:color w:val="auto"/>
                <w:w w:val="89"/>
              </w:rPr>
              <w:t>2022</w:t>
            </w:r>
            <w:r>
              <w:rPr>
                <w:rFonts w:ascii="Arial" w:cs="Arial" w:eastAsia="Arial" w:hAnsi="Arial"/>
                <w:sz w:val="11"/>
                <w:szCs w:val="11"/>
                <w:b w:val="1"/>
                <w:bCs w:val="1"/>
                <w:color w:val="auto"/>
                <w:w w:val="89"/>
                <w:vertAlign w:val="superscript"/>
              </w:rPr>
              <w:t>(1)</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4"/>
          </w:tcPr>
          <w:p>
            <w:pPr>
              <w:jc w:val="right"/>
              <w:ind w:right="45"/>
              <w:spacing w:after="0"/>
              <w:rPr>
                <w:sz w:val="20"/>
                <w:szCs w:val="20"/>
                <w:color w:val="auto"/>
              </w:rPr>
            </w:pPr>
            <w:r>
              <w:rPr>
                <w:rFonts w:ascii="Arial" w:cs="Arial" w:eastAsia="Arial" w:hAnsi="Arial"/>
                <w:sz w:val="11"/>
                <w:szCs w:val="11"/>
                <w:b w:val="1"/>
                <w:bCs w:val="1"/>
                <w:color w:val="auto"/>
              </w:rPr>
              <w:t>(Dollars in millions)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Trading securities:</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3"/>
        </w:trPr>
        <w:tc>
          <w:tcPr>
            <w:tcW w:w="1440" w:type="dxa"/>
            <w:vAlign w:val="bottom"/>
            <w:gridSpan w:val="2"/>
          </w:tcPr>
          <w:p>
            <w:pPr>
              <w:ind w:left="60"/>
              <w:spacing w:after="0"/>
              <w:rPr>
                <w:sz w:val="20"/>
                <w:szCs w:val="20"/>
                <w:color w:val="auto"/>
              </w:rPr>
            </w:pPr>
            <w:r>
              <w:rPr>
                <w:rFonts w:ascii="Arial" w:cs="Arial" w:eastAsia="Arial" w:hAnsi="Arial"/>
                <w:sz w:val="11"/>
                <w:szCs w:val="11"/>
                <w:color w:val="auto"/>
              </w:rPr>
              <w:t>Mortgage-related</w:t>
            </w: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57</w:t>
            </w:r>
          </w:p>
        </w:tc>
        <w:tc>
          <w:tcPr>
            <w:tcW w:w="80" w:type="dxa"/>
            <w:vAlign w:val="bottom"/>
          </w:tcPr>
          <w:p>
            <w:pPr>
              <w:spacing w:after="0"/>
              <w:rPr>
                <w:sz w:val="24"/>
                <w:szCs w:val="24"/>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126"/>
              <w:spacing w:after="0"/>
              <w:rPr>
                <w:sz w:val="20"/>
                <w:szCs w:val="20"/>
                <w:color w:val="auto"/>
              </w:rPr>
            </w:pPr>
            <w:r>
              <w:rPr>
                <w:rFonts w:ascii="Arial" w:cs="Arial" w:eastAsia="Arial" w:hAnsi="Arial"/>
                <w:sz w:val="22"/>
                <w:szCs w:val="22"/>
                <w:color w:val="auto"/>
                <w:vertAlign w:val="subscript"/>
              </w:rPr>
              <w:t>(8)</w:t>
            </w:r>
            <w:r>
              <w:rPr>
                <w:rFonts w:ascii="Arial" w:cs="Arial" w:eastAsia="Arial" w:hAnsi="Arial"/>
                <w:sz w:val="7"/>
                <w:szCs w:val="7"/>
                <w:color w:val="auto"/>
              </w:rPr>
              <w:t xml:space="preserve"> (5)(6)</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ind w:left="320"/>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ind w:left="50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ind w:left="26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jc w:val="center"/>
              <w:ind w:left="205"/>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(14)</w:t>
            </w:r>
          </w:p>
        </w:tc>
        <w:tc>
          <w:tcPr>
            <w:tcW w:w="22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42</w:t>
            </w:r>
          </w:p>
        </w:tc>
        <w:tc>
          <w:tcPr>
            <w:tcW w:w="280" w:type="dxa"/>
            <w:vAlign w:val="bottom"/>
            <w:gridSpan w:val="2"/>
          </w:tcPr>
          <w:p>
            <w:pPr>
              <w:jc w:val="right"/>
              <w:ind w:right="71"/>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76</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(3)</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ind w:left="6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0"/>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Available-for-sale</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440" w:type="dxa"/>
            <w:vAlign w:val="bottom"/>
            <w:gridSpan w:val="2"/>
          </w:tcPr>
          <w:p>
            <w:pPr>
              <w:ind w:left="140"/>
              <w:spacing w:after="0"/>
              <w:rPr>
                <w:sz w:val="20"/>
                <w:szCs w:val="20"/>
                <w:color w:val="auto"/>
              </w:rPr>
            </w:pPr>
            <w:r>
              <w:rPr>
                <w:rFonts w:ascii="Arial" w:cs="Arial" w:eastAsia="Arial" w:hAnsi="Arial"/>
                <w:sz w:val="11"/>
                <w:szCs w:val="11"/>
                <w:color w:val="auto"/>
              </w:rPr>
              <w:t>securities:</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440" w:type="dxa"/>
            <w:vAlign w:val="bottom"/>
            <w:gridSpan w:val="2"/>
          </w:tcPr>
          <w:p>
            <w:pPr>
              <w:ind w:left="60"/>
              <w:spacing w:after="0"/>
              <w:rPr>
                <w:sz w:val="20"/>
                <w:szCs w:val="20"/>
                <w:color w:val="auto"/>
              </w:rPr>
            </w:pPr>
            <w:r>
              <w:rPr>
                <w:rFonts w:ascii="Arial" w:cs="Arial" w:eastAsia="Arial" w:hAnsi="Arial"/>
                <w:sz w:val="11"/>
                <w:szCs w:val="11"/>
                <w:color w:val="auto"/>
              </w:rPr>
              <w:t>Agency</w:t>
            </w: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431</w:t>
            </w:r>
          </w:p>
        </w:tc>
        <w:tc>
          <w:tcPr>
            <w:tcW w:w="80" w:type="dxa"/>
            <w:vAlign w:val="bottom"/>
          </w:tcPr>
          <w:p>
            <w:pPr>
              <w:spacing w:after="0"/>
              <w:rPr>
                <w:sz w:val="14"/>
                <w:szCs w:val="14"/>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ind w:right="11"/>
              <w:spacing w:after="0"/>
              <w:rPr>
                <w:sz w:val="20"/>
                <w:szCs w:val="20"/>
                <w:color w:val="auto"/>
              </w:rPr>
            </w:pPr>
            <w:r>
              <w:rPr>
                <w:rFonts w:ascii="Arial" w:cs="Arial" w:eastAsia="Arial" w:hAnsi="Arial"/>
                <w:sz w:val="11"/>
                <w:szCs w:val="11"/>
                <w:color w:val="auto"/>
              </w:rPr>
              <w:t>1</w:t>
            </w:r>
          </w:p>
        </w:tc>
        <w:tc>
          <w:tcPr>
            <w:tcW w:w="3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ind w:left="340"/>
              <w:spacing w:after="0"/>
              <w:rPr>
                <w:sz w:val="20"/>
                <w:szCs w:val="20"/>
                <w:color w:val="auto"/>
              </w:rPr>
            </w:pPr>
            <w:r>
              <w:rPr>
                <w:rFonts w:ascii="Arial" w:cs="Arial" w:eastAsia="Arial" w:hAnsi="Arial"/>
                <w:sz w:val="11"/>
                <w:szCs w:val="11"/>
                <w:color w:val="auto"/>
              </w:rPr>
              <w:t>(4)</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ind w:left="50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ind w:left="26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jc w:val="center"/>
              <w:ind w:left="205"/>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(24)</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71"/>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404</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
              <w:spacing w:after="0"/>
              <w:rPr>
                <w:sz w:val="20"/>
                <w:szCs w:val="20"/>
                <w:color w:val="auto"/>
              </w:rPr>
            </w:pPr>
            <w:r>
              <w:rPr>
                <w:rFonts w:ascii="Arial" w:cs="Arial" w:eastAsia="Arial" w:hAnsi="Arial"/>
                <w:sz w:val="11"/>
                <w:szCs w:val="11"/>
                <w:color w:val="auto"/>
              </w:rPr>
              <w:t>—</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ind w:left="600"/>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71"/>
        </w:trPr>
        <w:tc>
          <w:tcPr>
            <w:tcW w:w="1340" w:type="dxa"/>
            <w:vAlign w:val="bottom"/>
            <w:tcBorders>
              <w:bottom w:val="single" w:sz="8" w:color="2C6937"/>
            </w:tcBorders>
          </w:tcPr>
          <w:p>
            <w:pPr>
              <w:ind w:left="60"/>
              <w:spacing w:after="0"/>
              <w:rPr>
                <w:sz w:val="20"/>
                <w:szCs w:val="20"/>
                <w:color w:val="auto"/>
              </w:rPr>
            </w:pPr>
            <w:r>
              <w:rPr>
                <w:rFonts w:ascii="Arial" w:cs="Arial" w:eastAsia="Arial" w:hAnsi="Arial"/>
                <w:sz w:val="11"/>
                <w:szCs w:val="11"/>
                <w:color w:val="auto"/>
              </w:rPr>
              <w:t>Other mortgage-related</w:t>
            </w:r>
          </w:p>
        </w:tc>
        <w:tc>
          <w:tcPr>
            <w:tcW w:w="100" w:type="dxa"/>
            <w:vAlign w:val="bottom"/>
          </w:tcPr>
          <w:p>
            <w:pPr>
              <w:spacing w:after="0"/>
              <w:rPr>
                <w:sz w:val="14"/>
                <w:szCs w:val="14"/>
                <w:color w:val="auto"/>
              </w:rPr>
            </w:pPr>
          </w:p>
        </w:tc>
        <w:tc>
          <w:tcPr>
            <w:tcW w:w="160" w:type="dxa"/>
            <w:vAlign w:val="bottom"/>
            <w:tcBorders>
              <w:bottom w:val="single" w:sz="8" w:color="2C6937"/>
            </w:tcBorders>
          </w:tcPr>
          <w:p>
            <w:pPr>
              <w:spacing w:after="0"/>
              <w:rPr>
                <w:sz w:val="14"/>
                <w:szCs w:val="14"/>
                <w:color w:val="auto"/>
              </w:rPr>
            </w:pPr>
          </w:p>
        </w:tc>
        <w:tc>
          <w:tcPr>
            <w:tcW w:w="66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322</w:t>
            </w:r>
          </w:p>
        </w:tc>
        <w:tc>
          <w:tcPr>
            <w:tcW w:w="80" w:type="dxa"/>
            <w:vAlign w:val="bottom"/>
          </w:tcPr>
          <w:p>
            <w:pPr>
              <w:spacing w:after="0"/>
              <w:rPr>
                <w:sz w:val="14"/>
                <w:szCs w:val="14"/>
                <w:color w:val="auto"/>
              </w:rPr>
            </w:pPr>
          </w:p>
        </w:tc>
        <w:tc>
          <w:tcPr>
            <w:tcW w:w="200" w:type="dxa"/>
            <w:vAlign w:val="bottom"/>
            <w:tcBorders>
              <w:bottom w:val="single" w:sz="8" w:color="2C6937"/>
            </w:tcBorders>
          </w:tcPr>
          <w:p>
            <w:pPr>
              <w:spacing w:after="0"/>
              <w:rPr>
                <w:sz w:val="14"/>
                <w:szCs w:val="14"/>
                <w:color w:val="auto"/>
              </w:rPr>
            </w:pPr>
          </w:p>
        </w:tc>
        <w:tc>
          <w:tcPr>
            <w:tcW w:w="38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(8)</w:t>
            </w:r>
          </w:p>
        </w:tc>
        <w:tc>
          <w:tcPr>
            <w:tcW w:w="340" w:type="dxa"/>
            <w:vAlign w:val="bottom"/>
          </w:tcPr>
          <w:p>
            <w:pPr>
              <w:spacing w:after="0"/>
              <w:rPr>
                <w:sz w:val="14"/>
                <w:szCs w:val="14"/>
                <w:color w:val="auto"/>
              </w:rPr>
            </w:pPr>
          </w:p>
        </w:tc>
        <w:tc>
          <w:tcPr>
            <w:tcW w:w="80" w:type="dxa"/>
            <w:vAlign w:val="bottom"/>
            <w:tcBorders>
              <w:bottom w:val="single" w:sz="8" w:color="2C6937"/>
            </w:tcBorders>
          </w:tcPr>
          <w:p>
            <w:pPr>
              <w:spacing w:after="0"/>
              <w:rPr>
                <w:sz w:val="14"/>
                <w:szCs w:val="14"/>
                <w:color w:val="auto"/>
              </w:rPr>
            </w:pPr>
          </w:p>
        </w:tc>
        <w:tc>
          <w:tcPr>
            <w:tcW w:w="500" w:type="dxa"/>
            <w:vAlign w:val="bottom"/>
            <w:tcBorders>
              <w:bottom w:val="single" w:sz="8" w:color="2C6937"/>
            </w:tcBorders>
          </w:tcPr>
          <w:p>
            <w:pPr>
              <w:ind w:left="340"/>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4"/>
                <w:szCs w:val="14"/>
                <w:color w:val="auto"/>
              </w:rPr>
            </w:pPr>
          </w:p>
        </w:tc>
        <w:tc>
          <w:tcPr>
            <w:tcW w:w="120" w:type="dxa"/>
            <w:vAlign w:val="bottom"/>
            <w:tcBorders>
              <w:bottom w:val="single" w:sz="8" w:color="2C6937"/>
            </w:tcBorders>
          </w:tcPr>
          <w:p>
            <w:pPr>
              <w:spacing w:after="0"/>
              <w:rPr>
                <w:sz w:val="14"/>
                <w:szCs w:val="14"/>
                <w:color w:val="auto"/>
              </w:rPr>
            </w:pPr>
          </w:p>
        </w:tc>
        <w:tc>
          <w:tcPr>
            <w:tcW w:w="66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420" w:type="dxa"/>
            <w:vAlign w:val="bottom"/>
            <w:tcBorders>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460" w:type="dxa"/>
            <w:vAlign w:val="bottom"/>
            <w:tcBorders>
              <w:bottom w:val="single" w:sz="8" w:color="2C6937"/>
            </w:tcBorders>
          </w:tcPr>
          <w:p>
            <w:pPr>
              <w:jc w:val="center"/>
              <w:ind w:left="20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20" w:type="dxa"/>
            <w:vAlign w:val="bottom"/>
            <w:tcBorders>
              <w:bottom w:val="single" w:sz="8" w:color="2C6937"/>
            </w:tcBorders>
          </w:tcPr>
          <w:p>
            <w:pPr>
              <w:spacing w:after="0"/>
              <w:rPr>
                <w:sz w:val="14"/>
                <w:szCs w:val="1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4"/>
                <w:szCs w:val="14"/>
                <w:color w:val="auto"/>
              </w:rPr>
            </w:pPr>
          </w:p>
        </w:tc>
        <w:tc>
          <w:tcPr>
            <w:tcW w:w="140" w:type="dxa"/>
            <w:vAlign w:val="bottom"/>
            <w:tcBorders>
              <w:bottom w:val="single" w:sz="8" w:color="2C6937"/>
            </w:tcBorders>
          </w:tcPr>
          <w:p>
            <w:pPr>
              <w:spacing w:after="0"/>
              <w:rPr>
                <w:sz w:val="14"/>
                <w:szCs w:val="14"/>
                <w:color w:val="auto"/>
              </w:rPr>
            </w:pPr>
          </w:p>
        </w:tc>
        <w:tc>
          <w:tcPr>
            <w:tcW w:w="5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4"/>
                <w:szCs w:val="14"/>
                <w:color w:val="auto"/>
              </w:rPr>
            </w:pPr>
          </w:p>
        </w:tc>
        <w:tc>
          <w:tcPr>
            <w:tcW w:w="200" w:type="dxa"/>
            <w:vAlign w:val="bottom"/>
            <w:tcBorders>
              <w:bottom w:val="single" w:sz="8" w:color="2C6937"/>
            </w:tcBorders>
          </w:tcPr>
          <w:p>
            <w:pPr>
              <w:spacing w:after="0"/>
              <w:rPr>
                <w:sz w:val="14"/>
                <w:szCs w:val="14"/>
                <w:color w:val="auto"/>
              </w:rPr>
            </w:pPr>
          </w:p>
        </w:tc>
        <w:tc>
          <w:tcPr>
            <w:tcW w:w="6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289</w:t>
            </w:r>
          </w:p>
        </w:tc>
        <w:tc>
          <w:tcPr>
            <w:tcW w:w="80" w:type="dxa"/>
            <w:vAlign w:val="bottom"/>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760" w:type="dxa"/>
            <w:vAlign w:val="bottom"/>
            <w:tcBorders>
              <w:bottom w:val="single" w:sz="8" w:color="2C6937"/>
            </w:tcBorders>
          </w:tcPr>
          <w:p>
            <w:pPr>
              <w:jc w:val="right"/>
              <w:ind w:right="1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780" w:type="dxa"/>
            <w:vAlign w:val="bottom"/>
            <w:tcBorders>
              <w:bottom w:val="single" w:sz="8" w:color="2C6937"/>
            </w:tcBorders>
          </w:tcPr>
          <w:p>
            <w:pPr>
              <w:ind w:left="60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8"/>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Total available-for-sale</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7"/>
                <w:szCs w:val="7"/>
                <w:color w:val="auto"/>
              </w:rPr>
              <w:t>(6)(7)</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340" w:type="dxa"/>
            <w:vAlign w:val="bottom"/>
            <w:tcBorders>
              <w:bottom w:val="single" w:sz="8" w:color="2C6937"/>
            </w:tcBorders>
          </w:tcPr>
          <w:p>
            <w:pPr>
              <w:ind w:left="140"/>
              <w:spacing w:after="0"/>
              <w:rPr>
                <w:sz w:val="20"/>
                <w:szCs w:val="20"/>
                <w:color w:val="auto"/>
              </w:rPr>
            </w:pPr>
            <w:r>
              <w:rPr>
                <w:rFonts w:ascii="Arial" w:cs="Arial" w:eastAsia="Arial" w:hAnsi="Arial"/>
                <w:sz w:val="11"/>
                <w:szCs w:val="11"/>
                <w:color w:val="auto"/>
              </w:rPr>
              <w:t>securities</w:t>
            </w:r>
          </w:p>
        </w:tc>
        <w:tc>
          <w:tcPr>
            <w:tcW w:w="100" w:type="dxa"/>
            <w:vAlign w:val="bottom"/>
          </w:tcPr>
          <w:p>
            <w:pPr>
              <w:spacing w:after="0"/>
              <w:rPr>
                <w:sz w:val="13"/>
                <w:szCs w:val="13"/>
                <w:color w:val="auto"/>
              </w:rPr>
            </w:pPr>
          </w:p>
        </w:tc>
        <w:tc>
          <w:tcPr>
            <w:tcW w:w="160" w:type="dxa"/>
            <w:vAlign w:val="bottom"/>
            <w:tcBorders>
              <w:bottom w:val="single" w:sz="8" w:color="2C6937"/>
            </w:tcBorders>
          </w:tcPr>
          <w:p>
            <w:pPr>
              <w:ind w:left="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753</w:t>
            </w:r>
          </w:p>
        </w:tc>
        <w:tc>
          <w:tcPr>
            <w:tcW w:w="80" w:type="dxa"/>
            <w:vAlign w:val="bottom"/>
          </w:tcPr>
          <w:p>
            <w:pPr>
              <w:spacing w:after="0"/>
              <w:rPr>
                <w:sz w:val="13"/>
                <w:szCs w:val="13"/>
                <w:color w:val="auto"/>
              </w:rPr>
            </w:pPr>
          </w:p>
        </w:tc>
        <w:tc>
          <w:tcPr>
            <w:tcW w:w="200" w:type="dxa"/>
            <w:vAlign w:val="bottom"/>
            <w:tcBorders>
              <w:bottom w:val="single" w:sz="8" w:color="2C6937"/>
            </w:tcBorders>
          </w:tcPr>
          <w:p>
            <w:pPr>
              <w:jc w:val="right"/>
              <w:ind w:right="67"/>
              <w:spacing w:after="0"/>
              <w:rPr>
                <w:sz w:val="20"/>
                <w:szCs w:val="20"/>
                <w:color w:val="auto"/>
              </w:rPr>
            </w:pPr>
            <w:r>
              <w:rPr>
                <w:rFonts w:ascii="Arial" w:cs="Arial" w:eastAsia="Arial" w:hAnsi="Arial"/>
                <w:sz w:val="11"/>
                <w:szCs w:val="11"/>
                <w:color w:val="auto"/>
                <w:w w:val="97"/>
              </w:rPr>
              <w:t>$</w:t>
            </w:r>
          </w:p>
        </w:tc>
        <w:tc>
          <w:tcPr>
            <w:tcW w:w="38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(7)</w:t>
            </w:r>
          </w:p>
        </w:tc>
        <w:tc>
          <w:tcPr>
            <w:tcW w:w="340" w:type="dxa"/>
            <w:vAlign w:val="bottom"/>
          </w:tcPr>
          <w:p>
            <w:pPr>
              <w:spacing w:after="0"/>
              <w:rPr>
                <w:sz w:val="13"/>
                <w:szCs w:val="13"/>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2C6937"/>
            </w:tcBorders>
          </w:tcPr>
          <w:p>
            <w:pPr>
              <w:ind w:left="340"/>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3"/>
                <w:szCs w:val="13"/>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2C6937"/>
            </w:tcBorders>
          </w:tcPr>
          <w:p>
            <w:pPr>
              <w:jc w:val="center"/>
              <w:ind w:left="20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(46)</w:t>
            </w:r>
          </w:p>
        </w:tc>
        <w:tc>
          <w:tcPr>
            <w:tcW w:w="100" w:type="dxa"/>
            <w:vAlign w:val="bottom"/>
          </w:tcPr>
          <w:p>
            <w:pPr>
              <w:spacing w:after="0"/>
              <w:rPr>
                <w:sz w:val="13"/>
                <w:szCs w:val="13"/>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140" w:type="dxa"/>
            <w:vAlign w:val="bottom"/>
            <w:tcBorders>
              <w:bottom w:val="single" w:sz="8" w:color="2C6937"/>
            </w:tcBorders>
          </w:tcPr>
          <w:p>
            <w:pPr>
              <w:jc w:val="right"/>
              <w:ind w:right="11"/>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200" w:type="dxa"/>
            <w:vAlign w:val="bottom"/>
            <w:tcBorders>
              <w:bottom w:val="single" w:sz="8" w:color="2C6937"/>
            </w:tcBorders>
          </w:tcPr>
          <w:p>
            <w:pPr>
              <w:jc w:val="right"/>
              <w:ind w:right="71"/>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693</w:t>
            </w:r>
          </w:p>
        </w:tc>
        <w:tc>
          <w:tcPr>
            <w:tcW w:w="80" w:type="dxa"/>
            <w:vAlign w:val="bottom"/>
          </w:tcPr>
          <w:p>
            <w:pPr>
              <w:spacing w:after="0"/>
              <w:rPr>
                <w:sz w:val="13"/>
                <w:szCs w:val="13"/>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2C6937"/>
            </w:tcBorders>
          </w:tcPr>
          <w:p>
            <w:pPr>
              <w:jc w:val="right"/>
              <w:ind w:right="1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2C6937"/>
            </w:tcBorders>
          </w:tcPr>
          <w:p>
            <w:pPr>
              <w:ind w:left="600"/>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6"/>
        </w:trPr>
        <w:tc>
          <w:tcPr>
            <w:tcW w:w="13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2C6937"/>
            </w:tcBorders>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380" w:type="dxa"/>
            <w:vAlign w:val="bottom"/>
            <w:tcBorders>
              <w:bottom w:val="single" w:sz="8" w:color="2C6937"/>
            </w:tcBorders>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5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4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4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7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52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62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8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Mortgage loans</w:t>
            </w: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755</w:t>
            </w:r>
          </w:p>
        </w:tc>
        <w:tc>
          <w:tcPr>
            <w:tcW w:w="80" w:type="dxa"/>
            <w:vAlign w:val="bottom"/>
          </w:tcPr>
          <w:p>
            <w:pPr>
              <w:spacing w:after="0"/>
              <w:rPr>
                <w:sz w:val="24"/>
                <w:szCs w:val="24"/>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126"/>
              <w:spacing w:after="0"/>
              <w:rPr>
                <w:sz w:val="20"/>
                <w:szCs w:val="20"/>
                <w:color w:val="auto"/>
              </w:rPr>
            </w:pPr>
            <w:r>
              <w:rPr>
                <w:rFonts w:ascii="Arial" w:cs="Arial" w:eastAsia="Arial" w:hAnsi="Arial"/>
                <w:sz w:val="22"/>
                <w:szCs w:val="22"/>
                <w:color w:val="auto"/>
                <w:vertAlign w:val="subscript"/>
              </w:rPr>
              <w:t>(48)</w:t>
            </w:r>
            <w:r>
              <w:rPr>
                <w:rFonts w:ascii="Arial" w:cs="Arial" w:eastAsia="Arial" w:hAnsi="Arial"/>
                <w:sz w:val="7"/>
                <w:szCs w:val="7"/>
                <w:color w:val="auto"/>
              </w:rPr>
              <w:t xml:space="preserve"> (5)(6)</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ind w:left="320"/>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ind w:left="50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ind w:left="260"/>
              <w:spacing w:after="0"/>
              <w:rPr>
                <w:sz w:val="20"/>
                <w:szCs w:val="20"/>
                <w:color w:val="auto"/>
              </w:rPr>
            </w:pPr>
            <w:r>
              <w:rPr>
                <w:rFonts w:ascii="Arial" w:cs="Arial" w:eastAsia="Arial" w:hAnsi="Arial"/>
                <w:sz w:val="11"/>
                <w:szCs w:val="11"/>
                <w:color w:val="auto"/>
              </w:rPr>
              <w:t>(2)</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jc w:val="center"/>
              <w:ind w:left="205"/>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(82)</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(60)</w:t>
            </w:r>
          </w:p>
        </w:tc>
        <w:tc>
          <w:tcPr>
            <w:tcW w:w="22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36</w:t>
            </w:r>
          </w:p>
        </w:tc>
        <w:tc>
          <w:tcPr>
            <w:tcW w:w="280" w:type="dxa"/>
            <w:vAlign w:val="bottom"/>
            <w:gridSpan w:val="2"/>
          </w:tcPr>
          <w:p>
            <w:pPr>
              <w:jc w:val="right"/>
              <w:ind w:right="71"/>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599</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(42)</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ind w:left="6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34"/>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Net derivatives</w:t>
            </w:r>
          </w:p>
        </w:tc>
        <w:tc>
          <w:tcPr>
            <w:tcW w:w="160" w:type="dxa"/>
            <w:vAlign w:val="bottom"/>
          </w:tcPr>
          <w:p>
            <w:pPr>
              <w:spacing w:after="0"/>
              <w:rPr>
                <w:sz w:val="24"/>
                <w:szCs w:val="24"/>
                <w:color w:val="auto"/>
              </w:rPr>
            </w:pP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131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2"/>
          </w:tcPr>
          <w:p>
            <w:pPr>
              <w:jc w:val="right"/>
              <w:ind w:right="206"/>
              <w:spacing w:after="0"/>
              <w:rPr>
                <w:sz w:val="20"/>
                <w:szCs w:val="20"/>
                <w:color w:val="auto"/>
              </w:rPr>
            </w:pPr>
            <w:r>
              <w:rPr>
                <w:rFonts w:ascii="Arial" w:cs="Arial" w:eastAsia="Arial" w:hAnsi="Arial"/>
                <w:sz w:val="11"/>
                <w:szCs w:val="11"/>
                <w:color w:val="auto"/>
              </w:rPr>
              <w:t xml:space="preserve">(157) </w:t>
            </w:r>
            <w:r>
              <w:rPr>
                <w:rFonts w:ascii="Arial" w:cs="Arial" w:eastAsia="Arial" w:hAnsi="Arial"/>
                <w:sz w:val="13"/>
                <w:szCs w:val="13"/>
                <w:color w:val="auto"/>
                <w:vertAlign w:val="superscript"/>
              </w:rPr>
              <w:t>(5)</w:t>
            </w:r>
          </w:p>
        </w:tc>
        <w:tc>
          <w:tcPr>
            <w:tcW w:w="80" w:type="dxa"/>
            <w:vAlign w:val="bottom"/>
          </w:tcPr>
          <w:p>
            <w:pPr>
              <w:spacing w:after="0"/>
              <w:rPr>
                <w:sz w:val="24"/>
                <w:szCs w:val="24"/>
                <w:color w:val="auto"/>
              </w:rPr>
            </w:pPr>
          </w:p>
        </w:tc>
        <w:tc>
          <w:tcPr>
            <w:tcW w:w="500" w:type="dxa"/>
            <w:vAlign w:val="bottom"/>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center"/>
              <w:ind w:left="20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5"/>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(138)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ind w:left="6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82"/>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Long-term debt:</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440" w:type="dxa"/>
            <w:vAlign w:val="bottom"/>
            <w:gridSpan w:val="2"/>
          </w:tcPr>
          <w:p>
            <w:pPr>
              <w:ind w:left="100"/>
              <w:spacing w:after="0"/>
              <w:rPr>
                <w:sz w:val="20"/>
                <w:szCs w:val="20"/>
                <w:color w:val="auto"/>
              </w:rPr>
            </w:pPr>
            <w:r>
              <w:rPr>
                <w:rFonts w:ascii="Arial" w:cs="Arial" w:eastAsia="Arial" w:hAnsi="Arial"/>
                <w:sz w:val="11"/>
                <w:szCs w:val="11"/>
                <w:color w:val="auto"/>
              </w:rPr>
              <w:t>Of Fannie Mae</w:t>
            </w: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(373)</w:t>
            </w:r>
          </w:p>
        </w:tc>
        <w:tc>
          <w:tcPr>
            <w:tcW w:w="80" w:type="dxa"/>
            <w:vAlign w:val="bottom"/>
          </w:tcPr>
          <w:p>
            <w:pPr>
              <w:spacing w:after="0"/>
              <w:rPr>
                <w:sz w:val="13"/>
                <w:szCs w:val="13"/>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ind w:right="11"/>
              <w:spacing w:after="0"/>
              <w:rPr>
                <w:sz w:val="20"/>
                <w:szCs w:val="20"/>
                <w:color w:val="auto"/>
              </w:rPr>
            </w:pPr>
            <w:r>
              <w:rPr>
                <w:rFonts w:ascii="Arial" w:cs="Arial" w:eastAsia="Arial" w:hAnsi="Arial"/>
                <w:sz w:val="11"/>
                <w:szCs w:val="11"/>
                <w:color w:val="auto"/>
              </w:rPr>
              <w:t>120</w:t>
            </w:r>
          </w:p>
        </w:tc>
        <w:tc>
          <w:tcPr>
            <w:tcW w:w="340" w:type="dxa"/>
            <w:vAlign w:val="bottom"/>
          </w:tcPr>
          <w:p>
            <w:pPr>
              <w:ind w:left="20"/>
              <w:spacing w:after="0"/>
              <w:rPr>
                <w:sz w:val="20"/>
                <w:szCs w:val="20"/>
                <w:color w:val="auto"/>
              </w:rPr>
            </w:pPr>
            <w:r>
              <w:rPr>
                <w:rFonts w:ascii="Arial" w:cs="Arial" w:eastAsia="Arial" w:hAnsi="Arial"/>
                <w:sz w:val="7"/>
                <w:szCs w:val="7"/>
                <w:color w:val="auto"/>
              </w:rPr>
              <w:t>(5)</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ind w:left="320"/>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ind w:left="50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ind w:left="26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jc w:val="center"/>
              <w:ind w:left="205"/>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71"/>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(253)</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
              <w:spacing w:after="0"/>
              <w:rPr>
                <w:sz w:val="20"/>
                <w:szCs w:val="20"/>
                <w:color w:val="auto"/>
              </w:rPr>
            </w:pPr>
            <w:r>
              <w:rPr>
                <w:rFonts w:ascii="Arial" w:cs="Arial" w:eastAsia="Arial" w:hAnsi="Arial"/>
                <w:sz w:val="11"/>
                <w:szCs w:val="11"/>
                <w:color w:val="auto"/>
              </w:rPr>
              <w:t>120</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ind w:left="6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6"/>
        </w:trPr>
        <w:tc>
          <w:tcPr>
            <w:tcW w:w="1340" w:type="dxa"/>
            <w:vAlign w:val="bottom"/>
            <w:tcBorders>
              <w:bottom w:val="single" w:sz="8" w:color="2C6937"/>
            </w:tcBorders>
          </w:tcPr>
          <w:p>
            <w:pPr>
              <w:ind w:left="100"/>
              <w:spacing w:after="0"/>
              <w:rPr>
                <w:sz w:val="20"/>
                <w:szCs w:val="20"/>
                <w:color w:val="auto"/>
              </w:rPr>
            </w:pPr>
            <w:r>
              <w:rPr>
                <w:rFonts w:ascii="Arial" w:cs="Arial" w:eastAsia="Arial" w:hAnsi="Arial"/>
                <w:sz w:val="11"/>
                <w:szCs w:val="11"/>
                <w:color w:val="auto"/>
              </w:rPr>
              <w:t>Of consolidated trusts</w:t>
            </w:r>
          </w:p>
        </w:tc>
        <w:tc>
          <w:tcPr>
            <w:tcW w:w="10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(95)</w:t>
            </w:r>
          </w:p>
        </w:tc>
        <w:tc>
          <w:tcPr>
            <w:tcW w:w="8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380" w:type="dxa"/>
            <w:vAlign w:val="bottom"/>
            <w:tcBorders>
              <w:bottom w:val="single" w:sz="8" w:color="2C6937"/>
            </w:tcBorders>
          </w:tcPr>
          <w:p>
            <w:pPr>
              <w:jc w:val="right"/>
              <w:ind w:right="11"/>
              <w:spacing w:after="0"/>
              <w:rPr>
                <w:sz w:val="20"/>
                <w:szCs w:val="20"/>
                <w:color w:val="auto"/>
              </w:rPr>
            </w:pPr>
            <w:r>
              <w:rPr>
                <w:rFonts w:ascii="Arial" w:cs="Arial" w:eastAsia="Arial" w:hAnsi="Arial"/>
                <w:sz w:val="11"/>
                <w:szCs w:val="11"/>
                <w:color w:val="auto"/>
              </w:rPr>
              <w:t>2</w:t>
            </w:r>
          </w:p>
        </w:tc>
        <w:tc>
          <w:tcPr>
            <w:tcW w:w="340" w:type="dxa"/>
            <w:vAlign w:val="bottom"/>
          </w:tcPr>
          <w:p>
            <w:pPr>
              <w:ind w:left="20"/>
              <w:spacing w:after="0"/>
              <w:rPr>
                <w:sz w:val="20"/>
                <w:szCs w:val="20"/>
                <w:color w:val="auto"/>
              </w:rPr>
            </w:pPr>
            <w:r>
              <w:rPr>
                <w:rFonts w:ascii="Arial" w:cs="Arial" w:eastAsia="Arial" w:hAnsi="Arial"/>
                <w:sz w:val="7"/>
                <w:szCs w:val="7"/>
                <w:color w:val="auto"/>
              </w:rPr>
              <w:t>(5)(6)</w:t>
            </w:r>
          </w:p>
        </w:tc>
        <w:tc>
          <w:tcPr>
            <w:tcW w:w="80" w:type="dxa"/>
            <w:vAlign w:val="bottom"/>
            <w:tcBorders>
              <w:bottom w:val="single" w:sz="8" w:color="2C6937"/>
            </w:tcBorders>
          </w:tcPr>
          <w:p>
            <w:pPr>
              <w:spacing w:after="0"/>
              <w:rPr>
                <w:sz w:val="17"/>
                <w:szCs w:val="17"/>
                <w:color w:val="auto"/>
              </w:rPr>
            </w:pPr>
          </w:p>
        </w:tc>
        <w:tc>
          <w:tcPr>
            <w:tcW w:w="500" w:type="dxa"/>
            <w:vAlign w:val="bottom"/>
            <w:tcBorders>
              <w:bottom w:val="single" w:sz="8" w:color="2C6937"/>
            </w:tcBorders>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66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420" w:type="dxa"/>
            <w:vAlign w:val="bottom"/>
            <w:tcBorders>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460" w:type="dxa"/>
            <w:vAlign w:val="bottom"/>
            <w:tcBorders>
              <w:bottom w:val="single" w:sz="8" w:color="2C6937"/>
            </w:tcBorders>
          </w:tcPr>
          <w:p>
            <w:pPr>
              <w:jc w:val="center"/>
              <w:ind w:left="165"/>
              <w:spacing w:after="0"/>
              <w:rPr>
                <w:sz w:val="20"/>
                <w:szCs w:val="20"/>
                <w:color w:val="auto"/>
              </w:rPr>
            </w:pPr>
            <w:r>
              <w:rPr>
                <w:rFonts w:ascii="Arial" w:cs="Arial" w:eastAsia="Arial" w:hAnsi="Arial"/>
                <w:sz w:val="11"/>
                <w:szCs w:val="11"/>
                <w:color w:val="auto"/>
              </w:rPr>
              <w:t>(86)</w:t>
            </w:r>
          </w:p>
        </w:tc>
        <w:tc>
          <w:tcPr>
            <w:tcW w:w="10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7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27</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54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(152)</w:t>
            </w:r>
          </w:p>
        </w:tc>
        <w:tc>
          <w:tcPr>
            <w:tcW w:w="8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jc w:val="right"/>
              <w:ind w:right="10"/>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780" w:type="dxa"/>
            <w:vAlign w:val="bottom"/>
            <w:tcBorders>
              <w:bottom w:val="single" w:sz="8" w:color="2C6937"/>
            </w:tcBorders>
          </w:tcPr>
          <w:p>
            <w:pPr>
              <w:ind w:left="6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3"/>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Total long-term debt</w:t>
            </w: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(468)</w:t>
            </w:r>
          </w:p>
        </w:tc>
        <w:tc>
          <w:tcPr>
            <w:tcW w:w="80" w:type="dxa"/>
            <w:vAlign w:val="bottom"/>
          </w:tcPr>
          <w:p>
            <w:pPr>
              <w:spacing w:after="0"/>
              <w:rPr>
                <w:sz w:val="15"/>
                <w:szCs w:val="15"/>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ind w:right="11"/>
              <w:spacing w:after="0"/>
              <w:rPr>
                <w:sz w:val="20"/>
                <w:szCs w:val="20"/>
                <w:color w:val="auto"/>
              </w:rPr>
            </w:pPr>
            <w:r>
              <w:rPr>
                <w:rFonts w:ascii="Arial" w:cs="Arial" w:eastAsia="Arial" w:hAnsi="Arial"/>
                <w:sz w:val="11"/>
                <w:szCs w:val="11"/>
                <w:color w:val="auto"/>
              </w:rPr>
              <w:t>122</w:t>
            </w:r>
          </w:p>
        </w:tc>
        <w:tc>
          <w:tcPr>
            <w:tcW w:w="3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ind w:left="320"/>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ind w:left="50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ind w:left="26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jc w:val="center"/>
              <w:ind w:left="165"/>
              <w:spacing w:after="0"/>
              <w:rPr>
                <w:sz w:val="20"/>
                <w:szCs w:val="20"/>
                <w:color w:val="auto"/>
              </w:rPr>
            </w:pPr>
            <w:r>
              <w:rPr>
                <w:rFonts w:ascii="Arial" w:cs="Arial" w:eastAsia="Arial" w:hAnsi="Arial"/>
                <w:sz w:val="11"/>
                <w:szCs w:val="11"/>
                <w:color w:val="auto"/>
              </w:rPr>
              <w:t>(86)</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5"/>
              <w:spacing w:after="0"/>
              <w:rPr>
                <w:sz w:val="20"/>
                <w:szCs w:val="20"/>
                <w:color w:val="auto"/>
              </w:rPr>
            </w:pPr>
            <w:r>
              <w:rPr>
                <w:rFonts w:ascii="Arial" w:cs="Arial" w:eastAsia="Arial" w:hAnsi="Arial"/>
                <w:sz w:val="11"/>
                <w:szCs w:val="11"/>
                <w:color w:val="auto"/>
              </w:rPr>
              <w:t>27</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5"/>
              <w:spacing w:after="0"/>
              <w:rPr>
                <w:sz w:val="20"/>
                <w:szCs w:val="20"/>
                <w:color w:val="auto"/>
              </w:rPr>
            </w:pPr>
            <w:r>
              <w:rPr>
                <w:rFonts w:ascii="Arial" w:cs="Arial" w:eastAsia="Arial" w:hAnsi="Arial"/>
                <w:sz w:val="11"/>
                <w:szCs w:val="11"/>
                <w:color w:val="auto"/>
              </w:rPr>
              <w:t>1</w:t>
            </w:r>
          </w:p>
        </w:tc>
        <w:tc>
          <w:tcPr>
            <w:tcW w:w="22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w:t>
            </w:r>
          </w:p>
        </w:tc>
        <w:tc>
          <w:tcPr>
            <w:tcW w:w="280" w:type="dxa"/>
            <w:vAlign w:val="bottom"/>
            <w:gridSpan w:val="2"/>
          </w:tcPr>
          <w:p>
            <w:pPr>
              <w:jc w:val="right"/>
              <w:ind w:right="71"/>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(405)</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10"/>
              <w:spacing w:after="0"/>
              <w:rPr>
                <w:sz w:val="20"/>
                <w:szCs w:val="20"/>
                <w:color w:val="auto"/>
              </w:rPr>
            </w:pPr>
            <w:r>
              <w:rPr>
                <w:rFonts w:ascii="Arial" w:cs="Arial" w:eastAsia="Arial" w:hAnsi="Arial"/>
                <w:sz w:val="11"/>
                <w:szCs w:val="11"/>
                <w:color w:val="auto"/>
              </w:rPr>
              <w:t>123</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ind w:left="6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6"/>
        </w:trPr>
        <w:tc>
          <w:tcPr>
            <w:tcW w:w="134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2C6937"/>
              <w:bottom w:val="single" w:sz="8" w:color="2C6937"/>
            </w:tcBorders>
          </w:tcPr>
          <w:p>
            <w:pPr>
              <w:spacing w:after="0"/>
              <w:rPr>
                <w:sz w:val="2"/>
                <w:szCs w:val="2"/>
                <w:color w:val="auto"/>
              </w:rPr>
            </w:pPr>
          </w:p>
        </w:tc>
        <w:tc>
          <w:tcPr>
            <w:tcW w:w="66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380" w:type="dxa"/>
            <w:vAlign w:val="bottom"/>
            <w:tcBorders>
              <w:top w:val="single" w:sz="8" w:color="2C6937"/>
              <w:bottom w:val="single" w:sz="8" w:color="2C6937"/>
            </w:tcBorders>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Borders>
              <w:top w:val="single" w:sz="8" w:color="2C6937"/>
              <w:bottom w:val="single" w:sz="8" w:color="2C6937"/>
            </w:tcBorders>
          </w:tcPr>
          <w:p>
            <w:pPr>
              <w:spacing w:after="0"/>
              <w:rPr>
                <w:sz w:val="2"/>
                <w:szCs w:val="2"/>
                <w:color w:val="auto"/>
              </w:rPr>
            </w:pPr>
          </w:p>
        </w:tc>
        <w:tc>
          <w:tcPr>
            <w:tcW w:w="50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2C6937"/>
              <w:bottom w:val="single" w:sz="8" w:color="2C6937"/>
            </w:tcBorders>
          </w:tcPr>
          <w:p>
            <w:pPr>
              <w:spacing w:after="0"/>
              <w:rPr>
                <w:sz w:val="2"/>
                <w:szCs w:val="2"/>
                <w:color w:val="auto"/>
              </w:rPr>
            </w:pPr>
          </w:p>
        </w:tc>
        <w:tc>
          <w:tcPr>
            <w:tcW w:w="6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42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4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2C6937"/>
              <w:bottom w:val="single" w:sz="8" w:color="2C6937"/>
            </w:tcBorders>
          </w:tcPr>
          <w:p>
            <w:pPr>
              <w:spacing w:after="0"/>
              <w:rPr>
                <w:sz w:val="2"/>
                <w:szCs w:val="2"/>
                <w:color w:val="auto"/>
              </w:rPr>
            </w:pPr>
          </w:p>
        </w:tc>
        <w:tc>
          <w:tcPr>
            <w:tcW w:w="72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54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2C6937"/>
              <w:bottom w:val="single" w:sz="8" w:color="2C6937"/>
            </w:tcBorders>
          </w:tcPr>
          <w:p>
            <w:pPr>
              <w:spacing w:after="0"/>
              <w:rPr>
                <w:sz w:val="2"/>
                <w:szCs w:val="2"/>
                <w:color w:val="auto"/>
              </w:rPr>
            </w:pPr>
          </w:p>
        </w:tc>
        <w:tc>
          <w:tcPr>
            <w:tcW w:w="52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62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76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780" w:type="dxa"/>
            <w:vAlign w:val="bottom"/>
            <w:tcBorders>
              <w:top w:val="single" w:sz="8" w:color="2C6937"/>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237" w:hanging="237"/>
        <w:spacing w:after="0"/>
        <w:tabs>
          <w:tab w:leader="none" w:pos="237" w:val="left"/>
        </w:tabs>
        <w:numPr>
          <w:ilvl w:val="0"/>
          <w:numId w:val="118"/>
        </w:numPr>
        <w:rPr>
          <w:rFonts w:ascii="Arial" w:cs="Arial" w:eastAsia="Arial" w:hAnsi="Arial"/>
          <w:sz w:val="18"/>
          <w:szCs w:val="18"/>
          <w:color w:val="auto"/>
          <w:vertAlign w:val="superscript"/>
        </w:rPr>
      </w:pPr>
      <w:r>
        <w:rPr>
          <w:rFonts w:ascii="Arial" w:cs="Arial" w:eastAsia="Arial" w:hAnsi="Arial"/>
          <w:sz w:val="14"/>
          <w:szCs w:val="14"/>
          <w:color w:val="auto"/>
        </w:rPr>
        <w:t>Gains (losses) included in “Other comprehensive income (loss)” in our condensed consolidated statements of operations and comprehensive income.</w:t>
      </w:r>
    </w:p>
    <w:p>
      <w:pPr>
        <w:spacing w:after="0" w:line="29" w:lineRule="exact"/>
        <w:rPr>
          <w:rFonts w:ascii="Arial" w:cs="Arial" w:eastAsia="Arial" w:hAnsi="Arial"/>
          <w:sz w:val="18"/>
          <w:szCs w:val="18"/>
          <w:color w:val="auto"/>
          <w:vertAlign w:val="superscript"/>
        </w:rPr>
      </w:pPr>
    </w:p>
    <w:p>
      <w:pPr>
        <w:ind w:left="237" w:hanging="237"/>
        <w:spacing w:after="0" w:line="190" w:lineRule="auto"/>
        <w:tabs>
          <w:tab w:leader="none" w:pos="237" w:val="left"/>
        </w:tabs>
        <w:numPr>
          <w:ilvl w:val="0"/>
          <w:numId w:val="118"/>
        </w:numPr>
        <w:rPr>
          <w:rFonts w:ascii="Arial" w:cs="Arial" w:eastAsia="Arial" w:hAnsi="Arial"/>
          <w:sz w:val="18"/>
          <w:szCs w:val="18"/>
          <w:color w:val="auto"/>
          <w:vertAlign w:val="superscript"/>
        </w:rPr>
      </w:pPr>
      <w:r>
        <w:rPr>
          <w:rFonts w:ascii="Arial" w:cs="Arial" w:eastAsia="Arial" w:hAnsi="Arial"/>
          <w:sz w:val="14"/>
          <w:szCs w:val="14"/>
          <w:color w:val="auto"/>
        </w:rPr>
        <w:t>Purchases and sales include activity related to the consolidation and deconsolidation of assets of securitization trusts.</w:t>
      </w:r>
    </w:p>
    <w:p>
      <w:pPr>
        <w:spacing w:after="0" w:line="29" w:lineRule="exact"/>
        <w:rPr>
          <w:rFonts w:ascii="Arial" w:cs="Arial" w:eastAsia="Arial" w:hAnsi="Arial"/>
          <w:sz w:val="18"/>
          <w:szCs w:val="18"/>
          <w:color w:val="auto"/>
          <w:vertAlign w:val="superscript"/>
        </w:rPr>
      </w:pPr>
    </w:p>
    <w:p>
      <w:pPr>
        <w:ind w:left="237" w:hanging="237"/>
        <w:spacing w:after="0"/>
        <w:tabs>
          <w:tab w:leader="none" w:pos="237" w:val="left"/>
        </w:tabs>
        <w:numPr>
          <w:ilvl w:val="0"/>
          <w:numId w:val="118"/>
        </w:numPr>
        <w:rPr>
          <w:rFonts w:ascii="Arial" w:cs="Arial" w:eastAsia="Arial" w:hAnsi="Arial"/>
          <w:sz w:val="9"/>
          <w:szCs w:val="9"/>
          <w:color w:val="auto"/>
        </w:rPr>
      </w:pPr>
      <w:r>
        <w:rPr>
          <w:rFonts w:ascii="Arial" w:cs="Arial" w:eastAsia="Arial" w:hAnsi="Arial"/>
          <w:sz w:val="14"/>
          <w:szCs w:val="14"/>
          <w:color w:val="auto"/>
        </w:rPr>
        <w:t>Issues and settlements include activity related to the consolidation and deconsolidation of liabilities of securitization trusts.</w:t>
      </w:r>
    </w:p>
    <w:p>
      <w:pPr>
        <w:spacing w:after="0" w:line="35" w:lineRule="exact"/>
        <w:rPr>
          <w:rFonts w:ascii="Arial" w:cs="Arial" w:eastAsia="Arial" w:hAnsi="Arial"/>
          <w:sz w:val="9"/>
          <w:szCs w:val="9"/>
          <w:color w:val="auto"/>
        </w:rPr>
      </w:pPr>
    </w:p>
    <w:p>
      <w:pPr>
        <w:ind w:left="237" w:hanging="237"/>
        <w:spacing w:after="0"/>
        <w:tabs>
          <w:tab w:leader="none" w:pos="237" w:val="left"/>
        </w:tabs>
        <w:numPr>
          <w:ilvl w:val="0"/>
          <w:numId w:val="118"/>
        </w:numPr>
        <w:rPr>
          <w:rFonts w:ascii="Arial" w:cs="Arial" w:eastAsia="Arial" w:hAnsi="Arial"/>
          <w:sz w:val="8"/>
          <w:szCs w:val="8"/>
          <w:color w:val="auto"/>
        </w:rPr>
      </w:pPr>
      <w:r>
        <w:rPr>
          <w:rFonts w:ascii="Arial" w:cs="Arial" w:eastAsia="Arial" w:hAnsi="Arial"/>
          <w:sz w:val="13"/>
          <w:szCs w:val="13"/>
          <w:color w:val="auto"/>
        </w:rPr>
        <w:t>Amount represents temporary changes in fair value. Amortization, accretion and the impairment of credit losses are not considered unrealized and are not included in this amount.</w:t>
      </w:r>
    </w:p>
    <w:p>
      <w:pPr>
        <w:spacing w:after="0" w:line="24" w:lineRule="exact"/>
        <w:rPr>
          <w:rFonts w:ascii="Arial" w:cs="Arial" w:eastAsia="Arial" w:hAnsi="Arial"/>
          <w:sz w:val="8"/>
          <w:szCs w:val="8"/>
          <w:color w:val="auto"/>
        </w:rPr>
      </w:pPr>
    </w:p>
    <w:p>
      <w:pPr>
        <w:ind w:left="237" w:hanging="237"/>
        <w:spacing w:after="0"/>
        <w:tabs>
          <w:tab w:leader="none" w:pos="237" w:val="left"/>
        </w:tabs>
        <w:numPr>
          <w:ilvl w:val="0"/>
          <w:numId w:val="118"/>
        </w:numPr>
        <w:rPr>
          <w:rFonts w:ascii="Arial" w:cs="Arial" w:eastAsia="Arial" w:hAnsi="Arial"/>
          <w:sz w:val="18"/>
          <w:szCs w:val="18"/>
          <w:color w:val="auto"/>
          <w:vertAlign w:val="superscript"/>
        </w:rPr>
      </w:pPr>
      <w:r>
        <w:rPr>
          <w:rFonts w:ascii="Arial" w:cs="Arial" w:eastAsia="Arial" w:hAnsi="Arial"/>
          <w:sz w:val="14"/>
          <w:szCs w:val="14"/>
          <w:color w:val="auto"/>
        </w:rPr>
        <w:t>Gains (losses) are included in “Fair value gains, net” in our condensed consolidated statements of operations and comprehensive income.</w:t>
      </w:r>
    </w:p>
    <w:p>
      <w:pPr>
        <w:spacing w:after="0" w:line="41" w:lineRule="exact"/>
        <w:rPr>
          <w:rFonts w:ascii="Arial" w:cs="Arial" w:eastAsia="Arial" w:hAnsi="Arial"/>
          <w:sz w:val="18"/>
          <w:szCs w:val="18"/>
          <w:color w:val="auto"/>
          <w:vertAlign w:val="superscript"/>
        </w:rPr>
      </w:pPr>
    </w:p>
    <w:p>
      <w:pPr>
        <w:ind w:left="237" w:hanging="237"/>
        <w:spacing w:after="0" w:line="201" w:lineRule="auto"/>
        <w:tabs>
          <w:tab w:leader="none" w:pos="237" w:val="left"/>
        </w:tabs>
        <w:numPr>
          <w:ilvl w:val="0"/>
          <w:numId w:val="118"/>
        </w:numPr>
        <w:rPr>
          <w:rFonts w:ascii="Arial" w:cs="Arial" w:eastAsia="Arial" w:hAnsi="Arial"/>
          <w:sz w:val="17"/>
          <w:szCs w:val="17"/>
          <w:color w:val="auto"/>
          <w:vertAlign w:val="superscript"/>
        </w:rPr>
      </w:pPr>
      <w:r>
        <w:rPr>
          <w:rFonts w:ascii="Arial" w:cs="Arial" w:eastAsia="Arial" w:hAnsi="Arial"/>
          <w:sz w:val="13"/>
          <w:szCs w:val="13"/>
          <w:color w:val="auto"/>
        </w:rPr>
        <w:t>Gains (losses) included in “Net interest income” in our condensed consolidated statements of operations and comprehensive income includes amortization of cost basis adjustments.</w:t>
      </w:r>
    </w:p>
    <w:p>
      <w:pPr>
        <w:spacing w:after="0" w:line="42" w:lineRule="exact"/>
        <w:rPr>
          <w:rFonts w:ascii="Arial" w:cs="Arial" w:eastAsia="Arial" w:hAnsi="Arial"/>
          <w:sz w:val="17"/>
          <w:szCs w:val="17"/>
          <w:color w:val="auto"/>
          <w:vertAlign w:val="superscript"/>
        </w:rPr>
      </w:pPr>
    </w:p>
    <w:p>
      <w:pPr>
        <w:ind w:left="237" w:hanging="237"/>
        <w:spacing w:after="0" w:line="190" w:lineRule="auto"/>
        <w:tabs>
          <w:tab w:leader="none" w:pos="237" w:val="left"/>
        </w:tabs>
        <w:numPr>
          <w:ilvl w:val="0"/>
          <w:numId w:val="118"/>
        </w:numPr>
        <w:rPr>
          <w:rFonts w:ascii="Arial" w:cs="Arial" w:eastAsia="Arial" w:hAnsi="Arial"/>
          <w:sz w:val="18"/>
          <w:szCs w:val="18"/>
          <w:color w:val="auto"/>
          <w:vertAlign w:val="superscript"/>
        </w:rPr>
      </w:pPr>
      <w:r>
        <w:rPr>
          <w:rFonts w:ascii="Arial" w:cs="Arial" w:eastAsia="Arial" w:hAnsi="Arial"/>
          <w:sz w:val="14"/>
          <w:szCs w:val="14"/>
          <w:color w:val="auto"/>
        </w:rPr>
        <w:t>Gains (losses) are included in “Investment gains (losses), net” in our condensed consolidated statements of operations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367665</wp:posOffset>
            </wp:positionV>
            <wp:extent cx="681101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637"/>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164070" cy="4191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37"/>
          </w:cols>
          <w:pgMar w:left="323" w:top="250" w:right="339" w:bottom="1440" w:gutter="0" w:footer="0" w:header="0"/>
        </w:sectPr>
      </w:pPr>
    </w:p>
    <w:bookmarkStart w:id="112" w:name="page113"/>
    <w:bookmarkEnd w:id="112"/>
    <w:p>
      <w:pPr>
        <w:ind w:left="7000"/>
        <w:spacing w:after="0"/>
        <w:rPr>
          <w:sz w:val="20"/>
          <w:szCs w:val="20"/>
          <w:color w:val="auto"/>
        </w:rPr>
      </w:pPr>
      <w:r>
        <w:rPr>
          <w:rFonts w:ascii="Arial" w:cs="Arial" w:eastAsia="Arial" w:hAnsi="Arial"/>
          <w:sz w:val="13"/>
          <w:szCs w:val="13"/>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22860</wp:posOffset>
            </wp:positionV>
            <wp:extent cx="702373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The following tables display valuation techniques and the range and the weighted average of significant unobservable inputs for our Level 3 assets and liabilities measured at fair value on a recurring basis, excluding instruments for which we have elected the fair value option. Changes in these unobservable inputs can result in significantly higher or lower fair value measurements of these assets and liabilities as of the reporting date.</w:t>
      </w:r>
    </w:p>
    <w:p>
      <w:pPr>
        <w:sectPr>
          <w:pgSz w:w="11900" w:h="16838" w:orient="portrait"/>
          <w:cols w:equalWidth="0" w:num="1">
            <w:col w:w="11240"/>
          </w:cols>
          <w:pgMar w:left="320" w:top="2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Recurring fair value measurements:</w:t>
      </w:r>
    </w:p>
    <w:p>
      <w:pPr>
        <w:spacing w:after="0" w:line="76" w:lineRule="exact"/>
        <w:rPr>
          <w:sz w:val="20"/>
          <w:szCs w:val="20"/>
          <w:color w:val="auto"/>
        </w:rPr>
      </w:pPr>
    </w:p>
    <w:p>
      <w:pPr>
        <w:ind w:left="80"/>
        <w:spacing w:after="0"/>
        <w:rPr>
          <w:sz w:val="20"/>
          <w:szCs w:val="20"/>
          <w:color w:val="auto"/>
        </w:rPr>
      </w:pPr>
      <w:r>
        <w:rPr>
          <w:rFonts w:ascii="Arial" w:cs="Arial" w:eastAsia="Arial" w:hAnsi="Arial"/>
          <w:sz w:val="14"/>
          <w:szCs w:val="14"/>
          <w:color w:val="auto"/>
        </w:rPr>
        <w:t>Trading securities:</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Mortgage-related</w:t>
      </w:r>
      <w:r>
        <w:rPr>
          <w:rFonts w:ascii="Arial" w:cs="Arial" w:eastAsia="Arial" w:hAnsi="Arial"/>
          <w:sz w:val="17"/>
          <w:szCs w:val="17"/>
          <w:color w:val="auto"/>
          <w:vertAlign w:val="superscript"/>
        </w:rPr>
        <w:t>(3)</w:t>
      </w:r>
    </w:p>
    <w:p>
      <w:pPr>
        <w:spacing w:after="0" w:line="79" w:lineRule="exact"/>
        <w:rPr>
          <w:sz w:val="20"/>
          <w:szCs w:val="20"/>
          <w:color w:val="auto"/>
        </w:rPr>
      </w:pPr>
    </w:p>
    <w:p>
      <w:pPr>
        <w:ind w:left="80"/>
        <w:spacing w:after="0"/>
        <w:rPr>
          <w:sz w:val="20"/>
          <w:szCs w:val="20"/>
          <w:color w:val="auto"/>
        </w:rPr>
      </w:pPr>
      <w:r>
        <w:rPr>
          <w:rFonts w:ascii="Arial" w:cs="Arial" w:eastAsia="Arial" w:hAnsi="Arial"/>
          <w:sz w:val="14"/>
          <w:szCs w:val="14"/>
          <w:color w:val="auto"/>
        </w:rPr>
        <w:t>Available-for-sale securities:</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Agency</w:t>
      </w:r>
      <w:r>
        <w:rPr>
          <w:rFonts w:ascii="Arial" w:cs="Arial" w:eastAsia="Arial" w:hAnsi="Arial"/>
          <w:sz w:val="17"/>
          <w:szCs w:val="17"/>
          <w:color w:val="auto"/>
          <w:vertAlign w:val="superscript"/>
        </w:rPr>
        <w:t>(3)</w:t>
      </w:r>
    </w:p>
    <w:p>
      <w:pPr>
        <w:spacing w:after="0" w:line="2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mortgage-related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255270</wp:posOffset>
            </wp:positionV>
            <wp:extent cx="225933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25933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Total other mortgage-related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24130</wp:posOffset>
            </wp:positionV>
            <wp:extent cx="225933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259330" cy="8255"/>
                    </a:xfrm>
                    <a:prstGeom prst="rect">
                      <a:avLst/>
                    </a:prstGeom>
                    <a:noFill/>
                  </pic:spPr>
                </pic:pic>
              </a:graphicData>
            </a:graphic>
          </wp:anchor>
        </w:drawing>
      </w:r>
    </w:p>
    <w:p>
      <w:pPr>
        <w:spacing w:after="0" w:line="51" w:lineRule="exact"/>
        <w:rPr>
          <w:sz w:val="20"/>
          <w:szCs w:val="20"/>
          <w:color w:val="auto"/>
        </w:rPr>
      </w:pPr>
    </w:p>
    <w:p>
      <w:pPr>
        <w:ind w:left="80"/>
        <w:spacing w:after="0"/>
        <w:rPr>
          <w:sz w:val="20"/>
          <w:szCs w:val="20"/>
          <w:color w:val="auto"/>
        </w:rPr>
      </w:pPr>
      <w:r>
        <w:rPr>
          <w:rFonts w:ascii="Arial" w:cs="Arial" w:eastAsia="Arial" w:hAnsi="Arial"/>
          <w:sz w:val="14"/>
          <w:szCs w:val="14"/>
          <w:color w:val="auto"/>
        </w:rPr>
        <w:t>Total 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24130</wp:posOffset>
            </wp:positionV>
            <wp:extent cx="225933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259330" cy="8255"/>
                    </a:xfrm>
                    <a:prstGeom prst="rect">
                      <a:avLst/>
                    </a:prstGeom>
                    <a:noFill/>
                  </pic:spPr>
                </pic:pic>
              </a:graphicData>
            </a:graphic>
          </wp:anchor>
        </w:drawing>
        <w:drawing>
          <wp:anchor simplePos="0" relativeHeight="251657728" behindDoc="1" locked="0" layoutInCell="0" allowOverlap="1">
            <wp:simplePos x="0" y="0"/>
            <wp:positionH relativeFrom="column">
              <wp:posOffset>34925</wp:posOffset>
            </wp:positionH>
            <wp:positionV relativeFrom="paragraph">
              <wp:posOffset>48895</wp:posOffset>
            </wp:positionV>
            <wp:extent cx="225933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259330" cy="8255"/>
                    </a:xfrm>
                    <a:prstGeom prst="rect">
                      <a:avLst/>
                    </a:prstGeom>
                    <a:noFill/>
                  </pic:spPr>
                </pic:pic>
              </a:graphicData>
            </a:graphic>
          </wp:anchor>
        </w:drawing>
      </w:r>
    </w:p>
    <w:p>
      <w:pPr>
        <w:spacing w:after="0" w:line="116" w:lineRule="exact"/>
        <w:rPr>
          <w:sz w:val="20"/>
          <w:szCs w:val="20"/>
          <w:color w:val="auto"/>
        </w:rPr>
      </w:pPr>
    </w:p>
    <w:p>
      <w:pPr>
        <w:ind w:left="80"/>
        <w:spacing w:after="0"/>
        <w:rPr>
          <w:sz w:val="20"/>
          <w:szCs w:val="20"/>
          <w:color w:val="auto"/>
        </w:rPr>
      </w:pPr>
      <w:r>
        <w:rPr>
          <w:rFonts w:ascii="Arial" w:cs="Arial" w:eastAsia="Arial" w:hAnsi="Arial"/>
          <w:sz w:val="14"/>
          <w:szCs w:val="14"/>
          <w:color w:val="auto"/>
        </w:rPr>
        <w:t>Net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146685</wp:posOffset>
            </wp:positionV>
            <wp:extent cx="225933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259330" cy="8255"/>
                    </a:xfrm>
                    <a:prstGeom prst="rect">
                      <a:avLst/>
                    </a:prstGeom>
                    <a:noFill/>
                  </pic:spPr>
                </pic:pic>
              </a:graphicData>
            </a:graphic>
          </wp:anchor>
        </w:drawing>
      </w:r>
    </w:p>
    <w:p>
      <w:pPr>
        <w:spacing w:after="0" w:line="244" w:lineRule="exact"/>
        <w:rPr>
          <w:sz w:val="20"/>
          <w:szCs w:val="20"/>
          <w:color w:val="auto"/>
        </w:rPr>
      </w:pPr>
    </w:p>
    <w:p>
      <w:pPr>
        <w:ind w:left="80"/>
        <w:spacing w:after="0"/>
        <w:rPr>
          <w:sz w:val="20"/>
          <w:szCs w:val="20"/>
          <w:color w:val="auto"/>
        </w:rPr>
      </w:pPr>
      <w:r>
        <w:rPr>
          <w:rFonts w:ascii="Arial" w:cs="Arial" w:eastAsia="Arial" w:hAnsi="Arial"/>
          <w:sz w:val="14"/>
          <w:szCs w:val="14"/>
          <w:color w:val="auto"/>
        </w:rPr>
        <w:t>Total net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15875</wp:posOffset>
            </wp:positionV>
            <wp:extent cx="225933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259330" cy="8255"/>
                    </a:xfrm>
                    <a:prstGeom prst="rect">
                      <a:avLst/>
                    </a:prstGeom>
                    <a:noFill/>
                  </pic:spPr>
                </pic:pic>
              </a:graphicData>
            </a:graphic>
          </wp:anchor>
        </w:drawing>
        <w:drawing>
          <wp:anchor simplePos="0" relativeHeight="251657728" behindDoc="1" locked="0" layoutInCell="0" allowOverlap="1">
            <wp:simplePos x="0" y="0"/>
            <wp:positionH relativeFrom="column">
              <wp:posOffset>34925</wp:posOffset>
            </wp:positionH>
            <wp:positionV relativeFrom="paragraph">
              <wp:posOffset>40640</wp:posOffset>
            </wp:positionV>
            <wp:extent cx="225933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2593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Recurring fair value measurements:</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14"/>
          <w:szCs w:val="14"/>
          <w:color w:val="auto"/>
        </w:rPr>
        <w:t>Trading securities:</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Mortgage-related</w:t>
      </w:r>
      <w:r>
        <w:rPr>
          <w:rFonts w:ascii="Arial" w:cs="Arial" w:eastAsia="Arial" w:hAnsi="Arial"/>
          <w:sz w:val="17"/>
          <w:szCs w:val="17"/>
          <w:color w:val="auto"/>
          <w:vertAlign w:val="superscript"/>
        </w:rPr>
        <w:t>(3)</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4"/>
          <w:szCs w:val="14"/>
          <w:color w:val="auto"/>
        </w:rPr>
        <w:t>Available-for-sale securities:</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Agency</w:t>
      </w:r>
      <w:r>
        <w:rPr>
          <w:rFonts w:ascii="Arial" w:cs="Arial" w:eastAsia="Arial" w:hAnsi="Arial"/>
          <w:sz w:val="8"/>
          <w:szCs w:val="8"/>
          <w:color w:val="auto"/>
        </w:rPr>
        <w:t>(3)</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 mortgage-related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227584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27584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Total other mortgage-related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227584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275840" cy="8255"/>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227584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2758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48895</wp:posOffset>
            </wp:positionV>
            <wp:extent cx="227584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275840" cy="8255"/>
                    </a:xfrm>
                    <a:prstGeom prst="rect">
                      <a:avLst/>
                    </a:prstGeom>
                    <a:noFill/>
                  </pic:spPr>
                </pic:pic>
              </a:graphicData>
            </a:graphic>
          </wp:anchor>
        </w:drawing>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227584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275840" cy="8255"/>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net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227584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2758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48895</wp:posOffset>
            </wp:positionV>
            <wp:extent cx="227584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2758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left="2280"/>
        <w:spacing w:after="0"/>
        <w:rPr>
          <w:sz w:val="20"/>
          <w:szCs w:val="20"/>
          <w:color w:val="auto"/>
        </w:rPr>
      </w:pPr>
      <w:r>
        <w:rPr>
          <w:rFonts w:ascii="Arial" w:cs="Arial" w:eastAsia="Arial" w:hAnsi="Arial"/>
          <w:sz w:val="14"/>
          <w:szCs w:val="14"/>
          <w:b w:val="1"/>
          <w:bCs w:val="1"/>
          <w:color w:val="auto"/>
        </w:rPr>
        <w:t>Fair Value Measurements as of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11430</wp:posOffset>
            </wp:positionV>
            <wp:extent cx="474789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4747895" cy="8255"/>
                    </a:xfrm>
                    <a:prstGeom prst="rect">
                      <a:avLst/>
                    </a:prstGeom>
                    <a:noFill/>
                  </pic:spPr>
                </pic:pic>
              </a:graphicData>
            </a:graphic>
          </wp:anchor>
        </w:drawing>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00" w:type="dxa"/>
            <w:vAlign w:val="bottom"/>
            <w:vMerge w:val="restart"/>
          </w:tcPr>
          <w:p>
            <w:pPr>
              <w:jc w:val="center"/>
              <w:ind w:left="71"/>
              <w:spacing w:after="0"/>
              <w:rPr>
                <w:sz w:val="20"/>
                <w:szCs w:val="20"/>
                <w:color w:val="auto"/>
              </w:rPr>
            </w:pPr>
            <w:r>
              <w:rPr>
                <w:rFonts w:ascii="Arial" w:cs="Arial" w:eastAsia="Arial" w:hAnsi="Arial"/>
                <w:sz w:val="14"/>
                <w:szCs w:val="14"/>
                <w:b w:val="1"/>
                <w:bCs w:val="1"/>
                <w:color w:val="auto"/>
                <w:w w:val="98"/>
              </w:rPr>
              <w:t>Significant Valuation</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7"/>
              </w:rPr>
              <w:t>Significant</w:t>
            </w:r>
          </w:p>
        </w:tc>
        <w:tc>
          <w:tcPr>
            <w:tcW w:w="1320" w:type="dxa"/>
            <w:vAlign w:val="bottom"/>
          </w:tcPr>
          <w:p>
            <w:pPr>
              <w:spacing w:after="0"/>
              <w:rPr>
                <w:sz w:val="14"/>
                <w:szCs w:val="14"/>
                <w:color w:val="auto"/>
              </w:rPr>
            </w:pPr>
          </w:p>
        </w:tc>
        <w:tc>
          <w:tcPr>
            <w:tcW w:w="1400" w:type="dxa"/>
            <w:vAlign w:val="bottom"/>
            <w:vMerge w:val="restart"/>
          </w:tcPr>
          <w:p>
            <w:pPr>
              <w:jc w:val="center"/>
              <w:ind w:left="71"/>
              <w:spacing w:after="0"/>
              <w:rPr>
                <w:sz w:val="20"/>
                <w:szCs w:val="20"/>
                <w:color w:val="auto"/>
              </w:rPr>
            </w:pPr>
            <w:r>
              <w:rPr>
                <w:rFonts w:ascii="Arial" w:cs="Arial" w:eastAsia="Arial" w:hAnsi="Arial"/>
                <w:sz w:val="14"/>
                <w:szCs w:val="14"/>
                <w:b w:val="1"/>
                <w:bCs w:val="1"/>
                <w:color w:val="auto"/>
                <w:w w:val="97"/>
              </w:rPr>
              <w:t>Weighted -</w:t>
            </w:r>
          </w:p>
        </w:tc>
        <w:tc>
          <w:tcPr>
            <w:tcW w:w="0" w:type="dxa"/>
            <w:vAlign w:val="bottom"/>
          </w:tcPr>
          <w:p>
            <w:pPr>
              <w:spacing w:after="0"/>
              <w:rPr>
                <w:sz w:val="1"/>
                <w:szCs w:val="1"/>
                <w:color w:val="auto"/>
              </w:rPr>
            </w:pPr>
          </w:p>
        </w:tc>
      </w:tr>
      <w:tr>
        <w:trPr>
          <w:trHeight w:val="140"/>
        </w:trPr>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18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7"/>
              </w:rPr>
              <w:t>Unobservable</w:t>
            </w:r>
          </w:p>
        </w:tc>
        <w:tc>
          <w:tcPr>
            <w:tcW w:w="13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12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right"/>
              <w:ind w:right="131"/>
              <w:spacing w:after="0"/>
              <w:rPr>
                <w:sz w:val="20"/>
                <w:szCs w:val="20"/>
                <w:color w:val="auto"/>
              </w:rPr>
            </w:pPr>
            <w:r>
              <w:rPr>
                <w:rFonts w:ascii="Arial" w:cs="Arial" w:eastAsia="Arial" w:hAnsi="Arial"/>
                <w:sz w:val="14"/>
                <w:szCs w:val="14"/>
                <w:b w:val="1"/>
                <w:bCs w:val="1"/>
                <w:color w:val="auto"/>
                <w:w w:val="98"/>
              </w:rPr>
              <w:t>Fair Value</w:t>
            </w:r>
          </w:p>
        </w:tc>
        <w:tc>
          <w:tcPr>
            <w:tcW w:w="1900" w:type="dxa"/>
            <w:vAlign w:val="bottom"/>
            <w:tcBorders>
              <w:bottom w:val="single" w:sz="8" w:color="2C6937"/>
            </w:tcBorders>
          </w:tcPr>
          <w:p>
            <w:pPr>
              <w:jc w:val="center"/>
              <w:ind w:left="71"/>
              <w:spacing w:after="0"/>
              <w:rPr>
                <w:sz w:val="20"/>
                <w:szCs w:val="20"/>
                <w:color w:val="auto"/>
              </w:rPr>
            </w:pPr>
            <w:r>
              <w:rPr>
                <w:rFonts w:ascii="Arial" w:cs="Arial" w:eastAsia="Arial" w:hAnsi="Arial"/>
                <w:sz w:val="14"/>
                <w:szCs w:val="14"/>
                <w:b w:val="1"/>
                <w:bCs w:val="1"/>
                <w:color w:val="auto"/>
                <w:w w:val="97"/>
              </w:rPr>
              <w:t>Techniques</w:t>
            </w:r>
          </w:p>
        </w:tc>
        <w:tc>
          <w:tcPr>
            <w:tcW w:w="18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3"/>
              </w:rPr>
              <w:t>Inputs</w:t>
            </w:r>
            <w:r>
              <w:rPr>
                <w:rFonts w:ascii="Arial" w:cs="Arial" w:eastAsia="Arial" w:hAnsi="Arial"/>
                <w:sz w:val="17"/>
                <w:szCs w:val="17"/>
                <w:b w:val="1"/>
                <w:bCs w:val="1"/>
                <w:color w:val="auto"/>
                <w:w w:val="93"/>
                <w:vertAlign w:val="superscript"/>
              </w:rPr>
              <w:t>(1)</w:t>
            </w:r>
          </w:p>
        </w:tc>
        <w:tc>
          <w:tcPr>
            <w:tcW w:w="1320" w:type="dxa"/>
            <w:vAlign w:val="bottom"/>
            <w:tcBorders>
              <w:bottom w:val="single" w:sz="8" w:color="2C6937"/>
            </w:tcBorders>
          </w:tcPr>
          <w:p>
            <w:pPr>
              <w:ind w:left="400"/>
              <w:spacing w:after="0"/>
              <w:rPr>
                <w:sz w:val="20"/>
                <w:szCs w:val="20"/>
                <w:color w:val="auto"/>
              </w:rPr>
            </w:pPr>
            <w:r>
              <w:rPr>
                <w:rFonts w:ascii="Arial" w:cs="Arial" w:eastAsia="Arial" w:hAnsi="Arial"/>
                <w:sz w:val="14"/>
                <w:szCs w:val="14"/>
                <w:b w:val="1"/>
                <w:bCs w:val="1"/>
                <w:color w:val="auto"/>
              </w:rPr>
              <w:t>Range</w:t>
            </w:r>
            <w:r>
              <w:rPr>
                <w:rFonts w:ascii="Arial" w:cs="Arial" w:eastAsia="Arial" w:hAnsi="Arial"/>
                <w:sz w:val="17"/>
                <w:szCs w:val="17"/>
                <w:b w:val="1"/>
                <w:bCs w:val="1"/>
                <w:color w:val="auto"/>
                <w:vertAlign w:val="superscript"/>
              </w:rPr>
              <w:t>(1)</w:t>
            </w:r>
          </w:p>
        </w:tc>
        <w:tc>
          <w:tcPr>
            <w:tcW w:w="1400" w:type="dxa"/>
            <w:vAlign w:val="bottom"/>
            <w:tcBorders>
              <w:bottom w:val="single" w:sz="8" w:color="2C6937"/>
            </w:tcBorders>
          </w:tcPr>
          <w:p>
            <w:pPr>
              <w:jc w:val="center"/>
              <w:ind w:left="51"/>
              <w:spacing w:after="0"/>
              <w:rPr>
                <w:sz w:val="20"/>
                <w:szCs w:val="20"/>
                <w:color w:val="auto"/>
              </w:rPr>
            </w:pPr>
            <w:r>
              <w:rPr>
                <w:rFonts w:ascii="Arial" w:cs="Arial" w:eastAsia="Arial" w:hAnsi="Arial"/>
                <w:sz w:val="14"/>
                <w:szCs w:val="14"/>
                <w:b w:val="1"/>
                <w:bCs w:val="1"/>
                <w:color w:val="auto"/>
                <w:w w:val="91"/>
              </w:rPr>
              <w:t>Average</w:t>
            </w:r>
            <w:r>
              <w:rPr>
                <w:rFonts w:ascii="Arial" w:cs="Arial" w:eastAsia="Arial" w:hAnsi="Arial"/>
                <w:sz w:val="17"/>
                <w:szCs w:val="17"/>
                <w:b w:val="1"/>
                <w:bCs w:val="1"/>
                <w:color w:val="auto"/>
                <w:w w:val="91"/>
                <w:vertAlign w:val="superscript"/>
              </w:rPr>
              <w:t>(1)(2)</w:t>
            </w:r>
          </w:p>
        </w:tc>
        <w:tc>
          <w:tcPr>
            <w:tcW w:w="0" w:type="dxa"/>
            <w:vAlign w:val="bottom"/>
          </w:tcPr>
          <w:p>
            <w:pPr>
              <w:spacing w:after="0"/>
              <w:rPr>
                <w:sz w:val="1"/>
                <w:szCs w:val="1"/>
                <w:color w:val="auto"/>
              </w:rPr>
            </w:pPr>
          </w:p>
        </w:tc>
      </w:tr>
      <w:tr>
        <w:trPr>
          <w:trHeight w:val="185"/>
        </w:trPr>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860" w:type="dxa"/>
            <w:vAlign w:val="bottom"/>
          </w:tcPr>
          <w:p>
            <w:pPr>
              <w:ind w:left="200"/>
              <w:spacing w:after="0"/>
              <w:rPr>
                <w:sz w:val="20"/>
                <w:szCs w:val="20"/>
                <w:color w:val="auto"/>
              </w:rPr>
            </w:pPr>
            <w:r>
              <w:rPr>
                <w:rFonts w:ascii="Arial" w:cs="Arial" w:eastAsia="Arial" w:hAnsi="Arial"/>
                <w:sz w:val="14"/>
                <w:szCs w:val="14"/>
                <w:b w:val="1"/>
                <w:bCs w:val="1"/>
                <w:color w:val="auto"/>
              </w:rPr>
              <w:t>(Dollars in millions)</w:t>
            </w:r>
          </w:p>
        </w:tc>
        <w:tc>
          <w:tcPr>
            <w:tcW w:w="1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5"/>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28</w:t>
            </w:r>
          </w:p>
        </w:tc>
        <w:tc>
          <w:tcPr>
            <w:tcW w:w="1900" w:type="dxa"/>
            <w:vAlign w:val="bottom"/>
          </w:tcPr>
          <w:p>
            <w:pPr>
              <w:ind w:left="100"/>
              <w:spacing w:after="0"/>
              <w:rPr>
                <w:sz w:val="20"/>
                <w:szCs w:val="20"/>
                <w:color w:val="auto"/>
              </w:rPr>
            </w:pPr>
            <w:r>
              <w:rPr>
                <w:rFonts w:ascii="Arial" w:cs="Arial" w:eastAsia="Arial" w:hAnsi="Arial"/>
                <w:sz w:val="14"/>
                <w:szCs w:val="14"/>
                <w:color w:val="auto"/>
              </w:rPr>
              <w:t>Various</w:t>
            </w:r>
          </w:p>
        </w:tc>
        <w:tc>
          <w:tcPr>
            <w:tcW w:w="1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120" w:type="dxa"/>
            <w:vAlign w:val="bottom"/>
          </w:tcPr>
          <w:p>
            <w:pPr>
              <w:spacing w:after="0"/>
              <w:rPr>
                <w:sz w:val="24"/>
                <w:szCs w:val="24"/>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356</w:t>
            </w:r>
          </w:p>
        </w:tc>
        <w:tc>
          <w:tcPr>
            <w:tcW w:w="1900" w:type="dxa"/>
            <w:vAlign w:val="bottom"/>
          </w:tcPr>
          <w:p>
            <w:pPr>
              <w:ind w:left="100"/>
              <w:spacing w:after="0"/>
              <w:rPr>
                <w:sz w:val="20"/>
                <w:szCs w:val="20"/>
                <w:color w:val="auto"/>
              </w:rPr>
            </w:pPr>
            <w:r>
              <w:rPr>
                <w:rFonts w:ascii="Arial" w:cs="Arial" w:eastAsia="Arial" w:hAnsi="Arial"/>
                <w:sz w:val="14"/>
                <w:szCs w:val="14"/>
                <w:color w:val="auto"/>
              </w:rPr>
              <w:t>Consensus</w:t>
            </w:r>
          </w:p>
        </w:tc>
        <w:tc>
          <w:tcPr>
            <w:tcW w:w="1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700"/>
        <w:spacing w:after="0"/>
        <w:tabs>
          <w:tab w:leader="none" w:pos="1100" w:val="left"/>
          <w:tab w:leader="none" w:pos="3100" w:val="left"/>
          <w:tab w:leader="none" w:pos="4940" w:val="left"/>
          <w:tab w:leader="none" w:pos="5380" w:val="left"/>
          <w:tab w:leader="none" w:pos="6660" w:val="left"/>
        </w:tabs>
        <w:rPr>
          <w:sz w:val="20"/>
          <w:szCs w:val="20"/>
          <w:color w:val="auto"/>
        </w:rPr>
      </w:pPr>
      <w:r>
        <w:rPr>
          <w:rFonts w:ascii="Arial" w:cs="Arial" w:eastAsia="Arial" w:hAnsi="Arial"/>
          <w:sz w:val="14"/>
          <w:szCs w:val="14"/>
          <w:color w:val="auto"/>
        </w:rPr>
        <w:t>116</w:t>
        <w:tab/>
        <w:t>Discounted Cash Flow</w:t>
      </w:r>
      <w:r>
        <w:rPr>
          <w:sz w:val="20"/>
          <w:szCs w:val="20"/>
          <w:color w:val="auto"/>
        </w:rPr>
        <w:tab/>
      </w:r>
      <w:r>
        <w:rPr>
          <w:rFonts w:ascii="Arial" w:cs="Arial" w:eastAsia="Arial" w:hAnsi="Arial"/>
          <w:sz w:val="14"/>
          <w:szCs w:val="14"/>
          <w:color w:val="auto"/>
        </w:rPr>
        <w:t>Spreads (bps)</w:t>
      </w:r>
      <w:r>
        <w:rPr>
          <w:sz w:val="20"/>
          <w:szCs w:val="20"/>
          <w:color w:val="auto"/>
        </w:rPr>
        <w:tab/>
      </w:r>
      <w:r>
        <w:rPr>
          <w:rFonts w:ascii="Arial" w:cs="Arial" w:eastAsia="Arial" w:hAnsi="Arial"/>
          <w:sz w:val="14"/>
          <w:szCs w:val="14"/>
          <w:color w:val="auto"/>
        </w:rPr>
        <w:t>498.0</w:t>
        <w:tab/>
        <w:t>- 528.0</w:t>
      </w:r>
      <w:r>
        <w:rPr>
          <w:sz w:val="20"/>
          <w:szCs w:val="20"/>
          <w:color w:val="auto"/>
        </w:rPr>
        <w:tab/>
      </w:r>
      <w:r>
        <w:rPr>
          <w:rFonts w:ascii="Arial" w:cs="Arial" w:eastAsia="Arial" w:hAnsi="Arial"/>
          <w:sz w:val="14"/>
          <w:szCs w:val="14"/>
          <w:color w:val="auto"/>
        </w:rPr>
        <w:t>513.6</w:t>
      </w:r>
    </w:p>
    <w:p>
      <w:pPr>
        <w:spacing w:after="0" w:line="19" w:lineRule="exact"/>
        <w:rPr>
          <w:sz w:val="20"/>
          <w:szCs w:val="20"/>
          <w:color w:val="auto"/>
        </w:rPr>
      </w:pPr>
    </w:p>
    <w:p>
      <w:pPr>
        <w:ind w:left="1120" w:hanging="353"/>
        <w:spacing w:after="0"/>
        <w:tabs>
          <w:tab w:leader="none" w:pos="112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Single Vendor</w:t>
      </w:r>
    </w:p>
    <w:p>
      <w:pPr>
        <w:spacing w:after="0" w:line="32" w:lineRule="exact"/>
        <w:rPr>
          <w:rFonts w:ascii="Arial" w:cs="Arial" w:eastAsia="Arial" w:hAnsi="Arial"/>
          <w:sz w:val="14"/>
          <w:szCs w:val="14"/>
          <w:color w:val="auto"/>
        </w:rPr>
      </w:pPr>
    </w:p>
    <w:p>
      <w:pPr>
        <w:ind w:left="1120" w:hanging="353"/>
        <w:spacing w:after="0"/>
        <w:tabs>
          <w:tab w:leader="none" w:pos="112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Various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wp:posOffset>
            </wp:positionV>
            <wp:extent cx="61404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spacing w:after="0" w:line="51" w:lineRule="exact"/>
        <w:rPr>
          <w:sz w:val="20"/>
          <w:szCs w:val="20"/>
          <w:color w:val="auto"/>
        </w:rPr>
      </w:pPr>
    </w:p>
    <w:p>
      <w:pPr>
        <w:ind w:left="700"/>
        <w:spacing w:after="0"/>
        <w:rPr>
          <w:sz w:val="20"/>
          <w:szCs w:val="20"/>
          <w:color w:val="auto"/>
        </w:rPr>
      </w:pPr>
      <w:r>
        <w:rPr>
          <w:rFonts w:ascii="Arial" w:cs="Arial" w:eastAsia="Arial" w:hAnsi="Arial"/>
          <w:sz w:val="14"/>
          <w:szCs w:val="14"/>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wp:posOffset>
            </wp:positionV>
            <wp:extent cx="61404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spacing w:after="0" w:line="38" w:lineRule="exact"/>
        <w:rPr>
          <w:sz w:val="20"/>
          <w:szCs w:val="20"/>
          <w:color w:val="auto"/>
        </w:rPr>
      </w:pPr>
    </w:p>
    <w:p>
      <w:pPr>
        <w:ind w:left="700" w:hanging="661"/>
        <w:spacing w:after="0"/>
        <w:tabs>
          <w:tab w:leader="none" w:pos="70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wp:posOffset>
            </wp:positionV>
            <wp:extent cx="61404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1404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40640</wp:posOffset>
            </wp:positionV>
            <wp:extent cx="61404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spacing w:after="0" w:line="116" w:lineRule="exact"/>
        <w:rPr>
          <w:sz w:val="20"/>
          <w:szCs w:val="20"/>
          <w:color w:val="auto"/>
        </w:rPr>
      </w:pPr>
    </w:p>
    <w:p>
      <w:pPr>
        <w:ind w:left="760" w:hanging="721"/>
        <w:spacing w:after="0"/>
        <w:tabs>
          <w:tab w:leader="none" w:pos="76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36   Dealer Mark</w:t>
      </w:r>
    </w:p>
    <w:p>
      <w:pPr>
        <w:spacing w:after="0" w:line="32" w:lineRule="exact"/>
        <w:rPr>
          <w:rFonts w:ascii="Arial" w:cs="Arial" w:eastAsia="Arial" w:hAnsi="Arial"/>
          <w:sz w:val="14"/>
          <w:szCs w:val="14"/>
          <w:color w:val="auto"/>
        </w:rPr>
      </w:pPr>
    </w:p>
    <w:p>
      <w:pPr>
        <w:ind w:left="1120" w:hanging="406"/>
        <w:spacing w:after="0"/>
        <w:tabs>
          <w:tab w:leader="none" w:pos="1120" w:val="left"/>
        </w:tabs>
        <w:numPr>
          <w:ilvl w:val="1"/>
          <w:numId w:val="122"/>
        </w:numPr>
        <w:rPr>
          <w:rFonts w:ascii="Arial" w:cs="Arial" w:eastAsia="Arial" w:hAnsi="Arial"/>
          <w:sz w:val="14"/>
          <w:szCs w:val="14"/>
          <w:color w:val="auto"/>
        </w:rPr>
      </w:pPr>
      <w:r>
        <w:rPr>
          <w:rFonts w:ascii="Arial" w:cs="Arial" w:eastAsia="Arial" w:hAnsi="Arial"/>
          <w:sz w:val="14"/>
          <w:szCs w:val="14"/>
          <w:color w:val="auto"/>
        </w:rPr>
        <w:t>Discounted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wp:posOffset>
            </wp:positionV>
            <wp:extent cx="61404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spacing w:after="0" w:line="51" w:lineRule="exact"/>
        <w:rPr>
          <w:sz w:val="20"/>
          <w:szCs w:val="20"/>
          <w:color w:val="auto"/>
        </w:rPr>
      </w:pPr>
    </w:p>
    <w:p>
      <w:pPr>
        <w:ind w:left="760" w:hanging="721"/>
        <w:spacing w:after="0"/>
        <w:tabs>
          <w:tab w:leader="none" w:pos="76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wp:posOffset>
            </wp:positionV>
            <wp:extent cx="61404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1404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32385</wp:posOffset>
            </wp:positionV>
            <wp:extent cx="61404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spacing w:after="0" w:line="226" w:lineRule="exact"/>
        <w:rPr>
          <w:sz w:val="20"/>
          <w:szCs w:val="20"/>
          <w:color w:val="auto"/>
        </w:rPr>
      </w:pPr>
    </w:p>
    <w:p>
      <w:pPr>
        <w:ind w:left="2140"/>
        <w:spacing w:after="0"/>
        <w:rPr>
          <w:sz w:val="20"/>
          <w:szCs w:val="20"/>
          <w:color w:val="auto"/>
        </w:rPr>
      </w:pPr>
      <w:r>
        <w:rPr>
          <w:rFonts w:ascii="Arial" w:cs="Arial" w:eastAsia="Arial" w:hAnsi="Arial"/>
          <w:sz w:val="14"/>
          <w:szCs w:val="14"/>
          <w:b w:val="1"/>
          <w:bCs w:val="1"/>
          <w:color w:val="auto"/>
        </w:rPr>
        <w:t>Fair Value Measurements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478917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4789170"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20" w:type="dxa"/>
            <w:vAlign w:val="bottom"/>
            <w:vMerge w:val="restart"/>
          </w:tcPr>
          <w:p>
            <w:pPr>
              <w:jc w:val="center"/>
              <w:ind w:left="111"/>
              <w:spacing w:after="0"/>
              <w:rPr>
                <w:sz w:val="20"/>
                <w:szCs w:val="20"/>
                <w:color w:val="auto"/>
              </w:rPr>
            </w:pPr>
            <w:r>
              <w:rPr>
                <w:rFonts w:ascii="Arial" w:cs="Arial" w:eastAsia="Arial" w:hAnsi="Arial"/>
                <w:sz w:val="14"/>
                <w:szCs w:val="14"/>
                <w:b w:val="1"/>
                <w:bCs w:val="1"/>
                <w:color w:val="auto"/>
                <w:w w:val="96"/>
              </w:rPr>
              <w:t>Significant Valuation</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7"/>
              </w:rPr>
              <w:t>Significant</w:t>
            </w:r>
          </w:p>
        </w:tc>
        <w:tc>
          <w:tcPr>
            <w:tcW w:w="1340" w:type="dxa"/>
            <w:vAlign w:val="bottom"/>
          </w:tcPr>
          <w:p>
            <w:pPr>
              <w:spacing w:after="0"/>
              <w:rPr>
                <w:sz w:val="14"/>
                <w:szCs w:val="14"/>
                <w:color w:val="auto"/>
              </w:rPr>
            </w:pPr>
          </w:p>
        </w:tc>
        <w:tc>
          <w:tcPr>
            <w:tcW w:w="1400" w:type="dxa"/>
            <w:vAlign w:val="bottom"/>
            <w:vMerge w:val="restart"/>
          </w:tcPr>
          <w:p>
            <w:pPr>
              <w:jc w:val="center"/>
              <w:ind w:left="71"/>
              <w:spacing w:after="0"/>
              <w:rPr>
                <w:sz w:val="20"/>
                <w:szCs w:val="20"/>
                <w:color w:val="auto"/>
              </w:rPr>
            </w:pPr>
            <w:r>
              <w:rPr>
                <w:rFonts w:ascii="Arial" w:cs="Arial" w:eastAsia="Arial" w:hAnsi="Arial"/>
                <w:sz w:val="14"/>
                <w:szCs w:val="14"/>
                <w:b w:val="1"/>
                <w:bCs w:val="1"/>
                <w:color w:val="auto"/>
                <w:w w:val="97"/>
              </w:rPr>
              <w:t>Weighted -</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18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7"/>
              </w:rPr>
              <w:t>Unobservable</w:t>
            </w:r>
          </w:p>
        </w:tc>
        <w:tc>
          <w:tcPr>
            <w:tcW w:w="13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4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ind w:right="111"/>
              <w:spacing w:after="0"/>
              <w:rPr>
                <w:sz w:val="20"/>
                <w:szCs w:val="20"/>
                <w:color w:val="auto"/>
              </w:rPr>
            </w:pPr>
            <w:r>
              <w:rPr>
                <w:rFonts w:ascii="Arial" w:cs="Arial" w:eastAsia="Arial" w:hAnsi="Arial"/>
                <w:sz w:val="14"/>
                <w:szCs w:val="14"/>
                <w:b w:val="1"/>
                <w:bCs w:val="1"/>
                <w:color w:val="auto"/>
                <w:w w:val="98"/>
              </w:rPr>
              <w:t>Fair Value</w:t>
            </w:r>
          </w:p>
        </w:tc>
        <w:tc>
          <w:tcPr>
            <w:tcW w:w="1920" w:type="dxa"/>
            <w:vAlign w:val="bottom"/>
            <w:tcBorders>
              <w:bottom w:val="single" w:sz="8" w:color="2C6937"/>
            </w:tcBorders>
          </w:tcPr>
          <w:p>
            <w:pPr>
              <w:jc w:val="center"/>
              <w:ind w:left="111"/>
              <w:spacing w:after="0"/>
              <w:rPr>
                <w:sz w:val="20"/>
                <w:szCs w:val="20"/>
                <w:color w:val="auto"/>
              </w:rPr>
            </w:pPr>
            <w:r>
              <w:rPr>
                <w:rFonts w:ascii="Arial" w:cs="Arial" w:eastAsia="Arial" w:hAnsi="Arial"/>
                <w:sz w:val="14"/>
                <w:szCs w:val="14"/>
                <w:b w:val="1"/>
                <w:bCs w:val="1"/>
                <w:color w:val="auto"/>
                <w:w w:val="95"/>
              </w:rPr>
              <w:t>Techniques</w:t>
            </w:r>
          </w:p>
        </w:tc>
        <w:tc>
          <w:tcPr>
            <w:tcW w:w="1880" w:type="dxa"/>
            <w:vAlign w:val="bottom"/>
            <w:tcBorders>
              <w:bottom w:val="single" w:sz="8" w:color="2C6937"/>
            </w:tcBorders>
          </w:tcPr>
          <w:p>
            <w:pPr>
              <w:jc w:val="center"/>
              <w:ind w:left="11"/>
              <w:spacing w:after="0" w:line="194" w:lineRule="exact"/>
              <w:rPr>
                <w:sz w:val="20"/>
                <w:szCs w:val="20"/>
                <w:color w:val="auto"/>
              </w:rPr>
            </w:pPr>
            <w:r>
              <w:rPr>
                <w:rFonts w:ascii="Arial" w:cs="Arial" w:eastAsia="Arial" w:hAnsi="Arial"/>
                <w:sz w:val="14"/>
                <w:szCs w:val="14"/>
                <w:b w:val="1"/>
                <w:bCs w:val="1"/>
                <w:color w:val="auto"/>
                <w:w w:val="93"/>
              </w:rPr>
              <w:t>Inputs</w:t>
            </w:r>
            <w:r>
              <w:rPr>
                <w:rFonts w:ascii="Arial" w:cs="Arial" w:eastAsia="Arial" w:hAnsi="Arial"/>
                <w:sz w:val="17"/>
                <w:szCs w:val="17"/>
                <w:b w:val="1"/>
                <w:bCs w:val="1"/>
                <w:color w:val="auto"/>
                <w:w w:val="93"/>
                <w:vertAlign w:val="superscript"/>
              </w:rPr>
              <w:t>(1)</w:t>
            </w:r>
          </w:p>
        </w:tc>
        <w:tc>
          <w:tcPr>
            <w:tcW w:w="1340" w:type="dxa"/>
            <w:vAlign w:val="bottom"/>
            <w:tcBorders>
              <w:bottom w:val="single" w:sz="8" w:color="2C6937"/>
            </w:tcBorders>
          </w:tcPr>
          <w:p>
            <w:pPr>
              <w:ind w:left="400"/>
              <w:spacing w:after="0" w:line="194" w:lineRule="exact"/>
              <w:rPr>
                <w:sz w:val="20"/>
                <w:szCs w:val="20"/>
                <w:color w:val="auto"/>
              </w:rPr>
            </w:pPr>
            <w:r>
              <w:rPr>
                <w:rFonts w:ascii="Arial" w:cs="Arial" w:eastAsia="Arial" w:hAnsi="Arial"/>
                <w:sz w:val="14"/>
                <w:szCs w:val="14"/>
                <w:b w:val="1"/>
                <w:bCs w:val="1"/>
                <w:color w:val="auto"/>
              </w:rPr>
              <w:t>Range</w:t>
            </w:r>
            <w:r>
              <w:rPr>
                <w:rFonts w:ascii="Arial" w:cs="Arial" w:eastAsia="Arial" w:hAnsi="Arial"/>
                <w:sz w:val="17"/>
                <w:szCs w:val="17"/>
                <w:b w:val="1"/>
                <w:bCs w:val="1"/>
                <w:color w:val="auto"/>
                <w:vertAlign w:val="superscript"/>
              </w:rPr>
              <w:t>(1)</w:t>
            </w:r>
          </w:p>
        </w:tc>
        <w:tc>
          <w:tcPr>
            <w:tcW w:w="1400" w:type="dxa"/>
            <w:vAlign w:val="bottom"/>
            <w:tcBorders>
              <w:bottom w:val="single" w:sz="8" w:color="2C6937"/>
            </w:tcBorders>
          </w:tcPr>
          <w:p>
            <w:pPr>
              <w:jc w:val="center"/>
              <w:ind w:left="71"/>
              <w:spacing w:after="0" w:line="194" w:lineRule="exact"/>
              <w:rPr>
                <w:sz w:val="20"/>
                <w:szCs w:val="20"/>
                <w:color w:val="auto"/>
              </w:rPr>
            </w:pPr>
            <w:r>
              <w:rPr>
                <w:rFonts w:ascii="Arial" w:cs="Arial" w:eastAsia="Arial" w:hAnsi="Arial"/>
                <w:sz w:val="14"/>
                <w:szCs w:val="14"/>
                <w:b w:val="1"/>
                <w:bCs w:val="1"/>
                <w:color w:val="auto"/>
                <w:w w:val="89"/>
              </w:rPr>
              <w:t>Average</w:t>
            </w:r>
            <w:r>
              <w:rPr>
                <w:rFonts w:ascii="Arial" w:cs="Arial" w:eastAsia="Arial" w:hAnsi="Arial"/>
                <w:sz w:val="17"/>
                <w:szCs w:val="17"/>
                <w:b w:val="1"/>
                <w:bCs w:val="1"/>
                <w:color w:val="auto"/>
                <w:w w:val="89"/>
                <w:vertAlign w:val="superscript"/>
              </w:rPr>
              <w:t>(1)(2)</w:t>
            </w:r>
          </w:p>
        </w:tc>
        <w:tc>
          <w:tcPr>
            <w:tcW w:w="0" w:type="dxa"/>
            <w:vAlign w:val="bottom"/>
          </w:tcPr>
          <w:p>
            <w:pPr>
              <w:spacing w:after="0"/>
              <w:rPr>
                <w:sz w:val="1"/>
                <w:szCs w:val="1"/>
                <w:color w:val="auto"/>
              </w:rPr>
            </w:pPr>
          </w:p>
        </w:tc>
      </w:tr>
      <w:tr>
        <w:trPr>
          <w:trHeight w:val="185"/>
        </w:trPr>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880" w:type="dxa"/>
            <w:vAlign w:val="bottom"/>
          </w:tcPr>
          <w:p>
            <w:pPr>
              <w:ind w:left="220"/>
              <w:spacing w:after="0"/>
              <w:rPr>
                <w:sz w:val="20"/>
                <w:szCs w:val="20"/>
                <w:color w:val="auto"/>
              </w:rPr>
            </w:pPr>
            <w:r>
              <w:rPr>
                <w:rFonts w:ascii="Arial" w:cs="Arial" w:eastAsia="Arial" w:hAnsi="Arial"/>
                <w:sz w:val="14"/>
                <w:szCs w:val="14"/>
                <w:b w:val="1"/>
                <w:bCs w:val="1"/>
                <w:color w:val="auto"/>
              </w:rPr>
              <w:t>(Dollars in millions)</w:t>
            </w: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7"/>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47</w:t>
            </w:r>
          </w:p>
        </w:tc>
        <w:tc>
          <w:tcPr>
            <w:tcW w:w="1920" w:type="dxa"/>
            <w:vAlign w:val="bottom"/>
          </w:tcPr>
          <w:p>
            <w:pPr>
              <w:ind w:left="100"/>
              <w:spacing w:after="0"/>
              <w:rPr>
                <w:sz w:val="20"/>
                <w:szCs w:val="20"/>
                <w:color w:val="auto"/>
              </w:rPr>
            </w:pPr>
            <w:r>
              <w:rPr>
                <w:rFonts w:ascii="Arial" w:cs="Arial" w:eastAsia="Arial" w:hAnsi="Arial"/>
                <w:sz w:val="14"/>
                <w:szCs w:val="14"/>
                <w:color w:val="auto"/>
              </w:rPr>
              <w:t>Various</w:t>
            </w:r>
          </w:p>
        </w:tc>
        <w:tc>
          <w:tcPr>
            <w:tcW w:w="1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14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371</w:t>
            </w:r>
          </w:p>
        </w:tc>
        <w:tc>
          <w:tcPr>
            <w:tcW w:w="1920" w:type="dxa"/>
            <w:vAlign w:val="bottom"/>
          </w:tcPr>
          <w:p>
            <w:pPr>
              <w:ind w:left="100"/>
              <w:spacing w:after="0"/>
              <w:rPr>
                <w:sz w:val="20"/>
                <w:szCs w:val="20"/>
                <w:color w:val="auto"/>
              </w:rPr>
            </w:pPr>
            <w:r>
              <w:rPr>
                <w:rFonts w:ascii="Arial" w:cs="Arial" w:eastAsia="Arial" w:hAnsi="Arial"/>
                <w:sz w:val="14"/>
                <w:szCs w:val="14"/>
                <w:color w:val="auto"/>
              </w:rPr>
              <w:t>Consensus</w:t>
            </w:r>
          </w:p>
        </w:tc>
        <w:tc>
          <w:tcPr>
            <w:tcW w:w="1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680"/>
        <w:spacing w:after="0"/>
        <w:tabs>
          <w:tab w:leader="none" w:pos="1080" w:val="left"/>
          <w:tab w:leader="none" w:pos="3120" w:val="left"/>
          <w:tab w:leader="none" w:pos="4980" w:val="left"/>
          <w:tab w:leader="none" w:pos="5420" w:val="left"/>
          <w:tab w:leader="none" w:pos="6720" w:val="left"/>
        </w:tabs>
        <w:rPr>
          <w:sz w:val="20"/>
          <w:szCs w:val="20"/>
          <w:color w:val="auto"/>
        </w:rPr>
      </w:pPr>
      <w:r>
        <w:rPr>
          <w:rFonts w:ascii="Arial" w:cs="Arial" w:eastAsia="Arial" w:hAnsi="Arial"/>
          <w:sz w:val="14"/>
          <w:szCs w:val="14"/>
          <w:color w:val="auto"/>
        </w:rPr>
        <w:t>142</w:t>
        <w:tab/>
        <w:t>Discounted Cash Flow</w:t>
      </w:r>
      <w:r>
        <w:rPr>
          <w:sz w:val="20"/>
          <w:szCs w:val="20"/>
          <w:color w:val="auto"/>
        </w:rPr>
        <w:tab/>
      </w:r>
      <w:r>
        <w:rPr>
          <w:rFonts w:ascii="Arial" w:cs="Arial" w:eastAsia="Arial" w:hAnsi="Arial"/>
          <w:sz w:val="14"/>
          <w:szCs w:val="14"/>
          <w:color w:val="auto"/>
        </w:rPr>
        <w:t>Spreads (bps)</w:t>
      </w:r>
      <w:r>
        <w:rPr>
          <w:sz w:val="20"/>
          <w:szCs w:val="20"/>
          <w:color w:val="auto"/>
        </w:rPr>
        <w:tab/>
      </w:r>
      <w:r>
        <w:rPr>
          <w:rFonts w:ascii="Arial" w:cs="Arial" w:eastAsia="Arial" w:hAnsi="Arial"/>
          <w:sz w:val="14"/>
          <w:szCs w:val="14"/>
          <w:color w:val="auto"/>
        </w:rPr>
        <w:t>531.0</w:t>
        <w:tab/>
        <w:t>- 582.0</w:t>
      </w:r>
      <w:r>
        <w:rPr>
          <w:sz w:val="20"/>
          <w:szCs w:val="20"/>
          <w:color w:val="auto"/>
        </w:rPr>
        <w:tab/>
      </w:r>
      <w:r>
        <w:rPr>
          <w:rFonts w:ascii="Arial" w:cs="Arial" w:eastAsia="Arial" w:hAnsi="Arial"/>
          <w:sz w:val="13"/>
          <w:szCs w:val="13"/>
          <w:color w:val="auto"/>
        </w:rPr>
        <w:t>557.7</w:t>
      </w:r>
    </w:p>
    <w:p>
      <w:pPr>
        <w:spacing w:after="0" w:line="32" w:lineRule="exact"/>
        <w:rPr>
          <w:sz w:val="20"/>
          <w:szCs w:val="20"/>
          <w:color w:val="auto"/>
        </w:rPr>
      </w:pPr>
    </w:p>
    <w:p>
      <w:pPr>
        <w:ind w:left="1100" w:hanging="341"/>
        <w:spacing w:after="0"/>
        <w:tabs>
          <w:tab w:leader="none" w:pos="110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Single Vendor</w:t>
      </w:r>
    </w:p>
    <w:p>
      <w:pPr>
        <w:spacing w:after="0" w:line="32" w:lineRule="exact"/>
        <w:rPr>
          <w:rFonts w:ascii="Arial" w:cs="Arial" w:eastAsia="Arial" w:hAnsi="Arial"/>
          <w:sz w:val="14"/>
          <w:szCs w:val="14"/>
          <w:color w:val="auto"/>
        </w:rPr>
      </w:pPr>
    </w:p>
    <w:p>
      <w:pPr>
        <w:ind w:left="1100" w:hanging="341"/>
        <w:spacing w:after="0"/>
        <w:tabs>
          <w:tab w:leader="none" w:pos="110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Various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62230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22300" cy="8255"/>
                    </a:xfrm>
                    <a:prstGeom prst="rect">
                      <a:avLst/>
                    </a:prstGeom>
                    <a:noFill/>
                  </pic:spPr>
                </pic:pic>
              </a:graphicData>
            </a:graphic>
          </wp:anchor>
        </w:drawing>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62230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22300" cy="8255"/>
                    </a:xfrm>
                    <a:prstGeom prst="rect">
                      <a:avLst/>
                    </a:prstGeom>
                    <a:noFill/>
                  </pic:spPr>
                </pic:pic>
              </a:graphicData>
            </a:graphic>
          </wp:anchor>
        </w:drawing>
      </w:r>
    </w:p>
    <w:p>
      <w:pPr>
        <w:spacing w:after="0" w:line="51" w:lineRule="exact"/>
        <w:rPr>
          <w:sz w:val="20"/>
          <w:szCs w:val="20"/>
          <w:color w:val="auto"/>
        </w:rPr>
      </w:pPr>
    </w:p>
    <w:p>
      <w:pPr>
        <w:ind w:left="680" w:hanging="659"/>
        <w:spacing w:after="0"/>
        <w:tabs>
          <w:tab w:leader="none" w:pos="68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634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62230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223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40640</wp:posOffset>
            </wp:positionV>
            <wp:extent cx="62230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22300" cy="8255"/>
                    </a:xfrm>
                    <a:prstGeom prst="rect">
                      <a:avLst/>
                    </a:prstGeom>
                    <a:noFill/>
                  </pic:spPr>
                </pic:pic>
              </a:graphicData>
            </a:graphic>
          </wp:anchor>
        </w:drawing>
      </w:r>
    </w:p>
    <w:p>
      <w:pPr>
        <w:spacing w:after="0" w:line="116" w:lineRule="exact"/>
        <w:rPr>
          <w:sz w:val="20"/>
          <w:szCs w:val="20"/>
          <w:color w:val="auto"/>
        </w:rPr>
      </w:pPr>
    </w:p>
    <w:p>
      <w:pPr>
        <w:ind w:left="760" w:hanging="739"/>
        <w:spacing w:after="0"/>
        <w:tabs>
          <w:tab w:leader="none" w:pos="76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25   Dealer Mark</w:t>
      </w:r>
    </w:p>
    <w:p>
      <w:pPr>
        <w:spacing w:after="0" w:line="32" w:lineRule="exact"/>
        <w:rPr>
          <w:rFonts w:ascii="Arial" w:cs="Arial" w:eastAsia="Arial" w:hAnsi="Arial"/>
          <w:sz w:val="14"/>
          <w:szCs w:val="14"/>
          <w:color w:val="auto"/>
        </w:rPr>
      </w:pPr>
    </w:p>
    <w:p>
      <w:pPr>
        <w:ind w:left="1100" w:hanging="394"/>
        <w:spacing w:after="0"/>
        <w:tabs>
          <w:tab w:leader="none" w:pos="1100" w:val="left"/>
        </w:tabs>
        <w:numPr>
          <w:ilvl w:val="1"/>
          <w:numId w:val="127"/>
        </w:numPr>
        <w:rPr>
          <w:rFonts w:ascii="Arial" w:cs="Arial" w:eastAsia="Arial" w:hAnsi="Arial"/>
          <w:sz w:val="14"/>
          <w:szCs w:val="14"/>
          <w:color w:val="auto"/>
        </w:rPr>
      </w:pPr>
      <w:r>
        <w:rPr>
          <w:rFonts w:ascii="Arial" w:cs="Arial" w:eastAsia="Arial" w:hAnsi="Arial"/>
          <w:sz w:val="14"/>
          <w:szCs w:val="14"/>
          <w:color w:val="auto"/>
        </w:rPr>
        <w:t>Discounted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62230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22300" cy="8255"/>
                    </a:xfrm>
                    <a:prstGeom prst="rect">
                      <a:avLst/>
                    </a:prstGeom>
                    <a:noFill/>
                  </pic:spPr>
                </pic:pic>
              </a:graphicData>
            </a:graphic>
          </wp:anchor>
        </w:drawing>
      </w:r>
    </w:p>
    <w:p>
      <w:pPr>
        <w:spacing w:after="0" w:line="38" w:lineRule="exact"/>
        <w:rPr>
          <w:sz w:val="20"/>
          <w:szCs w:val="20"/>
          <w:color w:val="auto"/>
        </w:rPr>
      </w:pPr>
    </w:p>
    <w:p>
      <w:pPr>
        <w:ind w:left="700" w:hanging="679"/>
        <w:spacing w:after="0"/>
        <w:tabs>
          <w:tab w:leader="none" w:pos="70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62230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223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40640</wp:posOffset>
            </wp:positionV>
            <wp:extent cx="62230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22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80" w:space="720"/>
            <w:col w:w="7540"/>
          </w:cols>
          <w:pgMar w:left="320" w:top="250" w:right="339" w:bottom="1440" w:gutter="0" w:footer="0" w:header="0"/>
          <w:type w:val="continuous"/>
        </w:sectPr>
      </w:pPr>
    </w:p>
    <w:p>
      <w:pPr>
        <w:ind w:left="240" w:right="80" w:hanging="237"/>
        <w:spacing w:after="0" w:line="225" w:lineRule="auto"/>
        <w:tabs>
          <w:tab w:leader="none" w:pos="240" w:val="left"/>
        </w:tabs>
        <w:numPr>
          <w:ilvl w:val="0"/>
          <w:numId w:val="129"/>
        </w:numPr>
        <w:rPr>
          <w:rFonts w:ascii="Arial" w:cs="Arial" w:eastAsia="Arial" w:hAnsi="Arial"/>
          <w:sz w:val="18"/>
          <w:szCs w:val="18"/>
          <w:color w:val="auto"/>
          <w:vertAlign w:val="superscript"/>
        </w:rPr>
      </w:pPr>
      <w:r>
        <w:rPr>
          <w:rFonts w:ascii="Arial" w:cs="Arial" w:eastAsia="Arial" w:hAnsi="Arial"/>
          <w:sz w:val="14"/>
          <w:szCs w:val="14"/>
          <w:color w:val="auto"/>
        </w:rPr>
        <w:t>Valuation techniques for which no unobservable inputs are disclosed generally reflect the use of third-party pricing services or dealers, and the range of unobservable inputs applied by these sources is not readily available or cannot be reasonably estimated. Where we have disclosed unobservable inputs for consensus and single vendor techniques, those inputs are based on our validations performed at the security level using discounted cash flows.</w:t>
      </w:r>
    </w:p>
    <w:p>
      <w:pPr>
        <w:spacing w:after="0" w:line="32" w:lineRule="exact"/>
        <w:rPr>
          <w:rFonts w:ascii="Arial" w:cs="Arial" w:eastAsia="Arial" w:hAnsi="Arial"/>
          <w:sz w:val="18"/>
          <w:szCs w:val="18"/>
          <w:color w:val="auto"/>
          <w:vertAlign w:val="superscript"/>
        </w:rPr>
      </w:pPr>
    </w:p>
    <w:p>
      <w:pPr>
        <w:ind w:left="240" w:hanging="237"/>
        <w:spacing w:after="0"/>
        <w:tabs>
          <w:tab w:leader="none" w:pos="240" w:val="left"/>
        </w:tabs>
        <w:numPr>
          <w:ilvl w:val="0"/>
          <w:numId w:val="129"/>
        </w:numPr>
        <w:rPr>
          <w:rFonts w:ascii="Arial" w:cs="Arial" w:eastAsia="Arial" w:hAnsi="Arial"/>
          <w:sz w:val="9"/>
          <w:szCs w:val="9"/>
          <w:color w:val="auto"/>
        </w:rPr>
      </w:pPr>
      <w:r>
        <w:rPr>
          <w:rFonts w:ascii="Arial" w:cs="Arial" w:eastAsia="Arial" w:hAnsi="Arial"/>
          <w:sz w:val="14"/>
          <w:szCs w:val="14"/>
          <w:color w:val="auto"/>
        </w:rPr>
        <w:t>Unobservable inputs were weighted by the relative fair value of the instruments.</w:t>
      </w:r>
    </w:p>
    <w:p>
      <w:pPr>
        <w:spacing w:after="0" w:line="13" w:lineRule="exact"/>
        <w:rPr>
          <w:rFonts w:ascii="Arial" w:cs="Arial" w:eastAsia="Arial" w:hAnsi="Arial"/>
          <w:sz w:val="9"/>
          <w:szCs w:val="9"/>
          <w:color w:val="auto"/>
        </w:rPr>
      </w:pPr>
    </w:p>
    <w:p>
      <w:pPr>
        <w:ind w:left="240" w:hanging="237"/>
        <w:spacing w:after="0"/>
        <w:tabs>
          <w:tab w:leader="none" w:pos="240" w:val="left"/>
        </w:tabs>
        <w:numPr>
          <w:ilvl w:val="0"/>
          <w:numId w:val="129"/>
        </w:numPr>
        <w:rPr>
          <w:rFonts w:ascii="Arial" w:cs="Arial" w:eastAsia="Arial" w:hAnsi="Arial"/>
          <w:sz w:val="18"/>
          <w:szCs w:val="18"/>
          <w:color w:val="auto"/>
          <w:vertAlign w:val="superscript"/>
        </w:rPr>
      </w:pPr>
      <w:r>
        <w:rPr>
          <w:rFonts w:ascii="Arial" w:cs="Arial" w:eastAsia="Arial" w:hAnsi="Arial"/>
          <w:sz w:val="14"/>
          <w:szCs w:val="14"/>
          <w:color w:val="auto"/>
        </w:rPr>
        <w:t>Includes Fannie Mae and Freddie Mac securities.</w:t>
      </w:r>
    </w:p>
    <w:p>
      <w:pPr>
        <w:spacing w:after="0" w:line="57" w:lineRule="exact"/>
        <w:rPr>
          <w:sz w:val="20"/>
          <w:szCs w:val="20"/>
          <w:color w:val="auto"/>
        </w:rPr>
      </w:pPr>
    </w:p>
    <w:p>
      <w:pPr>
        <w:jc w:val="both"/>
        <w:ind w:right="80"/>
        <w:spacing w:after="0" w:line="257" w:lineRule="auto"/>
        <w:rPr>
          <w:sz w:val="20"/>
          <w:szCs w:val="20"/>
          <w:color w:val="auto"/>
        </w:rPr>
      </w:pPr>
      <w:r>
        <w:rPr>
          <w:rFonts w:ascii="Arial" w:cs="Arial" w:eastAsia="Arial" w:hAnsi="Arial"/>
          <w:sz w:val="16"/>
          <w:szCs w:val="16"/>
          <w:color w:val="auto"/>
        </w:rPr>
        <w:t>In our condensed consolidated balance sheets, certain assets and liabilities are measured at fair value on a nonrecurring basis; that is, the instruments are not measured at fair value on an ongoing basis but are subject to fair value adjustments in certain circumstances (for example, when we evaluate loans for impairment). We held no Level 1 assets or liabilities that were measured at fair value on a nonrecurring basis as of June 30, 2023 or December 31, 2022.</w:t>
      </w:r>
    </w:p>
    <w:p>
      <w:pPr>
        <w:spacing w:after="0" w:line="1" w:lineRule="exact"/>
        <w:rPr>
          <w:sz w:val="20"/>
          <w:szCs w:val="20"/>
          <w:color w:val="auto"/>
        </w:rPr>
      </w:pPr>
    </w:p>
    <w:p>
      <w:pPr>
        <w:jc w:val="both"/>
        <w:ind w:right="60"/>
        <w:spacing w:after="0" w:line="268" w:lineRule="auto"/>
        <w:rPr>
          <w:sz w:val="20"/>
          <w:szCs w:val="20"/>
          <w:color w:val="auto"/>
        </w:rPr>
      </w:pPr>
      <w:r>
        <w:rPr>
          <w:rFonts w:ascii="Arial" w:cs="Arial" w:eastAsia="Arial" w:hAnsi="Arial"/>
          <w:sz w:val="16"/>
          <w:szCs w:val="16"/>
          <w:color w:val="auto"/>
        </w:rPr>
        <w:t>We held $23 million and $30 million in Level 2 assets as of June 30, 2023 and December 31, 2022, respectively, composed of mortgage loans held for sale that were impaired. We held no Level 2 or Level 3 liabilities that were measured at fair value on a nonrecurring basis as of June 30, 2023 or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365760</wp:posOffset>
            </wp:positionV>
            <wp:extent cx="681101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164070" cy="4191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type w:val="continuous"/>
        </w:sectPr>
      </w:pPr>
    </w:p>
    <w:bookmarkStart w:id="113" w:name="page114"/>
    <w:bookmarkEnd w:id="113"/>
    <w:p>
      <w:pPr>
        <w:ind w:left="7000"/>
        <w:spacing w:after="0"/>
        <w:rPr>
          <w:sz w:val="20"/>
          <w:szCs w:val="20"/>
          <w:color w:val="auto"/>
        </w:rPr>
      </w:pPr>
      <w:r>
        <w:rPr>
          <w:rFonts w:ascii="Arial" w:cs="Arial" w:eastAsia="Arial" w:hAnsi="Arial"/>
          <w:sz w:val="13"/>
          <w:szCs w:val="13"/>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22860</wp:posOffset>
            </wp:positionV>
            <wp:extent cx="702373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valuation techniques for our Level 3 assets measured at fair value on a nonrecurring basis.</w:t>
      </w:r>
    </w:p>
    <w:p>
      <w:pPr>
        <w:spacing w:after="0" w:line="132"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2640" w:type="dxa"/>
            <w:vAlign w:val="bottom"/>
            <w:tcBorders>
              <w:bottom w:val="single" w:sz="8" w:color="2C6937"/>
            </w:tcBorders>
            <w:gridSpan w:val="4"/>
          </w:tcPr>
          <w:p>
            <w:pPr>
              <w:jc w:val="center"/>
              <w:ind w:right="83"/>
              <w:spacing w:after="0"/>
              <w:rPr>
                <w:sz w:val="20"/>
                <w:szCs w:val="20"/>
                <w:color w:val="auto"/>
              </w:rPr>
            </w:pPr>
            <w:r>
              <w:rPr>
                <w:rFonts w:ascii="Arial" w:cs="Arial" w:eastAsia="Arial" w:hAnsi="Arial"/>
                <w:sz w:val="14"/>
                <w:szCs w:val="14"/>
                <w:b w:val="1"/>
                <w:bCs w:val="1"/>
                <w:color w:val="auto"/>
                <w:w w:val="97"/>
              </w:rPr>
              <w:t>Fair Value Measurements as of</w:t>
            </w:r>
          </w:p>
        </w:tc>
        <w:tc>
          <w:tcPr>
            <w:tcW w:w="0" w:type="dxa"/>
            <w:vAlign w:val="bottom"/>
          </w:tcPr>
          <w:p>
            <w:pPr>
              <w:spacing w:after="0"/>
              <w:rPr>
                <w:sz w:val="1"/>
                <w:szCs w:val="1"/>
                <w:color w:val="auto"/>
              </w:rPr>
            </w:pPr>
          </w:p>
        </w:tc>
      </w:tr>
      <w:tr>
        <w:trPr>
          <w:trHeight w:val="187"/>
        </w:trPr>
        <w:tc>
          <w:tcPr>
            <w:tcW w:w="6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2"/>
          </w:tcPr>
          <w:p>
            <w:pPr>
              <w:ind w:left="300"/>
              <w:spacing w:after="0"/>
              <w:rPr>
                <w:sz w:val="20"/>
                <w:szCs w:val="20"/>
                <w:color w:val="auto"/>
              </w:rPr>
            </w:pPr>
            <w:r>
              <w:rPr>
                <w:rFonts w:ascii="Arial" w:cs="Arial" w:eastAsia="Arial" w:hAnsi="Arial"/>
                <w:sz w:val="14"/>
                <w:szCs w:val="14"/>
                <w:b w:val="1"/>
                <w:bCs w:val="1"/>
                <w:color w:val="auto"/>
              </w:rPr>
              <w:t>Valuation Techniques</w:t>
            </w:r>
          </w:p>
        </w:tc>
        <w:tc>
          <w:tcPr>
            <w:tcW w:w="140" w:type="dxa"/>
            <w:vAlign w:val="bottom"/>
          </w:tcPr>
          <w:p>
            <w:pPr>
              <w:spacing w:after="0"/>
              <w:rPr>
                <w:sz w:val="16"/>
                <w:szCs w:val="16"/>
                <w:color w:val="auto"/>
              </w:rPr>
            </w:pPr>
          </w:p>
        </w:tc>
        <w:tc>
          <w:tcPr>
            <w:tcW w:w="1120" w:type="dxa"/>
            <w:vAlign w:val="bottom"/>
          </w:tcPr>
          <w:p>
            <w:pPr>
              <w:jc w:val="right"/>
              <w:ind w:right="104"/>
              <w:spacing w:after="0"/>
              <w:rPr>
                <w:sz w:val="20"/>
                <w:szCs w:val="20"/>
                <w:color w:val="auto"/>
              </w:rPr>
            </w:pPr>
            <w:r>
              <w:rPr>
                <w:rFonts w:ascii="Arial" w:cs="Arial" w:eastAsia="Arial" w:hAnsi="Arial"/>
                <w:sz w:val="14"/>
                <w:szCs w:val="14"/>
                <w:b w:val="1"/>
                <w:bCs w:val="1"/>
                <w:color w:val="auto"/>
              </w:rPr>
              <w:t>June 30, 2023</w:t>
            </w:r>
          </w:p>
        </w:tc>
        <w:tc>
          <w:tcPr>
            <w:tcW w:w="22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December 31, 2022</w:t>
            </w:r>
          </w:p>
        </w:tc>
        <w:tc>
          <w:tcPr>
            <w:tcW w:w="0" w:type="dxa"/>
            <w:vAlign w:val="bottom"/>
          </w:tcPr>
          <w:p>
            <w:pPr>
              <w:spacing w:after="0"/>
              <w:rPr>
                <w:sz w:val="1"/>
                <w:szCs w:val="1"/>
                <w:color w:val="auto"/>
              </w:rPr>
            </w:pPr>
          </w:p>
        </w:tc>
      </w:tr>
      <w:tr>
        <w:trPr>
          <w:trHeight w:val="185"/>
        </w:trPr>
        <w:tc>
          <w:tcPr>
            <w:tcW w:w="626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Nonrecurring fair value measurements:</w:t>
            </w:r>
          </w:p>
        </w:tc>
        <w:tc>
          <w:tcPr>
            <w:tcW w:w="1980" w:type="dxa"/>
            <w:vAlign w:val="bottom"/>
            <w:tcBorders>
              <w:top w:val="single" w:sz="8" w:color="2C6937"/>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2020" w:type="dxa"/>
            <w:vAlign w:val="bottom"/>
            <w:tcBorders>
              <w:top w:val="single" w:sz="8" w:color="2C6937"/>
            </w:tcBorders>
            <w:gridSpan w:val="3"/>
          </w:tcPr>
          <w:p>
            <w:pPr>
              <w:jc w:val="center"/>
              <w:ind w:left="384"/>
              <w:spacing w:after="0"/>
              <w:rPr>
                <w:sz w:val="20"/>
                <w:szCs w:val="20"/>
                <w:color w:val="auto"/>
              </w:rPr>
            </w:pPr>
            <w:r>
              <w:rPr>
                <w:rFonts w:ascii="Arial" w:cs="Arial" w:eastAsia="Arial" w:hAnsi="Arial"/>
                <w:sz w:val="14"/>
                <w:szCs w:val="14"/>
                <w:b w:val="1"/>
                <w:bCs w:val="1"/>
                <w:color w:val="auto"/>
                <w:w w:val="98"/>
              </w:rPr>
              <w:t>(Dollars in millions)</w:t>
            </w:r>
          </w:p>
        </w:tc>
        <w:tc>
          <w:tcPr>
            <w:tcW w:w="620" w:type="dxa"/>
            <w:vAlign w:val="bottom"/>
            <w:tcBorders>
              <w:top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260" w:type="dxa"/>
            <w:vAlign w:val="bottom"/>
            <w:gridSpan w:val="2"/>
            <w:vMerge w:val="continue"/>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260" w:type="dxa"/>
            <w:vAlign w:val="bottom"/>
            <w:gridSpan w:val="2"/>
          </w:tcPr>
          <w:p>
            <w:pPr>
              <w:ind w:left="20"/>
              <w:spacing w:after="0" w:line="219" w:lineRule="exact"/>
              <w:rPr>
                <w:sz w:val="20"/>
                <w:szCs w:val="20"/>
                <w:color w:val="auto"/>
              </w:rPr>
            </w:pPr>
            <w:r>
              <w:rPr>
                <w:rFonts w:ascii="Arial" w:cs="Arial" w:eastAsia="Arial" w:hAnsi="Arial"/>
                <w:sz w:val="15"/>
                <w:szCs w:val="15"/>
                <w:color w:val="auto"/>
              </w:rPr>
              <w:t>Mortgage loans:</w:t>
            </w:r>
            <w:r>
              <w:rPr>
                <w:rFonts w:ascii="Arial" w:cs="Arial" w:eastAsia="Arial" w:hAnsi="Arial"/>
                <w:sz w:val="20"/>
                <w:szCs w:val="20"/>
                <w:color w:val="auto"/>
                <w:vertAlign w:val="superscript"/>
              </w:rPr>
              <w:t>(1)</w:t>
            </w: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260" w:type="dxa"/>
            <w:vAlign w:val="bottom"/>
            <w:gridSpan w:val="2"/>
          </w:tcPr>
          <w:p>
            <w:pPr>
              <w:ind w:left="80"/>
              <w:spacing w:after="0"/>
              <w:rPr>
                <w:sz w:val="20"/>
                <w:szCs w:val="20"/>
                <w:color w:val="auto"/>
              </w:rPr>
            </w:pPr>
            <w:r>
              <w:rPr>
                <w:rFonts w:ascii="Arial" w:cs="Arial" w:eastAsia="Arial" w:hAnsi="Arial"/>
                <w:sz w:val="15"/>
                <w:szCs w:val="15"/>
                <w:color w:val="auto"/>
              </w:rPr>
              <w:t>Mortgage loans held for sale, at lower of cost or fair value</w:t>
            </w:r>
          </w:p>
        </w:tc>
        <w:tc>
          <w:tcPr>
            <w:tcW w:w="2100" w:type="dxa"/>
            <w:vAlign w:val="bottom"/>
            <w:gridSpan w:val="2"/>
          </w:tcPr>
          <w:p>
            <w:pPr>
              <w:ind w:left="20"/>
              <w:spacing w:after="0"/>
              <w:rPr>
                <w:sz w:val="20"/>
                <w:szCs w:val="20"/>
                <w:color w:val="auto"/>
              </w:rPr>
            </w:pPr>
            <w:r>
              <w:rPr>
                <w:rFonts w:ascii="Arial" w:cs="Arial" w:eastAsia="Arial" w:hAnsi="Arial"/>
                <w:sz w:val="15"/>
                <w:szCs w:val="15"/>
                <w:color w:val="auto"/>
              </w:rPr>
              <w:t>Consensus</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209</w:t>
            </w:r>
          </w:p>
        </w:tc>
        <w:tc>
          <w:tcPr>
            <w:tcW w:w="900" w:type="dxa"/>
            <w:vAlign w:val="bottom"/>
            <w:gridSpan w:val="2"/>
          </w:tcPr>
          <w:p>
            <w:pPr>
              <w:ind w:left="240"/>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3"/>
              <w:spacing w:after="0"/>
              <w:rPr>
                <w:sz w:val="20"/>
                <w:szCs w:val="20"/>
                <w:color w:val="auto"/>
              </w:rPr>
            </w:pPr>
            <w:r>
              <w:rPr>
                <w:rFonts w:ascii="Arial" w:cs="Arial" w:eastAsia="Arial" w:hAnsi="Arial"/>
                <w:sz w:val="15"/>
                <w:szCs w:val="15"/>
                <w:color w:val="auto"/>
              </w:rPr>
              <w:t>1,571</w:t>
            </w:r>
          </w:p>
        </w:tc>
        <w:tc>
          <w:tcPr>
            <w:tcW w:w="0" w:type="dxa"/>
            <w:vAlign w:val="bottom"/>
          </w:tcPr>
          <w:p>
            <w:pPr>
              <w:spacing w:after="0"/>
              <w:rPr>
                <w:sz w:val="1"/>
                <w:szCs w:val="1"/>
                <w:color w:val="auto"/>
              </w:rPr>
            </w:pPr>
          </w:p>
        </w:tc>
      </w:tr>
      <w:tr>
        <w:trPr>
          <w:trHeight w:val="197"/>
        </w:trPr>
        <w:tc>
          <w:tcPr>
            <w:tcW w:w="616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Single Vendor</w:t>
            </w:r>
          </w:p>
        </w:tc>
        <w:tc>
          <w:tcPr>
            <w:tcW w:w="12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97</w:t>
            </w:r>
          </w:p>
        </w:tc>
        <w:tc>
          <w:tcPr>
            <w:tcW w:w="220" w:type="dxa"/>
            <w:vAlign w:val="bottom"/>
          </w:tcPr>
          <w:p>
            <w:pPr>
              <w:spacing w:after="0"/>
              <w:rPr>
                <w:sz w:val="17"/>
                <w:szCs w:val="17"/>
                <w:color w:val="auto"/>
              </w:rPr>
            </w:pPr>
          </w:p>
        </w:tc>
        <w:tc>
          <w:tcPr>
            <w:tcW w:w="680" w:type="dxa"/>
            <w:vAlign w:val="bottom"/>
            <w:tcBorders>
              <w:bottom w:val="single" w:sz="8" w:color="2C6937"/>
            </w:tcBorders>
          </w:tcPr>
          <w:p>
            <w:pPr>
              <w:spacing w:after="0"/>
              <w:rPr>
                <w:sz w:val="17"/>
                <w:szCs w:val="17"/>
                <w:color w:val="auto"/>
              </w:rPr>
            </w:pPr>
          </w:p>
        </w:tc>
        <w:tc>
          <w:tcPr>
            <w:tcW w:w="6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92</w:t>
            </w:r>
          </w:p>
        </w:tc>
        <w:tc>
          <w:tcPr>
            <w:tcW w:w="0" w:type="dxa"/>
            <w:vAlign w:val="bottom"/>
          </w:tcPr>
          <w:p>
            <w:pPr>
              <w:spacing w:after="0"/>
              <w:rPr>
                <w:sz w:val="1"/>
                <w:szCs w:val="1"/>
                <w:color w:val="auto"/>
              </w:rPr>
            </w:pPr>
          </w:p>
        </w:tc>
      </w:tr>
      <w:tr>
        <w:trPr>
          <w:trHeight w:val="209"/>
        </w:trPr>
        <w:tc>
          <w:tcPr>
            <w:tcW w:w="6260" w:type="dxa"/>
            <w:vAlign w:val="bottom"/>
            <w:gridSpan w:val="2"/>
          </w:tcPr>
          <w:p>
            <w:pPr>
              <w:ind w:left="160"/>
              <w:spacing w:after="0"/>
              <w:rPr>
                <w:sz w:val="20"/>
                <w:szCs w:val="20"/>
                <w:color w:val="auto"/>
              </w:rPr>
            </w:pPr>
            <w:r>
              <w:rPr>
                <w:rFonts w:ascii="Arial" w:cs="Arial" w:eastAsia="Arial" w:hAnsi="Arial"/>
                <w:sz w:val="15"/>
                <w:szCs w:val="15"/>
                <w:color w:val="auto"/>
              </w:rPr>
              <w:t>Total mortgage loans held for sale, at lower of cost or fair value</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306</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jc w:val="right"/>
              <w:ind w:right="3"/>
              <w:spacing w:after="0"/>
              <w:rPr>
                <w:sz w:val="20"/>
                <w:szCs w:val="20"/>
                <w:color w:val="auto"/>
              </w:rPr>
            </w:pPr>
            <w:r>
              <w:rPr>
                <w:rFonts w:ascii="Arial" w:cs="Arial" w:eastAsia="Arial" w:hAnsi="Arial"/>
                <w:sz w:val="15"/>
                <w:szCs w:val="15"/>
                <w:color w:val="auto"/>
              </w:rPr>
              <w:t>1,663</w:t>
            </w:r>
          </w:p>
        </w:tc>
        <w:tc>
          <w:tcPr>
            <w:tcW w:w="0" w:type="dxa"/>
            <w:vAlign w:val="bottom"/>
          </w:tcPr>
          <w:p>
            <w:pPr>
              <w:spacing w:after="0"/>
              <w:rPr>
                <w:sz w:val="1"/>
                <w:szCs w:val="1"/>
                <w:color w:val="auto"/>
              </w:rPr>
            </w:pPr>
          </w:p>
        </w:tc>
      </w:tr>
      <w:tr>
        <w:trPr>
          <w:trHeight w:val="319"/>
        </w:trPr>
        <w:tc>
          <w:tcPr>
            <w:tcW w:w="6260" w:type="dxa"/>
            <w:vAlign w:val="bottom"/>
            <w:gridSpan w:val="2"/>
          </w:tcPr>
          <w:p>
            <w:pPr>
              <w:ind w:left="80"/>
              <w:spacing w:after="0"/>
              <w:rPr>
                <w:sz w:val="20"/>
                <w:szCs w:val="20"/>
                <w:color w:val="auto"/>
              </w:rPr>
            </w:pPr>
            <w:r>
              <w:rPr>
                <w:rFonts w:ascii="Arial" w:cs="Arial" w:eastAsia="Arial" w:hAnsi="Arial"/>
                <w:sz w:val="15"/>
                <w:szCs w:val="15"/>
                <w:color w:val="auto"/>
              </w:rPr>
              <w:t>Single-family mortgage loans held for investment, at amortized cost</w:t>
            </w:r>
          </w:p>
        </w:tc>
        <w:tc>
          <w:tcPr>
            <w:tcW w:w="2100" w:type="dxa"/>
            <w:vAlign w:val="bottom"/>
            <w:gridSpan w:val="2"/>
          </w:tcPr>
          <w:p>
            <w:pPr>
              <w:ind w:left="20"/>
              <w:spacing w:after="0"/>
              <w:rPr>
                <w:sz w:val="20"/>
                <w:szCs w:val="20"/>
                <w:color w:val="auto"/>
              </w:rPr>
            </w:pPr>
            <w:r>
              <w:rPr>
                <w:rFonts w:ascii="Arial" w:cs="Arial" w:eastAsia="Arial" w:hAnsi="Arial"/>
                <w:sz w:val="15"/>
                <w:szCs w:val="15"/>
                <w:color w:val="auto"/>
              </w:rPr>
              <w:t>Internal Model</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815</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jc w:val="right"/>
              <w:ind w:right="3"/>
              <w:spacing w:after="0"/>
              <w:rPr>
                <w:sz w:val="20"/>
                <w:szCs w:val="20"/>
                <w:color w:val="auto"/>
              </w:rPr>
            </w:pPr>
            <w:r>
              <w:rPr>
                <w:rFonts w:ascii="Arial" w:cs="Arial" w:eastAsia="Arial" w:hAnsi="Arial"/>
                <w:sz w:val="15"/>
                <w:szCs w:val="15"/>
                <w:color w:val="auto"/>
              </w:rPr>
              <w:t>1,636</w:t>
            </w:r>
          </w:p>
        </w:tc>
        <w:tc>
          <w:tcPr>
            <w:tcW w:w="0" w:type="dxa"/>
            <w:vAlign w:val="bottom"/>
          </w:tcPr>
          <w:p>
            <w:pPr>
              <w:spacing w:after="0"/>
              <w:rPr>
                <w:sz w:val="1"/>
                <w:szCs w:val="1"/>
                <w:color w:val="auto"/>
              </w:rPr>
            </w:pPr>
          </w:p>
        </w:tc>
      </w:tr>
      <w:tr>
        <w:trPr>
          <w:trHeight w:val="274"/>
        </w:trPr>
        <w:tc>
          <w:tcPr>
            <w:tcW w:w="6260" w:type="dxa"/>
            <w:vAlign w:val="bottom"/>
            <w:gridSpan w:val="2"/>
          </w:tcPr>
          <w:p>
            <w:pPr>
              <w:ind w:left="80"/>
              <w:spacing w:after="0"/>
              <w:rPr>
                <w:sz w:val="20"/>
                <w:szCs w:val="20"/>
                <w:color w:val="auto"/>
              </w:rPr>
            </w:pPr>
            <w:r>
              <w:rPr>
                <w:rFonts w:ascii="Arial" w:cs="Arial" w:eastAsia="Arial" w:hAnsi="Arial"/>
                <w:sz w:val="15"/>
                <w:szCs w:val="15"/>
                <w:color w:val="auto"/>
              </w:rPr>
              <w:t>Multifamily mortgage loans held for investment, at amortized cost</w:t>
            </w:r>
          </w:p>
        </w:tc>
        <w:tc>
          <w:tcPr>
            <w:tcW w:w="2100" w:type="dxa"/>
            <w:vAlign w:val="bottom"/>
            <w:gridSpan w:val="2"/>
          </w:tcPr>
          <w:p>
            <w:pPr>
              <w:ind w:left="20"/>
              <w:spacing w:after="0"/>
              <w:rPr>
                <w:sz w:val="20"/>
                <w:szCs w:val="20"/>
                <w:color w:val="auto"/>
              </w:rPr>
            </w:pPr>
            <w:r>
              <w:rPr>
                <w:rFonts w:ascii="Arial" w:cs="Arial" w:eastAsia="Arial" w:hAnsi="Arial"/>
                <w:sz w:val="15"/>
                <w:szCs w:val="15"/>
                <w:color w:val="auto"/>
              </w:rPr>
              <w:t>Appraisal</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49</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jc w:val="right"/>
              <w:ind w:right="3"/>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6"/>
        </w:trPr>
        <w:tc>
          <w:tcPr>
            <w:tcW w:w="6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tcPr>
          <w:p>
            <w:pPr>
              <w:ind w:left="20"/>
              <w:spacing w:after="0"/>
              <w:rPr>
                <w:sz w:val="20"/>
                <w:szCs w:val="20"/>
                <w:color w:val="auto"/>
              </w:rPr>
            </w:pPr>
            <w:r>
              <w:rPr>
                <w:rFonts w:ascii="Arial" w:cs="Arial" w:eastAsia="Arial" w:hAnsi="Arial"/>
                <w:sz w:val="15"/>
                <w:szCs w:val="15"/>
                <w:color w:val="auto"/>
              </w:rPr>
              <w:t>Broker Price Opinion</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773</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jc w:val="right"/>
              <w:ind w:right="3"/>
              <w:spacing w:after="0"/>
              <w:rPr>
                <w:sz w:val="20"/>
                <w:szCs w:val="20"/>
                <w:color w:val="auto"/>
              </w:rPr>
            </w:pPr>
            <w:r>
              <w:rPr>
                <w:rFonts w:ascii="Arial" w:cs="Arial" w:eastAsia="Arial" w:hAnsi="Arial"/>
                <w:sz w:val="15"/>
                <w:szCs w:val="15"/>
                <w:color w:val="auto"/>
              </w:rPr>
              <w:t>614</w:t>
            </w:r>
          </w:p>
        </w:tc>
        <w:tc>
          <w:tcPr>
            <w:tcW w:w="0" w:type="dxa"/>
            <w:vAlign w:val="bottom"/>
          </w:tcPr>
          <w:p>
            <w:pPr>
              <w:spacing w:after="0"/>
              <w:rPr>
                <w:sz w:val="1"/>
                <w:szCs w:val="1"/>
                <w:color w:val="auto"/>
              </w:rPr>
            </w:pPr>
          </w:p>
        </w:tc>
      </w:tr>
      <w:tr>
        <w:trPr>
          <w:trHeight w:val="210"/>
        </w:trPr>
        <w:tc>
          <w:tcPr>
            <w:tcW w:w="6160" w:type="dxa"/>
            <w:vAlign w:val="bottom"/>
            <w:tcBorders>
              <w:bottom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Internal Model</w:t>
            </w:r>
          </w:p>
        </w:tc>
        <w:tc>
          <w:tcPr>
            <w:tcW w:w="12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183</w:t>
            </w:r>
          </w:p>
        </w:tc>
        <w:tc>
          <w:tcPr>
            <w:tcW w:w="220" w:type="dxa"/>
            <w:vAlign w:val="bottom"/>
          </w:tcPr>
          <w:p>
            <w:pPr>
              <w:spacing w:after="0"/>
              <w:rPr>
                <w:sz w:val="18"/>
                <w:szCs w:val="18"/>
                <w:color w:val="auto"/>
              </w:rPr>
            </w:pPr>
          </w:p>
        </w:tc>
        <w:tc>
          <w:tcPr>
            <w:tcW w:w="680" w:type="dxa"/>
            <w:vAlign w:val="bottom"/>
            <w:tcBorders>
              <w:bottom w:val="single" w:sz="8" w:color="2C6937"/>
            </w:tcBorders>
          </w:tcPr>
          <w:p>
            <w:pPr>
              <w:spacing w:after="0"/>
              <w:rPr>
                <w:sz w:val="18"/>
                <w:szCs w:val="18"/>
                <w:color w:val="auto"/>
              </w:rPr>
            </w:pPr>
          </w:p>
        </w:tc>
        <w:tc>
          <w:tcPr>
            <w:tcW w:w="6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244"/>
        </w:trPr>
        <w:tc>
          <w:tcPr>
            <w:tcW w:w="6260" w:type="dxa"/>
            <w:vAlign w:val="bottom"/>
            <w:gridSpan w:val="2"/>
          </w:tcPr>
          <w:p>
            <w:pPr>
              <w:ind w:left="160"/>
              <w:spacing w:after="0"/>
              <w:rPr>
                <w:sz w:val="20"/>
                <w:szCs w:val="20"/>
                <w:color w:val="auto"/>
              </w:rPr>
            </w:pPr>
            <w:r>
              <w:rPr>
                <w:rFonts w:ascii="Arial" w:cs="Arial" w:eastAsia="Arial" w:hAnsi="Arial"/>
                <w:sz w:val="15"/>
                <w:szCs w:val="15"/>
                <w:color w:val="auto"/>
              </w:rPr>
              <w:t>Total multifamily mortgage loans held for investment, at amortized cost</w:t>
            </w:r>
          </w:p>
        </w:tc>
        <w:tc>
          <w:tcPr>
            <w:tcW w:w="1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1,005</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jc w:val="right"/>
              <w:ind w:right="3"/>
              <w:spacing w:after="0"/>
              <w:rPr>
                <w:sz w:val="20"/>
                <w:szCs w:val="20"/>
                <w:color w:val="auto"/>
              </w:rPr>
            </w:pPr>
            <w:r>
              <w:rPr>
                <w:rFonts w:ascii="Arial" w:cs="Arial" w:eastAsia="Arial" w:hAnsi="Arial"/>
                <w:sz w:val="15"/>
                <w:szCs w:val="15"/>
                <w:color w:val="auto"/>
              </w:rPr>
              <w:t>644</w:t>
            </w:r>
          </w:p>
        </w:tc>
        <w:tc>
          <w:tcPr>
            <w:tcW w:w="0" w:type="dxa"/>
            <w:vAlign w:val="bottom"/>
          </w:tcPr>
          <w:p>
            <w:pPr>
              <w:spacing w:after="0"/>
              <w:rPr>
                <w:sz w:val="1"/>
                <w:szCs w:val="1"/>
                <w:color w:val="auto"/>
              </w:rPr>
            </w:pPr>
          </w:p>
        </w:tc>
      </w:tr>
      <w:tr>
        <w:trPr>
          <w:trHeight w:val="246"/>
        </w:trPr>
        <w:tc>
          <w:tcPr>
            <w:tcW w:w="6260" w:type="dxa"/>
            <w:vAlign w:val="bottom"/>
            <w:gridSpan w:val="2"/>
          </w:tcPr>
          <w:p>
            <w:pPr>
              <w:ind w:left="20"/>
              <w:spacing w:after="0"/>
              <w:rPr>
                <w:sz w:val="20"/>
                <w:szCs w:val="20"/>
                <w:color w:val="auto"/>
              </w:rPr>
            </w:pPr>
            <w:r>
              <w:rPr>
                <w:rFonts w:ascii="Arial" w:cs="Arial" w:eastAsia="Arial" w:hAnsi="Arial"/>
                <w:sz w:val="15"/>
                <w:szCs w:val="15"/>
                <w:color w:val="auto"/>
              </w:rPr>
              <w:t>Acquired property, net:</w:t>
            </w:r>
          </w:p>
        </w:tc>
        <w:tc>
          <w:tcPr>
            <w:tcW w:w="1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260" w:type="dxa"/>
            <w:vAlign w:val="bottom"/>
            <w:gridSpan w:val="2"/>
          </w:tcPr>
          <w:p>
            <w:pPr>
              <w:ind w:left="80"/>
              <w:spacing w:after="0"/>
              <w:rPr>
                <w:sz w:val="20"/>
                <w:szCs w:val="20"/>
                <w:color w:val="auto"/>
              </w:rPr>
            </w:pPr>
            <w:r>
              <w:rPr>
                <w:rFonts w:ascii="Arial" w:cs="Arial" w:eastAsia="Arial" w:hAnsi="Arial"/>
                <w:sz w:val="15"/>
                <w:szCs w:val="15"/>
                <w:color w:val="auto"/>
              </w:rPr>
              <w:t>Single-family</w:t>
            </w:r>
          </w:p>
        </w:tc>
        <w:tc>
          <w:tcPr>
            <w:tcW w:w="2100" w:type="dxa"/>
            <w:vAlign w:val="bottom"/>
            <w:gridSpan w:val="2"/>
          </w:tcPr>
          <w:p>
            <w:pPr>
              <w:ind w:left="20"/>
              <w:spacing w:after="0"/>
              <w:rPr>
                <w:sz w:val="20"/>
                <w:szCs w:val="20"/>
                <w:color w:val="auto"/>
              </w:rPr>
            </w:pPr>
            <w:r>
              <w:rPr>
                <w:rFonts w:ascii="Arial" w:cs="Arial" w:eastAsia="Arial" w:hAnsi="Arial"/>
                <w:sz w:val="15"/>
                <w:szCs w:val="15"/>
                <w:color w:val="auto"/>
              </w:rPr>
              <w:t>Accepted Offer</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22</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jc w:val="right"/>
              <w:ind w:right="3"/>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206"/>
        </w:trPr>
        <w:tc>
          <w:tcPr>
            <w:tcW w:w="6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tcPr>
          <w:p>
            <w:pPr>
              <w:ind w:left="20"/>
              <w:spacing w:after="0"/>
              <w:rPr>
                <w:sz w:val="20"/>
                <w:szCs w:val="20"/>
                <w:color w:val="auto"/>
              </w:rPr>
            </w:pPr>
            <w:r>
              <w:rPr>
                <w:rFonts w:ascii="Arial" w:cs="Arial" w:eastAsia="Arial" w:hAnsi="Arial"/>
                <w:sz w:val="15"/>
                <w:szCs w:val="15"/>
                <w:color w:val="auto"/>
              </w:rPr>
              <w:t>Appraisal</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35</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jc w:val="right"/>
              <w:ind w:right="3"/>
              <w:spacing w:after="0"/>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206"/>
        </w:trPr>
        <w:tc>
          <w:tcPr>
            <w:tcW w:w="6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tcPr>
          <w:p>
            <w:pPr>
              <w:ind w:left="20"/>
              <w:spacing w:after="0"/>
              <w:rPr>
                <w:sz w:val="20"/>
                <w:szCs w:val="20"/>
                <w:color w:val="auto"/>
              </w:rPr>
            </w:pPr>
            <w:r>
              <w:rPr>
                <w:rFonts w:ascii="Arial" w:cs="Arial" w:eastAsia="Arial" w:hAnsi="Arial"/>
                <w:sz w:val="15"/>
                <w:szCs w:val="15"/>
                <w:color w:val="auto"/>
              </w:rPr>
              <w:t>Internal Model</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202</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jc w:val="right"/>
              <w:ind w:right="3"/>
              <w:spacing w:after="0"/>
              <w:rPr>
                <w:sz w:val="20"/>
                <w:szCs w:val="20"/>
                <w:color w:val="auto"/>
              </w:rPr>
            </w:pPr>
            <w:r>
              <w:rPr>
                <w:rFonts w:ascii="Arial" w:cs="Arial" w:eastAsia="Arial" w:hAnsi="Arial"/>
                <w:sz w:val="15"/>
                <w:szCs w:val="15"/>
                <w:color w:val="auto"/>
              </w:rPr>
              <w:t>215</w:t>
            </w:r>
          </w:p>
        </w:tc>
        <w:tc>
          <w:tcPr>
            <w:tcW w:w="0" w:type="dxa"/>
            <w:vAlign w:val="bottom"/>
          </w:tcPr>
          <w:p>
            <w:pPr>
              <w:spacing w:after="0"/>
              <w:rPr>
                <w:sz w:val="1"/>
                <w:szCs w:val="1"/>
                <w:color w:val="auto"/>
              </w:rPr>
            </w:pPr>
          </w:p>
        </w:tc>
      </w:tr>
      <w:tr>
        <w:trPr>
          <w:trHeight w:val="206"/>
        </w:trPr>
        <w:tc>
          <w:tcPr>
            <w:tcW w:w="6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tcPr>
          <w:p>
            <w:pPr>
              <w:ind w:left="20"/>
              <w:spacing w:after="0"/>
              <w:rPr>
                <w:sz w:val="20"/>
                <w:szCs w:val="20"/>
                <w:color w:val="auto"/>
              </w:rPr>
            </w:pPr>
            <w:r>
              <w:rPr>
                <w:rFonts w:ascii="Arial" w:cs="Arial" w:eastAsia="Arial" w:hAnsi="Arial"/>
                <w:sz w:val="15"/>
                <w:szCs w:val="15"/>
                <w:color w:val="auto"/>
              </w:rPr>
              <w:t>Walk Forward</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94</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jc w:val="right"/>
              <w:ind w:right="3"/>
              <w:spacing w:after="0"/>
              <w:rPr>
                <w:sz w:val="20"/>
                <w:szCs w:val="20"/>
                <w:color w:val="auto"/>
              </w:rPr>
            </w:pPr>
            <w:r>
              <w:rPr>
                <w:rFonts w:ascii="Arial" w:cs="Arial" w:eastAsia="Arial" w:hAnsi="Arial"/>
                <w:sz w:val="15"/>
                <w:szCs w:val="15"/>
                <w:color w:val="auto"/>
              </w:rPr>
              <w:t>91</w:t>
            </w:r>
          </w:p>
        </w:tc>
        <w:tc>
          <w:tcPr>
            <w:tcW w:w="0" w:type="dxa"/>
            <w:vAlign w:val="bottom"/>
          </w:tcPr>
          <w:p>
            <w:pPr>
              <w:spacing w:after="0"/>
              <w:rPr>
                <w:sz w:val="1"/>
                <w:szCs w:val="1"/>
                <w:color w:val="auto"/>
              </w:rPr>
            </w:pPr>
          </w:p>
        </w:tc>
      </w:tr>
      <w:tr>
        <w:trPr>
          <w:trHeight w:val="210"/>
        </w:trPr>
        <w:tc>
          <w:tcPr>
            <w:tcW w:w="6160" w:type="dxa"/>
            <w:vAlign w:val="bottom"/>
            <w:tcBorders>
              <w:bottom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Various</w:t>
            </w:r>
          </w:p>
        </w:tc>
        <w:tc>
          <w:tcPr>
            <w:tcW w:w="12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13</w:t>
            </w:r>
          </w:p>
        </w:tc>
        <w:tc>
          <w:tcPr>
            <w:tcW w:w="220" w:type="dxa"/>
            <w:vAlign w:val="bottom"/>
          </w:tcPr>
          <w:p>
            <w:pPr>
              <w:spacing w:after="0"/>
              <w:rPr>
                <w:sz w:val="18"/>
                <w:szCs w:val="18"/>
                <w:color w:val="auto"/>
              </w:rPr>
            </w:pPr>
          </w:p>
        </w:tc>
        <w:tc>
          <w:tcPr>
            <w:tcW w:w="680" w:type="dxa"/>
            <w:vAlign w:val="bottom"/>
            <w:tcBorders>
              <w:bottom w:val="single" w:sz="8" w:color="2C6937"/>
            </w:tcBorders>
          </w:tcPr>
          <w:p>
            <w:pPr>
              <w:spacing w:after="0"/>
              <w:rPr>
                <w:sz w:val="18"/>
                <w:szCs w:val="18"/>
                <w:color w:val="auto"/>
              </w:rPr>
            </w:pPr>
          </w:p>
        </w:tc>
        <w:tc>
          <w:tcPr>
            <w:tcW w:w="6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31"/>
        </w:trPr>
        <w:tc>
          <w:tcPr>
            <w:tcW w:w="6260" w:type="dxa"/>
            <w:vAlign w:val="bottom"/>
            <w:gridSpan w:val="2"/>
          </w:tcPr>
          <w:p>
            <w:pPr>
              <w:ind w:left="160"/>
              <w:spacing w:after="0"/>
              <w:rPr>
                <w:sz w:val="20"/>
                <w:szCs w:val="20"/>
                <w:color w:val="auto"/>
              </w:rPr>
            </w:pPr>
            <w:r>
              <w:rPr>
                <w:rFonts w:ascii="Arial" w:cs="Arial" w:eastAsia="Arial" w:hAnsi="Arial"/>
                <w:sz w:val="15"/>
                <w:szCs w:val="15"/>
                <w:color w:val="auto"/>
              </w:rPr>
              <w:t>Total single-family</w:t>
            </w: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366</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jc w:val="right"/>
              <w:ind w:right="3"/>
              <w:spacing w:after="0"/>
              <w:rPr>
                <w:sz w:val="20"/>
                <w:szCs w:val="20"/>
                <w:color w:val="auto"/>
              </w:rPr>
            </w:pPr>
            <w:r>
              <w:rPr>
                <w:rFonts w:ascii="Arial" w:cs="Arial" w:eastAsia="Arial" w:hAnsi="Arial"/>
                <w:sz w:val="15"/>
                <w:szCs w:val="15"/>
                <w:color w:val="auto"/>
              </w:rPr>
              <w:t>400</w:t>
            </w:r>
          </w:p>
        </w:tc>
        <w:tc>
          <w:tcPr>
            <w:tcW w:w="0" w:type="dxa"/>
            <w:vAlign w:val="bottom"/>
          </w:tcPr>
          <w:p>
            <w:pPr>
              <w:spacing w:after="0"/>
              <w:rPr>
                <w:sz w:val="1"/>
                <w:szCs w:val="1"/>
                <w:color w:val="auto"/>
              </w:rPr>
            </w:pPr>
          </w:p>
        </w:tc>
      </w:tr>
      <w:tr>
        <w:trPr>
          <w:trHeight w:val="277"/>
        </w:trPr>
        <w:tc>
          <w:tcPr>
            <w:tcW w:w="6160" w:type="dxa"/>
            <w:vAlign w:val="bottom"/>
            <w:tcBorders>
              <w:bottom w:val="single" w:sz="8" w:color="2C6937"/>
            </w:tcBorders>
          </w:tcPr>
          <w:p>
            <w:pPr>
              <w:ind w:left="8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4"/>
                <w:szCs w:val="24"/>
                <w:color w:val="auto"/>
              </w:rPr>
            </w:pPr>
          </w:p>
        </w:tc>
        <w:tc>
          <w:tcPr>
            <w:tcW w:w="19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Various</w:t>
            </w:r>
          </w:p>
        </w:tc>
        <w:tc>
          <w:tcPr>
            <w:tcW w:w="12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62</w:t>
            </w:r>
          </w:p>
        </w:tc>
        <w:tc>
          <w:tcPr>
            <w:tcW w:w="220" w:type="dxa"/>
            <w:vAlign w:val="bottom"/>
          </w:tcPr>
          <w:p>
            <w:pPr>
              <w:spacing w:after="0"/>
              <w:rPr>
                <w:sz w:val="24"/>
                <w:szCs w:val="24"/>
                <w:color w:val="auto"/>
              </w:rPr>
            </w:pPr>
          </w:p>
        </w:tc>
        <w:tc>
          <w:tcPr>
            <w:tcW w:w="680" w:type="dxa"/>
            <w:vAlign w:val="bottom"/>
            <w:tcBorders>
              <w:bottom w:val="single" w:sz="8" w:color="2C6937"/>
            </w:tcBorders>
          </w:tcPr>
          <w:p>
            <w:pPr>
              <w:spacing w:after="0"/>
              <w:rPr>
                <w:sz w:val="24"/>
                <w:szCs w:val="24"/>
                <w:color w:val="auto"/>
              </w:rPr>
            </w:pPr>
          </w:p>
        </w:tc>
        <w:tc>
          <w:tcPr>
            <w:tcW w:w="6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119</w:t>
            </w:r>
          </w:p>
        </w:tc>
        <w:tc>
          <w:tcPr>
            <w:tcW w:w="0" w:type="dxa"/>
            <w:vAlign w:val="bottom"/>
          </w:tcPr>
          <w:p>
            <w:pPr>
              <w:spacing w:after="0"/>
              <w:rPr>
                <w:sz w:val="1"/>
                <w:szCs w:val="1"/>
                <w:color w:val="auto"/>
              </w:rPr>
            </w:pPr>
          </w:p>
        </w:tc>
      </w:tr>
      <w:tr>
        <w:trPr>
          <w:trHeight w:val="199"/>
        </w:trPr>
        <w:tc>
          <w:tcPr>
            <w:tcW w:w="6260" w:type="dxa"/>
            <w:vAlign w:val="bottom"/>
            <w:gridSpan w:val="2"/>
          </w:tcPr>
          <w:p>
            <w:pPr>
              <w:ind w:left="20"/>
              <w:spacing w:after="0"/>
              <w:rPr>
                <w:sz w:val="20"/>
                <w:szCs w:val="20"/>
                <w:color w:val="auto"/>
              </w:rPr>
            </w:pPr>
            <w:r>
              <w:rPr>
                <w:rFonts w:ascii="Arial" w:cs="Arial" w:eastAsia="Arial" w:hAnsi="Arial"/>
                <w:sz w:val="15"/>
                <w:szCs w:val="15"/>
                <w:color w:val="auto"/>
              </w:rPr>
              <w:t>Total nonrecurring assets at fair value</w:t>
            </w: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2,554</w:t>
            </w:r>
          </w:p>
        </w:tc>
        <w:tc>
          <w:tcPr>
            <w:tcW w:w="900" w:type="dxa"/>
            <w:vAlign w:val="bottom"/>
            <w:gridSpan w:val="2"/>
          </w:tcPr>
          <w:p>
            <w:pPr>
              <w:ind w:left="240"/>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3"/>
              <w:spacing w:after="0"/>
              <w:rPr>
                <w:sz w:val="20"/>
                <w:szCs w:val="20"/>
                <w:color w:val="auto"/>
              </w:rPr>
            </w:pPr>
            <w:r>
              <w:rPr>
                <w:rFonts w:ascii="Arial" w:cs="Arial" w:eastAsia="Arial" w:hAnsi="Arial"/>
                <w:sz w:val="15"/>
                <w:szCs w:val="15"/>
                <w:color w:val="auto"/>
              </w:rPr>
              <w:t>4,462</w:t>
            </w:r>
          </w:p>
        </w:tc>
        <w:tc>
          <w:tcPr>
            <w:tcW w:w="0" w:type="dxa"/>
            <w:vAlign w:val="bottom"/>
          </w:tcPr>
          <w:p>
            <w:pPr>
              <w:spacing w:after="0"/>
              <w:rPr>
                <w:sz w:val="1"/>
                <w:szCs w:val="1"/>
                <w:color w:val="auto"/>
              </w:rPr>
            </w:pPr>
          </w:p>
        </w:tc>
      </w:tr>
      <w:tr>
        <w:trPr>
          <w:trHeight w:val="20"/>
        </w:trPr>
        <w:tc>
          <w:tcPr>
            <w:tcW w:w="61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jc w:val="both"/>
        <w:ind w:left="240" w:right="100" w:hanging="237"/>
        <w:spacing w:after="0" w:line="231" w:lineRule="auto"/>
        <w:tabs>
          <w:tab w:leader="none" w:pos="240" w:val="left"/>
        </w:tabs>
        <w:numPr>
          <w:ilvl w:val="0"/>
          <w:numId w:val="130"/>
        </w:numPr>
        <w:rPr>
          <w:rFonts w:ascii="Arial" w:cs="Arial" w:eastAsia="Arial" w:hAnsi="Arial"/>
          <w:sz w:val="18"/>
          <w:szCs w:val="18"/>
          <w:color w:val="auto"/>
          <w:vertAlign w:val="superscript"/>
        </w:rPr>
      </w:pPr>
      <w:r>
        <w:rPr>
          <w:rFonts w:ascii="Arial" w:cs="Arial" w:eastAsia="Arial" w:hAnsi="Arial"/>
          <w:sz w:val="14"/>
          <w:szCs w:val="14"/>
          <w:color w:val="auto"/>
        </w:rPr>
        <w:t>When we measure impairment, including recoveries, based on the fair value of the loan or the underlying collateral and impairment is recorded on any component of the mortgage loan, including accrued interest receivable and amounts due from the borrower for advances of taxes and insurance, we present the entire fair value measurement amount with the corresponding mortgage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367665</wp:posOffset>
            </wp:positionV>
            <wp:extent cx="681101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164070" cy="4191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50" w:right="379" w:bottom="1440" w:gutter="0" w:footer="0" w:header="0"/>
        </w:sectPr>
      </w:pPr>
    </w:p>
    <w:bookmarkStart w:id="114" w:name="page115"/>
    <w:bookmarkEnd w:id="114"/>
    <w:p>
      <w:pPr>
        <w:jc w:val="right"/>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15875</wp:posOffset>
            </wp:positionV>
            <wp:extent cx="702373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Fair Value of Financial Instruments</w:t>
      </w:r>
    </w:p>
    <w:p>
      <w:pPr>
        <w:spacing w:after="0" w:line="82"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The following table displays the carrying value and estimated fair value of our financial instruments. The fair value of financial instruments we disclose includes commitments to purchase multifamily and single-family mortgage loans that we do not record in our condensed consolidated balance sheets. The fair values of these commitments are included as “Mortgage loans held for investment, net of allowance for loan losses.” The disclosure excludes all non-financial instruments; therefore, the fair value of our financial assets and liabilities does not represent the underlying fair value of our total consolidated assets and liabilities.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2540" w:type="dxa"/>
            <w:vAlign w:val="bottom"/>
            <w:tcBorders>
              <w:bottom w:val="single" w:sz="8" w:color="2C6937"/>
            </w:tcBorders>
            <w:gridSpan w:val="4"/>
          </w:tcPr>
          <w:p>
            <w:pPr>
              <w:jc w:val="right"/>
              <w:ind w:right="591"/>
              <w:spacing w:after="0"/>
              <w:rPr>
                <w:sz w:val="20"/>
                <w:szCs w:val="20"/>
                <w:color w:val="auto"/>
              </w:rPr>
            </w:pPr>
            <w:r>
              <w:rPr>
                <w:rFonts w:ascii="Arial" w:cs="Arial" w:eastAsia="Arial" w:hAnsi="Arial"/>
                <w:sz w:val="14"/>
                <w:szCs w:val="14"/>
                <w:b w:val="1"/>
                <w:bCs w:val="1"/>
                <w:color w:val="auto"/>
              </w:rPr>
              <w:t>As of June 30, 2023</w:t>
            </w:r>
          </w:p>
        </w:tc>
        <w:tc>
          <w:tcPr>
            <w:tcW w:w="10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40" w:type="dxa"/>
            <w:vAlign w:val="bottom"/>
            <w:tcBorders>
              <w:bottom w:val="single" w:sz="8" w:color="2C6937"/>
            </w:tcBorders>
          </w:tcPr>
          <w:p>
            <w:pPr>
              <w:spacing w:after="0"/>
              <w:rPr>
                <w:sz w:val="16"/>
                <w:szCs w:val="16"/>
                <w:color w:val="auto"/>
              </w:rPr>
            </w:pPr>
          </w:p>
        </w:tc>
      </w:tr>
      <w:tr>
        <w:trPr>
          <w:trHeight w:val="176"/>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31"/>
              <w:spacing w:after="0"/>
              <w:rPr>
                <w:sz w:val="20"/>
                <w:szCs w:val="20"/>
                <w:color w:val="auto"/>
              </w:rPr>
            </w:pPr>
            <w:r>
              <w:rPr>
                <w:rFonts w:ascii="Arial" w:cs="Arial" w:eastAsia="Arial" w:hAnsi="Arial"/>
                <w:sz w:val="14"/>
                <w:szCs w:val="14"/>
                <w:b w:val="1"/>
                <w:bCs w:val="1"/>
                <w:color w:val="auto"/>
                <w:w w:val="96"/>
              </w:rPr>
              <w:t>Quoted Prices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68"/>
        </w:trPr>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31"/>
              <w:spacing w:after="0"/>
              <w:rPr>
                <w:sz w:val="20"/>
                <w:szCs w:val="20"/>
                <w:color w:val="auto"/>
              </w:rPr>
            </w:pPr>
            <w:r>
              <w:rPr>
                <w:rFonts w:ascii="Arial" w:cs="Arial" w:eastAsia="Arial" w:hAnsi="Arial"/>
                <w:sz w:val="14"/>
                <w:szCs w:val="14"/>
                <w:b w:val="1"/>
                <w:bCs w:val="1"/>
                <w:color w:val="auto"/>
                <w:w w:val="95"/>
              </w:rPr>
              <w:t>in Active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ind w:right="31"/>
              <w:spacing w:after="0"/>
              <w:rPr>
                <w:sz w:val="20"/>
                <w:szCs w:val="20"/>
                <w:color w:val="auto"/>
              </w:rPr>
            </w:pPr>
            <w:r>
              <w:rPr>
                <w:rFonts w:ascii="Arial" w:cs="Arial" w:eastAsia="Arial" w:hAnsi="Arial"/>
                <w:sz w:val="14"/>
                <w:szCs w:val="14"/>
                <w:b w:val="1"/>
                <w:bCs w:val="1"/>
                <w:color w:val="auto"/>
                <w:w w:val="97"/>
              </w:rPr>
              <w:t>Significant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71"/>
              <w:spacing w:after="0"/>
              <w:rPr>
                <w:sz w:val="20"/>
                <w:szCs w:val="20"/>
                <w:color w:val="auto"/>
              </w:rPr>
            </w:pPr>
            <w:r>
              <w:rPr>
                <w:rFonts w:ascii="Arial" w:cs="Arial" w:eastAsia="Arial" w:hAnsi="Arial"/>
                <w:sz w:val="14"/>
                <w:szCs w:val="14"/>
                <w:b w:val="1"/>
                <w:bCs w:val="1"/>
                <w:color w:val="auto"/>
                <w:w w:val="97"/>
              </w:rPr>
              <w:t>Significant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55"/>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51"/>
              <w:spacing w:after="0" w:line="155" w:lineRule="exact"/>
              <w:rPr>
                <w:sz w:val="20"/>
                <w:szCs w:val="20"/>
                <w:color w:val="auto"/>
              </w:rPr>
            </w:pPr>
            <w:r>
              <w:rPr>
                <w:rFonts w:ascii="Arial" w:cs="Arial" w:eastAsia="Arial" w:hAnsi="Arial"/>
                <w:sz w:val="14"/>
                <w:szCs w:val="14"/>
                <w:b w:val="1"/>
                <w:bCs w:val="1"/>
                <w:color w:val="auto"/>
                <w:w w:val="98"/>
              </w:rPr>
              <w:t>Markets for</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center"/>
              <w:ind w:right="11"/>
              <w:spacing w:after="0" w:line="155"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71"/>
              <w:spacing w:after="0" w:line="155" w:lineRule="exact"/>
              <w:rPr>
                <w:sz w:val="20"/>
                <w:szCs w:val="20"/>
                <w:color w:val="auto"/>
              </w:rPr>
            </w:pPr>
            <w:r>
              <w:rPr>
                <w:rFonts w:ascii="Arial" w:cs="Arial" w:eastAsia="Arial" w:hAnsi="Arial"/>
                <w:sz w:val="14"/>
                <w:szCs w:val="14"/>
                <w:b w:val="1"/>
                <w:bCs w:val="1"/>
                <w:color w:val="auto"/>
                <w:w w:val="97"/>
              </w:rPr>
              <w:t>Unobservable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8"/>
        </w:trPr>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Identical Assets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ind w:right="11"/>
              <w:spacing w:after="0"/>
              <w:rPr>
                <w:sz w:val="20"/>
                <w:szCs w:val="20"/>
                <w:color w:val="auto"/>
              </w:rPr>
            </w:pPr>
            <w:r>
              <w:rPr>
                <w:rFonts w:ascii="Arial" w:cs="Arial" w:eastAsia="Arial" w:hAnsi="Arial"/>
                <w:sz w:val="14"/>
                <w:szCs w:val="14"/>
                <w:b w:val="1"/>
                <w:bCs w:val="1"/>
                <w:color w:val="auto"/>
                <w:w w:val="99"/>
              </w:rPr>
              <w:t>Observable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71"/>
              <w:spacing w:after="0"/>
              <w:rPr>
                <w:sz w:val="20"/>
                <w:szCs w:val="20"/>
                <w:color w:val="auto"/>
              </w:rPr>
            </w:pPr>
            <w:r>
              <w:rPr>
                <w:rFonts w:ascii="Arial" w:cs="Arial" w:eastAsia="Arial" w:hAnsi="Arial"/>
                <w:sz w:val="14"/>
                <w:szCs w:val="14"/>
                <w:b w:val="1"/>
                <w:bCs w:val="1"/>
                <w:color w:val="auto"/>
                <w:w w:val="99"/>
              </w:rPr>
              <w:t>Inputs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271"/>
              <w:spacing w:after="0"/>
              <w:rPr>
                <w:sz w:val="20"/>
                <w:szCs w:val="20"/>
                <w:color w:val="auto"/>
              </w:rPr>
            </w:pPr>
            <w:r>
              <w:rPr>
                <w:rFonts w:ascii="Arial" w:cs="Arial" w:eastAsia="Arial" w:hAnsi="Arial"/>
                <w:sz w:val="14"/>
                <w:szCs w:val="14"/>
                <w:b w:val="1"/>
                <w:bCs w:val="1"/>
                <w:color w:val="auto"/>
              </w:rPr>
              <w:t>Netting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31"/>
              <w:spacing w:after="0"/>
              <w:rPr>
                <w:sz w:val="20"/>
                <w:szCs w:val="20"/>
                <w:color w:val="auto"/>
              </w:rPr>
            </w:pPr>
            <w:r>
              <w:rPr>
                <w:rFonts w:ascii="Arial" w:cs="Arial" w:eastAsia="Arial" w:hAnsi="Arial"/>
                <w:sz w:val="14"/>
                <w:szCs w:val="14"/>
                <w:b w:val="1"/>
                <w:bCs w:val="1"/>
                <w:color w:val="auto"/>
                <w:w w:val="95"/>
              </w:rPr>
              <w:t>Estimated Fair</w:t>
            </w:r>
          </w:p>
        </w:tc>
      </w:tr>
      <w:tr>
        <w:trPr>
          <w:trHeight w:val="198"/>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2C6937"/>
            </w:tcBorders>
            <w:gridSpan w:val="2"/>
          </w:tcPr>
          <w:p>
            <w:pPr>
              <w:jc w:val="right"/>
              <w:ind w:right="31"/>
              <w:spacing w:after="0"/>
              <w:rPr>
                <w:sz w:val="20"/>
                <w:szCs w:val="20"/>
                <w:color w:val="auto"/>
              </w:rPr>
            </w:pPr>
            <w:r>
              <w:rPr>
                <w:rFonts w:ascii="Arial" w:cs="Arial" w:eastAsia="Arial" w:hAnsi="Arial"/>
                <w:sz w:val="14"/>
                <w:szCs w:val="14"/>
                <w:b w:val="1"/>
                <w:bCs w:val="1"/>
                <w:color w:val="auto"/>
              </w:rPr>
              <w:t>Carrying Value</w:t>
            </w:r>
          </w:p>
        </w:tc>
        <w:tc>
          <w:tcPr>
            <w:tcW w:w="1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tcPr>
          <w:p>
            <w:pPr>
              <w:jc w:val="center"/>
              <w:ind w:right="31"/>
              <w:spacing w:after="0"/>
              <w:rPr>
                <w:sz w:val="20"/>
                <w:szCs w:val="20"/>
                <w:color w:val="auto"/>
              </w:rPr>
            </w:pPr>
            <w:r>
              <w:rPr>
                <w:rFonts w:ascii="Arial" w:cs="Arial" w:eastAsia="Arial" w:hAnsi="Arial"/>
                <w:sz w:val="14"/>
                <w:szCs w:val="14"/>
                <w:b w:val="1"/>
                <w:bCs w:val="1"/>
                <w:color w:val="auto"/>
                <w:w w:val="98"/>
              </w:rPr>
              <w:t>(Level 1)</w:t>
            </w:r>
          </w:p>
        </w:tc>
        <w:tc>
          <w:tcPr>
            <w:tcW w:w="1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jc w:val="center"/>
              <w:ind w:right="11"/>
              <w:spacing w:after="0"/>
              <w:rPr>
                <w:sz w:val="20"/>
                <w:szCs w:val="20"/>
                <w:color w:val="auto"/>
              </w:rPr>
            </w:pPr>
            <w:r>
              <w:rPr>
                <w:rFonts w:ascii="Arial" w:cs="Arial" w:eastAsia="Arial" w:hAnsi="Arial"/>
                <w:sz w:val="14"/>
                <w:szCs w:val="14"/>
                <w:b w:val="1"/>
                <w:bCs w:val="1"/>
                <w:color w:val="auto"/>
                <w:w w:val="97"/>
              </w:rPr>
              <w:t>Inputs (Level 2)</w:t>
            </w:r>
          </w:p>
        </w:tc>
        <w:tc>
          <w:tcPr>
            <w:tcW w:w="12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jc w:val="center"/>
              <w:ind w:right="91"/>
              <w:spacing w:after="0"/>
              <w:rPr>
                <w:sz w:val="20"/>
                <w:szCs w:val="20"/>
                <w:color w:val="auto"/>
              </w:rPr>
            </w:pPr>
            <w:r>
              <w:rPr>
                <w:rFonts w:ascii="Arial" w:cs="Arial" w:eastAsia="Arial" w:hAnsi="Arial"/>
                <w:sz w:val="14"/>
                <w:szCs w:val="14"/>
                <w:b w:val="1"/>
                <w:bCs w:val="1"/>
                <w:color w:val="auto"/>
                <w:w w:val="98"/>
              </w:rPr>
              <w:t>(Level 3)</w:t>
            </w:r>
          </w:p>
        </w:tc>
        <w:tc>
          <w:tcPr>
            <w:tcW w:w="10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tcPr>
          <w:p>
            <w:pPr>
              <w:jc w:val="right"/>
              <w:ind w:right="131"/>
              <w:spacing w:after="0"/>
              <w:rPr>
                <w:sz w:val="20"/>
                <w:szCs w:val="20"/>
                <w:color w:val="auto"/>
              </w:rPr>
            </w:pPr>
            <w:r>
              <w:rPr>
                <w:rFonts w:ascii="Arial" w:cs="Arial" w:eastAsia="Arial" w:hAnsi="Arial"/>
                <w:sz w:val="14"/>
                <w:szCs w:val="14"/>
                <w:b w:val="1"/>
                <w:bCs w:val="1"/>
                <w:color w:val="auto"/>
              </w:rPr>
              <w:t>Adjustment</w:t>
            </w:r>
          </w:p>
        </w:tc>
        <w:tc>
          <w:tcPr>
            <w:tcW w:w="1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40" w:type="dxa"/>
            <w:vAlign w:val="bottom"/>
            <w:tcBorders>
              <w:bottom w:val="single" w:sz="8" w:color="2C6937"/>
            </w:tcBorders>
          </w:tcPr>
          <w:p>
            <w:pPr>
              <w:jc w:val="right"/>
              <w:ind w:right="331"/>
              <w:spacing w:after="0"/>
              <w:rPr>
                <w:sz w:val="20"/>
                <w:szCs w:val="20"/>
                <w:color w:val="auto"/>
              </w:rPr>
            </w:pPr>
            <w:r>
              <w:rPr>
                <w:rFonts w:ascii="Arial" w:cs="Arial" w:eastAsia="Arial" w:hAnsi="Arial"/>
                <w:sz w:val="14"/>
                <w:szCs w:val="14"/>
                <w:b w:val="1"/>
                <w:bCs w:val="1"/>
                <w:color w:val="auto"/>
              </w:rPr>
              <w:t>Value</w:t>
            </w:r>
          </w:p>
        </w:tc>
      </w:tr>
      <w:tr>
        <w:trPr>
          <w:trHeight w:val="192"/>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6"/>
        </w:trPr>
        <w:tc>
          <w:tcPr>
            <w:tcW w:w="350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assets: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89"/>
        </w:trPr>
        <w:tc>
          <w:tcPr>
            <w:tcW w:w="3500" w:type="dxa"/>
            <w:vAlign w:val="bottom"/>
            <w:gridSpan w:val="2"/>
          </w:tcPr>
          <w:p>
            <w:pPr>
              <w:ind w:left="120"/>
              <w:spacing w:after="0"/>
              <w:rPr>
                <w:sz w:val="20"/>
                <w:szCs w:val="20"/>
                <w:color w:val="auto"/>
              </w:rPr>
            </w:pPr>
            <w:r>
              <w:rPr>
                <w:rFonts w:ascii="Arial" w:cs="Arial" w:eastAsia="Arial" w:hAnsi="Arial"/>
                <w:sz w:val="14"/>
                <w:szCs w:val="14"/>
                <w:color w:val="auto"/>
              </w:rPr>
              <w:t>Cash and cash equivalents, including restricted cash</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7"/>
        </w:trPr>
        <w:tc>
          <w:tcPr>
            <w:tcW w:w="3500" w:type="dxa"/>
            <w:vAlign w:val="bottom"/>
            <w:gridSpan w:val="2"/>
          </w:tcPr>
          <w:p>
            <w:pPr>
              <w:ind w:left="220"/>
              <w:spacing w:after="0"/>
              <w:rPr>
                <w:sz w:val="20"/>
                <w:szCs w:val="20"/>
                <w:color w:val="auto"/>
              </w:rPr>
            </w:pPr>
            <w:r>
              <w:rPr>
                <w:rFonts w:ascii="Arial" w:cs="Arial" w:eastAsia="Arial" w:hAnsi="Arial"/>
                <w:sz w:val="14"/>
                <w:szCs w:val="14"/>
                <w:color w:val="auto"/>
              </w:rPr>
              <w:t>and cash equivalents</w:t>
            </w: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79,435</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36,235</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43,200</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79,435</w:t>
            </w:r>
          </w:p>
        </w:tc>
      </w:tr>
      <w:tr>
        <w:trPr>
          <w:trHeight w:val="219"/>
        </w:trPr>
        <w:tc>
          <w:tcPr>
            <w:tcW w:w="3500" w:type="dxa"/>
            <w:vAlign w:val="bottom"/>
            <w:gridSpan w:val="2"/>
          </w:tcPr>
          <w:p>
            <w:pPr>
              <w:ind w:left="120"/>
              <w:spacing w:after="0"/>
              <w:rPr>
                <w:sz w:val="20"/>
                <w:szCs w:val="20"/>
                <w:color w:val="auto"/>
              </w:rPr>
            </w:pPr>
            <w:r>
              <w:rPr>
                <w:rFonts w:ascii="Arial" w:cs="Arial" w:eastAsia="Arial" w:hAnsi="Arial"/>
                <w:sz w:val="14"/>
                <w:szCs w:val="14"/>
                <w:color w:val="auto"/>
              </w:rPr>
              <w:t>Securities purchased under agreements to resell</w:t>
            </w:r>
          </w:p>
        </w:tc>
        <w:tc>
          <w:tcPr>
            <w:tcW w:w="28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33,050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33,050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33,050</w:t>
            </w:r>
          </w:p>
        </w:tc>
      </w:tr>
      <w:tr>
        <w:trPr>
          <w:trHeight w:val="219"/>
        </w:trPr>
        <w:tc>
          <w:tcPr>
            <w:tcW w:w="3500" w:type="dxa"/>
            <w:vAlign w:val="bottom"/>
            <w:gridSpan w:val="2"/>
          </w:tcPr>
          <w:p>
            <w:pPr>
              <w:ind w:left="120"/>
              <w:spacing w:after="0"/>
              <w:rPr>
                <w:sz w:val="20"/>
                <w:szCs w:val="20"/>
                <w:color w:val="auto"/>
              </w:rPr>
            </w:pPr>
            <w:r>
              <w:rPr>
                <w:rFonts w:ascii="Arial" w:cs="Arial" w:eastAsia="Arial" w:hAnsi="Arial"/>
                <w:sz w:val="14"/>
                <w:szCs w:val="14"/>
                <w:color w:val="auto"/>
              </w:rPr>
              <w:t>Trading securities</w:t>
            </w:r>
          </w:p>
        </w:tc>
        <w:tc>
          <w:tcPr>
            <w:tcW w:w="28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50,585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48,207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50,585</w:t>
            </w:r>
          </w:p>
        </w:tc>
      </w:tr>
      <w:tr>
        <w:trPr>
          <w:trHeight w:val="219"/>
        </w:trPr>
        <w:tc>
          <w:tcPr>
            <w:tcW w:w="3500" w:type="dxa"/>
            <w:vAlign w:val="bottom"/>
            <w:gridSpan w:val="2"/>
          </w:tcPr>
          <w:p>
            <w:pPr>
              <w:ind w:left="120"/>
              <w:spacing w:after="0"/>
              <w:rPr>
                <w:sz w:val="20"/>
                <w:szCs w:val="20"/>
                <w:color w:val="auto"/>
              </w:rPr>
            </w:pPr>
            <w:r>
              <w:rPr>
                <w:rFonts w:ascii="Arial" w:cs="Arial" w:eastAsia="Arial" w:hAnsi="Arial"/>
                <w:sz w:val="14"/>
                <w:szCs w:val="14"/>
                <w:color w:val="auto"/>
              </w:rPr>
              <w:t>Available-for-sale securities</w:t>
            </w:r>
          </w:p>
        </w:tc>
        <w:tc>
          <w:tcPr>
            <w:tcW w:w="28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646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646</w:t>
            </w:r>
          </w:p>
        </w:tc>
      </w:tr>
      <w:tr>
        <w:trPr>
          <w:trHeight w:val="219"/>
        </w:trPr>
        <w:tc>
          <w:tcPr>
            <w:tcW w:w="3500" w:type="dxa"/>
            <w:vAlign w:val="bottom"/>
            <w:gridSpan w:val="2"/>
          </w:tcPr>
          <w:p>
            <w:pPr>
              <w:ind w:left="120"/>
              <w:spacing w:after="0"/>
              <w:rPr>
                <w:sz w:val="20"/>
                <w:szCs w:val="20"/>
                <w:color w:val="auto"/>
              </w:rPr>
            </w:pPr>
            <w:r>
              <w:rPr>
                <w:rFonts w:ascii="Arial" w:cs="Arial" w:eastAsia="Arial" w:hAnsi="Arial"/>
                <w:sz w:val="14"/>
                <w:szCs w:val="14"/>
                <w:color w:val="auto"/>
              </w:rPr>
              <w:t>Mortgage loans held for sale</w:t>
            </w:r>
          </w:p>
        </w:tc>
        <w:tc>
          <w:tcPr>
            <w:tcW w:w="28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513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526</w:t>
            </w:r>
          </w:p>
        </w:tc>
      </w:tr>
      <w:tr>
        <w:trPr>
          <w:trHeight w:val="187"/>
        </w:trPr>
        <w:tc>
          <w:tcPr>
            <w:tcW w:w="3500" w:type="dxa"/>
            <w:vAlign w:val="bottom"/>
            <w:gridSpan w:val="2"/>
          </w:tcPr>
          <w:p>
            <w:pPr>
              <w:ind w:left="120"/>
              <w:spacing w:after="0"/>
              <w:rPr>
                <w:sz w:val="20"/>
                <w:szCs w:val="20"/>
                <w:color w:val="auto"/>
              </w:rPr>
            </w:pPr>
            <w:r>
              <w:rPr>
                <w:rFonts w:ascii="Arial" w:cs="Arial" w:eastAsia="Arial" w:hAnsi="Arial"/>
                <w:sz w:val="14"/>
                <w:szCs w:val="14"/>
                <w:color w:val="auto"/>
              </w:rPr>
              <w:t>Mortgage loans held for investment, net of allowance</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7"/>
        </w:trPr>
        <w:tc>
          <w:tcPr>
            <w:tcW w:w="3500" w:type="dxa"/>
            <w:vAlign w:val="bottom"/>
            <w:gridSpan w:val="2"/>
          </w:tcPr>
          <w:p>
            <w:pPr>
              <w:ind w:left="220"/>
              <w:spacing w:after="0"/>
              <w:rPr>
                <w:sz w:val="20"/>
                <w:szCs w:val="20"/>
                <w:color w:val="auto"/>
              </w:rPr>
            </w:pPr>
            <w:r>
              <w:rPr>
                <w:rFonts w:ascii="Arial" w:cs="Arial" w:eastAsia="Arial" w:hAnsi="Arial"/>
                <w:sz w:val="14"/>
                <w:szCs w:val="14"/>
                <w:color w:val="auto"/>
              </w:rPr>
              <w:t>for loan losses</w:t>
            </w:r>
          </w:p>
        </w:tc>
        <w:tc>
          <w:tcPr>
            <w:tcW w:w="28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4,120,612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3,455,655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166,079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3,621,734</w:t>
            </w:r>
          </w:p>
        </w:tc>
      </w:tr>
      <w:tr>
        <w:trPr>
          <w:trHeight w:val="219"/>
        </w:trPr>
        <w:tc>
          <w:tcPr>
            <w:tcW w:w="3500" w:type="dxa"/>
            <w:vAlign w:val="bottom"/>
            <w:gridSpan w:val="2"/>
          </w:tcPr>
          <w:p>
            <w:pPr>
              <w:ind w:left="120"/>
              <w:spacing w:after="0"/>
              <w:rPr>
                <w:sz w:val="20"/>
                <w:szCs w:val="20"/>
                <w:color w:val="auto"/>
              </w:rPr>
            </w:pPr>
            <w:r>
              <w:rPr>
                <w:rFonts w:ascii="Arial" w:cs="Arial" w:eastAsia="Arial" w:hAnsi="Arial"/>
                <w:sz w:val="14"/>
                <w:szCs w:val="14"/>
                <w:color w:val="auto"/>
              </w:rPr>
              <w:t>Advances to lenders</w:t>
            </w:r>
          </w:p>
        </w:tc>
        <w:tc>
          <w:tcPr>
            <w:tcW w:w="28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3,483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3,483</w:t>
            </w:r>
          </w:p>
        </w:tc>
      </w:tr>
      <w:tr>
        <w:trPr>
          <w:trHeight w:val="219"/>
        </w:trPr>
        <w:tc>
          <w:tcPr>
            <w:tcW w:w="3500" w:type="dxa"/>
            <w:vAlign w:val="bottom"/>
            <w:gridSpan w:val="2"/>
          </w:tcPr>
          <w:p>
            <w:pPr>
              <w:ind w:left="120"/>
              <w:spacing w:after="0"/>
              <w:rPr>
                <w:sz w:val="20"/>
                <w:szCs w:val="20"/>
                <w:color w:val="auto"/>
              </w:rPr>
            </w:pPr>
            <w:r>
              <w:rPr>
                <w:rFonts w:ascii="Arial" w:cs="Arial" w:eastAsia="Arial" w:hAnsi="Arial"/>
                <w:sz w:val="14"/>
                <w:szCs w:val="14"/>
                <w:color w:val="auto"/>
              </w:rPr>
              <w:t>Derivative assets at fair value</w:t>
            </w:r>
          </w:p>
        </w:tc>
        <w:tc>
          <w:tcPr>
            <w:tcW w:w="28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145</w:t>
            </w:r>
          </w:p>
        </w:tc>
      </w:tr>
      <w:tr>
        <w:trPr>
          <w:trHeight w:val="186"/>
        </w:trPr>
        <w:tc>
          <w:tcPr>
            <w:tcW w:w="340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Guaranty assets and buy-ups</w:t>
            </w: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162</w:t>
            </w:r>
          </w:p>
        </w:tc>
      </w:tr>
      <w:tr>
        <w:trPr>
          <w:trHeight w:val="212"/>
        </w:trPr>
        <w:tc>
          <w:tcPr>
            <w:tcW w:w="340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financial assets</w:t>
            </w:r>
          </w:p>
        </w:tc>
        <w:tc>
          <w:tcPr>
            <w:tcW w:w="100" w:type="dxa"/>
            <w:vAlign w:val="bottom"/>
          </w:tcPr>
          <w:p>
            <w:pPr>
              <w:spacing w:after="0"/>
              <w:rPr>
                <w:sz w:val="18"/>
                <w:szCs w:val="18"/>
                <w:color w:val="auto"/>
              </w:rPr>
            </w:pPr>
          </w:p>
        </w:tc>
        <w:tc>
          <w:tcPr>
            <w:tcW w:w="280" w:type="dxa"/>
            <w:vAlign w:val="bottom"/>
            <w:tcBorders>
              <w:bottom w:val="single" w:sz="8" w:color="2C6937"/>
            </w:tcBorders>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4,288,547</w:t>
            </w:r>
          </w:p>
        </w:tc>
        <w:tc>
          <w:tcPr>
            <w:tcW w:w="100" w:type="dxa"/>
            <w:vAlign w:val="bottom"/>
          </w:tcPr>
          <w:p>
            <w:pPr>
              <w:spacing w:after="0"/>
              <w:rPr>
                <w:sz w:val="18"/>
                <w:szCs w:val="18"/>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84,442</w:t>
            </w:r>
          </w:p>
        </w:tc>
        <w:tc>
          <w:tcPr>
            <w:tcW w:w="120" w:type="dxa"/>
            <w:vAlign w:val="bottom"/>
          </w:tcPr>
          <w:p>
            <w:pPr>
              <w:spacing w:after="0"/>
              <w:rPr>
                <w:sz w:val="18"/>
                <w:szCs w:val="18"/>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3,538,105</w:t>
            </w:r>
          </w:p>
        </w:tc>
        <w:tc>
          <w:tcPr>
            <w:tcW w:w="120" w:type="dxa"/>
            <w:vAlign w:val="bottom"/>
          </w:tcPr>
          <w:p>
            <w:pPr>
              <w:spacing w:after="0"/>
              <w:rPr>
                <w:sz w:val="18"/>
                <w:szCs w:val="18"/>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167,437</w:t>
            </w:r>
          </w:p>
        </w:tc>
        <w:tc>
          <w:tcPr>
            <w:tcW w:w="100" w:type="dxa"/>
            <w:vAlign w:val="bottom"/>
          </w:tcPr>
          <w:p>
            <w:pPr>
              <w:spacing w:after="0"/>
              <w:rPr>
                <w:sz w:val="18"/>
                <w:szCs w:val="18"/>
                <w:color w:val="auto"/>
              </w:rPr>
            </w:pPr>
          </w:p>
        </w:tc>
        <w:tc>
          <w:tcPr>
            <w:tcW w:w="1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18"/>
                <w:szCs w:val="18"/>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3,789,766</w:t>
            </w:r>
          </w:p>
        </w:tc>
      </w:tr>
      <w:tr>
        <w:trPr>
          <w:trHeight w:val="24"/>
        </w:trPr>
        <w:tc>
          <w:tcPr>
            <w:tcW w:w="34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2C6937"/>
            </w:tcBorders>
          </w:tcPr>
          <w:p>
            <w:pPr>
              <w:spacing w:after="0"/>
              <w:rPr>
                <w:sz w:val="2"/>
                <w:szCs w:val="2"/>
                <w:color w:val="auto"/>
              </w:rPr>
            </w:pPr>
          </w:p>
        </w:tc>
        <w:tc>
          <w:tcPr>
            <w:tcW w:w="8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2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112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11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2C6937"/>
            </w:tcBorders>
          </w:tcPr>
          <w:p>
            <w:pPr>
              <w:spacing w:after="0"/>
              <w:rPr>
                <w:sz w:val="2"/>
                <w:szCs w:val="2"/>
                <w:color w:val="auto"/>
              </w:rPr>
            </w:pPr>
          </w:p>
        </w:tc>
        <w:tc>
          <w:tcPr>
            <w:tcW w:w="10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40" w:type="dxa"/>
            <w:vAlign w:val="bottom"/>
            <w:tcBorders>
              <w:bottom w:val="single" w:sz="8" w:color="2C6937"/>
            </w:tcBorders>
          </w:tcPr>
          <w:p>
            <w:pPr>
              <w:spacing w:after="0"/>
              <w:rPr>
                <w:sz w:val="2"/>
                <w:szCs w:val="2"/>
                <w:color w:val="auto"/>
              </w:rPr>
            </w:pPr>
          </w:p>
        </w:tc>
      </w:tr>
      <w:tr>
        <w:trPr>
          <w:trHeight w:val="275"/>
        </w:trPr>
        <w:tc>
          <w:tcPr>
            <w:tcW w:w="350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liabilities:</w:t>
            </w: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09"/>
        </w:trPr>
        <w:tc>
          <w:tcPr>
            <w:tcW w:w="3500" w:type="dxa"/>
            <w:vAlign w:val="bottom"/>
            <w:gridSpan w:val="2"/>
          </w:tcPr>
          <w:p>
            <w:pPr>
              <w:ind w:left="120"/>
              <w:spacing w:after="0"/>
              <w:rPr>
                <w:sz w:val="20"/>
                <w:szCs w:val="20"/>
                <w:color w:val="auto"/>
              </w:rPr>
            </w:pPr>
            <w:r>
              <w:rPr>
                <w:rFonts w:ascii="Arial" w:cs="Arial" w:eastAsia="Arial" w:hAnsi="Arial"/>
                <w:sz w:val="14"/>
                <w:szCs w:val="14"/>
                <w:color w:val="auto"/>
              </w:rPr>
              <w:t>Short-term debt:</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2"/>
        </w:trPr>
        <w:tc>
          <w:tcPr>
            <w:tcW w:w="3500" w:type="dxa"/>
            <w:vAlign w:val="bottom"/>
            <w:gridSpan w:val="2"/>
          </w:tcPr>
          <w:p>
            <w:pPr>
              <w:ind w:left="220"/>
              <w:spacing w:after="0"/>
              <w:rPr>
                <w:sz w:val="20"/>
                <w:szCs w:val="20"/>
                <w:color w:val="auto"/>
              </w:rPr>
            </w:pPr>
            <w:r>
              <w:rPr>
                <w:rFonts w:ascii="Arial" w:cs="Arial" w:eastAsia="Arial" w:hAnsi="Arial"/>
                <w:sz w:val="14"/>
                <w:szCs w:val="14"/>
                <w:color w:val="auto"/>
              </w:rPr>
              <w:t>Of Fannie Mae</w:t>
            </w: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15,628</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15,619</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15,619</w:t>
            </w:r>
          </w:p>
        </w:tc>
      </w:tr>
      <w:tr>
        <w:trPr>
          <w:trHeight w:val="193"/>
        </w:trPr>
        <w:tc>
          <w:tcPr>
            <w:tcW w:w="3500" w:type="dxa"/>
            <w:vAlign w:val="bottom"/>
            <w:gridSpan w:val="2"/>
          </w:tcPr>
          <w:p>
            <w:pPr>
              <w:ind w:left="120"/>
              <w:spacing w:after="0"/>
              <w:rPr>
                <w:sz w:val="20"/>
                <w:szCs w:val="20"/>
                <w:color w:val="auto"/>
              </w:rPr>
            </w:pPr>
            <w:r>
              <w:rPr>
                <w:rFonts w:ascii="Arial" w:cs="Arial" w:eastAsia="Arial" w:hAnsi="Arial"/>
                <w:sz w:val="14"/>
                <w:szCs w:val="14"/>
                <w:color w:val="auto"/>
              </w:rPr>
              <w:t>Long-term debt:</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6"/>
        </w:trPr>
        <w:tc>
          <w:tcPr>
            <w:tcW w:w="3500" w:type="dxa"/>
            <w:vAlign w:val="bottom"/>
            <w:gridSpan w:val="2"/>
          </w:tcPr>
          <w:p>
            <w:pPr>
              <w:ind w:left="220"/>
              <w:spacing w:after="0"/>
              <w:rPr>
                <w:sz w:val="20"/>
                <w:szCs w:val="20"/>
                <w:color w:val="auto"/>
              </w:rPr>
            </w:pPr>
            <w:r>
              <w:rPr>
                <w:rFonts w:ascii="Arial" w:cs="Arial" w:eastAsia="Arial" w:hAnsi="Arial"/>
                <w:sz w:val="14"/>
                <w:szCs w:val="14"/>
                <w:color w:val="auto"/>
              </w:rPr>
              <w:t>Of Fannie Mae</w:t>
            </w:r>
          </w:p>
        </w:tc>
        <w:tc>
          <w:tcPr>
            <w:tcW w:w="280" w:type="dxa"/>
            <w:vAlign w:val="bottom"/>
          </w:tcPr>
          <w:p>
            <w:pPr>
              <w:spacing w:after="0"/>
              <w:rPr>
                <w:sz w:val="17"/>
                <w:szCs w:val="17"/>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122,068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121,057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574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121,631</w:t>
            </w:r>
          </w:p>
        </w:tc>
      </w:tr>
      <w:tr>
        <w:trPr>
          <w:trHeight w:val="219"/>
        </w:trPr>
        <w:tc>
          <w:tcPr>
            <w:tcW w:w="3500" w:type="dxa"/>
            <w:vAlign w:val="bottom"/>
            <w:gridSpan w:val="2"/>
          </w:tcPr>
          <w:p>
            <w:pPr>
              <w:ind w:left="220"/>
              <w:spacing w:after="0"/>
              <w:rPr>
                <w:sz w:val="20"/>
                <w:szCs w:val="20"/>
                <w:color w:val="auto"/>
              </w:rPr>
            </w:pPr>
            <w:r>
              <w:rPr>
                <w:rFonts w:ascii="Arial" w:cs="Arial" w:eastAsia="Arial" w:hAnsi="Arial"/>
                <w:sz w:val="14"/>
                <w:szCs w:val="14"/>
                <w:color w:val="auto"/>
              </w:rPr>
              <w:t>Of consolidated trusts</w:t>
            </w:r>
          </w:p>
        </w:tc>
        <w:tc>
          <w:tcPr>
            <w:tcW w:w="28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4,094,654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3,533,579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39,567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3,573,146</w:t>
            </w:r>
          </w:p>
        </w:tc>
      </w:tr>
      <w:tr>
        <w:trPr>
          <w:trHeight w:val="180"/>
        </w:trPr>
        <w:tc>
          <w:tcPr>
            <w:tcW w:w="3500" w:type="dxa"/>
            <w:vAlign w:val="bottom"/>
            <w:gridSpan w:val="2"/>
          </w:tcPr>
          <w:p>
            <w:pPr>
              <w:ind w:left="120"/>
              <w:spacing w:after="0"/>
              <w:rPr>
                <w:sz w:val="20"/>
                <w:szCs w:val="20"/>
                <w:color w:val="auto"/>
              </w:rPr>
            </w:pPr>
            <w:r>
              <w:rPr>
                <w:rFonts w:ascii="Arial" w:cs="Arial" w:eastAsia="Arial" w:hAnsi="Arial"/>
                <w:sz w:val="14"/>
                <w:szCs w:val="14"/>
                <w:color w:val="auto"/>
              </w:rPr>
              <w:t>Derivative liabilities at fair value</w:t>
            </w:r>
          </w:p>
        </w:tc>
        <w:tc>
          <w:tcPr>
            <w:tcW w:w="280" w:type="dxa"/>
            <w:vAlign w:val="bottom"/>
          </w:tcPr>
          <w:p>
            <w:pPr>
              <w:spacing w:after="0"/>
              <w:rPr>
                <w:sz w:val="15"/>
                <w:szCs w:val="15"/>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4,454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(4,227)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297</w:t>
            </w:r>
          </w:p>
        </w:tc>
      </w:tr>
      <w:tr>
        <w:trPr>
          <w:trHeight w:val="199"/>
        </w:trPr>
        <w:tc>
          <w:tcPr>
            <w:tcW w:w="340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Guaranty obligations</w:t>
            </w:r>
          </w:p>
        </w:tc>
        <w:tc>
          <w:tcPr>
            <w:tcW w:w="10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65</w:t>
            </w:r>
          </w:p>
        </w:tc>
      </w:tr>
      <w:tr>
        <w:trPr>
          <w:trHeight w:val="212"/>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Total financial liabilities</w:t>
            </w: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4,232,732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3,674,709</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40,276</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(4,227)</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3,710,758</w:t>
            </w:r>
          </w:p>
        </w:tc>
      </w:tr>
      <w:tr>
        <w:trPr>
          <w:trHeight w:val="24"/>
        </w:trPr>
        <w:tc>
          <w:tcPr>
            <w:tcW w:w="340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2C6937"/>
              <w:bottom w:val="single" w:sz="8" w:color="2C6937"/>
            </w:tcBorders>
          </w:tcPr>
          <w:p>
            <w:pPr>
              <w:spacing w:after="0"/>
              <w:rPr>
                <w:sz w:val="2"/>
                <w:szCs w:val="2"/>
                <w:color w:val="auto"/>
              </w:rPr>
            </w:pPr>
          </w:p>
        </w:tc>
        <w:tc>
          <w:tcPr>
            <w:tcW w:w="8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1020" w:type="dxa"/>
            <w:vAlign w:val="bottom"/>
            <w:tcBorders>
              <w:top w:val="single" w:sz="8" w:color="2C6937"/>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top w:val="single" w:sz="8" w:color="2C6937"/>
              <w:bottom w:val="single" w:sz="8" w:color="2C6937"/>
            </w:tcBorders>
          </w:tcPr>
          <w:p>
            <w:pPr>
              <w:spacing w:after="0"/>
              <w:rPr>
                <w:sz w:val="2"/>
                <w:szCs w:val="2"/>
                <w:color w:val="auto"/>
              </w:rPr>
            </w:pPr>
          </w:p>
        </w:tc>
        <w:tc>
          <w:tcPr>
            <w:tcW w:w="1120" w:type="dxa"/>
            <w:vAlign w:val="bottom"/>
            <w:tcBorders>
              <w:top w:val="single" w:sz="8" w:color="2C6937"/>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2C6937"/>
              <w:bottom w:val="single" w:sz="8" w:color="2C6937"/>
            </w:tcBorders>
          </w:tcPr>
          <w:p>
            <w:pPr>
              <w:spacing w:after="0"/>
              <w:rPr>
                <w:sz w:val="2"/>
                <w:szCs w:val="2"/>
                <w:color w:val="auto"/>
              </w:rPr>
            </w:pPr>
          </w:p>
        </w:tc>
        <w:tc>
          <w:tcPr>
            <w:tcW w:w="11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2C6937"/>
              <w:bottom w:val="single" w:sz="8" w:color="2C6937"/>
            </w:tcBorders>
          </w:tcPr>
          <w:p>
            <w:pPr>
              <w:spacing w:after="0"/>
              <w:rPr>
                <w:sz w:val="2"/>
                <w:szCs w:val="2"/>
                <w:color w:val="auto"/>
              </w:rPr>
            </w:pPr>
          </w:p>
        </w:tc>
        <w:tc>
          <w:tcPr>
            <w:tcW w:w="100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1040" w:type="dxa"/>
            <w:vAlign w:val="bottom"/>
            <w:tcBorders>
              <w:top w:val="single" w:sz="8" w:color="2C6937"/>
              <w:bottom w:val="single" w:sz="8" w:color="2C6937"/>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466725</wp:posOffset>
            </wp:positionV>
            <wp:extent cx="681101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250" w:right="439" w:bottom="1440" w:gutter="0" w:footer="0" w:header="0"/>
        </w:sectPr>
      </w:pPr>
    </w:p>
    <w:bookmarkStart w:id="115" w:name="page116"/>
    <w:bookmarkEnd w:id="115"/>
    <w:p>
      <w:pPr>
        <w:ind w:left="7000"/>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15875</wp:posOffset>
            </wp:positionV>
            <wp:extent cx="702373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540" w:type="dxa"/>
            <w:vAlign w:val="bottom"/>
            <w:tcBorders>
              <w:bottom w:val="single" w:sz="8" w:color="2C6937"/>
            </w:tcBorders>
            <w:gridSpan w:val="4"/>
          </w:tcPr>
          <w:p>
            <w:pPr>
              <w:jc w:val="right"/>
              <w:ind w:right="431"/>
              <w:spacing w:after="0"/>
              <w:rPr>
                <w:sz w:val="20"/>
                <w:szCs w:val="20"/>
                <w:color w:val="auto"/>
              </w:rPr>
            </w:pPr>
            <w:r>
              <w:rPr>
                <w:rFonts w:ascii="Arial" w:cs="Arial" w:eastAsia="Arial" w:hAnsi="Arial"/>
                <w:sz w:val="14"/>
                <w:szCs w:val="14"/>
                <w:b w:val="1"/>
                <w:bCs w:val="1"/>
                <w:color w:val="auto"/>
              </w:rPr>
              <w:t>As of December 31, 2022</w:t>
            </w:r>
          </w:p>
        </w:tc>
        <w:tc>
          <w:tcPr>
            <w:tcW w:w="12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spacing w:after="0"/>
              <w:rPr>
                <w:sz w:val="16"/>
                <w:szCs w:val="16"/>
                <w:color w:val="auto"/>
              </w:rPr>
            </w:pPr>
          </w:p>
        </w:tc>
      </w:tr>
      <w:tr>
        <w:trPr>
          <w:trHeight w:val="176"/>
        </w:trPr>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Quoted Prices in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ind w:right="51"/>
              <w:spacing w:after="0"/>
              <w:rPr>
                <w:sz w:val="20"/>
                <w:szCs w:val="20"/>
                <w:color w:val="auto"/>
              </w:rPr>
            </w:pPr>
            <w:r>
              <w:rPr>
                <w:rFonts w:ascii="Arial" w:cs="Arial" w:eastAsia="Arial" w:hAnsi="Arial"/>
                <w:sz w:val="14"/>
                <w:szCs w:val="14"/>
                <w:b w:val="1"/>
                <w:bCs w:val="1"/>
                <w:color w:val="auto"/>
                <w:w w:val="97"/>
              </w:rPr>
              <w:t>Significant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center"/>
              <w:ind w:right="91"/>
              <w:spacing w:after="0"/>
              <w:rPr>
                <w:sz w:val="20"/>
                <w:szCs w:val="20"/>
                <w:color w:val="auto"/>
              </w:rPr>
            </w:pPr>
            <w:r>
              <w:rPr>
                <w:rFonts w:ascii="Arial" w:cs="Arial" w:eastAsia="Arial" w:hAnsi="Arial"/>
                <w:sz w:val="14"/>
                <w:szCs w:val="14"/>
                <w:b w:val="1"/>
                <w:bCs w:val="1"/>
                <w:color w:val="auto"/>
                <w:w w:val="97"/>
              </w:rPr>
              <w:t>Significant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68"/>
        </w:trPr>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Active Markets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31"/>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71"/>
              <w:spacing w:after="0"/>
              <w:rPr>
                <w:sz w:val="20"/>
                <w:szCs w:val="20"/>
                <w:color w:val="auto"/>
              </w:rPr>
            </w:pPr>
            <w:r>
              <w:rPr>
                <w:rFonts w:ascii="Arial" w:cs="Arial" w:eastAsia="Arial" w:hAnsi="Arial"/>
                <w:sz w:val="14"/>
                <w:szCs w:val="14"/>
                <w:b w:val="1"/>
                <w:bCs w:val="1"/>
                <w:color w:val="auto"/>
                <w:w w:val="99"/>
              </w:rPr>
              <w:t>Unobservable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55"/>
        </w:trPr>
        <w:tc>
          <w:tcPr>
            <w:tcW w:w="3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71"/>
              <w:spacing w:after="0" w:line="155" w:lineRule="exact"/>
              <w:rPr>
                <w:sz w:val="20"/>
                <w:szCs w:val="20"/>
                <w:color w:val="auto"/>
              </w:rPr>
            </w:pPr>
            <w:r>
              <w:rPr>
                <w:rFonts w:ascii="Arial" w:cs="Arial" w:eastAsia="Arial" w:hAnsi="Arial"/>
                <w:sz w:val="14"/>
                <w:szCs w:val="14"/>
                <w:b w:val="1"/>
                <w:bCs w:val="1"/>
                <w:color w:val="auto"/>
                <w:w w:val="98"/>
              </w:rPr>
              <w:t>for Identical</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right="31"/>
              <w:spacing w:after="0" w:line="155" w:lineRule="exact"/>
              <w:rPr>
                <w:sz w:val="20"/>
                <w:szCs w:val="20"/>
                <w:color w:val="auto"/>
              </w:rPr>
            </w:pPr>
            <w:r>
              <w:rPr>
                <w:rFonts w:ascii="Arial" w:cs="Arial" w:eastAsia="Arial" w:hAnsi="Arial"/>
                <w:sz w:val="14"/>
                <w:szCs w:val="14"/>
                <w:b w:val="1"/>
                <w:bCs w:val="1"/>
                <w:color w:val="auto"/>
                <w:w w:val="99"/>
              </w:rPr>
              <w:t>Observable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center"/>
              <w:ind w:right="71"/>
              <w:spacing w:after="0" w:line="155"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251"/>
              <w:spacing w:after="0" w:line="155" w:lineRule="exact"/>
              <w:rPr>
                <w:sz w:val="20"/>
                <w:szCs w:val="20"/>
                <w:color w:val="auto"/>
              </w:rPr>
            </w:pPr>
            <w:r>
              <w:rPr>
                <w:rFonts w:ascii="Arial" w:cs="Arial" w:eastAsia="Arial" w:hAnsi="Arial"/>
                <w:sz w:val="14"/>
                <w:szCs w:val="14"/>
                <w:b w:val="1"/>
                <w:bCs w:val="1"/>
                <w:color w:val="auto"/>
              </w:rPr>
              <w:t>Netting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ind w:right="51"/>
              <w:spacing w:after="0" w:line="155" w:lineRule="exact"/>
              <w:rPr>
                <w:sz w:val="20"/>
                <w:szCs w:val="20"/>
                <w:color w:val="auto"/>
              </w:rPr>
            </w:pPr>
            <w:r>
              <w:rPr>
                <w:rFonts w:ascii="Arial" w:cs="Arial" w:eastAsia="Arial" w:hAnsi="Arial"/>
                <w:sz w:val="14"/>
                <w:szCs w:val="14"/>
                <w:b w:val="1"/>
                <w:bCs w:val="1"/>
                <w:color w:val="auto"/>
                <w:w w:val="97"/>
              </w:rPr>
              <w:t>Estimated Fair</w:t>
            </w:r>
          </w:p>
        </w:tc>
      </w:tr>
      <w:tr>
        <w:trPr>
          <w:trHeight w:val="198"/>
        </w:trPr>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ind w:right="31"/>
              <w:spacing w:after="0"/>
              <w:rPr>
                <w:sz w:val="20"/>
                <w:szCs w:val="20"/>
                <w:color w:val="auto"/>
              </w:rPr>
            </w:pPr>
            <w:r>
              <w:rPr>
                <w:rFonts w:ascii="Arial" w:cs="Arial" w:eastAsia="Arial" w:hAnsi="Arial"/>
                <w:sz w:val="14"/>
                <w:szCs w:val="14"/>
                <w:b w:val="1"/>
                <w:bCs w:val="1"/>
                <w:color w:val="auto"/>
                <w:w w:val="95"/>
              </w:rPr>
              <w:t>Carrying Value</w:t>
            </w:r>
          </w:p>
        </w:tc>
        <w:tc>
          <w:tcPr>
            <w:tcW w:w="12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gridSpan w:val="2"/>
          </w:tcPr>
          <w:p>
            <w:pPr>
              <w:jc w:val="center"/>
              <w:spacing w:after="0"/>
              <w:rPr>
                <w:sz w:val="20"/>
                <w:szCs w:val="20"/>
                <w:color w:val="auto"/>
              </w:rPr>
            </w:pPr>
            <w:r>
              <w:rPr>
                <w:rFonts w:ascii="Arial" w:cs="Arial" w:eastAsia="Arial" w:hAnsi="Arial"/>
                <w:sz w:val="14"/>
                <w:szCs w:val="14"/>
                <w:b w:val="1"/>
                <w:bCs w:val="1"/>
                <w:color w:val="auto"/>
                <w:w w:val="97"/>
              </w:rPr>
              <w:t>Assets (Level 1)</w:t>
            </w:r>
          </w:p>
        </w:tc>
        <w:tc>
          <w:tcPr>
            <w:tcW w:w="1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100" w:type="dxa"/>
            <w:vAlign w:val="bottom"/>
            <w:tcBorders>
              <w:bottom w:val="single" w:sz="8" w:color="2C6937"/>
            </w:tcBorders>
          </w:tcPr>
          <w:p>
            <w:pPr>
              <w:jc w:val="center"/>
              <w:ind w:right="31"/>
              <w:spacing w:after="0"/>
              <w:rPr>
                <w:sz w:val="20"/>
                <w:szCs w:val="20"/>
                <w:color w:val="auto"/>
              </w:rPr>
            </w:pPr>
            <w:r>
              <w:rPr>
                <w:rFonts w:ascii="Arial" w:cs="Arial" w:eastAsia="Arial" w:hAnsi="Arial"/>
                <w:sz w:val="14"/>
                <w:szCs w:val="14"/>
                <w:b w:val="1"/>
                <w:bCs w:val="1"/>
                <w:color w:val="auto"/>
                <w:w w:val="97"/>
              </w:rPr>
              <w:t>Inputs (Level 2)</w:t>
            </w:r>
          </w:p>
        </w:tc>
        <w:tc>
          <w:tcPr>
            <w:tcW w:w="10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180" w:type="dxa"/>
            <w:vAlign w:val="bottom"/>
            <w:tcBorders>
              <w:bottom w:val="single" w:sz="8" w:color="2C6937"/>
            </w:tcBorders>
          </w:tcPr>
          <w:p>
            <w:pPr>
              <w:jc w:val="center"/>
              <w:ind w:right="71"/>
              <w:spacing w:after="0"/>
              <w:rPr>
                <w:sz w:val="20"/>
                <w:szCs w:val="20"/>
                <w:color w:val="auto"/>
              </w:rPr>
            </w:pPr>
            <w:r>
              <w:rPr>
                <w:rFonts w:ascii="Arial" w:cs="Arial" w:eastAsia="Arial" w:hAnsi="Arial"/>
                <w:sz w:val="14"/>
                <w:szCs w:val="14"/>
                <w:b w:val="1"/>
                <w:bCs w:val="1"/>
                <w:color w:val="auto"/>
                <w:w w:val="98"/>
              </w:rPr>
              <w:t>(Level 3)</w:t>
            </w:r>
          </w:p>
        </w:tc>
        <w:tc>
          <w:tcPr>
            <w:tcW w:w="12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right"/>
              <w:ind w:right="111"/>
              <w:spacing w:after="0"/>
              <w:rPr>
                <w:sz w:val="20"/>
                <w:szCs w:val="20"/>
                <w:color w:val="auto"/>
              </w:rPr>
            </w:pPr>
            <w:r>
              <w:rPr>
                <w:rFonts w:ascii="Arial" w:cs="Arial" w:eastAsia="Arial" w:hAnsi="Arial"/>
                <w:sz w:val="14"/>
                <w:szCs w:val="14"/>
                <w:b w:val="1"/>
                <w:bCs w:val="1"/>
                <w:color w:val="auto"/>
              </w:rPr>
              <w:t>Adjustment</w:t>
            </w:r>
          </w:p>
        </w:tc>
        <w:tc>
          <w:tcPr>
            <w:tcW w:w="10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ind w:right="351"/>
              <w:spacing w:after="0"/>
              <w:rPr>
                <w:sz w:val="20"/>
                <w:szCs w:val="20"/>
                <w:color w:val="auto"/>
              </w:rPr>
            </w:pPr>
            <w:r>
              <w:rPr>
                <w:rFonts w:ascii="Arial" w:cs="Arial" w:eastAsia="Arial" w:hAnsi="Arial"/>
                <w:sz w:val="14"/>
                <w:szCs w:val="14"/>
                <w:b w:val="1"/>
                <w:bCs w:val="1"/>
                <w:color w:val="auto"/>
              </w:rPr>
              <w:t>Value</w:t>
            </w:r>
          </w:p>
        </w:tc>
      </w:tr>
      <w:tr>
        <w:trPr>
          <w:trHeight w:val="192"/>
        </w:trPr>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3"/>
        </w:trPr>
        <w:tc>
          <w:tcPr>
            <w:tcW w:w="354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assets:</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77"/>
        </w:trPr>
        <w:tc>
          <w:tcPr>
            <w:tcW w:w="3540" w:type="dxa"/>
            <w:vAlign w:val="bottom"/>
            <w:gridSpan w:val="2"/>
          </w:tcPr>
          <w:p>
            <w:pPr>
              <w:ind w:left="120"/>
              <w:spacing w:after="0"/>
              <w:rPr>
                <w:sz w:val="20"/>
                <w:szCs w:val="20"/>
                <w:color w:val="auto"/>
              </w:rPr>
            </w:pPr>
            <w:r>
              <w:rPr>
                <w:rFonts w:ascii="Arial" w:cs="Arial" w:eastAsia="Arial" w:hAnsi="Arial"/>
                <w:sz w:val="14"/>
                <w:szCs w:val="14"/>
                <w:color w:val="auto"/>
              </w:rPr>
              <w:t>Cash and cash equivalents, including restricted cash</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7"/>
        </w:trPr>
        <w:tc>
          <w:tcPr>
            <w:tcW w:w="3540" w:type="dxa"/>
            <w:vAlign w:val="bottom"/>
            <w:gridSpan w:val="2"/>
          </w:tcPr>
          <w:p>
            <w:pPr>
              <w:ind w:left="220"/>
              <w:spacing w:after="0"/>
              <w:rPr>
                <w:sz w:val="20"/>
                <w:szCs w:val="20"/>
                <w:color w:val="auto"/>
              </w:rPr>
            </w:pPr>
            <w:r>
              <w:rPr>
                <w:rFonts w:ascii="Arial" w:cs="Arial" w:eastAsia="Arial" w:hAnsi="Arial"/>
                <w:sz w:val="14"/>
                <w:szCs w:val="14"/>
                <w:color w:val="auto"/>
              </w:rPr>
              <w:t>and cash equivalents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87,841</w:t>
            </w:r>
          </w:p>
        </w:tc>
        <w:tc>
          <w:tcPr>
            <w:tcW w:w="2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32,991</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54,850</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87,841</w:t>
            </w:r>
          </w:p>
        </w:tc>
      </w:tr>
      <w:tr>
        <w:trPr>
          <w:trHeight w:val="219"/>
        </w:trPr>
        <w:tc>
          <w:tcPr>
            <w:tcW w:w="3540" w:type="dxa"/>
            <w:vAlign w:val="bottom"/>
            <w:gridSpan w:val="2"/>
          </w:tcPr>
          <w:p>
            <w:pPr>
              <w:ind w:left="120"/>
              <w:spacing w:after="0"/>
              <w:rPr>
                <w:sz w:val="20"/>
                <w:szCs w:val="20"/>
                <w:color w:val="auto"/>
              </w:rPr>
            </w:pPr>
            <w:r>
              <w:rPr>
                <w:rFonts w:ascii="Arial" w:cs="Arial" w:eastAsia="Arial" w:hAnsi="Arial"/>
                <w:sz w:val="14"/>
                <w:szCs w:val="14"/>
                <w:color w:val="auto"/>
              </w:rPr>
              <w:t>Securities purchased under agreements to resell</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14,565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14,565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14,565</w:t>
            </w:r>
          </w:p>
        </w:tc>
      </w:tr>
      <w:tr>
        <w:trPr>
          <w:trHeight w:val="219"/>
        </w:trPr>
        <w:tc>
          <w:tcPr>
            <w:tcW w:w="3540" w:type="dxa"/>
            <w:vAlign w:val="bottom"/>
            <w:gridSpan w:val="2"/>
          </w:tcPr>
          <w:p>
            <w:pPr>
              <w:ind w:left="120"/>
              <w:spacing w:after="0"/>
              <w:rPr>
                <w:sz w:val="20"/>
                <w:szCs w:val="20"/>
                <w:color w:val="auto"/>
              </w:rPr>
            </w:pPr>
            <w:r>
              <w:rPr>
                <w:rFonts w:ascii="Arial" w:cs="Arial" w:eastAsia="Arial" w:hAnsi="Arial"/>
                <w:sz w:val="14"/>
                <w:szCs w:val="14"/>
                <w:color w:val="auto"/>
              </w:rPr>
              <w:t>Trading securities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50,129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46,898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50,129</w:t>
            </w:r>
          </w:p>
        </w:tc>
      </w:tr>
      <w:tr>
        <w:trPr>
          <w:trHeight w:val="219"/>
        </w:trPr>
        <w:tc>
          <w:tcPr>
            <w:tcW w:w="3540" w:type="dxa"/>
            <w:vAlign w:val="bottom"/>
            <w:gridSpan w:val="2"/>
          </w:tcPr>
          <w:p>
            <w:pPr>
              <w:ind w:left="120"/>
              <w:spacing w:after="0"/>
              <w:rPr>
                <w:sz w:val="20"/>
                <w:szCs w:val="20"/>
                <w:color w:val="auto"/>
              </w:rPr>
            </w:pPr>
            <w:r>
              <w:rPr>
                <w:rFonts w:ascii="Arial" w:cs="Arial" w:eastAsia="Arial" w:hAnsi="Arial"/>
                <w:sz w:val="14"/>
                <w:szCs w:val="14"/>
                <w:color w:val="auto"/>
              </w:rPr>
              <w:t>Available-for-sale securities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696</w:t>
            </w:r>
          </w:p>
        </w:tc>
      </w:tr>
      <w:tr>
        <w:trPr>
          <w:trHeight w:val="219"/>
        </w:trPr>
        <w:tc>
          <w:tcPr>
            <w:tcW w:w="3540" w:type="dxa"/>
            <w:vAlign w:val="bottom"/>
            <w:gridSpan w:val="2"/>
          </w:tcPr>
          <w:p>
            <w:pPr>
              <w:ind w:left="120"/>
              <w:spacing w:after="0"/>
              <w:rPr>
                <w:sz w:val="20"/>
                <w:szCs w:val="20"/>
                <w:color w:val="auto"/>
              </w:rPr>
            </w:pPr>
            <w:r>
              <w:rPr>
                <w:rFonts w:ascii="Arial" w:cs="Arial" w:eastAsia="Arial" w:hAnsi="Arial"/>
                <w:sz w:val="14"/>
                <w:szCs w:val="14"/>
                <w:color w:val="auto"/>
              </w:rPr>
              <w:t>Mortgage loans held for sale</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2,077</w:t>
            </w:r>
          </w:p>
        </w:tc>
      </w:tr>
      <w:tr>
        <w:trPr>
          <w:trHeight w:val="187"/>
        </w:trPr>
        <w:tc>
          <w:tcPr>
            <w:tcW w:w="3540" w:type="dxa"/>
            <w:vAlign w:val="bottom"/>
            <w:gridSpan w:val="2"/>
          </w:tcPr>
          <w:p>
            <w:pPr>
              <w:ind w:left="120"/>
              <w:spacing w:after="0"/>
              <w:rPr>
                <w:sz w:val="20"/>
                <w:szCs w:val="20"/>
                <w:color w:val="auto"/>
              </w:rPr>
            </w:pPr>
            <w:r>
              <w:rPr>
                <w:rFonts w:ascii="Arial" w:cs="Arial" w:eastAsia="Arial" w:hAnsi="Arial"/>
                <w:sz w:val="14"/>
                <w:szCs w:val="14"/>
                <w:color w:val="auto"/>
              </w:rPr>
              <w:t>Mortgage loans held for investment, net of allowance</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7"/>
        </w:trPr>
        <w:tc>
          <w:tcPr>
            <w:tcW w:w="3540" w:type="dxa"/>
            <w:vAlign w:val="bottom"/>
            <w:gridSpan w:val="2"/>
          </w:tcPr>
          <w:p>
            <w:pPr>
              <w:ind w:left="220"/>
              <w:spacing w:after="0"/>
              <w:rPr>
                <w:sz w:val="20"/>
                <w:szCs w:val="20"/>
                <w:color w:val="auto"/>
              </w:rPr>
            </w:pPr>
            <w:r>
              <w:rPr>
                <w:rFonts w:ascii="Arial" w:cs="Arial" w:eastAsia="Arial" w:hAnsi="Arial"/>
                <w:sz w:val="14"/>
                <w:szCs w:val="14"/>
                <w:color w:val="auto"/>
              </w:rPr>
              <w:t>for loan losses</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4,112,403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3,437,979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171,857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3,609,836</w:t>
            </w:r>
          </w:p>
        </w:tc>
      </w:tr>
      <w:tr>
        <w:trPr>
          <w:trHeight w:val="219"/>
        </w:trPr>
        <w:tc>
          <w:tcPr>
            <w:tcW w:w="3540" w:type="dxa"/>
            <w:vAlign w:val="bottom"/>
            <w:gridSpan w:val="2"/>
          </w:tcPr>
          <w:p>
            <w:pPr>
              <w:ind w:left="120"/>
              <w:spacing w:after="0"/>
              <w:rPr>
                <w:sz w:val="20"/>
                <w:szCs w:val="20"/>
                <w:color w:val="auto"/>
              </w:rPr>
            </w:pPr>
            <w:r>
              <w:rPr>
                <w:rFonts w:ascii="Arial" w:cs="Arial" w:eastAsia="Arial" w:hAnsi="Arial"/>
                <w:sz w:val="14"/>
                <w:szCs w:val="14"/>
                <w:color w:val="auto"/>
              </w:rPr>
              <w:t>Advances to lenders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1,502</w:t>
            </w:r>
          </w:p>
        </w:tc>
      </w:tr>
      <w:tr>
        <w:trPr>
          <w:trHeight w:val="219"/>
        </w:trPr>
        <w:tc>
          <w:tcPr>
            <w:tcW w:w="3540" w:type="dxa"/>
            <w:vAlign w:val="bottom"/>
            <w:gridSpan w:val="2"/>
          </w:tcPr>
          <w:p>
            <w:pPr>
              <w:ind w:left="120"/>
              <w:spacing w:after="0"/>
              <w:rPr>
                <w:sz w:val="20"/>
                <w:szCs w:val="20"/>
                <w:color w:val="auto"/>
              </w:rPr>
            </w:pPr>
            <w:r>
              <w:rPr>
                <w:rFonts w:ascii="Arial" w:cs="Arial" w:eastAsia="Arial" w:hAnsi="Arial"/>
                <w:sz w:val="14"/>
                <w:szCs w:val="14"/>
                <w:color w:val="auto"/>
              </w:rPr>
              <w:t>Derivative assets at fair value</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175</w:t>
            </w:r>
          </w:p>
        </w:tc>
      </w:tr>
      <w:tr>
        <w:trPr>
          <w:trHeight w:val="218"/>
        </w:trPr>
        <w:tc>
          <w:tcPr>
            <w:tcW w:w="344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Guaranty assets and buy-ups</w:t>
            </w:r>
          </w:p>
        </w:tc>
        <w:tc>
          <w:tcPr>
            <w:tcW w:w="100" w:type="dxa"/>
            <w:vAlign w:val="bottom"/>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166</w:t>
            </w:r>
          </w:p>
        </w:tc>
      </w:tr>
      <w:tr>
        <w:trPr>
          <w:trHeight w:val="206"/>
        </w:trPr>
        <w:tc>
          <w:tcPr>
            <w:tcW w:w="34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financial assets</w:t>
            </w:r>
          </w:p>
        </w:tc>
        <w:tc>
          <w:tcPr>
            <w:tcW w:w="100" w:type="dxa"/>
            <w:vAlign w:val="bottom"/>
          </w:tcPr>
          <w:p>
            <w:pPr>
              <w:spacing w:after="0"/>
              <w:rPr>
                <w:sz w:val="17"/>
                <w:szCs w:val="17"/>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4,269,431</w:t>
            </w:r>
          </w:p>
        </w:tc>
        <w:tc>
          <w:tcPr>
            <w:tcW w:w="120" w:type="dxa"/>
            <w:vAlign w:val="bottom"/>
          </w:tcPr>
          <w:p>
            <w:pPr>
              <w:spacing w:after="0"/>
              <w:rPr>
                <w:sz w:val="17"/>
                <w:szCs w:val="17"/>
                <w:color w:val="auto"/>
              </w:rPr>
            </w:pPr>
          </w:p>
        </w:tc>
        <w:tc>
          <w:tcPr>
            <w:tcW w:w="120" w:type="dxa"/>
            <w:vAlign w:val="bottom"/>
            <w:tcBorders>
              <w:bottom w:val="single" w:sz="8" w:color="2C6937"/>
            </w:tcBorders>
          </w:tcPr>
          <w:p>
            <w:pPr>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79,889</w:t>
            </w:r>
          </w:p>
        </w:tc>
        <w:tc>
          <w:tcPr>
            <w:tcW w:w="120" w:type="dxa"/>
            <w:vAlign w:val="bottom"/>
          </w:tcPr>
          <w:p>
            <w:pPr>
              <w:spacing w:after="0"/>
              <w:rPr>
                <w:sz w:val="17"/>
                <w:szCs w:val="17"/>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3,512,490</w:t>
            </w:r>
          </w:p>
        </w:tc>
        <w:tc>
          <w:tcPr>
            <w:tcW w:w="100" w:type="dxa"/>
            <w:vAlign w:val="bottom"/>
          </w:tcPr>
          <w:p>
            <w:pPr>
              <w:spacing w:after="0"/>
              <w:rPr>
                <w:sz w:val="17"/>
                <w:szCs w:val="17"/>
                <w:color w:val="auto"/>
              </w:rPr>
            </w:pPr>
          </w:p>
        </w:tc>
        <w:tc>
          <w:tcPr>
            <w:tcW w:w="1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174,762</w:t>
            </w:r>
          </w:p>
        </w:tc>
        <w:tc>
          <w:tcPr>
            <w:tcW w:w="120" w:type="dxa"/>
            <w:vAlign w:val="bottom"/>
          </w:tcPr>
          <w:p>
            <w:pPr>
              <w:spacing w:after="0"/>
              <w:rPr>
                <w:sz w:val="17"/>
                <w:szCs w:val="17"/>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7"/>
                <w:szCs w:val="17"/>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3,766,987</w:t>
            </w:r>
          </w:p>
        </w:tc>
      </w:tr>
      <w:tr>
        <w:trPr>
          <w:trHeight w:val="24"/>
        </w:trPr>
        <w:tc>
          <w:tcPr>
            <w:tcW w:w="34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100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1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2C6937"/>
            </w:tcBorders>
          </w:tcPr>
          <w:p>
            <w:pPr>
              <w:spacing w:after="0"/>
              <w:rPr>
                <w:sz w:val="2"/>
                <w:szCs w:val="2"/>
                <w:color w:val="auto"/>
              </w:rPr>
            </w:pPr>
          </w:p>
        </w:tc>
        <w:tc>
          <w:tcPr>
            <w:tcW w:w="118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9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1080" w:type="dxa"/>
            <w:vAlign w:val="bottom"/>
            <w:tcBorders>
              <w:bottom w:val="single" w:sz="8" w:color="2C6937"/>
            </w:tcBorders>
          </w:tcPr>
          <w:p>
            <w:pPr>
              <w:spacing w:after="0"/>
              <w:rPr>
                <w:sz w:val="2"/>
                <w:szCs w:val="2"/>
                <w:color w:val="auto"/>
              </w:rPr>
            </w:pPr>
          </w:p>
        </w:tc>
      </w:tr>
      <w:tr>
        <w:trPr>
          <w:trHeight w:val="262"/>
        </w:trPr>
        <w:tc>
          <w:tcPr>
            <w:tcW w:w="354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liabilities:</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196"/>
        </w:trPr>
        <w:tc>
          <w:tcPr>
            <w:tcW w:w="3540" w:type="dxa"/>
            <w:vAlign w:val="bottom"/>
            <w:gridSpan w:val="2"/>
          </w:tcPr>
          <w:p>
            <w:pPr>
              <w:ind w:left="120"/>
              <w:spacing w:after="0"/>
              <w:rPr>
                <w:sz w:val="20"/>
                <w:szCs w:val="20"/>
                <w:color w:val="auto"/>
              </w:rPr>
            </w:pPr>
            <w:r>
              <w:rPr>
                <w:rFonts w:ascii="Arial" w:cs="Arial" w:eastAsia="Arial" w:hAnsi="Arial"/>
                <w:sz w:val="14"/>
                <w:szCs w:val="14"/>
                <w:color w:val="auto"/>
              </w:rPr>
              <w:t>Short-term debt:</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2"/>
        </w:trPr>
        <w:tc>
          <w:tcPr>
            <w:tcW w:w="3540" w:type="dxa"/>
            <w:vAlign w:val="bottom"/>
            <w:gridSpan w:val="2"/>
          </w:tcPr>
          <w:p>
            <w:pPr>
              <w:ind w:left="220"/>
              <w:spacing w:after="0"/>
              <w:rPr>
                <w:sz w:val="20"/>
                <w:szCs w:val="20"/>
                <w:color w:val="auto"/>
              </w:rPr>
            </w:pPr>
            <w:r>
              <w:rPr>
                <w:rFonts w:ascii="Arial" w:cs="Arial" w:eastAsia="Arial" w:hAnsi="Arial"/>
                <w:sz w:val="14"/>
                <w:szCs w:val="14"/>
                <w:color w:val="auto"/>
              </w:rPr>
              <w:t>Of Fannie Mae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10,204</w:t>
            </w:r>
          </w:p>
        </w:tc>
        <w:tc>
          <w:tcPr>
            <w:tcW w:w="2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10,208</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10,208</w:t>
            </w:r>
          </w:p>
        </w:tc>
      </w:tr>
      <w:tr>
        <w:trPr>
          <w:trHeight w:val="193"/>
        </w:trPr>
        <w:tc>
          <w:tcPr>
            <w:tcW w:w="3540" w:type="dxa"/>
            <w:vAlign w:val="bottom"/>
            <w:gridSpan w:val="2"/>
          </w:tcPr>
          <w:p>
            <w:pPr>
              <w:ind w:left="120"/>
              <w:spacing w:after="0"/>
              <w:rPr>
                <w:sz w:val="20"/>
                <w:szCs w:val="20"/>
                <w:color w:val="auto"/>
              </w:rPr>
            </w:pPr>
            <w:r>
              <w:rPr>
                <w:rFonts w:ascii="Arial" w:cs="Arial" w:eastAsia="Arial" w:hAnsi="Arial"/>
                <w:sz w:val="14"/>
                <w:szCs w:val="14"/>
                <w:color w:val="auto"/>
              </w:rPr>
              <w:t>Long-term debt:</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2"/>
        </w:trPr>
        <w:tc>
          <w:tcPr>
            <w:tcW w:w="3540" w:type="dxa"/>
            <w:vAlign w:val="bottom"/>
            <w:gridSpan w:val="2"/>
          </w:tcPr>
          <w:p>
            <w:pPr>
              <w:ind w:left="220"/>
              <w:spacing w:after="0"/>
              <w:rPr>
                <w:sz w:val="20"/>
                <w:szCs w:val="20"/>
                <w:color w:val="auto"/>
              </w:rPr>
            </w:pPr>
            <w:r>
              <w:rPr>
                <w:rFonts w:ascii="Arial" w:cs="Arial" w:eastAsia="Arial" w:hAnsi="Arial"/>
                <w:sz w:val="14"/>
                <w:szCs w:val="14"/>
                <w:color w:val="auto"/>
              </w:rPr>
              <w:t>Of Fannie Mae</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123,964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122,066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122,624</w:t>
            </w:r>
          </w:p>
        </w:tc>
      </w:tr>
      <w:tr>
        <w:trPr>
          <w:trHeight w:val="219"/>
        </w:trPr>
        <w:tc>
          <w:tcPr>
            <w:tcW w:w="3540" w:type="dxa"/>
            <w:vAlign w:val="bottom"/>
            <w:gridSpan w:val="2"/>
          </w:tcPr>
          <w:p>
            <w:pPr>
              <w:ind w:left="220"/>
              <w:spacing w:after="0"/>
              <w:rPr>
                <w:sz w:val="20"/>
                <w:szCs w:val="20"/>
                <w:color w:val="auto"/>
              </w:rPr>
            </w:pPr>
            <w:r>
              <w:rPr>
                <w:rFonts w:ascii="Arial" w:cs="Arial" w:eastAsia="Arial" w:hAnsi="Arial"/>
                <w:sz w:val="14"/>
                <w:szCs w:val="14"/>
                <w:color w:val="auto"/>
              </w:rPr>
              <w:t>Of consolidated trusts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4,087,720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3,511,958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42,150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3,554,108</w:t>
            </w:r>
          </w:p>
        </w:tc>
      </w:tr>
      <w:tr>
        <w:trPr>
          <w:trHeight w:val="193"/>
        </w:trPr>
        <w:tc>
          <w:tcPr>
            <w:tcW w:w="3540" w:type="dxa"/>
            <w:vAlign w:val="bottom"/>
            <w:gridSpan w:val="2"/>
          </w:tcPr>
          <w:p>
            <w:pPr>
              <w:ind w:left="120"/>
              <w:spacing w:after="0"/>
              <w:rPr>
                <w:sz w:val="20"/>
                <w:szCs w:val="20"/>
                <w:color w:val="auto"/>
              </w:rPr>
            </w:pPr>
            <w:r>
              <w:rPr>
                <w:rFonts w:ascii="Arial" w:cs="Arial" w:eastAsia="Arial" w:hAnsi="Arial"/>
                <w:sz w:val="14"/>
                <w:szCs w:val="14"/>
                <w:color w:val="auto"/>
              </w:rPr>
              <w:t>Derivative liabilities at fair value</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4,764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(4,662)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168</w:t>
            </w:r>
          </w:p>
        </w:tc>
      </w:tr>
      <w:tr>
        <w:trPr>
          <w:trHeight w:val="186"/>
        </w:trPr>
        <w:tc>
          <w:tcPr>
            <w:tcW w:w="344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Guaranty obligations</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66</w:t>
            </w:r>
          </w:p>
        </w:tc>
      </w:tr>
      <w:tr>
        <w:trPr>
          <w:trHeight w:val="212"/>
        </w:trPr>
        <w:tc>
          <w:tcPr>
            <w:tcW w:w="3540" w:type="dxa"/>
            <w:vAlign w:val="bottom"/>
            <w:gridSpan w:val="2"/>
          </w:tcPr>
          <w:p>
            <w:pPr>
              <w:ind w:left="20"/>
              <w:spacing w:after="0"/>
              <w:rPr>
                <w:sz w:val="20"/>
                <w:szCs w:val="20"/>
                <w:color w:val="auto"/>
              </w:rPr>
            </w:pPr>
            <w:r>
              <w:rPr>
                <w:rFonts w:ascii="Arial" w:cs="Arial" w:eastAsia="Arial" w:hAnsi="Arial"/>
                <w:sz w:val="14"/>
                <w:szCs w:val="14"/>
                <w:color w:val="auto"/>
              </w:rPr>
              <w:t>Total financial liabilities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4,222,150</w:t>
            </w:r>
          </w:p>
        </w:tc>
        <w:tc>
          <w:tcPr>
            <w:tcW w:w="2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3,648,996</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42,840</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(4,662)</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3,687,174</w:t>
            </w:r>
          </w:p>
        </w:tc>
      </w:tr>
      <w:tr>
        <w:trPr>
          <w:trHeight w:val="24"/>
        </w:trPr>
        <w:tc>
          <w:tcPr>
            <w:tcW w:w="344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1060" w:type="dxa"/>
            <w:vAlign w:val="bottom"/>
            <w:tcBorders>
              <w:top w:val="single" w:sz="8" w:color="2C6937"/>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2C6937"/>
              <w:bottom w:val="single" w:sz="8" w:color="2C6937"/>
            </w:tcBorders>
          </w:tcPr>
          <w:p>
            <w:pPr>
              <w:spacing w:after="0"/>
              <w:rPr>
                <w:sz w:val="2"/>
                <w:szCs w:val="2"/>
                <w:color w:val="auto"/>
              </w:rPr>
            </w:pPr>
          </w:p>
        </w:tc>
        <w:tc>
          <w:tcPr>
            <w:tcW w:w="1000" w:type="dxa"/>
            <w:vAlign w:val="bottom"/>
            <w:tcBorders>
              <w:top w:val="single" w:sz="8" w:color="2C6937"/>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110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2C6937"/>
              <w:bottom w:val="single" w:sz="8" w:color="2C6937"/>
            </w:tcBorders>
          </w:tcPr>
          <w:p>
            <w:pPr>
              <w:spacing w:after="0"/>
              <w:rPr>
                <w:sz w:val="2"/>
                <w:szCs w:val="2"/>
                <w:color w:val="auto"/>
              </w:rPr>
            </w:pPr>
          </w:p>
        </w:tc>
        <w:tc>
          <w:tcPr>
            <w:tcW w:w="1180" w:type="dxa"/>
            <w:vAlign w:val="bottom"/>
            <w:tcBorders>
              <w:top w:val="single" w:sz="8" w:color="2C6937"/>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2C6937"/>
              <w:bottom w:val="single" w:sz="8" w:color="2C6937"/>
            </w:tcBorders>
          </w:tcPr>
          <w:p>
            <w:pPr>
              <w:spacing w:after="0"/>
              <w:rPr>
                <w:sz w:val="2"/>
                <w:szCs w:val="2"/>
                <w:color w:val="auto"/>
              </w:rPr>
            </w:pPr>
          </w:p>
        </w:tc>
        <w:tc>
          <w:tcPr>
            <w:tcW w:w="98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2C6937"/>
              <w:bottom w:val="single" w:sz="8" w:color="2C6937"/>
            </w:tcBorders>
          </w:tcPr>
          <w:p>
            <w:pPr>
              <w:spacing w:after="0"/>
              <w:rPr>
                <w:sz w:val="2"/>
                <w:szCs w:val="2"/>
                <w:color w:val="auto"/>
              </w:rPr>
            </w:pPr>
          </w:p>
        </w:tc>
        <w:tc>
          <w:tcPr>
            <w:tcW w:w="1080" w:type="dxa"/>
            <w:vAlign w:val="bottom"/>
            <w:tcBorders>
              <w:top w:val="single" w:sz="8" w:color="2C6937"/>
              <w:bottom w:val="single" w:sz="8" w:color="2C6937"/>
            </w:tcBorders>
          </w:tcPr>
          <w:p>
            <w:pPr>
              <w:spacing w:after="0"/>
              <w:rPr>
                <w:sz w:val="2"/>
                <w:szCs w:val="2"/>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For a detailed description and classification of our financial instruments, see “Note 15, Fair Value” in our 2022 Form 10-K.</w:t>
      </w:r>
    </w:p>
    <w:p>
      <w:pPr>
        <w:spacing w:after="0" w:line="115"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05314D"/>
        </w:rPr>
        <w:t>Fair Value Option</w:t>
      </w:r>
    </w:p>
    <w:p>
      <w:pPr>
        <w:spacing w:after="0" w:line="82" w:lineRule="exact"/>
        <w:rPr>
          <w:sz w:val="20"/>
          <w:szCs w:val="20"/>
          <w:color w:val="auto"/>
        </w:rPr>
      </w:pPr>
    </w:p>
    <w:p>
      <w:pPr>
        <w:ind w:right="140"/>
        <w:spacing w:after="0" w:line="300" w:lineRule="auto"/>
        <w:rPr>
          <w:sz w:val="20"/>
          <w:szCs w:val="20"/>
          <w:color w:val="auto"/>
        </w:rPr>
      </w:pPr>
      <w:r>
        <w:rPr>
          <w:rFonts w:ascii="Arial" w:cs="Arial" w:eastAsia="Arial" w:hAnsi="Arial"/>
          <w:sz w:val="16"/>
          <w:szCs w:val="16"/>
          <w:color w:val="auto"/>
        </w:rPr>
        <w:t>We elected the fair value option for loans and debt that contain embedded derivatives that would otherwise require bifurcation. Under the fair value option, we elected to carry these instruments at fair value instead of bifurcating the embedded derivative from such instruments.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for the mortgage loans is recorded in “Interest income: Mortgage loans” and interest expense for the debt instruments is recorded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Long-term debt” in our condensed consolidated statements of operations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386080</wp:posOffset>
            </wp:positionV>
            <wp:extent cx="681101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164070" cy="4191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16" w:name="page117"/>
    <w:bookmarkEnd w:id="116"/>
    <w:p>
      <w:pPr>
        <w:ind w:left="7000"/>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15875</wp:posOffset>
            </wp:positionV>
            <wp:extent cx="702373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the fair value and unpaid principal balance of the financial instruments for which we have elected the fair value option.</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248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36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spacing w:after="0"/>
              <w:rPr>
                <w:sz w:val="16"/>
                <w:szCs w:val="16"/>
                <w:color w:val="auto"/>
              </w:rPr>
            </w:pPr>
          </w:p>
        </w:tc>
        <w:tc>
          <w:tcPr>
            <w:tcW w:w="56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spacing w:after="0"/>
              <w:rPr>
                <w:sz w:val="16"/>
                <w:szCs w:val="16"/>
                <w:color w:val="auto"/>
              </w:rPr>
            </w:pPr>
          </w:p>
        </w:tc>
        <w:tc>
          <w:tcPr>
            <w:tcW w:w="540" w:type="dxa"/>
            <w:vAlign w:val="bottom"/>
            <w:tcBorders>
              <w:bottom w:val="single" w:sz="8" w:color="2C6937"/>
            </w:tcBorders>
            <w:gridSpan w:val="3"/>
          </w:tcPr>
          <w:p>
            <w:pPr>
              <w:jc w:val="center"/>
              <w:ind w:right="160"/>
              <w:spacing w:after="0"/>
              <w:rPr>
                <w:sz w:val="20"/>
                <w:szCs w:val="20"/>
                <w:color w:val="auto"/>
              </w:rPr>
            </w:pPr>
            <w:r>
              <w:rPr>
                <w:rFonts w:ascii="Arial" w:cs="Arial" w:eastAsia="Arial" w:hAnsi="Arial"/>
                <w:sz w:val="14"/>
                <w:szCs w:val="14"/>
                <w:b w:val="1"/>
                <w:bCs w:val="1"/>
                <w:color w:val="auto"/>
                <w:w w:val="97"/>
              </w:rPr>
              <w:t>As of</w:t>
            </w:r>
          </w:p>
        </w:tc>
        <w:tc>
          <w:tcPr>
            <w:tcW w:w="980" w:type="dxa"/>
            <w:vAlign w:val="bottom"/>
            <w:tcBorders>
              <w:bottom w:val="single" w:sz="8" w:color="2C6937"/>
            </w:tcBorders>
          </w:tcPr>
          <w:p>
            <w:pPr>
              <w:spacing w:after="0"/>
              <w:rPr>
                <w:sz w:val="16"/>
                <w:szCs w:val="16"/>
                <w:color w:val="auto"/>
              </w:rPr>
            </w:pPr>
          </w:p>
        </w:tc>
        <w:tc>
          <w:tcPr>
            <w:tcW w:w="360" w:type="dxa"/>
            <w:vAlign w:val="bottom"/>
            <w:tcBorders>
              <w:bottom w:val="single" w:sz="8" w:color="2C6937"/>
            </w:tcBorders>
          </w:tcPr>
          <w:p>
            <w:pPr>
              <w:spacing w:after="0"/>
              <w:rPr>
                <w:sz w:val="16"/>
                <w:szCs w:val="16"/>
                <w:color w:val="auto"/>
              </w:rPr>
            </w:pPr>
          </w:p>
        </w:tc>
        <w:tc>
          <w:tcPr>
            <w:tcW w:w="1200" w:type="dxa"/>
            <w:vAlign w:val="bottom"/>
            <w:tcBorders>
              <w:bottom w:val="single" w:sz="8" w:color="2C6937"/>
            </w:tcBorders>
          </w:tcPr>
          <w:p>
            <w:pPr>
              <w:spacing w:after="0"/>
              <w:rPr>
                <w:sz w:val="16"/>
                <w:szCs w:val="16"/>
                <w:color w:val="auto"/>
              </w:rPr>
            </w:pPr>
          </w:p>
        </w:tc>
        <w:tc>
          <w:tcPr>
            <w:tcW w:w="5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8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36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jc w:val="right"/>
              <w:ind w:right="87"/>
              <w:spacing w:after="0"/>
              <w:rPr>
                <w:sz w:val="20"/>
                <w:szCs w:val="20"/>
                <w:color w:val="auto"/>
              </w:rPr>
            </w:pPr>
            <w:r>
              <w:rPr>
                <w:rFonts w:ascii="Arial" w:cs="Arial" w:eastAsia="Arial" w:hAnsi="Arial"/>
                <w:sz w:val="14"/>
                <w:szCs w:val="14"/>
                <w:b w:val="1"/>
                <w:bCs w:val="1"/>
                <w:color w:val="auto"/>
              </w:rPr>
              <w:t>June 30, 2023</w:t>
            </w:r>
          </w:p>
        </w:tc>
        <w:tc>
          <w:tcPr>
            <w:tcW w:w="56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1560" w:type="dxa"/>
            <w:vAlign w:val="bottom"/>
            <w:tcBorders>
              <w:bottom w:val="single" w:sz="8" w:color="2C6937"/>
            </w:tcBorders>
            <w:gridSpan w:val="2"/>
          </w:tcPr>
          <w:p>
            <w:pPr>
              <w:ind w:left="260"/>
              <w:spacing w:after="0"/>
              <w:rPr>
                <w:sz w:val="20"/>
                <w:szCs w:val="20"/>
                <w:color w:val="auto"/>
              </w:rPr>
            </w:pPr>
            <w:r>
              <w:rPr>
                <w:rFonts w:ascii="Arial" w:cs="Arial" w:eastAsia="Arial" w:hAnsi="Arial"/>
                <w:sz w:val="14"/>
                <w:szCs w:val="14"/>
                <w:b w:val="1"/>
                <w:bCs w:val="1"/>
                <w:color w:val="auto"/>
              </w:rPr>
              <w:t>December 31, 2022</w:t>
            </w:r>
          </w:p>
        </w:tc>
        <w:tc>
          <w:tcPr>
            <w:tcW w:w="5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restart"/>
          </w:tcPr>
          <w:p>
            <w:pPr>
              <w:jc w:val="right"/>
              <w:ind w:right="306"/>
              <w:spacing w:after="0"/>
              <w:rPr>
                <w:sz w:val="20"/>
                <w:szCs w:val="20"/>
                <w:color w:val="auto"/>
              </w:rPr>
            </w:pPr>
            <w:r>
              <w:rPr>
                <w:rFonts w:ascii="Arial" w:cs="Arial" w:eastAsia="Arial" w:hAnsi="Arial"/>
                <w:sz w:val="14"/>
                <w:szCs w:val="14"/>
                <w:b w:val="1"/>
                <w:bCs w:val="1"/>
                <w:color w:val="auto"/>
              </w:rPr>
              <w:t>Loans</w:t>
            </w:r>
            <w:r>
              <w:rPr>
                <w:rFonts w:ascii="Arial" w:cs="Arial" w:eastAsia="Arial" w:hAnsi="Arial"/>
                <w:sz w:val="17"/>
                <w:szCs w:val="17"/>
                <w:b w:val="1"/>
                <w:bCs w:val="1"/>
                <w:color w:val="auto"/>
                <w:vertAlign w:val="superscript"/>
              </w:rPr>
              <w:t>(1)</w:t>
            </w:r>
          </w:p>
        </w:tc>
        <w:tc>
          <w:tcPr>
            <w:tcW w:w="1480" w:type="dxa"/>
            <w:vAlign w:val="bottom"/>
            <w:gridSpan w:val="2"/>
          </w:tcPr>
          <w:p>
            <w:pPr>
              <w:jc w:val="right"/>
              <w:ind w:right="47"/>
              <w:spacing w:after="0" w:line="135" w:lineRule="exact"/>
              <w:rPr>
                <w:sz w:val="20"/>
                <w:szCs w:val="20"/>
                <w:color w:val="auto"/>
              </w:rPr>
            </w:pPr>
            <w:r>
              <w:rPr>
                <w:rFonts w:ascii="Arial" w:cs="Arial" w:eastAsia="Arial" w:hAnsi="Arial"/>
                <w:sz w:val="14"/>
                <w:szCs w:val="14"/>
                <w:b w:val="1"/>
                <w:bCs w:val="1"/>
                <w:color w:val="auto"/>
              </w:rPr>
              <w:t>Long-Term Debt of</w:t>
            </w:r>
          </w:p>
        </w:tc>
        <w:tc>
          <w:tcPr>
            <w:tcW w:w="1420" w:type="dxa"/>
            <w:vAlign w:val="bottom"/>
            <w:gridSpan w:val="2"/>
          </w:tcPr>
          <w:p>
            <w:pPr>
              <w:jc w:val="center"/>
              <w:ind w:left="88"/>
              <w:spacing w:after="0" w:line="135" w:lineRule="exact"/>
              <w:rPr>
                <w:sz w:val="20"/>
                <w:szCs w:val="20"/>
                <w:color w:val="auto"/>
              </w:rPr>
            </w:pPr>
            <w:r>
              <w:rPr>
                <w:rFonts w:ascii="Arial" w:cs="Arial" w:eastAsia="Arial" w:hAnsi="Arial"/>
                <w:sz w:val="14"/>
                <w:szCs w:val="14"/>
                <w:b w:val="1"/>
                <w:bCs w:val="1"/>
                <w:color w:val="auto"/>
                <w:w w:val="97"/>
              </w:rPr>
              <w:t>Long-Term Debt of</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restart"/>
          </w:tcPr>
          <w:p>
            <w:pPr>
              <w:jc w:val="right"/>
              <w:ind w:right="306"/>
              <w:spacing w:after="0"/>
              <w:rPr>
                <w:sz w:val="20"/>
                <w:szCs w:val="20"/>
                <w:color w:val="auto"/>
              </w:rPr>
            </w:pPr>
            <w:r>
              <w:rPr>
                <w:rFonts w:ascii="Arial" w:cs="Arial" w:eastAsia="Arial" w:hAnsi="Arial"/>
                <w:sz w:val="14"/>
                <w:szCs w:val="14"/>
                <w:b w:val="1"/>
                <w:bCs w:val="1"/>
                <w:color w:val="auto"/>
              </w:rPr>
              <w:t>Loans</w:t>
            </w:r>
            <w:r>
              <w:rPr>
                <w:rFonts w:ascii="Arial" w:cs="Arial" w:eastAsia="Arial" w:hAnsi="Arial"/>
                <w:sz w:val="17"/>
                <w:szCs w:val="17"/>
                <w:b w:val="1"/>
                <w:bCs w:val="1"/>
                <w:color w:val="auto"/>
                <w:vertAlign w:val="superscript"/>
              </w:rPr>
              <w:t>(1)</w:t>
            </w:r>
          </w:p>
        </w:tc>
        <w:tc>
          <w:tcPr>
            <w:tcW w:w="1560" w:type="dxa"/>
            <w:vAlign w:val="bottom"/>
            <w:gridSpan w:val="2"/>
          </w:tcPr>
          <w:p>
            <w:pPr>
              <w:jc w:val="right"/>
              <w:ind w:right="106"/>
              <w:spacing w:after="0" w:line="135" w:lineRule="exact"/>
              <w:rPr>
                <w:sz w:val="20"/>
                <w:szCs w:val="20"/>
                <w:color w:val="auto"/>
              </w:rPr>
            </w:pPr>
            <w:r>
              <w:rPr>
                <w:rFonts w:ascii="Arial" w:cs="Arial" w:eastAsia="Arial" w:hAnsi="Arial"/>
                <w:sz w:val="14"/>
                <w:szCs w:val="14"/>
                <w:b w:val="1"/>
                <w:bCs w:val="1"/>
                <w:color w:val="auto"/>
              </w:rPr>
              <w:t>Long-Term Debt of</w:t>
            </w:r>
          </w:p>
        </w:tc>
        <w:tc>
          <w:tcPr>
            <w:tcW w:w="1480" w:type="dxa"/>
            <w:vAlign w:val="bottom"/>
            <w:gridSpan w:val="2"/>
          </w:tcPr>
          <w:p>
            <w:pPr>
              <w:jc w:val="right"/>
              <w:ind w:right="63"/>
              <w:spacing w:after="0" w:line="135" w:lineRule="exact"/>
              <w:rPr>
                <w:sz w:val="20"/>
                <w:szCs w:val="20"/>
                <w:color w:val="auto"/>
              </w:rPr>
            </w:pPr>
            <w:r>
              <w:rPr>
                <w:rFonts w:ascii="Arial" w:cs="Arial" w:eastAsia="Arial" w:hAnsi="Arial"/>
                <w:sz w:val="14"/>
                <w:szCs w:val="14"/>
                <w:b w:val="1"/>
                <w:bCs w:val="1"/>
                <w:color w:val="auto"/>
              </w:rPr>
              <w:t>Long-Term Debt of</w:t>
            </w:r>
          </w:p>
        </w:tc>
        <w:tc>
          <w:tcPr>
            <w:tcW w:w="0" w:type="dxa"/>
            <w:vAlign w:val="bottom"/>
          </w:tcPr>
          <w:p>
            <w:pPr>
              <w:spacing w:after="0"/>
              <w:rPr>
                <w:sz w:val="1"/>
                <w:szCs w:val="1"/>
                <w:color w:val="auto"/>
              </w:rPr>
            </w:pPr>
          </w:p>
        </w:tc>
      </w:tr>
      <w:tr>
        <w:trPr>
          <w:trHeight w:val="180"/>
        </w:trPr>
        <w:tc>
          <w:tcPr>
            <w:tcW w:w="2480" w:type="dxa"/>
            <w:vAlign w:val="bottom"/>
          </w:tcPr>
          <w:p>
            <w:pPr>
              <w:spacing w:after="0"/>
              <w:rPr>
                <w:sz w:val="15"/>
                <w:szCs w:val="15"/>
                <w:color w:val="auto"/>
              </w:rPr>
            </w:pPr>
          </w:p>
        </w:tc>
        <w:tc>
          <w:tcPr>
            <w:tcW w:w="30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vMerge w:val="continue"/>
          </w:tcPr>
          <w:p>
            <w:pPr>
              <w:spacing w:after="0"/>
              <w:rPr>
                <w:sz w:val="15"/>
                <w:szCs w:val="15"/>
                <w:color w:val="auto"/>
              </w:rPr>
            </w:pPr>
          </w:p>
        </w:tc>
        <w:tc>
          <w:tcPr>
            <w:tcW w:w="360" w:type="dxa"/>
            <w:vAlign w:val="bottom"/>
            <w:tcBorders>
              <w:bottom w:val="single" w:sz="8" w:color="2C6937"/>
            </w:tcBorders>
          </w:tcPr>
          <w:p>
            <w:pPr>
              <w:spacing w:after="0"/>
              <w:rPr>
                <w:sz w:val="15"/>
                <w:szCs w:val="15"/>
                <w:color w:val="auto"/>
              </w:rPr>
            </w:pPr>
          </w:p>
        </w:tc>
        <w:tc>
          <w:tcPr>
            <w:tcW w:w="1120" w:type="dxa"/>
            <w:vAlign w:val="bottom"/>
            <w:tcBorders>
              <w:bottom w:val="single" w:sz="8" w:color="2C6937"/>
            </w:tcBorders>
          </w:tcPr>
          <w:p>
            <w:pPr>
              <w:jc w:val="right"/>
              <w:ind w:right="267"/>
              <w:spacing w:after="0"/>
              <w:rPr>
                <w:sz w:val="20"/>
                <w:szCs w:val="20"/>
                <w:color w:val="auto"/>
              </w:rPr>
            </w:pPr>
            <w:r>
              <w:rPr>
                <w:rFonts w:ascii="Arial" w:cs="Arial" w:eastAsia="Arial" w:hAnsi="Arial"/>
                <w:sz w:val="14"/>
                <w:szCs w:val="14"/>
                <w:b w:val="1"/>
                <w:bCs w:val="1"/>
                <w:color w:val="auto"/>
                <w:w w:val="99"/>
              </w:rPr>
              <w:t>Fannie Mae</w:t>
            </w:r>
          </w:p>
        </w:tc>
        <w:tc>
          <w:tcPr>
            <w:tcW w:w="1960" w:type="dxa"/>
            <w:vAlign w:val="bottom"/>
            <w:tcBorders>
              <w:bottom w:val="single" w:sz="8" w:color="2C6937"/>
            </w:tcBorders>
            <w:gridSpan w:val="5"/>
          </w:tcPr>
          <w:p>
            <w:pPr>
              <w:jc w:val="center"/>
              <w:ind w:right="400"/>
              <w:spacing w:after="0"/>
              <w:rPr>
                <w:sz w:val="20"/>
                <w:szCs w:val="20"/>
                <w:color w:val="auto"/>
              </w:rPr>
            </w:pPr>
            <w:r>
              <w:rPr>
                <w:rFonts w:ascii="Arial" w:cs="Arial" w:eastAsia="Arial" w:hAnsi="Arial"/>
                <w:sz w:val="14"/>
                <w:szCs w:val="14"/>
                <w:b w:val="1"/>
                <w:bCs w:val="1"/>
                <w:color w:val="auto"/>
                <w:w w:val="97"/>
              </w:rPr>
              <w:t>Consolidated Trusts</w:t>
            </w:r>
          </w:p>
        </w:tc>
        <w:tc>
          <w:tcPr>
            <w:tcW w:w="980" w:type="dxa"/>
            <w:vAlign w:val="bottom"/>
            <w:tcBorders>
              <w:bottom w:val="single" w:sz="8" w:color="2C6937"/>
            </w:tcBorders>
            <w:vMerge w:val="continue"/>
          </w:tcPr>
          <w:p>
            <w:pPr>
              <w:spacing w:after="0"/>
              <w:rPr>
                <w:sz w:val="15"/>
                <w:szCs w:val="15"/>
                <w:color w:val="auto"/>
              </w:rPr>
            </w:pPr>
          </w:p>
        </w:tc>
        <w:tc>
          <w:tcPr>
            <w:tcW w:w="36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tcPr>
          <w:p>
            <w:pPr>
              <w:jc w:val="right"/>
              <w:ind w:right="346"/>
              <w:spacing w:after="0"/>
              <w:rPr>
                <w:sz w:val="20"/>
                <w:szCs w:val="20"/>
                <w:color w:val="auto"/>
              </w:rPr>
            </w:pPr>
            <w:r>
              <w:rPr>
                <w:rFonts w:ascii="Arial" w:cs="Arial" w:eastAsia="Arial" w:hAnsi="Arial"/>
                <w:sz w:val="14"/>
                <w:szCs w:val="14"/>
                <w:b w:val="1"/>
                <w:bCs w:val="1"/>
                <w:color w:val="auto"/>
                <w:w w:val="99"/>
              </w:rPr>
              <w:t>Fannie Mae</w:t>
            </w:r>
          </w:p>
        </w:tc>
        <w:tc>
          <w:tcPr>
            <w:tcW w:w="1480" w:type="dxa"/>
            <w:vAlign w:val="bottom"/>
            <w:tcBorders>
              <w:bottom w:val="single" w:sz="8" w:color="2C6937"/>
            </w:tcBorders>
            <w:gridSpan w:val="2"/>
          </w:tcPr>
          <w:p>
            <w:pPr>
              <w:jc w:val="right"/>
              <w:ind w:right="23"/>
              <w:spacing w:after="0"/>
              <w:rPr>
                <w:sz w:val="20"/>
                <w:szCs w:val="20"/>
                <w:color w:val="auto"/>
              </w:rPr>
            </w:pPr>
            <w:r>
              <w:rPr>
                <w:rFonts w:ascii="Arial" w:cs="Arial" w:eastAsia="Arial" w:hAnsi="Arial"/>
                <w:sz w:val="14"/>
                <w:szCs w:val="14"/>
                <w:b w:val="1"/>
                <w:bCs w:val="1"/>
                <w:color w:val="auto"/>
              </w:rPr>
              <w:t>Consolidated Trusts</w:t>
            </w:r>
          </w:p>
        </w:tc>
        <w:tc>
          <w:tcPr>
            <w:tcW w:w="0" w:type="dxa"/>
            <w:vAlign w:val="bottom"/>
          </w:tcPr>
          <w:p>
            <w:pPr>
              <w:spacing w:after="0"/>
              <w:rPr>
                <w:sz w:val="1"/>
                <w:szCs w:val="1"/>
                <w:color w:val="auto"/>
              </w:rPr>
            </w:pPr>
          </w:p>
        </w:tc>
      </w:tr>
      <w:tr>
        <w:trPr>
          <w:trHeight w:val="170"/>
        </w:trPr>
        <w:tc>
          <w:tcPr>
            <w:tcW w:w="2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380" w:type="dxa"/>
            <w:vAlign w:val="bottom"/>
            <w:gridSpan w:val="5"/>
          </w:tcPr>
          <w:p>
            <w:pPr>
              <w:jc w:val="center"/>
              <w:ind w:right="206"/>
              <w:spacing w:after="0"/>
              <w:rPr>
                <w:sz w:val="20"/>
                <w:szCs w:val="20"/>
                <w:color w:val="auto"/>
              </w:rPr>
            </w:pPr>
            <w:r>
              <w:rPr>
                <w:rFonts w:ascii="Arial" w:cs="Arial" w:eastAsia="Arial" w:hAnsi="Arial"/>
                <w:sz w:val="14"/>
                <w:szCs w:val="14"/>
                <w:b w:val="1"/>
                <w:bCs w:val="1"/>
                <w:color w:val="auto"/>
                <w:w w:val="96"/>
              </w:rPr>
              <w:t>(Dollars in millions)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480" w:type="dxa"/>
            <w:vAlign w:val="bottom"/>
          </w:tcPr>
          <w:p>
            <w:pPr>
              <w:spacing w:after="0"/>
              <w:rPr>
                <w:sz w:val="20"/>
                <w:szCs w:val="20"/>
                <w:color w:val="auto"/>
              </w:rPr>
            </w:pPr>
            <w:r>
              <w:rPr>
                <w:rFonts w:ascii="Arial" w:cs="Arial" w:eastAsia="Arial" w:hAnsi="Arial"/>
                <w:sz w:val="15"/>
                <w:szCs w:val="15"/>
                <w:color w:val="auto"/>
              </w:rPr>
              <w:t>Fair value</w:t>
            </w:r>
          </w:p>
        </w:tc>
        <w:tc>
          <w:tcPr>
            <w:tcW w:w="300" w:type="dxa"/>
            <w:vAlign w:val="bottom"/>
          </w:tcPr>
          <w:p>
            <w:pPr>
              <w:jc w:val="right"/>
              <w:ind w:right="23"/>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ind w:right="86"/>
              <w:spacing w:after="0"/>
              <w:rPr>
                <w:sz w:val="20"/>
                <w:szCs w:val="20"/>
                <w:color w:val="auto"/>
              </w:rPr>
            </w:pPr>
            <w:r>
              <w:rPr>
                <w:rFonts w:ascii="Arial" w:cs="Arial" w:eastAsia="Arial" w:hAnsi="Arial"/>
                <w:sz w:val="15"/>
                <w:szCs w:val="15"/>
                <w:b w:val="1"/>
                <w:bCs w:val="1"/>
                <w:color w:val="auto"/>
              </w:rPr>
              <w:t>3,433</w:t>
            </w:r>
          </w:p>
        </w:tc>
        <w:tc>
          <w:tcPr>
            <w:tcW w:w="3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20" w:type="dxa"/>
            <w:vAlign w:val="bottom"/>
          </w:tcPr>
          <w:p>
            <w:pPr>
              <w:jc w:val="right"/>
              <w:ind w:right="187"/>
              <w:spacing w:after="0"/>
              <w:rPr>
                <w:sz w:val="20"/>
                <w:szCs w:val="20"/>
                <w:color w:val="auto"/>
              </w:rPr>
            </w:pPr>
            <w:r>
              <w:rPr>
                <w:rFonts w:ascii="Arial" w:cs="Arial" w:eastAsia="Arial" w:hAnsi="Arial"/>
                <w:sz w:val="15"/>
                <w:szCs w:val="15"/>
                <w:b w:val="1"/>
                <w:bCs w:val="1"/>
                <w:color w:val="auto"/>
              </w:rPr>
              <w:t>884</w:t>
            </w:r>
          </w:p>
        </w:tc>
        <w:tc>
          <w:tcPr>
            <w:tcW w:w="560" w:type="dxa"/>
            <w:vAlign w:val="bottom"/>
          </w:tcPr>
          <w:p>
            <w:pPr>
              <w:jc w:val="right"/>
              <w:ind w:right="248"/>
              <w:spacing w:after="0"/>
              <w:rPr>
                <w:sz w:val="20"/>
                <w:szCs w:val="20"/>
                <w:color w:val="auto"/>
              </w:rPr>
            </w:pPr>
            <w:r>
              <w:rPr>
                <w:rFonts w:ascii="Arial" w:cs="Arial" w:eastAsia="Arial" w:hAnsi="Arial"/>
                <w:sz w:val="15"/>
                <w:szCs w:val="15"/>
                <w:b w:val="1"/>
                <w:bCs w:val="1"/>
                <w:color w:val="auto"/>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15,172</w:t>
            </w:r>
          </w:p>
        </w:tc>
        <w:tc>
          <w:tcPr>
            <w:tcW w:w="540" w:type="dxa"/>
            <w:vAlign w:val="bottom"/>
            <w:gridSpan w:val="3"/>
          </w:tcPr>
          <w:p>
            <w:pPr>
              <w:jc w:val="right"/>
              <w:ind w:right="10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86"/>
              <w:spacing w:after="0"/>
              <w:rPr>
                <w:sz w:val="20"/>
                <w:szCs w:val="20"/>
                <w:color w:val="auto"/>
              </w:rPr>
            </w:pPr>
            <w:r>
              <w:rPr>
                <w:rFonts w:ascii="Arial" w:cs="Arial" w:eastAsia="Arial" w:hAnsi="Arial"/>
                <w:sz w:val="15"/>
                <w:szCs w:val="15"/>
                <w:color w:val="auto"/>
              </w:rPr>
              <w:t>3,645</w:t>
            </w:r>
          </w:p>
        </w:tc>
        <w:tc>
          <w:tcPr>
            <w:tcW w:w="360" w:type="dxa"/>
            <w:vAlign w:val="bottom"/>
          </w:tcPr>
          <w:p>
            <w:pPr>
              <w:ind w:left="240"/>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246"/>
              <w:spacing w:after="0"/>
              <w:rPr>
                <w:sz w:val="20"/>
                <w:szCs w:val="20"/>
                <w:color w:val="auto"/>
              </w:rPr>
            </w:pPr>
            <w:r>
              <w:rPr>
                <w:rFonts w:ascii="Arial" w:cs="Arial" w:eastAsia="Arial" w:hAnsi="Arial"/>
                <w:sz w:val="15"/>
                <w:szCs w:val="15"/>
                <w:color w:val="auto"/>
              </w:rPr>
              <w:t>1,161</w:t>
            </w:r>
          </w:p>
        </w:tc>
        <w:tc>
          <w:tcPr>
            <w:tcW w:w="500" w:type="dxa"/>
            <w:vAlign w:val="bottom"/>
          </w:tcPr>
          <w:p>
            <w:pPr>
              <w:jc w:val="right"/>
              <w:ind w:right="248"/>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03"/>
              <w:spacing w:after="0"/>
              <w:rPr>
                <w:sz w:val="20"/>
                <w:szCs w:val="20"/>
                <w:color w:val="auto"/>
              </w:rPr>
            </w:pPr>
            <w:r>
              <w:rPr>
                <w:rFonts w:ascii="Arial" w:cs="Arial" w:eastAsia="Arial" w:hAnsi="Arial"/>
                <w:sz w:val="15"/>
                <w:szCs w:val="15"/>
                <w:color w:val="auto"/>
              </w:rPr>
              <w:t>16,260</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5"/>
                <w:szCs w:val="15"/>
                <w:color w:val="auto"/>
              </w:rPr>
              <w:t>Unpaid principal balance</w:t>
            </w:r>
          </w:p>
        </w:tc>
        <w:tc>
          <w:tcPr>
            <w:tcW w:w="300" w:type="dxa"/>
            <w:vAlign w:val="bottom"/>
          </w:tcPr>
          <w:p>
            <w:pPr>
              <w:spacing w:after="0"/>
              <w:rPr>
                <w:sz w:val="18"/>
                <w:szCs w:val="18"/>
                <w:color w:val="auto"/>
              </w:rPr>
            </w:pPr>
          </w:p>
        </w:tc>
        <w:tc>
          <w:tcPr>
            <w:tcW w:w="980" w:type="dxa"/>
            <w:vAlign w:val="bottom"/>
          </w:tcPr>
          <w:p>
            <w:pPr>
              <w:jc w:val="right"/>
              <w:ind w:right="86"/>
              <w:spacing w:after="0"/>
              <w:rPr>
                <w:sz w:val="20"/>
                <w:szCs w:val="20"/>
                <w:color w:val="auto"/>
              </w:rPr>
            </w:pPr>
            <w:r>
              <w:rPr>
                <w:rFonts w:ascii="Arial" w:cs="Arial" w:eastAsia="Arial" w:hAnsi="Arial"/>
                <w:sz w:val="15"/>
                <w:szCs w:val="15"/>
                <w:b w:val="1"/>
                <w:bCs w:val="1"/>
                <w:color w:val="auto"/>
              </w:rPr>
              <w:t>3,625</w:t>
            </w:r>
          </w:p>
        </w:tc>
        <w:tc>
          <w:tcPr>
            <w:tcW w:w="360" w:type="dxa"/>
            <w:vAlign w:val="bottom"/>
          </w:tcPr>
          <w:p>
            <w:pPr>
              <w:spacing w:after="0"/>
              <w:rPr>
                <w:sz w:val="18"/>
                <w:szCs w:val="18"/>
                <w:color w:val="auto"/>
              </w:rPr>
            </w:pPr>
          </w:p>
        </w:tc>
        <w:tc>
          <w:tcPr>
            <w:tcW w:w="1120" w:type="dxa"/>
            <w:vAlign w:val="bottom"/>
          </w:tcPr>
          <w:p>
            <w:pPr>
              <w:jc w:val="right"/>
              <w:ind w:right="187"/>
              <w:spacing w:after="0"/>
              <w:rPr>
                <w:sz w:val="20"/>
                <w:szCs w:val="20"/>
                <w:color w:val="auto"/>
              </w:rPr>
            </w:pPr>
            <w:r>
              <w:rPr>
                <w:rFonts w:ascii="Arial" w:cs="Arial" w:eastAsia="Arial" w:hAnsi="Arial"/>
                <w:sz w:val="15"/>
                <w:szCs w:val="15"/>
                <w:b w:val="1"/>
                <w:bCs w:val="1"/>
                <w:color w:val="auto"/>
              </w:rPr>
              <w:t>860</w:t>
            </w: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15,324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86"/>
              <w:spacing w:after="0"/>
              <w:rPr>
                <w:sz w:val="20"/>
                <w:szCs w:val="20"/>
                <w:color w:val="auto"/>
              </w:rPr>
            </w:pPr>
            <w:r>
              <w:rPr>
                <w:rFonts w:ascii="Arial" w:cs="Arial" w:eastAsia="Arial" w:hAnsi="Arial"/>
                <w:sz w:val="15"/>
                <w:szCs w:val="15"/>
                <w:color w:val="auto"/>
              </w:rPr>
              <w:t>3,835</w:t>
            </w:r>
          </w:p>
        </w:tc>
        <w:tc>
          <w:tcPr>
            <w:tcW w:w="360" w:type="dxa"/>
            <w:vAlign w:val="bottom"/>
          </w:tcPr>
          <w:p>
            <w:pPr>
              <w:spacing w:after="0"/>
              <w:rPr>
                <w:sz w:val="18"/>
                <w:szCs w:val="18"/>
                <w:color w:val="auto"/>
              </w:rPr>
            </w:pPr>
          </w:p>
        </w:tc>
        <w:tc>
          <w:tcPr>
            <w:tcW w:w="1200" w:type="dxa"/>
            <w:vAlign w:val="bottom"/>
          </w:tcPr>
          <w:p>
            <w:pPr>
              <w:jc w:val="right"/>
              <w:ind w:right="246"/>
              <w:spacing w:after="0"/>
              <w:rPr>
                <w:sz w:val="20"/>
                <w:szCs w:val="20"/>
                <w:color w:val="auto"/>
              </w:rPr>
            </w:pPr>
            <w:r>
              <w:rPr>
                <w:rFonts w:ascii="Arial" w:cs="Arial" w:eastAsia="Arial" w:hAnsi="Arial"/>
                <w:sz w:val="15"/>
                <w:szCs w:val="15"/>
                <w:color w:val="auto"/>
              </w:rPr>
              <w:t>1,145</w:t>
            </w:r>
          </w:p>
        </w:tc>
        <w:tc>
          <w:tcPr>
            <w:tcW w:w="500" w:type="dxa"/>
            <w:vAlign w:val="bottom"/>
          </w:tcPr>
          <w:p>
            <w:pPr>
              <w:spacing w:after="0"/>
              <w:rPr>
                <w:sz w:val="18"/>
                <w:szCs w:val="18"/>
                <w:color w:val="auto"/>
              </w:rPr>
            </w:pPr>
          </w:p>
        </w:tc>
        <w:tc>
          <w:tcPr>
            <w:tcW w:w="980" w:type="dxa"/>
            <w:vAlign w:val="bottom"/>
          </w:tcPr>
          <w:p>
            <w:pPr>
              <w:jc w:val="right"/>
              <w:ind w:right="103"/>
              <w:spacing w:after="0"/>
              <w:rPr>
                <w:sz w:val="20"/>
                <w:szCs w:val="20"/>
                <w:color w:val="auto"/>
              </w:rPr>
            </w:pPr>
            <w:r>
              <w:rPr>
                <w:rFonts w:ascii="Arial" w:cs="Arial" w:eastAsia="Arial" w:hAnsi="Arial"/>
                <w:sz w:val="15"/>
                <w:szCs w:val="15"/>
                <w:color w:val="auto"/>
              </w:rPr>
              <w:t>16,311</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40" w:right="20" w:hanging="237"/>
        <w:spacing w:after="0" w:line="223" w:lineRule="auto"/>
        <w:tabs>
          <w:tab w:leader="none" w:pos="240" w:val="left"/>
        </w:tabs>
        <w:numPr>
          <w:ilvl w:val="0"/>
          <w:numId w:val="131"/>
        </w:numPr>
        <w:rPr>
          <w:rFonts w:ascii="Arial" w:cs="Arial" w:eastAsia="Arial" w:hAnsi="Arial"/>
          <w:sz w:val="18"/>
          <w:szCs w:val="18"/>
          <w:color w:val="auto"/>
          <w:vertAlign w:val="superscript"/>
        </w:rPr>
      </w:pPr>
      <w:r>
        <w:rPr>
          <w:rFonts w:ascii="Arial" w:cs="Arial" w:eastAsia="Arial" w:hAnsi="Arial"/>
          <w:sz w:val="14"/>
          <w:szCs w:val="14"/>
          <w:color w:val="auto"/>
        </w:rPr>
        <w:t>Includes nonaccrual loans with a fair value of $37 million and $40 million as of June 30, 2023 and December 31, 2022, respectively. Includes loans that are 90 days or more past due with a fair value of $36 million and $48 million as of June 30, 2023 and December 31, 2022,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21"/>
          <w:szCs w:val="21"/>
          <w:i w:val="1"/>
          <w:iCs w:val="1"/>
          <w:color w:val="05314D"/>
        </w:rPr>
        <w:t>Changes in Fair Value under the Fair Value Option Election</w:t>
      </w:r>
    </w:p>
    <w:p>
      <w:pPr>
        <w:spacing w:after="0" w:line="71" w:lineRule="exact"/>
        <w:rPr>
          <w:sz w:val="20"/>
          <w:szCs w:val="20"/>
          <w:color w:val="auto"/>
        </w:rPr>
      </w:pPr>
    </w:p>
    <w:p>
      <w:pPr>
        <w:ind w:right="160"/>
        <w:spacing w:after="0" w:line="267" w:lineRule="auto"/>
        <w:rPr>
          <w:sz w:val="20"/>
          <w:szCs w:val="20"/>
          <w:color w:val="auto"/>
        </w:rPr>
      </w:pPr>
      <w:r>
        <w:rPr>
          <w:rFonts w:ascii="Arial" w:cs="Arial" w:eastAsia="Arial" w:hAnsi="Arial"/>
          <w:sz w:val="16"/>
          <w:szCs w:val="16"/>
          <w:color w:val="auto"/>
        </w:rPr>
        <w:t>We recorded losses of $49 million and gains of $22 million for the three and six months ended June 30, 2023, respectively, and losses of $187 million and $378 million for the three and six months ended June 30, 2022, respectively, from changes in the fair value of loans recorded at fair value in “Fair value gains, net” in our condensed consolidated statements of operations and comprehensive income.</w:t>
      </w:r>
    </w:p>
    <w:p>
      <w:pPr>
        <w:spacing w:after="0" w:line="56" w:lineRule="exact"/>
        <w:rPr>
          <w:sz w:val="20"/>
          <w:szCs w:val="20"/>
          <w:color w:val="auto"/>
        </w:rPr>
      </w:pPr>
    </w:p>
    <w:p>
      <w:pPr>
        <w:ind w:right="140"/>
        <w:spacing w:after="0" w:line="267" w:lineRule="auto"/>
        <w:rPr>
          <w:sz w:val="20"/>
          <w:szCs w:val="20"/>
          <w:color w:val="auto"/>
        </w:rPr>
      </w:pPr>
      <w:r>
        <w:rPr>
          <w:rFonts w:ascii="Arial" w:cs="Arial" w:eastAsia="Arial" w:hAnsi="Arial"/>
          <w:sz w:val="16"/>
          <w:szCs w:val="16"/>
          <w:color w:val="auto"/>
        </w:rPr>
        <w:t>We recorded gains of $219 million and losses of $50 million for the three and six months ended June 30, 2023, respectively, and gains of $558 million and $1.6 billion for the three and six months ended June 30, 2022, respectively, from changes in the fair value of long-term debt recorded at fair value in “Fair value gains, net” in our condensed consolidated statements of operations and comprehensive income.</w:t>
      </w:r>
    </w:p>
    <w:p>
      <w:pPr>
        <w:spacing w:after="0" w:line="111" w:lineRule="exact"/>
        <w:rPr>
          <w:sz w:val="20"/>
          <w:szCs w:val="20"/>
          <w:color w:val="auto"/>
        </w:rPr>
      </w:pPr>
    </w:p>
    <w:p>
      <w:pPr>
        <w:spacing w:after="0"/>
        <w:rPr>
          <w:sz w:val="20"/>
          <w:szCs w:val="20"/>
          <w:color w:val="auto"/>
        </w:rPr>
      </w:pPr>
      <w:r>
        <w:rPr>
          <w:rFonts w:ascii="Arial" w:cs="Arial" w:eastAsia="Arial" w:hAnsi="Arial"/>
          <w:sz w:val="31"/>
          <w:szCs w:val="31"/>
          <w:b w:val="1"/>
          <w:bCs w:val="1"/>
          <w:color w:val="05314D"/>
        </w:rPr>
        <w:t>13. Commitments and Contingencies</w:t>
      </w:r>
    </w:p>
    <w:p>
      <w:pPr>
        <w:spacing w:after="0" w:line="105"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We are party to various types of legal actions and proceedings, including actions brought on behalf of various classes of claimants. We also are subject to regulatory examinations, inquiries and investigations, and other information gathering requests. In some of the matters, indeterminate amounts are sought.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This variability in pleadings, together with our and our counsel’s actual experience in litigating or settling claims, leads us to conclude that the monetary relief that may be sought by plaintiffs bears little relevance to the merits or disposition value of claims.</w:t>
      </w:r>
    </w:p>
    <w:p>
      <w:pPr>
        <w:spacing w:after="0" w:line="50"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color w:val="auto"/>
        </w:rPr>
        <w:t>We have substantial and valid defenses to the claims in the proceedings described below and intend to defend these matters vigorously. However, legal actions and proceedings of all types are subject to many uncertain factors that generally cannot be predicted with assurance. Accordingly, the outcome of any given matter and the amount or range of potential loss at particular points in time is frequently difficult to ascertain. Uncertainties can include how fact finders will evaluate documentary evidence and the credibility and effectiveness of witness testimony, and how the court will apply the law. Disposition valuations are also subject to the uncertainty of how opposing parties and their counsel may view the evidence and applicable law.</w:t>
      </w:r>
    </w:p>
    <w:p>
      <w:pPr>
        <w:spacing w:after="0" w:line="45"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On a quarterly basis, we review relevant information about all pending legal actions and proceedings for the purpose of evaluating and revising our contingencies, accruals and disclosures. We establish an accrual only for matters when the likelihood of a loss is probable and we can reasonably estimate the amount of such loss. We are often unable to estimate the possible losses or ranges of losses, particularly for proceedings that are in their early stages of development, where plaintiffs seek indeterminate or unspecified damages, where there may be novel or unsettled legal questions relevant to the proceedings, or where settlement negotiations have not occurred or progressed. Given the uncertainties involved in any action or proceeding, regardless of whether we have established an accrual, the ultimate resolution of certain of these matters may be material to our operating results for a particular period, depending on, among other factors, the size of the loss or liability imposed and the level of our net income or loss for that period.</w:t>
      </w:r>
    </w:p>
    <w:p>
      <w:pPr>
        <w:spacing w:after="0" w:line="49"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In addition to the matters specifically described below, we are involved in a number of legal and regulatory proceedings that arise in the ordinary course of business that we do not expect will have a material impact on our business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358140</wp:posOffset>
            </wp:positionV>
            <wp:extent cx="681101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17" w:name="page118"/>
    <w:bookmarkEnd w:id="117"/>
    <w:p>
      <w:pPr>
        <w:ind w:left="5620"/>
        <w:spacing w:after="0"/>
        <w:rPr>
          <w:sz w:val="20"/>
          <w:szCs w:val="20"/>
          <w:color w:val="auto"/>
        </w:rPr>
      </w:pPr>
      <w:r>
        <w:rPr>
          <w:rFonts w:ascii="Arial" w:cs="Arial" w:eastAsia="Arial" w:hAnsi="Arial"/>
          <w:sz w:val="13"/>
          <w:szCs w:val="13"/>
          <w:color w:val="05314D"/>
        </w:rPr>
        <w:t>Notes to Condensed Consolidated Financial Statements |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22860</wp:posOffset>
            </wp:positionV>
            <wp:extent cx="707326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0732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1"/>
          <w:szCs w:val="21"/>
          <w:i w:val="1"/>
          <w:iCs w:val="1"/>
          <w:color w:val="05314D"/>
        </w:rPr>
        <w:t>Senior Preferred Stock Purchase Agreements Litigation</w:t>
      </w:r>
    </w:p>
    <w:p>
      <w:pPr>
        <w:spacing w:after="0" w:line="67"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A consolidated class action (</w:t>
      </w:r>
      <w:r>
        <w:rPr>
          <w:rFonts w:ascii="Arial" w:cs="Arial" w:eastAsia="Arial" w:hAnsi="Arial"/>
          <w:sz w:val="16"/>
          <w:szCs w:val="16"/>
          <w:i w:val="1"/>
          <w:iCs w:val="1"/>
          <w:color w:val="auto"/>
        </w:rPr>
        <w:t>“In re Fannie Mae/Freddie Mac Senior Preferred Stock Purchase Agreement Class Action Litigations”</w:t>
      </w:r>
      <w:r>
        <w:rPr>
          <w:rFonts w:ascii="Arial" w:cs="Arial" w:eastAsia="Arial" w:hAnsi="Arial"/>
          <w:sz w:val="16"/>
          <w:szCs w:val="16"/>
          <w:color w:val="auto"/>
        </w:rPr>
        <w:t xml:space="preserve">) and a non-class action lawsuit, </w:t>
      </w:r>
      <w:r>
        <w:rPr>
          <w:rFonts w:ascii="Arial" w:cs="Arial" w:eastAsia="Arial" w:hAnsi="Arial"/>
          <w:sz w:val="16"/>
          <w:szCs w:val="16"/>
          <w:i w:val="1"/>
          <w:iCs w:val="1"/>
          <w:color w:val="auto"/>
        </w:rPr>
        <w:t>Fairholme Funds v. FHFA</w:t>
      </w:r>
      <w:r>
        <w:rPr>
          <w:rFonts w:ascii="Arial" w:cs="Arial" w:eastAsia="Arial" w:hAnsi="Arial"/>
          <w:sz w:val="16"/>
          <w:szCs w:val="16"/>
          <w:color w:val="auto"/>
        </w:rPr>
        <w:t>, filed by Fannie Mae and Freddie Mac shareholders against us, FHFA as our conservator, and Freddie Mac are pending in the U.S. District Court for the District of Columbia. The lawsuits challenge the August 2012 amendment to each company’s senior preferred stock purchase agreement with Treasury.</w:t>
      </w:r>
    </w:p>
    <w:p>
      <w:pPr>
        <w:spacing w:after="0" w:line="43"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Plaintiffs in these lawsuits allege that the net worth sweep dividend provisions of the senior preferred stock that were implemented pursuant to the August 2012 amendments nullified certain of the shareholders’ rights and caused them harm. Plaintiffs in the class action represent a class of Fannie Mae preferred shareholders and classes of Freddie Mac common and preferred shareholders. On September 23, 2022, the court issued a summary judgment ruling that permitted the plaintiffs in these lawsuits to present to a jury their claims for breach of the implied covenant of good faith and fair dealing. The cases were consolidated for trial and a trial was conducted from October 17, 2022 to November 1, 2022. The jury was not able to reach a verdict and the judge declared a mistrial on November 7, 2022. A new trial began on July 24, 2023 and is currently in progress.</w:t>
      </w:r>
    </w:p>
    <w:p>
      <w:pPr>
        <w:spacing w:after="0" w:line="5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 the trial, plaintiffs requested $779 million in damages from Fannie Mae and prejudgment interest on the amount of any damages. We estimate that prejudgment interest, if awarded in the new trial, would be calculated at a rate of 5.75% and expect plaintiffs to seek such interest from August 17, 2012. Prejudgment interest calculated from August 17, 2012 through June 30, 2023 based on the amount of damages plaintiffs requested would be approximately $485 million. The ultimate amount of prejudgment interest awarded, if any, would be impacted by the amount of damages awarded, the date from and through which interest is calculated, and other determinations by the court. At this time, we do not believe the likelihood of loss is probable; therefore, we have not established an accrual in connection with these lawsuits. However, it is reasonably possible that the plaintiffs could ultimately prevail in this matter and, if so, we may incur a loss up to the amount of damages discussed above and any related interest.</w:t>
      </w:r>
    </w:p>
    <w:p>
      <w:pPr>
        <w:spacing w:after="0" w:line="116" w:lineRule="exact"/>
        <w:rPr>
          <w:sz w:val="20"/>
          <w:szCs w:val="20"/>
          <w:color w:val="auto"/>
        </w:rPr>
      </w:pPr>
    </w:p>
    <w:p>
      <w:pPr>
        <w:spacing w:after="0"/>
        <w:rPr>
          <w:sz w:val="20"/>
          <w:szCs w:val="20"/>
          <w:color w:val="auto"/>
        </w:rPr>
      </w:pPr>
      <w:r>
        <w:rPr>
          <w:rFonts w:ascii="Arial" w:cs="Arial" w:eastAsia="Arial" w:hAnsi="Arial"/>
          <w:sz w:val="31"/>
          <w:szCs w:val="31"/>
          <w:b w:val="1"/>
          <w:bCs w:val="1"/>
          <w:color w:val="05314D"/>
        </w:rPr>
        <w:t>14. Regulatory Capital Requirements</w:t>
      </w:r>
    </w:p>
    <w:p>
      <w:pPr>
        <w:spacing w:after="0" w:line="131" w:lineRule="exact"/>
        <w:rPr>
          <w:sz w:val="20"/>
          <w:szCs w:val="20"/>
          <w:color w:val="auto"/>
        </w:rPr>
      </w:pPr>
    </w:p>
    <w:p>
      <w:pPr>
        <w:ind w:right="560"/>
        <w:spacing w:after="0" w:line="283" w:lineRule="auto"/>
        <w:rPr>
          <w:sz w:val="20"/>
          <w:szCs w:val="20"/>
          <w:color w:val="auto"/>
        </w:rPr>
      </w:pPr>
      <w:r>
        <w:rPr>
          <w:rFonts w:ascii="Arial" w:cs="Arial" w:eastAsia="Arial" w:hAnsi="Arial"/>
          <w:sz w:val="16"/>
          <w:szCs w:val="16"/>
          <w:color w:val="auto"/>
        </w:rPr>
        <w:t>FHFA has established an enterprise regulatory capital framework that went into effect in February 2021; however, we are not required to hold capital according to the framework’s requirements until the date of termination of our conservatorship, or such later date as may be ordered by FHFA.</w:t>
      </w:r>
    </w:p>
    <w:p>
      <w:pPr>
        <w:spacing w:after="0" w:line="43"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The enterprise regulatory capital framework includes the following requirements under the standardized approach related to the amount and form of capital we must hold:</w:t>
      </w:r>
    </w:p>
    <w:p>
      <w:pPr>
        <w:spacing w:after="0" w:line="30" w:lineRule="exact"/>
        <w:rPr>
          <w:sz w:val="20"/>
          <w:szCs w:val="20"/>
          <w:color w:val="auto"/>
        </w:rPr>
      </w:pPr>
    </w:p>
    <w:p>
      <w:pPr>
        <w:ind w:left="620" w:right="60" w:hanging="307"/>
        <w:spacing w:after="0" w:line="262" w:lineRule="auto"/>
        <w:tabs>
          <w:tab w:leader="none" w:pos="62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Supplemental leverage and risk-based capital requirements based largely on definitions of capital used in U.S. banking regulators’ regulatory capital framework. Under the leverage capital requirements, we must maintain a tier 1 capital ratio of 2.5% of adjusted total assets. Under the risk-based capital requirements, we must maintain minimum common equity tier 1 capital, tier 1 capital, and adjusted total capital ratios of 4.5%, 6%, and 8%, respectively, of risk-weighted assets;</w:t>
      </w:r>
    </w:p>
    <w:p>
      <w:pPr>
        <w:spacing w:after="0" w:line="60" w:lineRule="exact"/>
        <w:rPr>
          <w:rFonts w:ascii="Arial" w:cs="Arial" w:eastAsia="Arial" w:hAnsi="Arial"/>
          <w:sz w:val="16"/>
          <w:szCs w:val="16"/>
          <w:color w:val="auto"/>
        </w:rPr>
      </w:pPr>
    </w:p>
    <w:p>
      <w:pPr>
        <w:jc w:val="both"/>
        <w:ind w:left="620" w:right="100" w:hanging="307"/>
        <w:spacing w:after="0" w:line="262" w:lineRule="auto"/>
        <w:tabs>
          <w:tab w:leader="none" w:pos="62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 requirement that we hold prescribed capital buffers that can be drawn down in periods of financial stress and then rebuilt over time as economic conditions improve. If we fall below the prescribed buffer amounts, we must restrict capital distributions such as stock repurchases and dividends, as well as discretionary bonus payments to executives, until the buffer amounts are restored. The prescribed capital buffers represent the amount of capital we are required to hold above the minimum leverage and risk-based capital requirements.</w:t>
      </w:r>
    </w:p>
    <w:p>
      <w:pPr>
        <w:spacing w:after="0" w:line="47" w:lineRule="exact"/>
        <w:rPr>
          <w:rFonts w:ascii="Arial" w:cs="Arial" w:eastAsia="Arial" w:hAnsi="Arial"/>
          <w:sz w:val="16"/>
          <w:szCs w:val="16"/>
          <w:color w:val="auto"/>
        </w:rPr>
      </w:pPr>
    </w:p>
    <w:p>
      <w:pPr>
        <w:ind w:left="1240" w:right="120" w:hanging="309"/>
        <w:spacing w:after="0" w:line="300" w:lineRule="auto"/>
        <w:tabs>
          <w:tab w:leader="none" w:pos="124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The prescribed leverage buffer amount (“PLBA”) represents the amount of tier 1 capital we are required to hold above the minimum tier 1 leverage capital requirement;</w:t>
      </w:r>
    </w:p>
    <w:p>
      <w:pPr>
        <w:spacing w:after="0" w:line="17" w:lineRule="exact"/>
        <w:rPr>
          <w:rFonts w:ascii="Arial" w:cs="Arial" w:eastAsia="Arial" w:hAnsi="Arial"/>
          <w:sz w:val="16"/>
          <w:szCs w:val="16"/>
          <w:color w:val="auto"/>
        </w:rPr>
      </w:pPr>
    </w:p>
    <w:p>
      <w:pPr>
        <w:ind w:left="1240" w:right="100" w:hanging="309"/>
        <w:spacing w:after="0" w:line="267" w:lineRule="auto"/>
        <w:tabs>
          <w:tab w:leader="none" w:pos="124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The risk-based capital buffers consist of three separate components: a stability capital buffer, a stress capital buffer, and a countercyclical capital buffer. Taken together, these risk-based buffers comprise the prescribed capital conservation buffer amount (“PCCBA”). The PCCBA must be comprised entirely of common equity tier 1 capital; and</w:t>
      </w:r>
    </w:p>
    <w:p>
      <w:pPr>
        <w:spacing w:after="0" w:line="43" w:lineRule="exact"/>
        <w:rPr>
          <w:rFonts w:ascii="Arial" w:cs="Arial" w:eastAsia="Arial" w:hAnsi="Arial"/>
          <w:sz w:val="16"/>
          <w:szCs w:val="16"/>
          <w:color w:val="auto"/>
        </w:rPr>
      </w:pPr>
    </w:p>
    <w:p>
      <w:pPr>
        <w:ind w:left="620" w:right="40" w:hanging="307"/>
        <w:spacing w:after="0" w:line="300" w:lineRule="auto"/>
        <w:tabs>
          <w:tab w:leader="none" w:pos="62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Specific minimum percentages, or “floors,” on the risk-weights applicable to single-family and multifamily exposures, as well as retained portions of credit risk transfer transactions.</w:t>
      </w:r>
    </w:p>
    <w:p>
      <w:pPr>
        <w:spacing w:after="0" w:line="17" w:lineRule="exact"/>
        <w:rPr>
          <w:sz w:val="20"/>
          <w:szCs w:val="20"/>
          <w:color w:val="auto"/>
        </w:rPr>
      </w:pPr>
    </w:p>
    <w:p>
      <w:pPr>
        <w:ind w:right="200"/>
        <w:spacing w:after="0" w:line="262" w:lineRule="auto"/>
        <w:rPr>
          <w:sz w:val="20"/>
          <w:szCs w:val="20"/>
          <w:color w:val="auto"/>
        </w:rPr>
      </w:pPr>
      <w:r>
        <w:rPr>
          <w:rFonts w:ascii="Arial" w:cs="Arial" w:eastAsia="Arial" w:hAnsi="Arial"/>
          <w:sz w:val="16"/>
          <w:szCs w:val="16"/>
          <w:color w:val="auto"/>
        </w:rPr>
        <w:t>The table below sets forth information about our capital requirements under the standardized approach of the enterprise regulatory capital framework. Available capital for purposes of the enterprise regulatory capital framework excludes the stated value of the senior preferred stock ($120.8 billion) and other amounts specified in footnote 2 to the table. Because of these exclusions, we had a deficit in available capital as of June 30, 2023, even though we had positive net worth under GAAP of $69.0 billion as of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368935</wp:posOffset>
            </wp:positionV>
            <wp:extent cx="681101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164070" cy="4191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50" w:right="359" w:bottom="1440" w:gutter="0" w:footer="0" w:header="0"/>
        </w:sectPr>
      </w:pPr>
    </w:p>
    <w:bookmarkStart w:id="118" w:name="page119"/>
    <w:bookmarkEnd w:id="118"/>
    <w:p>
      <w:pPr>
        <w:ind w:left="5660"/>
        <w:spacing w:after="0"/>
        <w:rPr>
          <w:sz w:val="20"/>
          <w:szCs w:val="20"/>
          <w:color w:val="auto"/>
        </w:rPr>
      </w:pPr>
      <w:r>
        <w:rPr>
          <w:rFonts w:ascii="Arial" w:cs="Arial" w:eastAsia="Arial" w:hAnsi="Arial"/>
          <w:sz w:val="13"/>
          <w:szCs w:val="13"/>
          <w:color w:val="05314D"/>
        </w:rPr>
        <w:t>Notes to Condensed Consolidated Financial Statements | Regulatory Capital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041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30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As of June 30, 2023, we had a $248 billion shortfall of our available capital (deficit) to the adjusted total capital requirement (including buffers) of $184 billion under the standardized approach of the enterprise regulatory capital framework as shown in the table below. As of June 30, 2023, our risk-based adjusted total capital requirement (including buffers) represented the amount of capital needed to be fully capitalized under the standardized approach to the enterprise regulatory capital framework.</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Capital Metrics under the Enterprise Regulatory Capital Framework as of June 30, 2023</w:t>
      </w:r>
      <w:r>
        <w:rPr>
          <w:rFonts w:ascii="Arial" w:cs="Arial" w:eastAsia="Arial" w:hAnsi="Arial"/>
          <w:sz w:val="20"/>
          <w:szCs w:val="20"/>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3867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(Dollars in billions)</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680" w:type="dxa"/>
            <w:vAlign w:val="bottom"/>
          </w:tcPr>
          <w:p>
            <w:pPr>
              <w:ind w:left="20"/>
              <w:spacing w:after="0"/>
              <w:rPr>
                <w:sz w:val="20"/>
                <w:szCs w:val="20"/>
                <w:color w:val="auto"/>
              </w:rPr>
            </w:pPr>
            <w:r>
              <w:rPr>
                <w:rFonts w:ascii="Arial" w:cs="Arial" w:eastAsia="Arial" w:hAnsi="Arial"/>
                <w:sz w:val="15"/>
                <w:szCs w:val="15"/>
                <w:color w:val="auto"/>
              </w:rPr>
              <w:t>Adjusted total assets</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4,562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6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Risk-weighted assets</w:t>
            </w:r>
          </w:p>
        </w:tc>
        <w:tc>
          <w:tcPr>
            <w:tcW w:w="200" w:type="dxa"/>
            <w:vAlign w:val="bottom"/>
            <w:tcBorders>
              <w:bottom w:val="single" w:sz="8" w:color="2C6937"/>
            </w:tcBorders>
          </w:tcPr>
          <w:p>
            <w:pPr>
              <w:spacing w:after="0"/>
              <w:rPr>
                <w:sz w:val="21"/>
                <w:szCs w:val="21"/>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8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102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1120" w:type="dxa"/>
            <w:vAlign w:val="bottom"/>
            <w:tcBorders>
              <w:bottom w:val="single" w:sz="8" w:color="2C6937"/>
            </w:tcBorders>
          </w:tcPr>
          <w:p>
            <w:pPr>
              <w:jc w:val="right"/>
              <w:ind w:right="246"/>
              <w:spacing w:after="0"/>
              <w:rPr>
                <w:sz w:val="20"/>
                <w:szCs w:val="20"/>
                <w:color w:val="auto"/>
              </w:rPr>
            </w:pPr>
            <w:r>
              <w:rPr>
                <w:rFonts w:ascii="Arial" w:cs="Arial" w:eastAsia="Arial" w:hAnsi="Arial"/>
                <w:sz w:val="14"/>
                <w:szCs w:val="14"/>
                <w:b w:val="1"/>
                <w:bCs w:val="1"/>
                <w:color w:val="auto"/>
              </w:rPr>
              <w:t>Amounts</w:t>
            </w:r>
          </w:p>
        </w:tc>
        <w:tc>
          <w:tcPr>
            <w:tcW w:w="80" w:type="dxa"/>
            <w:vAlign w:val="bottom"/>
            <w:tcBorders>
              <w:bottom w:val="single" w:sz="8" w:color="2C6937"/>
            </w:tcBorders>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1120" w:type="dxa"/>
            <w:vAlign w:val="bottom"/>
            <w:tcBorders>
              <w:bottom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2C6937"/>
            </w:tcBorders>
          </w:tcPr>
          <w:p>
            <w:pPr>
              <w:spacing w:after="0"/>
              <w:rPr>
                <w:sz w:val="19"/>
                <w:szCs w:val="19"/>
                <w:color w:val="auto"/>
              </w:rPr>
            </w:pPr>
          </w:p>
        </w:tc>
        <w:tc>
          <w:tcPr>
            <w:tcW w:w="80" w:type="dxa"/>
            <w:vAlign w:val="bottom"/>
            <w:tcBorders>
              <w:bottom w:val="single" w:sz="8" w:color="2C6937"/>
            </w:tcBorders>
          </w:tcPr>
          <w:p>
            <w:pPr>
              <w:spacing w:after="0"/>
              <w:rPr>
                <w:sz w:val="19"/>
                <w:szCs w:val="19"/>
                <w:color w:val="auto"/>
              </w:rPr>
            </w:pPr>
          </w:p>
        </w:tc>
        <w:tc>
          <w:tcPr>
            <w:tcW w:w="1380" w:type="dxa"/>
            <w:vAlign w:val="bottom"/>
            <w:tcBorders>
              <w:bottom w:val="single" w:sz="8" w:color="2C6937"/>
            </w:tcBorders>
          </w:tcPr>
          <w:p>
            <w:pPr>
              <w:ind w:left="620"/>
              <w:spacing w:after="0"/>
              <w:rPr>
                <w:sz w:val="20"/>
                <w:szCs w:val="20"/>
                <w:color w:val="auto"/>
              </w:rPr>
            </w:pPr>
            <w:r>
              <w:rPr>
                <w:rFonts w:ascii="Arial" w:cs="Arial" w:eastAsia="Arial" w:hAnsi="Arial"/>
                <w:sz w:val="14"/>
                <w:szCs w:val="14"/>
                <w:b w:val="1"/>
                <w:bCs w:val="1"/>
                <w:color w:val="auto"/>
              </w:rPr>
              <w:t>Ratios</w:t>
            </w:r>
          </w:p>
        </w:tc>
        <w:tc>
          <w:tcPr>
            <w:tcW w:w="100" w:type="dxa"/>
            <w:vAlign w:val="bottom"/>
            <w:tcBorders>
              <w:bottom w:val="single" w:sz="8" w:color="2C6937"/>
            </w:tcBorders>
          </w:tcPr>
          <w:p>
            <w:pPr>
              <w:spacing w:after="0"/>
              <w:rPr>
                <w:sz w:val="19"/>
                <w:szCs w:val="19"/>
                <w:color w:val="auto"/>
              </w:rPr>
            </w:pPr>
          </w:p>
        </w:tc>
        <w:tc>
          <w:tcPr>
            <w:tcW w:w="1600" w:type="dxa"/>
            <w:vAlign w:val="bottom"/>
            <w:tcBorders>
              <w:bottom w:val="single" w:sz="8" w:color="2C6937"/>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68"/>
              <w:spacing w:after="0"/>
              <w:rPr>
                <w:sz w:val="20"/>
                <w:szCs w:val="20"/>
                <w:color w:val="auto"/>
              </w:rPr>
            </w:pPr>
            <w:r>
              <w:rPr>
                <w:rFonts w:ascii="Arial" w:cs="Arial" w:eastAsia="Arial" w:hAnsi="Arial"/>
                <w:sz w:val="14"/>
                <w:szCs w:val="14"/>
                <w:b w:val="1"/>
                <w:bCs w:val="1"/>
                <w:color w:val="auto"/>
                <w:w w:val="97"/>
              </w:rPr>
              <w:t>Total Capital</w:t>
            </w: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Total Capital</w:t>
            </w:r>
          </w:p>
        </w:tc>
        <w:tc>
          <w:tcPr>
            <w:tcW w:w="0" w:type="dxa"/>
            <w:vAlign w:val="bottom"/>
          </w:tcPr>
          <w:p>
            <w:pPr>
              <w:spacing w:after="0"/>
              <w:rPr>
                <w:sz w:val="1"/>
                <w:szCs w:val="1"/>
                <w:color w:val="auto"/>
              </w:rPr>
            </w:pPr>
          </w:p>
        </w:tc>
      </w:tr>
      <w:tr>
        <w:trPr>
          <w:trHeight w:val="103"/>
        </w:trPr>
        <w:tc>
          <w:tcPr>
            <w:tcW w:w="2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vMerge w:val="restart"/>
          </w:tcPr>
          <w:p>
            <w:pPr>
              <w:jc w:val="center"/>
              <w:ind w:right="88"/>
              <w:spacing w:after="0" w:line="155" w:lineRule="exact"/>
              <w:rPr>
                <w:sz w:val="20"/>
                <w:szCs w:val="20"/>
                <w:color w:val="auto"/>
              </w:rPr>
            </w:pPr>
            <w:r>
              <w:rPr>
                <w:rFonts w:ascii="Arial" w:cs="Arial" w:eastAsia="Arial" w:hAnsi="Arial"/>
                <w:sz w:val="14"/>
                <w:szCs w:val="14"/>
                <w:b w:val="1"/>
                <w:bCs w:val="1"/>
                <w:color w:val="auto"/>
                <w:w w:val="98"/>
              </w:rPr>
              <w:t>Requirement</w:t>
            </w:r>
          </w:p>
        </w:tc>
        <w:tc>
          <w:tcPr>
            <w:tcW w:w="1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vMerge w:val="restart"/>
          </w:tcPr>
          <w:p>
            <w:pPr>
              <w:jc w:val="right"/>
              <w:ind w:right="224"/>
              <w:spacing w:after="0"/>
              <w:rPr>
                <w:sz w:val="20"/>
                <w:szCs w:val="20"/>
                <w:color w:val="auto"/>
              </w:rPr>
            </w:pPr>
            <w:r>
              <w:rPr>
                <w:rFonts w:ascii="Arial" w:cs="Arial" w:eastAsia="Arial" w:hAnsi="Arial"/>
                <w:sz w:val="14"/>
                <w:szCs w:val="14"/>
                <w:b w:val="1"/>
                <w:bCs w:val="1"/>
                <w:color w:val="auto"/>
              </w:rPr>
              <w:t>Available</w:t>
            </w:r>
          </w:p>
        </w:tc>
        <w:tc>
          <w:tcPr>
            <w:tcW w:w="100" w:type="dxa"/>
            <w:vAlign w:val="bottom"/>
          </w:tcPr>
          <w:p>
            <w:pPr>
              <w:spacing w:after="0"/>
              <w:rPr>
                <w:sz w:val="4"/>
                <w:szCs w:val="4"/>
                <w:color w:val="auto"/>
              </w:rPr>
            </w:pPr>
          </w:p>
        </w:tc>
        <w:tc>
          <w:tcPr>
            <w:tcW w:w="1280" w:type="dxa"/>
            <w:vAlign w:val="bottom"/>
            <w:gridSpan w:val="2"/>
            <w:vMerge w:val="restart"/>
          </w:tcPr>
          <w:p>
            <w:pPr>
              <w:jc w:val="right"/>
              <w:ind w:right="26"/>
              <w:spacing w:after="0"/>
              <w:rPr>
                <w:sz w:val="20"/>
                <w:szCs w:val="20"/>
                <w:color w:val="auto"/>
              </w:rPr>
            </w:pPr>
            <w:r>
              <w:rPr>
                <w:rFonts w:ascii="Arial" w:cs="Arial" w:eastAsia="Arial" w:hAnsi="Arial"/>
                <w:sz w:val="14"/>
                <w:szCs w:val="14"/>
                <w:b w:val="1"/>
                <w:bCs w:val="1"/>
                <w:color w:val="auto"/>
              </w:rPr>
              <w:t>Minimum Capital</w:t>
            </w: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Available Capital</w:t>
            </w:r>
          </w:p>
        </w:tc>
        <w:tc>
          <w:tcPr>
            <w:tcW w:w="80" w:type="dxa"/>
            <w:vAlign w:val="bottom"/>
          </w:tcPr>
          <w:p>
            <w:pPr>
              <w:spacing w:after="0"/>
              <w:rPr>
                <w:sz w:val="4"/>
                <w:szCs w:val="4"/>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Minimum Capital</w:t>
            </w:r>
          </w:p>
        </w:tc>
        <w:tc>
          <w:tcPr>
            <w:tcW w:w="100" w:type="dxa"/>
            <w:vAlign w:val="bottom"/>
          </w:tcPr>
          <w:p>
            <w:pPr>
              <w:spacing w:after="0"/>
              <w:rPr>
                <w:sz w:val="4"/>
                <w:szCs w:val="4"/>
                <w:color w:val="auto"/>
              </w:rPr>
            </w:pPr>
          </w:p>
        </w:tc>
        <w:tc>
          <w:tcPr>
            <w:tcW w:w="16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Requirement Ratio</w:t>
            </w:r>
          </w:p>
        </w:tc>
        <w:tc>
          <w:tcPr>
            <w:tcW w:w="0" w:type="dxa"/>
            <w:vAlign w:val="bottom"/>
          </w:tcPr>
          <w:p>
            <w:pPr>
              <w:spacing w:after="0"/>
              <w:rPr>
                <w:sz w:val="1"/>
                <w:szCs w:val="1"/>
                <w:color w:val="auto"/>
              </w:rPr>
            </w:pPr>
          </w:p>
        </w:tc>
      </w:tr>
      <w:tr>
        <w:trPr>
          <w:trHeight w:val="140"/>
        </w:trPr>
        <w:tc>
          <w:tcPr>
            <w:tcW w:w="2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7"/>
              </w:rPr>
              <w:t>(including Buffers)</w:t>
            </w:r>
          </w:p>
        </w:tc>
        <w:tc>
          <w:tcPr>
            <w:tcW w:w="1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680" w:type="dxa"/>
            <w:vAlign w:val="bottom"/>
          </w:tcPr>
          <w:p>
            <w:pPr>
              <w:spacing w:after="0"/>
              <w:rPr>
                <w:sz w:val="15"/>
                <w:szCs w:val="15"/>
                <w:color w:val="auto"/>
              </w:rPr>
            </w:pPr>
          </w:p>
        </w:tc>
        <w:tc>
          <w:tcPr>
            <w:tcW w:w="1220" w:type="dxa"/>
            <w:vAlign w:val="bottom"/>
            <w:tcBorders>
              <w:bottom w:val="single" w:sz="8" w:color="2C6937"/>
            </w:tcBorders>
            <w:gridSpan w:val="2"/>
          </w:tcPr>
          <w:p>
            <w:pPr>
              <w:jc w:val="right"/>
              <w:spacing w:after="0" w:line="180" w:lineRule="exact"/>
              <w:rPr>
                <w:sz w:val="20"/>
                <w:szCs w:val="20"/>
                <w:color w:val="auto"/>
              </w:rPr>
            </w:pPr>
            <w:r>
              <w:rPr>
                <w:rFonts w:ascii="Arial" w:cs="Arial" w:eastAsia="Arial" w:hAnsi="Arial"/>
                <w:sz w:val="14"/>
                <w:szCs w:val="14"/>
                <w:b w:val="1"/>
                <w:bCs w:val="1"/>
                <w:color w:val="auto"/>
                <w:w w:val="97"/>
              </w:rPr>
              <w:t>Capital (Deficit)</w:t>
            </w:r>
            <w:r>
              <w:rPr>
                <w:rFonts w:ascii="Arial" w:cs="Arial" w:eastAsia="Arial" w:hAnsi="Arial"/>
                <w:sz w:val="17"/>
                <w:szCs w:val="17"/>
                <w:b w:val="1"/>
                <w:bCs w:val="1"/>
                <w:color w:val="auto"/>
                <w:w w:val="97"/>
                <w:vertAlign w:val="superscript"/>
              </w:rPr>
              <w:t>(2)</w:t>
            </w:r>
          </w:p>
        </w:tc>
        <w:tc>
          <w:tcPr>
            <w:tcW w:w="10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1120" w:type="dxa"/>
            <w:vAlign w:val="bottom"/>
            <w:tcBorders>
              <w:bottom w:val="single" w:sz="8" w:color="2C6937"/>
            </w:tcBorders>
          </w:tcPr>
          <w:p>
            <w:pPr>
              <w:jc w:val="right"/>
              <w:ind w:right="146"/>
              <w:spacing w:after="0"/>
              <w:rPr>
                <w:sz w:val="20"/>
                <w:szCs w:val="20"/>
                <w:color w:val="auto"/>
              </w:rPr>
            </w:pPr>
            <w:r>
              <w:rPr>
                <w:rFonts w:ascii="Arial" w:cs="Arial" w:eastAsia="Arial" w:hAnsi="Arial"/>
                <w:sz w:val="14"/>
                <w:szCs w:val="14"/>
                <w:b w:val="1"/>
                <w:bCs w:val="1"/>
                <w:color w:val="auto"/>
              </w:rPr>
              <w:t>Requirement</w:t>
            </w:r>
          </w:p>
        </w:tc>
        <w:tc>
          <w:tcPr>
            <w:tcW w:w="8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1120" w:type="dxa"/>
            <w:vAlign w:val="bottom"/>
            <w:tcBorders>
              <w:bottom w:val="single" w:sz="8" w:color="2C6937"/>
            </w:tcBorders>
          </w:tcPr>
          <w:p>
            <w:pPr>
              <w:jc w:val="center"/>
              <w:ind w:right="68"/>
              <w:spacing w:after="0"/>
              <w:rPr>
                <w:sz w:val="20"/>
                <w:szCs w:val="20"/>
                <w:color w:val="auto"/>
              </w:rPr>
            </w:pPr>
            <w:r>
              <w:rPr>
                <w:rFonts w:ascii="Arial" w:cs="Arial" w:eastAsia="Arial" w:hAnsi="Arial"/>
                <w:sz w:val="9"/>
                <w:szCs w:val="9"/>
                <w:b w:val="1"/>
                <w:bCs w:val="1"/>
                <w:color w:val="auto"/>
                <w:w w:val="90"/>
              </w:rPr>
              <w:t>(3)</w:t>
            </w:r>
          </w:p>
        </w:tc>
        <w:tc>
          <w:tcPr>
            <w:tcW w:w="100" w:type="dxa"/>
            <w:vAlign w:val="bottom"/>
          </w:tcPr>
          <w:p>
            <w:pPr>
              <w:spacing w:after="0"/>
              <w:rPr>
                <w:sz w:val="15"/>
                <w:szCs w:val="15"/>
                <w:color w:val="auto"/>
              </w:rPr>
            </w:pPr>
          </w:p>
        </w:tc>
        <w:tc>
          <w:tcPr>
            <w:tcW w:w="1340" w:type="dxa"/>
            <w:vAlign w:val="bottom"/>
            <w:tcBorders>
              <w:bottom w:val="single" w:sz="8" w:color="2C6937"/>
            </w:tcBorders>
          </w:tcPr>
          <w:p>
            <w:pPr>
              <w:jc w:val="center"/>
              <w:spacing w:after="0" w:line="180" w:lineRule="exact"/>
              <w:rPr>
                <w:sz w:val="20"/>
                <w:szCs w:val="20"/>
                <w:color w:val="auto"/>
              </w:rPr>
            </w:pPr>
            <w:r>
              <w:rPr>
                <w:rFonts w:ascii="Arial" w:cs="Arial" w:eastAsia="Arial" w:hAnsi="Arial"/>
                <w:sz w:val="14"/>
                <w:szCs w:val="14"/>
                <w:b w:val="1"/>
                <w:bCs w:val="1"/>
                <w:color w:val="auto"/>
                <w:w w:val="95"/>
              </w:rPr>
              <w:t>(Deficit) Ratio</w:t>
            </w:r>
            <w:r>
              <w:rPr>
                <w:rFonts w:ascii="Arial" w:cs="Arial" w:eastAsia="Arial" w:hAnsi="Arial"/>
                <w:sz w:val="17"/>
                <w:szCs w:val="17"/>
                <w:b w:val="1"/>
                <w:bCs w:val="1"/>
                <w:color w:val="auto"/>
                <w:w w:val="95"/>
                <w:vertAlign w:val="superscript"/>
              </w:rPr>
              <w:t>(4)</w:t>
            </w:r>
          </w:p>
        </w:tc>
        <w:tc>
          <w:tcPr>
            <w:tcW w:w="80" w:type="dxa"/>
            <w:vAlign w:val="bottom"/>
          </w:tcPr>
          <w:p>
            <w:pPr>
              <w:spacing w:after="0"/>
              <w:rPr>
                <w:sz w:val="15"/>
                <w:szCs w:val="15"/>
                <w:color w:val="auto"/>
              </w:rPr>
            </w:pPr>
          </w:p>
        </w:tc>
        <w:tc>
          <w:tcPr>
            <w:tcW w:w="138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7"/>
              </w:rPr>
              <w:t>Ratio Requirement</w:t>
            </w:r>
          </w:p>
        </w:tc>
        <w:tc>
          <w:tcPr>
            <w:tcW w:w="100" w:type="dxa"/>
            <w:vAlign w:val="bottom"/>
          </w:tcPr>
          <w:p>
            <w:pPr>
              <w:spacing w:after="0"/>
              <w:rPr>
                <w:sz w:val="15"/>
                <w:szCs w:val="15"/>
                <w:color w:val="auto"/>
              </w:rPr>
            </w:pPr>
          </w:p>
        </w:tc>
        <w:tc>
          <w:tcPr>
            <w:tcW w:w="1600" w:type="dxa"/>
            <w:vAlign w:val="bottom"/>
            <w:tcBorders>
              <w:bottom w:val="single" w:sz="8" w:color="2C6937"/>
            </w:tcBorders>
          </w:tcPr>
          <w:p>
            <w:pPr>
              <w:jc w:val="right"/>
              <w:ind w:right="131"/>
              <w:spacing w:after="0"/>
              <w:rPr>
                <w:sz w:val="20"/>
                <w:szCs w:val="20"/>
                <w:color w:val="auto"/>
              </w:rPr>
            </w:pPr>
            <w:r>
              <w:rPr>
                <w:rFonts w:ascii="Arial" w:cs="Arial" w:eastAsia="Arial" w:hAnsi="Arial"/>
                <w:sz w:val="14"/>
                <w:szCs w:val="14"/>
                <w:b w:val="1"/>
                <w:bCs w:val="1"/>
                <w:color w:val="auto"/>
              </w:rPr>
              <w:t>(including Buffers)</w:t>
            </w:r>
          </w:p>
        </w:tc>
        <w:tc>
          <w:tcPr>
            <w:tcW w:w="0" w:type="dxa"/>
            <w:vAlign w:val="bottom"/>
          </w:tcPr>
          <w:p>
            <w:pPr>
              <w:spacing w:after="0"/>
              <w:rPr>
                <w:sz w:val="1"/>
                <w:szCs w:val="1"/>
                <w:color w:val="auto"/>
              </w:rPr>
            </w:pPr>
          </w:p>
        </w:tc>
      </w:tr>
      <w:tr>
        <w:trPr>
          <w:trHeight w:val="206"/>
        </w:trPr>
        <w:tc>
          <w:tcPr>
            <w:tcW w:w="2680" w:type="dxa"/>
            <w:vAlign w:val="bottom"/>
          </w:tcPr>
          <w:p>
            <w:pPr>
              <w:ind w:left="20"/>
              <w:spacing w:after="0"/>
              <w:rPr>
                <w:sz w:val="20"/>
                <w:szCs w:val="20"/>
                <w:color w:val="auto"/>
              </w:rPr>
            </w:pPr>
            <w:r>
              <w:rPr>
                <w:rFonts w:ascii="Arial" w:cs="Arial" w:eastAsia="Arial" w:hAnsi="Arial"/>
                <w:sz w:val="15"/>
                <w:szCs w:val="15"/>
                <w:b w:val="1"/>
                <w:bCs w:val="1"/>
                <w:color w:val="auto"/>
              </w:rPr>
              <w:t>Risk-based capital:</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2680" w:type="dxa"/>
            <w:vAlign w:val="bottom"/>
          </w:tcPr>
          <w:p>
            <w:pPr>
              <w:ind w:left="240"/>
              <w:spacing w:after="0"/>
              <w:rPr>
                <w:sz w:val="20"/>
                <w:szCs w:val="20"/>
                <w:color w:val="auto"/>
              </w:rPr>
            </w:pPr>
            <w:r>
              <w:rPr>
                <w:rFonts w:ascii="Arial" w:cs="Arial" w:eastAsia="Arial" w:hAnsi="Arial"/>
                <w:sz w:val="15"/>
                <w:szCs w:val="15"/>
                <w:color w:val="auto"/>
              </w:rPr>
              <w:t>Total capital (statutory)</w:t>
            </w:r>
            <w:r>
              <w:rPr>
                <w:rFonts w:ascii="Arial" w:cs="Arial" w:eastAsia="Arial" w:hAnsi="Arial"/>
                <w:sz w:val="20"/>
                <w:szCs w:val="20"/>
                <w:color w:val="auto"/>
                <w:vertAlign w:val="superscript"/>
              </w:rPr>
              <w:t>(5)</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(42)</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105</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105</w:t>
            </w:r>
          </w:p>
        </w:tc>
        <w:tc>
          <w:tcPr>
            <w:tcW w:w="1440" w:type="dxa"/>
            <w:vAlign w:val="bottom"/>
            <w:gridSpan w:val="2"/>
          </w:tcPr>
          <w:p>
            <w:pPr>
              <w:ind w:left="960"/>
              <w:spacing w:after="0"/>
              <w:rPr>
                <w:sz w:val="20"/>
                <w:szCs w:val="20"/>
                <w:color w:val="auto"/>
              </w:rPr>
            </w:pPr>
            <w:r>
              <w:rPr>
                <w:rFonts w:ascii="Arial" w:cs="Arial" w:eastAsia="Arial" w:hAnsi="Arial"/>
                <w:sz w:val="15"/>
                <w:szCs w:val="15"/>
                <w:color w:val="auto"/>
              </w:rPr>
              <w:t>(3.2)%</w:t>
            </w:r>
          </w:p>
        </w:tc>
        <w:tc>
          <w:tcPr>
            <w:tcW w:w="1460" w:type="dxa"/>
            <w:vAlign w:val="bottom"/>
            <w:gridSpan w:val="2"/>
          </w:tcPr>
          <w:p>
            <w:pPr>
              <w:ind w:left="1040"/>
              <w:spacing w:after="0"/>
              <w:rPr>
                <w:sz w:val="20"/>
                <w:szCs w:val="20"/>
                <w:color w:val="auto"/>
              </w:rPr>
            </w:pPr>
            <w:r>
              <w:rPr>
                <w:rFonts w:ascii="Arial" w:cs="Arial" w:eastAsia="Arial" w:hAnsi="Arial"/>
                <w:sz w:val="15"/>
                <w:szCs w:val="15"/>
                <w:color w:val="auto"/>
              </w:rPr>
              <w:t>8.0 %</w:t>
            </w:r>
          </w:p>
        </w:tc>
        <w:tc>
          <w:tcPr>
            <w:tcW w:w="1700" w:type="dxa"/>
            <w:vAlign w:val="bottom"/>
            <w:gridSpan w:val="2"/>
          </w:tcPr>
          <w:p>
            <w:pPr>
              <w:jc w:val="right"/>
              <w:spacing w:after="0"/>
              <w:rPr>
                <w:sz w:val="20"/>
                <w:szCs w:val="20"/>
                <w:color w:val="auto"/>
              </w:rPr>
            </w:pPr>
            <w:r>
              <w:rPr>
                <w:rFonts w:ascii="Arial" w:cs="Arial" w:eastAsia="Arial" w:hAnsi="Arial"/>
                <w:sz w:val="15"/>
                <w:szCs w:val="15"/>
                <w:color w:val="auto"/>
              </w:rPr>
              <w:t>8.0 %</w:t>
            </w:r>
          </w:p>
        </w:tc>
        <w:tc>
          <w:tcPr>
            <w:tcW w:w="0" w:type="dxa"/>
            <w:vAlign w:val="bottom"/>
          </w:tcPr>
          <w:p>
            <w:pPr>
              <w:spacing w:after="0"/>
              <w:rPr>
                <w:sz w:val="1"/>
                <w:szCs w:val="1"/>
                <w:color w:val="auto"/>
              </w:rPr>
            </w:pPr>
          </w:p>
        </w:tc>
      </w:tr>
      <w:tr>
        <w:trPr>
          <w:trHeight w:val="209"/>
        </w:trPr>
        <w:tc>
          <w:tcPr>
            <w:tcW w:w="2680" w:type="dxa"/>
            <w:vAlign w:val="bottom"/>
          </w:tcPr>
          <w:p>
            <w:pPr>
              <w:ind w:left="240"/>
              <w:spacing w:after="0"/>
              <w:rPr>
                <w:sz w:val="20"/>
                <w:szCs w:val="20"/>
                <w:color w:val="auto"/>
              </w:rPr>
            </w:pPr>
            <w:r>
              <w:rPr>
                <w:rFonts w:ascii="Arial" w:cs="Arial" w:eastAsia="Arial" w:hAnsi="Arial"/>
                <w:sz w:val="15"/>
                <w:szCs w:val="15"/>
                <w:color w:val="auto"/>
              </w:rPr>
              <w:t>Common equity tier 1 capital</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138</w:t>
            </w:r>
          </w:p>
        </w:tc>
        <w:tc>
          <w:tcPr>
            <w:tcW w:w="1440" w:type="dxa"/>
            <w:vAlign w:val="bottom"/>
            <w:gridSpan w:val="2"/>
          </w:tcPr>
          <w:p>
            <w:pPr>
              <w:ind w:left="960"/>
              <w:spacing w:after="0"/>
              <w:rPr>
                <w:sz w:val="20"/>
                <w:szCs w:val="20"/>
                <w:color w:val="auto"/>
              </w:rPr>
            </w:pPr>
            <w:r>
              <w:rPr>
                <w:rFonts w:ascii="Arial" w:cs="Arial" w:eastAsia="Arial" w:hAnsi="Arial"/>
                <w:sz w:val="15"/>
                <w:szCs w:val="15"/>
                <w:color w:val="auto"/>
              </w:rPr>
              <w:t>(6.3)</w:t>
            </w:r>
          </w:p>
        </w:tc>
        <w:tc>
          <w:tcPr>
            <w:tcW w:w="1460" w:type="dxa"/>
            <w:vAlign w:val="bottom"/>
            <w:gridSpan w:val="2"/>
          </w:tcPr>
          <w:p>
            <w:pPr>
              <w:ind w:left="1040"/>
              <w:spacing w:after="0"/>
              <w:rPr>
                <w:sz w:val="20"/>
                <w:szCs w:val="20"/>
                <w:color w:val="auto"/>
              </w:rPr>
            </w:pPr>
            <w:r>
              <w:rPr>
                <w:rFonts w:ascii="Arial" w:cs="Arial" w:eastAsia="Arial" w:hAnsi="Arial"/>
                <w:sz w:val="15"/>
                <w:szCs w:val="15"/>
                <w:color w:val="auto"/>
              </w:rPr>
              <w:t>4.5</w:t>
            </w:r>
          </w:p>
        </w:tc>
        <w:tc>
          <w:tcPr>
            <w:tcW w:w="1700" w:type="dxa"/>
            <w:vAlign w:val="bottom"/>
            <w:gridSpan w:val="2"/>
          </w:tcPr>
          <w:p>
            <w:pPr>
              <w:jc w:val="right"/>
              <w:ind w:right="131"/>
              <w:spacing w:after="0"/>
              <w:rPr>
                <w:sz w:val="20"/>
                <w:szCs w:val="20"/>
                <w:color w:val="auto"/>
              </w:rPr>
            </w:pPr>
            <w:r>
              <w:rPr>
                <w:rFonts w:ascii="Arial" w:cs="Arial" w:eastAsia="Arial" w:hAnsi="Arial"/>
                <w:sz w:val="15"/>
                <w:szCs w:val="15"/>
                <w:color w:val="auto"/>
              </w:rPr>
              <w:t>10.5</w:t>
            </w:r>
          </w:p>
        </w:tc>
        <w:tc>
          <w:tcPr>
            <w:tcW w:w="0" w:type="dxa"/>
            <w:vAlign w:val="bottom"/>
          </w:tcPr>
          <w:p>
            <w:pPr>
              <w:spacing w:after="0"/>
              <w:rPr>
                <w:sz w:val="1"/>
                <w:szCs w:val="1"/>
                <w:color w:val="auto"/>
              </w:rPr>
            </w:pPr>
          </w:p>
        </w:tc>
      </w:tr>
      <w:tr>
        <w:trPr>
          <w:trHeight w:val="245"/>
        </w:trPr>
        <w:tc>
          <w:tcPr>
            <w:tcW w:w="2680" w:type="dxa"/>
            <w:vAlign w:val="bottom"/>
          </w:tcPr>
          <w:p>
            <w:pPr>
              <w:ind w:left="240"/>
              <w:spacing w:after="0"/>
              <w:rPr>
                <w:sz w:val="20"/>
                <w:szCs w:val="20"/>
                <w:color w:val="auto"/>
              </w:rPr>
            </w:pPr>
            <w:r>
              <w:rPr>
                <w:rFonts w:ascii="Arial" w:cs="Arial" w:eastAsia="Arial" w:hAnsi="Arial"/>
                <w:sz w:val="15"/>
                <w:szCs w:val="15"/>
                <w:color w:val="auto"/>
              </w:rPr>
              <w:t>Tier 1 capital</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79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158</w:t>
            </w:r>
          </w:p>
        </w:tc>
        <w:tc>
          <w:tcPr>
            <w:tcW w:w="1440" w:type="dxa"/>
            <w:vAlign w:val="bottom"/>
            <w:gridSpan w:val="2"/>
          </w:tcPr>
          <w:p>
            <w:pPr>
              <w:ind w:left="960"/>
              <w:spacing w:after="0"/>
              <w:rPr>
                <w:sz w:val="20"/>
                <w:szCs w:val="20"/>
                <w:color w:val="auto"/>
              </w:rPr>
            </w:pPr>
            <w:r>
              <w:rPr>
                <w:rFonts w:ascii="Arial" w:cs="Arial" w:eastAsia="Arial" w:hAnsi="Arial"/>
                <w:sz w:val="15"/>
                <w:szCs w:val="15"/>
                <w:color w:val="auto"/>
              </w:rPr>
              <w:t>(4.9)</w:t>
            </w:r>
          </w:p>
        </w:tc>
        <w:tc>
          <w:tcPr>
            <w:tcW w:w="1460" w:type="dxa"/>
            <w:vAlign w:val="bottom"/>
            <w:gridSpan w:val="2"/>
          </w:tcPr>
          <w:p>
            <w:pPr>
              <w:ind w:left="1040"/>
              <w:spacing w:after="0"/>
              <w:rPr>
                <w:sz w:val="20"/>
                <w:szCs w:val="20"/>
                <w:color w:val="auto"/>
              </w:rPr>
            </w:pPr>
            <w:r>
              <w:rPr>
                <w:rFonts w:ascii="Arial" w:cs="Arial" w:eastAsia="Arial" w:hAnsi="Arial"/>
                <w:sz w:val="15"/>
                <w:szCs w:val="15"/>
                <w:color w:val="auto"/>
              </w:rPr>
              <w:t>6.0</w:t>
            </w:r>
          </w:p>
        </w:tc>
        <w:tc>
          <w:tcPr>
            <w:tcW w:w="1700" w:type="dxa"/>
            <w:vAlign w:val="bottom"/>
            <w:gridSpan w:val="2"/>
          </w:tcPr>
          <w:p>
            <w:pPr>
              <w:jc w:val="right"/>
              <w:ind w:right="131"/>
              <w:spacing w:after="0"/>
              <w:rPr>
                <w:sz w:val="20"/>
                <w:szCs w:val="20"/>
                <w:color w:val="auto"/>
              </w:rPr>
            </w:pPr>
            <w:r>
              <w:rPr>
                <w:rFonts w:ascii="Arial" w:cs="Arial" w:eastAsia="Arial" w:hAnsi="Arial"/>
                <w:sz w:val="15"/>
                <w:szCs w:val="15"/>
                <w:color w:val="auto"/>
              </w:rPr>
              <w:t>12.0</w:t>
            </w:r>
          </w:p>
        </w:tc>
        <w:tc>
          <w:tcPr>
            <w:tcW w:w="0" w:type="dxa"/>
            <w:vAlign w:val="bottom"/>
          </w:tcPr>
          <w:p>
            <w:pPr>
              <w:spacing w:after="0"/>
              <w:rPr>
                <w:sz w:val="1"/>
                <w:szCs w:val="1"/>
                <w:color w:val="auto"/>
              </w:rPr>
            </w:pPr>
          </w:p>
        </w:tc>
      </w:tr>
      <w:tr>
        <w:trPr>
          <w:trHeight w:val="232"/>
        </w:trPr>
        <w:tc>
          <w:tcPr>
            <w:tcW w:w="2680" w:type="dxa"/>
            <w:vAlign w:val="bottom"/>
          </w:tcPr>
          <w:p>
            <w:pPr>
              <w:ind w:left="240"/>
              <w:spacing w:after="0"/>
              <w:rPr>
                <w:sz w:val="20"/>
                <w:szCs w:val="20"/>
                <w:color w:val="auto"/>
              </w:rPr>
            </w:pPr>
            <w:r>
              <w:rPr>
                <w:rFonts w:ascii="Arial" w:cs="Arial" w:eastAsia="Arial" w:hAnsi="Arial"/>
                <w:sz w:val="15"/>
                <w:szCs w:val="15"/>
                <w:color w:val="auto"/>
              </w:rPr>
              <w:t>Adjusted total capital</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105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184</w:t>
            </w:r>
          </w:p>
        </w:tc>
        <w:tc>
          <w:tcPr>
            <w:tcW w:w="1440" w:type="dxa"/>
            <w:vAlign w:val="bottom"/>
            <w:gridSpan w:val="2"/>
          </w:tcPr>
          <w:p>
            <w:pPr>
              <w:ind w:left="960"/>
              <w:spacing w:after="0"/>
              <w:rPr>
                <w:sz w:val="20"/>
                <w:szCs w:val="20"/>
                <w:color w:val="auto"/>
              </w:rPr>
            </w:pPr>
            <w:r>
              <w:rPr>
                <w:rFonts w:ascii="Arial" w:cs="Arial" w:eastAsia="Arial" w:hAnsi="Arial"/>
                <w:sz w:val="15"/>
                <w:szCs w:val="15"/>
                <w:color w:val="auto"/>
              </w:rPr>
              <w:t>(4.9)</w:t>
            </w:r>
          </w:p>
        </w:tc>
        <w:tc>
          <w:tcPr>
            <w:tcW w:w="1460" w:type="dxa"/>
            <w:vAlign w:val="bottom"/>
            <w:gridSpan w:val="2"/>
          </w:tcPr>
          <w:p>
            <w:pPr>
              <w:ind w:left="1040"/>
              <w:spacing w:after="0"/>
              <w:rPr>
                <w:sz w:val="20"/>
                <w:szCs w:val="20"/>
                <w:color w:val="auto"/>
              </w:rPr>
            </w:pPr>
            <w:r>
              <w:rPr>
                <w:rFonts w:ascii="Arial" w:cs="Arial" w:eastAsia="Arial" w:hAnsi="Arial"/>
                <w:sz w:val="15"/>
                <w:szCs w:val="15"/>
                <w:color w:val="auto"/>
              </w:rPr>
              <w:t>8.0</w:t>
            </w:r>
          </w:p>
        </w:tc>
        <w:tc>
          <w:tcPr>
            <w:tcW w:w="1700" w:type="dxa"/>
            <w:vAlign w:val="bottom"/>
            <w:gridSpan w:val="2"/>
          </w:tcPr>
          <w:p>
            <w:pPr>
              <w:jc w:val="right"/>
              <w:ind w:right="131"/>
              <w:spacing w:after="0"/>
              <w:rPr>
                <w:sz w:val="20"/>
                <w:szCs w:val="20"/>
                <w:color w:val="auto"/>
              </w:rPr>
            </w:pPr>
            <w:r>
              <w:rPr>
                <w:rFonts w:ascii="Arial" w:cs="Arial" w:eastAsia="Arial" w:hAnsi="Arial"/>
                <w:sz w:val="15"/>
                <w:szCs w:val="15"/>
                <w:color w:val="auto"/>
              </w:rPr>
              <w:t>14.0</w:t>
            </w:r>
          </w:p>
        </w:tc>
        <w:tc>
          <w:tcPr>
            <w:tcW w:w="0" w:type="dxa"/>
            <w:vAlign w:val="bottom"/>
          </w:tcPr>
          <w:p>
            <w:pPr>
              <w:spacing w:after="0"/>
              <w:rPr>
                <w:sz w:val="1"/>
                <w:szCs w:val="1"/>
                <w:color w:val="auto"/>
              </w:rPr>
            </w:pPr>
          </w:p>
        </w:tc>
      </w:tr>
      <w:tr>
        <w:trPr>
          <w:trHeight w:val="231"/>
        </w:trPr>
        <w:tc>
          <w:tcPr>
            <w:tcW w:w="2680" w:type="dxa"/>
            <w:vAlign w:val="bottom"/>
          </w:tcPr>
          <w:p>
            <w:pPr>
              <w:ind w:left="20"/>
              <w:spacing w:after="0"/>
              <w:rPr>
                <w:sz w:val="20"/>
                <w:szCs w:val="20"/>
                <w:color w:val="auto"/>
              </w:rPr>
            </w:pPr>
            <w:r>
              <w:rPr>
                <w:rFonts w:ascii="Arial" w:cs="Arial" w:eastAsia="Arial" w:hAnsi="Arial"/>
                <w:sz w:val="15"/>
                <w:szCs w:val="15"/>
                <w:b w:val="1"/>
                <w:bCs w:val="1"/>
                <w:color w:val="auto"/>
              </w:rPr>
              <w:t>Leverage capital:</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680" w:type="dxa"/>
            <w:vAlign w:val="bottom"/>
          </w:tcPr>
          <w:p>
            <w:pPr>
              <w:ind w:left="240"/>
              <w:spacing w:after="0"/>
              <w:rPr>
                <w:sz w:val="20"/>
                <w:szCs w:val="20"/>
                <w:color w:val="auto"/>
              </w:rPr>
            </w:pPr>
            <w:r>
              <w:rPr>
                <w:rFonts w:ascii="Arial" w:cs="Arial" w:eastAsia="Arial" w:hAnsi="Arial"/>
                <w:sz w:val="15"/>
                <w:szCs w:val="15"/>
                <w:color w:val="auto"/>
              </w:rPr>
              <w:t>Core capital (statutory)</w:t>
            </w:r>
            <w:r>
              <w:rPr>
                <w:rFonts w:ascii="Arial" w:cs="Arial" w:eastAsia="Arial" w:hAnsi="Arial"/>
                <w:sz w:val="20"/>
                <w:szCs w:val="20"/>
                <w:color w:val="auto"/>
                <w:vertAlign w:val="superscript"/>
              </w:rPr>
              <w:t>(6)</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114</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114</w:t>
            </w:r>
          </w:p>
        </w:tc>
        <w:tc>
          <w:tcPr>
            <w:tcW w:w="1440" w:type="dxa"/>
            <w:vAlign w:val="bottom"/>
            <w:gridSpan w:val="2"/>
          </w:tcPr>
          <w:p>
            <w:pPr>
              <w:ind w:left="960"/>
              <w:spacing w:after="0"/>
              <w:rPr>
                <w:sz w:val="20"/>
                <w:szCs w:val="20"/>
                <w:color w:val="auto"/>
              </w:rPr>
            </w:pPr>
            <w:r>
              <w:rPr>
                <w:rFonts w:ascii="Arial" w:cs="Arial" w:eastAsia="Arial" w:hAnsi="Arial"/>
                <w:sz w:val="15"/>
                <w:szCs w:val="15"/>
                <w:color w:val="auto"/>
              </w:rPr>
              <w:t>(1.1)</w:t>
            </w:r>
          </w:p>
        </w:tc>
        <w:tc>
          <w:tcPr>
            <w:tcW w:w="1460" w:type="dxa"/>
            <w:vAlign w:val="bottom"/>
            <w:gridSpan w:val="2"/>
          </w:tcPr>
          <w:p>
            <w:pPr>
              <w:ind w:left="1040"/>
              <w:spacing w:after="0"/>
              <w:rPr>
                <w:sz w:val="20"/>
                <w:szCs w:val="20"/>
                <w:color w:val="auto"/>
              </w:rPr>
            </w:pPr>
            <w:r>
              <w:rPr>
                <w:rFonts w:ascii="Arial" w:cs="Arial" w:eastAsia="Arial" w:hAnsi="Arial"/>
                <w:sz w:val="15"/>
                <w:szCs w:val="15"/>
                <w:color w:val="auto"/>
              </w:rPr>
              <w:t>2.5</w:t>
            </w:r>
          </w:p>
        </w:tc>
        <w:tc>
          <w:tcPr>
            <w:tcW w:w="1700" w:type="dxa"/>
            <w:vAlign w:val="bottom"/>
            <w:gridSpan w:val="2"/>
          </w:tcPr>
          <w:p>
            <w:pPr>
              <w:jc w:val="right"/>
              <w:ind w:right="131"/>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209"/>
        </w:trPr>
        <w:tc>
          <w:tcPr>
            <w:tcW w:w="2680" w:type="dxa"/>
            <w:vAlign w:val="bottom"/>
          </w:tcPr>
          <w:p>
            <w:pPr>
              <w:ind w:left="240"/>
              <w:spacing w:after="0"/>
              <w:rPr>
                <w:sz w:val="20"/>
                <w:szCs w:val="20"/>
                <w:color w:val="auto"/>
              </w:rPr>
            </w:pPr>
            <w:r>
              <w:rPr>
                <w:rFonts w:ascii="Arial" w:cs="Arial" w:eastAsia="Arial" w:hAnsi="Arial"/>
                <w:sz w:val="15"/>
                <w:szCs w:val="15"/>
                <w:color w:val="auto"/>
              </w:rPr>
              <w:t>Tier 1 capital</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114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137</w:t>
            </w:r>
          </w:p>
        </w:tc>
        <w:tc>
          <w:tcPr>
            <w:tcW w:w="1440" w:type="dxa"/>
            <w:vAlign w:val="bottom"/>
            <w:gridSpan w:val="2"/>
          </w:tcPr>
          <w:p>
            <w:pPr>
              <w:ind w:left="960"/>
              <w:spacing w:after="0"/>
              <w:rPr>
                <w:sz w:val="20"/>
                <w:szCs w:val="20"/>
                <w:color w:val="auto"/>
              </w:rPr>
            </w:pPr>
            <w:r>
              <w:rPr>
                <w:rFonts w:ascii="Arial" w:cs="Arial" w:eastAsia="Arial" w:hAnsi="Arial"/>
                <w:sz w:val="15"/>
                <w:szCs w:val="15"/>
                <w:color w:val="auto"/>
              </w:rPr>
              <w:t>(1.4)</w:t>
            </w:r>
          </w:p>
        </w:tc>
        <w:tc>
          <w:tcPr>
            <w:tcW w:w="1460" w:type="dxa"/>
            <w:vAlign w:val="bottom"/>
            <w:gridSpan w:val="2"/>
          </w:tcPr>
          <w:p>
            <w:pPr>
              <w:ind w:left="1040"/>
              <w:spacing w:after="0"/>
              <w:rPr>
                <w:sz w:val="20"/>
                <w:szCs w:val="20"/>
                <w:color w:val="auto"/>
              </w:rPr>
            </w:pPr>
            <w:r>
              <w:rPr>
                <w:rFonts w:ascii="Arial" w:cs="Arial" w:eastAsia="Arial" w:hAnsi="Arial"/>
                <w:sz w:val="15"/>
                <w:szCs w:val="15"/>
                <w:color w:val="auto"/>
              </w:rPr>
              <w:t>2.5</w:t>
            </w:r>
          </w:p>
        </w:tc>
        <w:tc>
          <w:tcPr>
            <w:tcW w:w="1700" w:type="dxa"/>
            <w:vAlign w:val="bottom"/>
            <w:gridSpan w:val="2"/>
          </w:tcPr>
          <w:p>
            <w:pPr>
              <w:jc w:val="right"/>
              <w:ind w:right="131"/>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240" w:hanging="237"/>
        <w:spacing w:after="0"/>
        <w:tabs>
          <w:tab w:leader="none" w:pos="240" w:val="left"/>
        </w:tabs>
        <w:numPr>
          <w:ilvl w:val="0"/>
          <w:numId w:val="133"/>
        </w:numPr>
        <w:rPr>
          <w:rFonts w:ascii="Arial" w:cs="Arial" w:eastAsia="Arial" w:hAnsi="Arial"/>
          <w:sz w:val="18"/>
          <w:szCs w:val="18"/>
          <w:color w:val="auto"/>
          <w:vertAlign w:val="superscript"/>
        </w:rPr>
      </w:pPr>
      <w:r>
        <w:rPr>
          <w:rFonts w:ascii="Arial" w:cs="Arial" w:eastAsia="Arial" w:hAnsi="Arial"/>
          <w:sz w:val="14"/>
          <w:szCs w:val="14"/>
          <w:color w:val="auto"/>
        </w:rPr>
        <w:t>Ratios are calculated as a percentage of risk-weighted assets for risk-based capital metrics and as a percentage of adjusted total assets for leverage capital metrics.</w:t>
      </w:r>
    </w:p>
    <w:p>
      <w:pPr>
        <w:spacing w:after="0" w:line="41" w:lineRule="exact"/>
        <w:rPr>
          <w:rFonts w:ascii="Arial" w:cs="Arial" w:eastAsia="Arial" w:hAnsi="Arial"/>
          <w:sz w:val="18"/>
          <w:szCs w:val="18"/>
          <w:color w:val="auto"/>
          <w:vertAlign w:val="superscript"/>
        </w:rPr>
      </w:pPr>
    </w:p>
    <w:p>
      <w:pPr>
        <w:ind w:left="240" w:right="120" w:hanging="237"/>
        <w:spacing w:after="0" w:line="227" w:lineRule="auto"/>
        <w:tabs>
          <w:tab w:leader="none" w:pos="240" w:val="left"/>
        </w:tabs>
        <w:numPr>
          <w:ilvl w:val="0"/>
          <w:numId w:val="133"/>
        </w:numPr>
        <w:rPr>
          <w:rFonts w:ascii="Arial" w:cs="Arial" w:eastAsia="Arial" w:hAnsi="Arial"/>
          <w:sz w:val="18"/>
          <w:szCs w:val="18"/>
          <w:color w:val="auto"/>
          <w:vertAlign w:val="superscript"/>
        </w:rPr>
      </w:pPr>
      <w:r>
        <w:rPr>
          <w:rFonts w:ascii="Arial" w:cs="Arial" w:eastAsia="Arial" w:hAnsi="Arial"/>
          <w:sz w:val="14"/>
          <w:szCs w:val="14"/>
          <w:color w:val="auto"/>
        </w:rPr>
        <w:t>Available capital (deficit) for all line items excludes the stated value of the senior preferred stock ($120.8 billion). Available capital (deficit) for all line items except total capital and core capital also deducts a portion of deferred tax assets. Deferred tax assets arising from temporary differences between GAAP and tax requirements are deducted from capital to the extent they exceed 10% of common equity. As of June 30, 2023, this resulted in the full deduction of deferred tax assets ($12.0 billion) from our available capital (deficit). Available capital (deficit) for common equity tier 1 capital also excludes the value of the non-cumulative perpetual preferred stock ($19.1 billion).</w:t>
      </w:r>
    </w:p>
    <w:p>
      <w:pPr>
        <w:spacing w:after="0" w:line="33" w:lineRule="exact"/>
        <w:rPr>
          <w:rFonts w:ascii="Arial" w:cs="Arial" w:eastAsia="Arial" w:hAnsi="Arial"/>
          <w:sz w:val="18"/>
          <w:szCs w:val="18"/>
          <w:color w:val="auto"/>
          <w:vertAlign w:val="superscript"/>
        </w:rPr>
      </w:pPr>
    </w:p>
    <w:p>
      <w:pPr>
        <w:ind w:left="240" w:right="160" w:hanging="237"/>
        <w:spacing w:after="0" w:line="237" w:lineRule="auto"/>
        <w:tabs>
          <w:tab w:leader="none" w:pos="240" w:val="left"/>
        </w:tabs>
        <w:numPr>
          <w:ilvl w:val="0"/>
          <w:numId w:val="133"/>
        </w:numPr>
        <w:rPr>
          <w:rFonts w:ascii="Arial" w:cs="Arial" w:eastAsia="Arial" w:hAnsi="Arial"/>
          <w:sz w:val="18"/>
          <w:szCs w:val="18"/>
          <w:color w:val="auto"/>
          <w:vertAlign w:val="superscript"/>
        </w:rPr>
      </w:pPr>
      <w:r>
        <w:rPr>
          <w:rFonts w:ascii="Arial" w:cs="Arial" w:eastAsia="Arial" w:hAnsi="Arial"/>
          <w:sz w:val="14"/>
          <w:szCs w:val="14"/>
          <w:color w:val="auto"/>
        </w:rPr>
        <w:t>The applicable buffer for common equity tier 1 capital, tier 1 capital, and adjusted total capital is the PCCBA, comprised of a stress capital buffer, a stability capital buffer, and a countercyclical capital buffer. The applicable buffer for tier 1 capital (leverage based) is the PLBA. The stress capital buffer and countercyclical capital buffer are each calculated by multiplying prescribed factors by adjusted total assets as of the last day of the previous calendar quarter. The 2023 stability capital buffer is calculated by multiplying a factor determined based on our share of mortgage debt outstanding by adjusted total assets as of December 31, 2020. The prescribed leverage buffer for 2023 is set at 50% of the 2023 stability buffer. Going forward the stability buffer and the prescribed leverage buffer will be updated with an effective date that depends on whether the stability capital buffer increases or decreases relative to the previously calculated value.</w:t>
      </w:r>
    </w:p>
    <w:p>
      <w:pPr>
        <w:ind w:left="240" w:hanging="237"/>
        <w:spacing w:after="0"/>
        <w:tabs>
          <w:tab w:leader="none" w:pos="240" w:val="left"/>
        </w:tabs>
        <w:numPr>
          <w:ilvl w:val="0"/>
          <w:numId w:val="133"/>
        </w:numPr>
        <w:rPr>
          <w:rFonts w:ascii="Arial" w:cs="Arial" w:eastAsia="Arial" w:hAnsi="Arial"/>
          <w:sz w:val="18"/>
          <w:szCs w:val="18"/>
          <w:color w:val="auto"/>
          <w:vertAlign w:val="superscript"/>
        </w:rPr>
      </w:pPr>
      <w:r>
        <w:rPr>
          <w:rFonts w:ascii="Arial" w:cs="Arial" w:eastAsia="Arial" w:hAnsi="Arial"/>
          <w:sz w:val="14"/>
          <w:szCs w:val="14"/>
          <w:color w:val="auto"/>
        </w:rPr>
        <w:t>Ratios are negative because we had a deficit in available capital for each tier of capital.</w:t>
      </w:r>
    </w:p>
    <w:p>
      <w:pPr>
        <w:spacing w:after="0" w:line="41" w:lineRule="exact"/>
        <w:rPr>
          <w:rFonts w:ascii="Arial" w:cs="Arial" w:eastAsia="Arial" w:hAnsi="Arial"/>
          <w:sz w:val="18"/>
          <w:szCs w:val="18"/>
          <w:color w:val="auto"/>
          <w:vertAlign w:val="superscript"/>
        </w:rPr>
      </w:pPr>
    </w:p>
    <w:p>
      <w:pPr>
        <w:ind w:left="240" w:right="60" w:hanging="237"/>
        <w:spacing w:after="0" w:line="227" w:lineRule="auto"/>
        <w:tabs>
          <w:tab w:leader="none" w:pos="240" w:val="left"/>
        </w:tabs>
        <w:numPr>
          <w:ilvl w:val="0"/>
          <w:numId w:val="133"/>
        </w:numPr>
        <w:rPr>
          <w:rFonts w:ascii="Arial" w:cs="Arial" w:eastAsia="Arial" w:hAnsi="Arial"/>
          <w:sz w:val="18"/>
          <w:szCs w:val="18"/>
          <w:color w:val="auto"/>
          <w:vertAlign w:val="superscript"/>
        </w:rPr>
      </w:pPr>
      <w:r>
        <w:rPr>
          <w:rFonts w:ascii="Arial" w:cs="Arial" w:eastAsia="Arial" w:hAnsi="Arial"/>
          <w:sz w:val="14"/>
          <w:szCs w:val="14"/>
          <w:color w:val="auto"/>
        </w:rPr>
        <w:t>The sum of (a) core capital (see definition in footnote 6 below); and (b) a general allowance for foreclosure losses, which (i) shall include an allowance for portfolio mortgage losses, an allowance for non-reimbursable foreclosure costs on government claims, and an allowance for liabilities reflected on the balance sheet for estimated foreclosure losses on mortgage-backed securities; and (ii) shall not include any reserves made or held against specific assets; and (c) any other amounts from sources of funds available to absorb losses that the Director of FHFA by regulation determines are appropriate to include in determining total capital.</w:t>
      </w:r>
    </w:p>
    <w:p>
      <w:pPr>
        <w:spacing w:after="0" w:line="33" w:lineRule="exact"/>
        <w:rPr>
          <w:rFonts w:ascii="Arial" w:cs="Arial" w:eastAsia="Arial" w:hAnsi="Arial"/>
          <w:sz w:val="18"/>
          <w:szCs w:val="18"/>
          <w:color w:val="auto"/>
          <w:vertAlign w:val="superscript"/>
        </w:rPr>
      </w:pPr>
    </w:p>
    <w:p>
      <w:pPr>
        <w:ind w:left="240" w:right="80" w:hanging="237"/>
        <w:spacing w:after="0" w:line="225" w:lineRule="auto"/>
        <w:tabs>
          <w:tab w:leader="none" w:pos="240" w:val="left"/>
        </w:tabs>
        <w:numPr>
          <w:ilvl w:val="0"/>
          <w:numId w:val="133"/>
        </w:numPr>
        <w:rPr>
          <w:rFonts w:ascii="Arial" w:cs="Arial" w:eastAsia="Arial" w:hAnsi="Arial"/>
          <w:sz w:val="18"/>
          <w:szCs w:val="18"/>
          <w:color w:val="auto"/>
          <w:vertAlign w:val="superscript"/>
        </w:rPr>
      </w:pPr>
      <w:r>
        <w:rPr>
          <w:rFonts w:ascii="Arial" w:cs="Arial" w:eastAsia="Arial" w:hAnsi="Arial"/>
          <w:sz w:val="14"/>
          <w:szCs w:val="14"/>
          <w:color w:val="auto"/>
        </w:rPr>
        <w:t>The sum of (a) the stated value of our outstanding common stock (common stock less treasury stock); (b) the stated value of our outstanding non-cumulative perpetual preferred stock; (c) our paid-in capital; and (d) our retained earnings (accumulated deficit). Core capital does not include: (a) accumulated other comprehensive income or (b) senior preferred stock.</w:t>
      </w:r>
    </w:p>
    <w:p>
      <w:pPr>
        <w:spacing w:after="0" w:line="59"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As a result of our capital shortfall, our maximum payout ratio under the enterprise regulatory capital framework as of June 30, 2023 was 0%. While it is not applicable until the date of termination of our conservatorship, our maximum payout ratio represents the percentage of eligible retained income that we are permitted to pay out in the form of distributions or discretionary bonus payments under the enterprise regulatory capital framework. The maximum payout ratio for a given quarter is the lowest of the payout ratios determined by our capital conservation buffer and our leverage buffer.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365760</wp:posOffset>
            </wp:positionV>
            <wp:extent cx="681101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164070" cy="4191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19" w:name="page120"/>
    <w:bookmarkEnd w:id="119"/>
    <w:p>
      <w:pPr>
        <w:ind w:left="7580"/>
        <w:spacing w:after="0"/>
        <w:rPr>
          <w:sz w:val="20"/>
          <w:szCs w:val="20"/>
          <w:color w:val="auto"/>
        </w:rPr>
      </w:pPr>
      <w:r>
        <w:rPr>
          <w:rFonts w:ascii="Arial" w:cs="Arial" w:eastAsia="Arial" w:hAnsi="Arial"/>
          <w:sz w:val="14"/>
          <w:szCs w:val="14"/>
          <w:color w:val="05314D"/>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15875</wp:posOffset>
            </wp:positionV>
            <wp:extent cx="707326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0732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Item 3. Quantitative and Qualitative Disclosures about Market Risk</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market risk is set forth in “MD&amp;A—Risk Management—Market Risk Management, including Interest-Rate Risk Management.”</w:t>
      </w:r>
    </w:p>
    <w:p>
      <w:pPr>
        <w:spacing w:after="0" w:line="150"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Item 4. Controls and Procedures</w:t>
      </w:r>
    </w:p>
    <w:p>
      <w:pPr>
        <w:spacing w:after="0" w:line="133"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Overview</w:t>
      </w:r>
    </w:p>
    <w:p>
      <w:pPr>
        <w:spacing w:after="0" w:line="90" w:lineRule="exact"/>
        <w:rPr>
          <w:sz w:val="20"/>
          <w:szCs w:val="20"/>
          <w:color w:val="auto"/>
        </w:rPr>
      </w:pPr>
    </w:p>
    <w:p>
      <w:pPr>
        <w:ind w:right="240"/>
        <w:spacing w:after="0" w:line="283" w:lineRule="auto"/>
        <w:rPr>
          <w:sz w:val="20"/>
          <w:szCs w:val="20"/>
          <w:color w:val="auto"/>
        </w:rPr>
      </w:pPr>
      <w:r>
        <w:rPr>
          <w:rFonts w:ascii="Arial" w:cs="Arial" w:eastAsia="Arial" w:hAnsi="Arial"/>
          <w:sz w:val="16"/>
          <w:szCs w:val="16"/>
          <w:color w:val="auto"/>
        </w:rPr>
        <w:t>We are required under applicable laws and regulations to maintain controls and procedures, which include disclosure controls and procedures as well as internal control over financial reporting, as further described below.</w:t>
      </w: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Evaluation of Disclosure Controls and Procedures</w:t>
      </w:r>
    </w:p>
    <w:p>
      <w:pPr>
        <w:spacing w:after="0" w:line="11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Disclosure Controls and Procedures</w:t>
      </w:r>
    </w:p>
    <w:p>
      <w:pPr>
        <w:spacing w:after="0" w:line="71"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Disclosure controls and procedures refer to controls and other procedures designed to provide reasonable assurance that information required to be disclosed in the reports we file or submit under the Exchange Act is recorded, processed, summarized and reported within the time periods specified in the rules and forms of the SEC. Disclosure controls and procedures include, without limitation, controls and procedures designed to provide reasonable assurance that information required to be disclosed by us in the reports that we file or submit under the Exchange Act is accumulated and communicated to management, including our Chief Executive Officer and Chief Financial Officer, as appropriate, to allow timely decisions regarding our required disclosure. In designing and evaluating our disclosure controls and procedures, management recognizes that any controls and procedures, no matter how well designed and operated, can provide only reasonable assurance of achieving the desired control objectives, and management was required to apply its judgment in evaluating and implementing possible controls and procedures.</w:t>
      </w:r>
    </w:p>
    <w:p>
      <w:pPr>
        <w:spacing w:after="0" w:line="8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5314D"/>
        </w:rPr>
        <w:t>Evaluation of Disclosure Controls and Procedures</w:t>
      </w:r>
    </w:p>
    <w:p>
      <w:pPr>
        <w:spacing w:after="0" w:line="71"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As required by Rule 13a-15 under the Exchange Act, management has evaluated, with the participation of our Chief Executive Officer and Chief Financial Officer, the effectiveness of our disclosure controls and procedures in effect as of June 30, 2023, the end of the period covered by this report. As a result of management’s evaluation, our Chief Executive Officer and Chief Financial Officer concluded that our disclosure controls and procedures were not effective at a reasonable assurance level as of June 30, 2023, or as of the date of filing this report.</w:t>
      </w:r>
    </w:p>
    <w:p>
      <w:pPr>
        <w:spacing w:after="0" w:line="4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Our disclosure controls and procedures were not effective as of June 30, 2023, or as of the date of filing this report because they did not adequately ensure the accumulation and communication to management of information known to FHFA that is needed to meet our disclosure obligations under the federal securities laws. As a result, we were not able to rely upon the disclosure controls and procedures that were in place as of June 30, 2023, or as of the date of this filing, and we continue to have a material weakness in our internal control over financial reporting. This material weakness is described in more detail below under “Description of Material Weakness.” Based on discussions with FHFA and the structural nature of this material weakness, we do not expect to remediate this material weakness while we are under conservatorship.</w:t>
      </w:r>
    </w:p>
    <w:p>
      <w:pPr>
        <w:spacing w:after="0" w:line="79"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Description of Material Weakness</w:t>
      </w:r>
    </w:p>
    <w:p>
      <w:pPr>
        <w:spacing w:after="0" w:line="77" w:lineRule="exact"/>
        <w:rPr>
          <w:sz w:val="20"/>
          <w:szCs w:val="20"/>
          <w:color w:val="auto"/>
        </w:rPr>
      </w:pPr>
    </w:p>
    <w:p>
      <w:pPr>
        <w:ind w:right="160"/>
        <w:spacing w:after="0" w:line="267" w:lineRule="auto"/>
        <w:rPr>
          <w:sz w:val="20"/>
          <w:szCs w:val="20"/>
          <w:color w:val="auto"/>
        </w:rPr>
      </w:pPr>
      <w:r>
        <w:rPr>
          <w:rFonts w:ascii="Arial" w:cs="Arial" w:eastAsia="Arial" w:hAnsi="Arial"/>
          <w:sz w:val="16"/>
          <w:szCs w:val="16"/>
          <w:color w:val="auto"/>
        </w:rPr>
        <w:t>The Public Company Accounting Oversight Board’s Auditing Standard 2201 defines a material weakness as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Management has determined that we continued to have the following material weakness as of June 30, 2023, and as of the date of filing this report:</w:t>
      </w:r>
    </w:p>
    <w:p>
      <w:pPr>
        <w:spacing w:after="0" w:line="83" w:lineRule="exact"/>
        <w:rPr>
          <w:sz w:val="20"/>
          <w:szCs w:val="20"/>
          <w:color w:val="auto"/>
        </w:rPr>
      </w:pPr>
    </w:p>
    <w:p>
      <w:pPr>
        <w:ind w:left="620" w:hanging="307"/>
        <w:spacing w:after="0" w:line="261" w:lineRule="auto"/>
        <w:tabs>
          <w:tab w:leader="none" w:pos="620" w:val="left"/>
        </w:tabs>
        <w:numPr>
          <w:ilvl w:val="0"/>
          <w:numId w:val="134"/>
        </w:numPr>
        <w:rPr>
          <w:rFonts w:ascii="Arial" w:cs="Arial" w:eastAsia="Arial" w:hAnsi="Arial"/>
          <w:sz w:val="16"/>
          <w:szCs w:val="16"/>
          <w:color w:val="auto"/>
        </w:rPr>
      </w:pPr>
      <w:r>
        <w:rPr>
          <w:rFonts w:ascii="Arial" w:cs="Arial" w:eastAsia="Arial" w:hAnsi="Arial"/>
          <w:sz w:val="16"/>
          <w:szCs w:val="16"/>
          <w:i w:val="1"/>
          <w:iCs w:val="1"/>
          <w:color w:val="auto"/>
        </w:rPr>
        <w:t xml:space="preserve">Disclosure Controls and Procedures. </w:t>
      </w:r>
      <w:r>
        <w:rPr>
          <w:rFonts w:ascii="Arial" w:cs="Arial" w:eastAsia="Arial" w:hAnsi="Arial"/>
          <w:sz w:val="16"/>
          <w:szCs w:val="16"/>
          <w:color w:val="auto"/>
        </w:rPr>
        <w:t>We have been under the conservatorship of FHFA since September 6, 2008. Under the GSE Act, FHFA is an</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agency that currently functions as both our conservator and our regulator with respect to our safety, soundness, and mission. Because of the nature of the conservatorship under the GSE Act, which places us under the “control” of FHFA (as that term is defined by securities laws), some of the information that we may need to meet our disclosure obligations may be solely within the knowledge of FHFA. As our conservator, FHFA has the power to take actions without our knowledge that could be material to our shareholders and other stakeholders and could significantly affect our financial performance or our continued existence as an ongoing business. Although we and FHFA attempted to design and implement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512445</wp:posOffset>
            </wp:positionV>
            <wp:extent cx="713867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900" w:type="dxa"/>
            <w:vAlign w:val="bottom"/>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340" w:type="dxa"/>
            <w:vAlign w:val="bottom"/>
          </w:tcPr>
          <w:p>
            <w:pPr>
              <w:jc w:val="right"/>
              <w:spacing w:after="0"/>
              <w:rPr>
                <w:sz w:val="20"/>
                <w:szCs w:val="20"/>
                <w:color w:val="auto"/>
              </w:rPr>
            </w:pPr>
            <w:r>
              <w:rPr>
                <w:rFonts w:ascii="Arial" w:cs="Arial" w:eastAsia="Arial" w:hAnsi="Arial"/>
                <w:sz w:val="14"/>
                <w:szCs w:val="14"/>
                <w:color w:val="05314D"/>
              </w:rPr>
              <w:t>117</w:t>
            </w:r>
          </w:p>
        </w:tc>
      </w:tr>
      <w:tr>
        <w:trPr>
          <w:trHeight w:val="211"/>
        </w:trPr>
        <w:tc>
          <w:tcPr>
            <w:tcW w:w="6900" w:type="dxa"/>
            <w:vAlign w:val="bottom"/>
            <w:tcBorders>
              <w:bottom w:val="single" w:sz="8" w:color="9A9A9A"/>
            </w:tcBorders>
          </w:tcPr>
          <w:p>
            <w:pPr>
              <w:spacing w:after="0"/>
              <w:rPr>
                <w:sz w:val="18"/>
                <w:szCs w:val="18"/>
                <w:color w:val="auto"/>
              </w:rPr>
            </w:pPr>
          </w:p>
        </w:tc>
        <w:tc>
          <w:tcPr>
            <w:tcW w:w="43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20" w:name="page121"/>
    <w:bookmarkEnd w:id="120"/>
    <w:p>
      <w:pPr>
        <w:ind w:left="9600"/>
        <w:spacing w:after="0"/>
        <w:rPr>
          <w:sz w:val="20"/>
          <w:szCs w:val="20"/>
          <w:color w:val="auto"/>
        </w:rPr>
      </w:pPr>
      <w:r>
        <w:rPr>
          <w:rFonts w:ascii="Arial" w:cs="Arial" w:eastAsia="Arial" w:hAnsi="Arial"/>
          <w:sz w:val="14"/>
          <w:szCs w:val="14"/>
          <w:color w:val="001543"/>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20" w:right="120"/>
        <w:spacing w:after="0" w:line="261" w:lineRule="auto"/>
        <w:rPr>
          <w:sz w:val="20"/>
          <w:szCs w:val="20"/>
          <w:color w:val="auto"/>
        </w:rPr>
      </w:pPr>
      <w:r>
        <w:rPr>
          <w:rFonts w:ascii="Arial" w:cs="Arial" w:eastAsia="Arial" w:hAnsi="Arial"/>
          <w:sz w:val="16"/>
          <w:szCs w:val="16"/>
          <w:color w:val="auto"/>
        </w:rPr>
        <w:t>disclosure policies and procedures that would account for the conservatorship and accomplish the same objectives as a disclosure controls and procedures policy of a typical reporting company, there are inherent structural limitations on our ability to design, implement, operate, and test effective disclosure controls and procedures. As both our regulator and our conservator under the GSE Act, FHFA is limited in its ability to design and implement a complete set of disclosure controls and procedures relating to Fannie Mae, particularly with respect to current reporting pursuant to Form 8-K. Similarly, as a regulated entity, we are limited in our ability to design, implement, operate, and test the controls and procedures for which FHFA is responsible.</w:t>
      </w:r>
    </w:p>
    <w:p>
      <w:pPr>
        <w:spacing w:after="0" w:line="50"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Due to these circumstances, we have not been able to update our disclosure controls and procedures in a manner that adequately ensures the accumulation and communication to management of information known to FHFA that is needed to meet our disclosure obligations under the federal securities laws, including disclosures affecting our condensed consolidated financial statements. As a result, we did not maintain effective controls and procedures designed to ensure complete and accurate disclosure as required by GAAP as of June 30, 2023, or as of the date of filing this report. Based on discussions with FHFA and the structural nature of this weakness, we do not expect to remediate this material weakness while we are under conservatorship.</w:t>
      </w:r>
    </w:p>
    <w:p>
      <w:pPr>
        <w:spacing w:after="0" w:line="276"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Mitigating Actions Related to Material Weakness</w:t>
      </w:r>
    </w:p>
    <w:p>
      <w:pPr>
        <w:spacing w:after="0" w:line="77" w:lineRule="exact"/>
        <w:rPr>
          <w:sz w:val="20"/>
          <w:szCs w:val="20"/>
          <w:color w:val="auto"/>
        </w:rPr>
      </w:pPr>
    </w:p>
    <w:p>
      <w:pPr>
        <w:ind w:right="280"/>
        <w:spacing w:after="0" w:line="276" w:lineRule="auto"/>
        <w:rPr>
          <w:sz w:val="20"/>
          <w:szCs w:val="20"/>
          <w:color w:val="auto"/>
        </w:rPr>
      </w:pPr>
      <w:r>
        <w:rPr>
          <w:rFonts w:ascii="Arial" w:cs="Arial" w:eastAsia="Arial" w:hAnsi="Arial"/>
          <w:sz w:val="16"/>
          <w:szCs w:val="16"/>
          <w:color w:val="auto"/>
        </w:rPr>
        <w:t>As described above under “Description of Material Weakness,” we continue to have a material weakness in our internal control over financial reporting relating to our disclosure controls and procedures. However, we and FHFA have engaged in the following practices intended to permit accumulation and communication to management of information needed to meet our disclosure obligations under the federal securities laws:</w:t>
      </w:r>
    </w:p>
    <w:p>
      <w:pPr>
        <w:spacing w:after="0" w:line="36" w:lineRule="exact"/>
        <w:rPr>
          <w:sz w:val="20"/>
          <w:szCs w:val="20"/>
          <w:color w:val="auto"/>
        </w:rPr>
      </w:pPr>
    </w:p>
    <w:p>
      <w:pPr>
        <w:ind w:left="620" w:right="180" w:hanging="307"/>
        <w:spacing w:after="0" w:line="283" w:lineRule="auto"/>
        <w:tabs>
          <w:tab w:leader="none" w:pos="62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FHFA has established the Division of Conservatorship Oversight and Readiness, which is intended to facilitate operation of the company with the oversight of the conservator.</w:t>
      </w:r>
    </w:p>
    <w:p>
      <w:pPr>
        <w:spacing w:after="0" w:line="30" w:lineRule="exact"/>
        <w:rPr>
          <w:rFonts w:ascii="Arial" w:cs="Arial" w:eastAsia="Arial" w:hAnsi="Arial"/>
          <w:sz w:val="16"/>
          <w:szCs w:val="16"/>
          <w:color w:val="auto"/>
        </w:rPr>
      </w:pPr>
    </w:p>
    <w:p>
      <w:pPr>
        <w:ind w:left="620" w:right="60" w:hanging="307"/>
        <w:spacing w:after="0" w:line="300" w:lineRule="auto"/>
        <w:tabs>
          <w:tab w:leader="none" w:pos="62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We have provided drafts of our SEC filings to FHFA personnel for their review and comment prior to filing. We also have provided drafts of external press releases, statements, and speeches to FHFA personnel for their review and comment prior to release.</w:t>
      </w:r>
    </w:p>
    <w:p>
      <w:pPr>
        <w:spacing w:after="0" w:line="17" w:lineRule="exact"/>
        <w:rPr>
          <w:rFonts w:ascii="Arial" w:cs="Arial" w:eastAsia="Arial" w:hAnsi="Arial"/>
          <w:sz w:val="16"/>
          <w:szCs w:val="16"/>
          <w:color w:val="auto"/>
        </w:rPr>
      </w:pPr>
    </w:p>
    <w:p>
      <w:pPr>
        <w:ind w:left="620" w:right="40" w:hanging="307"/>
        <w:spacing w:after="0" w:line="264" w:lineRule="auto"/>
        <w:tabs>
          <w:tab w:leader="none" w:pos="62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FHFA personnel, including senior officials, have reviewed our SEC filings prior to filing, including this quarterly report on Form 10-Q for the quarter ended June 30, 2023 (“Second Quarter 2023 Form 10-Q”), and engaged in discussions regarding issues associated with the information contained in those filings. Prior to filing our Second Quarter 2023 Form 10-Q, FHFA provided Fannie Mae management with written acknowledgment that it had reviewed the Second Quarter 2023 Form 10-Q, and it was not aware of any material misstatements or omissions in the Second Quarter 2023 Form 10-Q and had no objection to our filing the Second Quarter 2023 Form 10-Q.</w:t>
      </w:r>
    </w:p>
    <w:p>
      <w:pPr>
        <w:spacing w:after="0" w:line="45" w:lineRule="exact"/>
        <w:rPr>
          <w:rFonts w:ascii="Arial" w:cs="Arial" w:eastAsia="Arial" w:hAnsi="Arial"/>
          <w:sz w:val="16"/>
          <w:szCs w:val="16"/>
          <w:color w:val="auto"/>
        </w:rPr>
      </w:pPr>
    </w:p>
    <w:p>
      <w:pPr>
        <w:ind w:left="620" w:hanging="307"/>
        <w:spacing w:after="0"/>
        <w:tabs>
          <w:tab w:leader="none" w:pos="62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Our senior management meets regularly with senior leadership at FHFA, including, but not limited to, the Director.</w:t>
      </w:r>
    </w:p>
    <w:p>
      <w:pPr>
        <w:spacing w:after="0" w:line="86" w:lineRule="exact"/>
        <w:rPr>
          <w:rFonts w:ascii="Arial" w:cs="Arial" w:eastAsia="Arial" w:hAnsi="Arial"/>
          <w:sz w:val="16"/>
          <w:szCs w:val="16"/>
          <w:color w:val="auto"/>
        </w:rPr>
      </w:pPr>
    </w:p>
    <w:p>
      <w:pPr>
        <w:ind w:left="620" w:right="620" w:hanging="307"/>
        <w:spacing w:after="0" w:line="283" w:lineRule="auto"/>
        <w:tabs>
          <w:tab w:leader="none" w:pos="62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FHFA representatives attend meetings frequently with various groups within the company to enhance the flow of information and to provide oversight on a variety of matters, including accounting, credit and market risk management, external communications, and legal matters.</w:t>
      </w:r>
    </w:p>
    <w:p>
      <w:pPr>
        <w:spacing w:after="0" w:line="30" w:lineRule="exact"/>
        <w:rPr>
          <w:rFonts w:ascii="Arial" w:cs="Arial" w:eastAsia="Arial" w:hAnsi="Arial"/>
          <w:sz w:val="16"/>
          <w:szCs w:val="16"/>
          <w:color w:val="auto"/>
        </w:rPr>
      </w:pPr>
    </w:p>
    <w:p>
      <w:pPr>
        <w:ind w:left="620" w:right="500" w:hanging="307"/>
        <w:spacing w:after="0" w:line="283" w:lineRule="auto"/>
        <w:tabs>
          <w:tab w:leader="none" w:pos="62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Senior officials within FHFA’s Office of the Chief Accountant have met frequently with our senior finance executives regarding our accounting policies, practices, and procedures.</w:t>
      </w:r>
    </w:p>
    <w:p>
      <w:pPr>
        <w:spacing w:after="0" w:line="72"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Changes in Internal Control Over Financial Reporting</w:t>
      </w:r>
    </w:p>
    <w:p>
      <w:pPr>
        <w:spacing w:after="0" w:line="77"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Management has evaluated, with the participation of our Chief Executive Officer and Chief Financial Officer, whether any changes in our internal control over financial reporting that occurred during our last fiscal quarter have materially affected, or are reasonably likely to materially affect, our internal control over financial reporting. There were no changes in our internal control over financial reporting from April 1, 2023, through June 30, 2023, that management believes have materially affected, or are reasonably likely to materially affect, our internal control over financial reporting.</w:t>
      </w:r>
    </w:p>
    <w:p>
      <w:pPr>
        <w:spacing w:after="0" w:line="60" w:lineRule="exact"/>
        <w:rPr>
          <w:sz w:val="20"/>
          <w:szCs w:val="20"/>
          <w:color w:val="auto"/>
        </w:rPr>
      </w:pPr>
    </w:p>
    <w:p>
      <w:pPr>
        <w:ind w:right="240"/>
        <w:spacing w:after="0" w:line="267" w:lineRule="auto"/>
        <w:rPr>
          <w:sz w:val="20"/>
          <w:szCs w:val="20"/>
          <w:color w:val="auto"/>
        </w:rPr>
      </w:pPr>
      <w:r>
        <w:rPr>
          <w:rFonts w:ascii="Arial" w:cs="Arial" w:eastAsia="Arial" w:hAnsi="Arial"/>
          <w:sz w:val="16"/>
          <w:szCs w:val="16"/>
          <w:color w:val="auto"/>
        </w:rPr>
        <w:t>In the ordinary course of business, we review our system of internal control over financial reporting and make changes that we believe will improve these controls and increase efficiency, while continuing to ensure that we maintain effective internal controls. Changes may include implementing new, more efficient systems, automating manual processes, and updating existing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382905</wp:posOffset>
            </wp:positionV>
            <wp:extent cx="713867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900" w:type="dxa"/>
            <w:vAlign w:val="bottom"/>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340" w:type="dxa"/>
            <w:vAlign w:val="bottom"/>
          </w:tcPr>
          <w:p>
            <w:pPr>
              <w:jc w:val="right"/>
              <w:spacing w:after="0"/>
              <w:rPr>
                <w:sz w:val="20"/>
                <w:szCs w:val="20"/>
                <w:color w:val="auto"/>
              </w:rPr>
            </w:pPr>
            <w:r>
              <w:rPr>
                <w:rFonts w:ascii="Arial" w:cs="Arial" w:eastAsia="Arial" w:hAnsi="Arial"/>
                <w:sz w:val="14"/>
                <w:szCs w:val="14"/>
                <w:color w:val="05314D"/>
              </w:rPr>
              <w:t>118</w:t>
            </w:r>
          </w:p>
        </w:tc>
      </w:tr>
      <w:tr>
        <w:trPr>
          <w:trHeight w:val="211"/>
        </w:trPr>
        <w:tc>
          <w:tcPr>
            <w:tcW w:w="6900" w:type="dxa"/>
            <w:vAlign w:val="bottom"/>
            <w:tcBorders>
              <w:bottom w:val="single" w:sz="8" w:color="9A9A9A"/>
            </w:tcBorders>
          </w:tcPr>
          <w:p>
            <w:pPr>
              <w:spacing w:after="0"/>
              <w:rPr>
                <w:sz w:val="18"/>
                <w:szCs w:val="18"/>
                <w:color w:val="auto"/>
              </w:rPr>
            </w:pPr>
          </w:p>
        </w:tc>
        <w:tc>
          <w:tcPr>
            <w:tcW w:w="43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21" w:name="page122"/>
    <w:bookmarkEnd w:id="121"/>
    <w:p>
      <w:pPr>
        <w:ind w:left="10060"/>
        <w:spacing w:after="0"/>
        <w:rPr>
          <w:sz w:val="20"/>
          <w:szCs w:val="20"/>
          <w:color w:val="auto"/>
        </w:rPr>
      </w:pPr>
      <w:r>
        <w:rPr>
          <w:rFonts w:ascii="Arial" w:cs="Arial" w:eastAsia="Arial" w:hAnsi="Arial"/>
          <w:sz w:val="14"/>
          <w:szCs w:val="14"/>
          <w:color w:val="05314D"/>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05314D"/>
        </w:rPr>
        <w:t>PART II—OTHER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Item 1. Legal Proceedings</w:t>
      </w:r>
    </w:p>
    <w:p>
      <w:pPr>
        <w:spacing w:after="0" w:line="129"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The information in this item supplements and updates information regarding certain legal proceedings set forth in “Legal Proceedings” in our 2022 Form 10-K and our First Quarter 2023 Form 10-Q. We also provide information regarding material legal proceedings in “Note 13, Commitments and Contingencies,” which is incorporated herein by reference. In addition to the matters specifically described or incorporated by reference in this item, we are involved in legal and regulatory proceedings that arise in the ordinary course of business that we do not expect will have a material impact on our business or financial condition. However, litigation claims and proceedings of all types are subject to many factors and their outcome and effect on our business and financial condition generally cannot be predicted accurately.</w:t>
      </w:r>
    </w:p>
    <w:p>
      <w:pPr>
        <w:spacing w:after="0" w:line="63"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We establish an accrual for legal claims only when a loss is probable and we can reasonably estimate the amount of such loss. The actual costs of resolving legal claims may be substantially higher or lower than the amounts accrued for those claims. If certain of these matters are determined against us, FHFA or Treasury, it could have a material adverse effect on our results of operations, liquidity and financial condition, including our net worth.</w:t>
      </w:r>
    </w:p>
    <w:p>
      <w:pPr>
        <w:spacing w:after="0" w:line="73"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Senior Preferred Stock Purchase Agreements Litigation</w:t>
      </w:r>
    </w:p>
    <w:p>
      <w:pPr>
        <w:spacing w:after="0" w:line="77"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Since June 2013, preferred and common stockholders of Fannie Mae and Freddie Mac filed lawsuits in multiple federal courts against one or more of the United States, Treasury and FHFA, challenging actions taken by the defendants relating to the Fannie Mae and Freddie Mac senior preferred stock purchase agreements and the conservatorships of Fannie Mae and Freddie Mac. Some of these lawsuits also contain claims against Fannie Mae and Freddie Mac. The legal claims being advanced by one or more of these lawsuits include challenges to the net worth sweep dividend provisions of the senior preferred stock that were implemented pursuant to August 2012 amendments to the agreements, the payment of dividends to Treasury under the net worth sweep dividend provisions, and FHFA’s decision to require Fannie Mae and Freddie Mac to draw funds from Treasury to pay dividends to Treasury prior to the August 2012 amendments. The plaintiffs seek various forms of equitable and injunctive relief as well as damages. The cases that remain pending after March 31, 2023 are as follows:</w:t>
      </w:r>
    </w:p>
    <w:p>
      <w:pPr>
        <w:spacing w:after="0" w:line="45"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i w:val="1"/>
          <w:iCs w:val="1"/>
          <w:color w:val="auto"/>
        </w:rPr>
        <w:t xml:space="preserve">District of Columbia (In re Fannie Mae/Freddie Mac Senior Preferred Stock Purchase Agreement Class Action Litigations </w:t>
      </w:r>
      <w:r>
        <w:rPr>
          <w:rFonts w:ascii="Arial" w:cs="Arial" w:eastAsia="Arial" w:hAnsi="Arial"/>
          <w:sz w:val="16"/>
          <w:szCs w:val="16"/>
          <w:color w:val="auto"/>
        </w:rPr>
        <w:t>and</w:t>
      </w:r>
      <w:r>
        <w:rPr>
          <w:rFonts w:ascii="Arial" w:cs="Arial" w:eastAsia="Arial" w:hAnsi="Arial"/>
          <w:sz w:val="16"/>
          <w:szCs w:val="16"/>
          <w:i w:val="1"/>
          <w:iCs w:val="1"/>
          <w:color w:val="auto"/>
        </w:rPr>
        <w:t xml:space="preserve"> Fairholme Funds v. FHFA). </w:t>
      </w:r>
      <w:r>
        <w:rPr>
          <w:rFonts w:ascii="Arial" w:cs="Arial" w:eastAsia="Arial" w:hAnsi="Arial"/>
          <w:sz w:val="16"/>
          <w:szCs w:val="16"/>
          <w:color w:val="auto"/>
        </w:rPr>
        <w:t>Fannie Mae is a defendant in two cases in the U.S. District Court for the District of Columbia, including a consolidated class action. The cases were consolidated for trial and a trial was conducted from October 17, 2022 to November 1, 2022. The jury was not able to reach a verdict and the judge declared a mistrial on November 7, 2022. A new trial began on July 24, 2023 and is currently in progress. See “Note 13, Commitments and Contingencies” for additional information.</w:t>
      </w:r>
    </w:p>
    <w:p>
      <w:pPr>
        <w:spacing w:after="0" w:line="41"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i w:val="1"/>
          <w:iCs w:val="1"/>
          <w:color w:val="auto"/>
        </w:rPr>
        <w:t xml:space="preserve">Southern District of Texas (Collins, et al. v. Yellen, et al.). </w:t>
      </w:r>
      <w:r>
        <w:rPr>
          <w:rFonts w:ascii="Arial" w:cs="Arial" w:eastAsia="Arial" w:hAnsi="Arial"/>
          <w:sz w:val="16"/>
          <w:szCs w:val="16"/>
          <w:color w:val="auto"/>
        </w:rPr>
        <w:t>On October 20, 2016, preferred and common stockholders filed a complaint against FHFA and</w:t>
      </w:r>
      <w:r>
        <w:rPr>
          <w:rFonts w:ascii="Arial" w:cs="Arial" w:eastAsia="Arial" w:hAnsi="Arial"/>
          <w:sz w:val="16"/>
          <w:szCs w:val="16"/>
          <w:i w:val="1"/>
          <w:iCs w:val="1"/>
          <w:color w:val="auto"/>
        </w:rPr>
        <w:t xml:space="preserve"> </w:t>
      </w:r>
      <w:r>
        <w:rPr>
          <w:rFonts w:ascii="Arial" w:cs="Arial" w:eastAsia="Arial" w:hAnsi="Arial"/>
          <w:sz w:val="16"/>
          <w:szCs w:val="16"/>
          <w:color w:val="auto"/>
        </w:rPr>
        <w:t>Treasury in the U.S. District Court for the Southern District of Texas. On May 22, 2017, the court dismissed the case. On September 6, 2019, the U.S. Court of Appeals for the Fifth Circuit, sitting en banc, affirmed the district court’s dismissal of claims against Treasury, but reversed the dismissal of claims against FHFA.</w:t>
      </w:r>
    </w:p>
    <w:p>
      <w:pPr>
        <w:spacing w:after="0" w:line="45"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On June 23, 2021, the U.S. Supreme Court held that FHFA did not exceed its statutory powers as conservator when it agreed to the net worth sweep dividend provisions of the third amendment to the senior preferred stock purchase agreements in August 2012. The court also held that the provision of the Housing and Economic Recovery Act of 2008 that restricts the President’s power to remove the FHFA Director without cause violates the Constitution’s separation of powers and, thus, the FHFA Director may be removed by the President for any reason. The court rejected plaintiffs’ request to rescind the third amendment to the senior preferred stock purchase agreements. However, the Supreme Court remanded the case to the Fifth Circuit for further proceedings on the sole issue of whether the stockholders suffered compensable harm related to the constitutional claim during the limited time-period when a Senate-confirmed FHFA Director was in office. On March 4, 2022, the Fifth Circuit remanded the case to the district court for further proceedings on the compensable harm issue. On June 3, 2022, the stockholders filed an amended complaint and on July 18, 2022, FHFA and Treasury moved to dismiss that complaint. On November 21, 2022, the district court dismissed the case and on December 5, 2022, plaintiffs filed a notice of appeal.</w:t>
      </w:r>
    </w:p>
    <w:p>
      <w:pPr>
        <w:spacing w:after="0" w:line="46"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i w:val="1"/>
          <w:iCs w:val="1"/>
          <w:color w:val="auto"/>
        </w:rPr>
        <w:t xml:space="preserve">Western District of Michigan (Rop et al. v. FHFA et al.). </w:t>
      </w:r>
      <w:r>
        <w:rPr>
          <w:rFonts w:ascii="Arial" w:cs="Arial" w:eastAsia="Arial" w:hAnsi="Arial"/>
          <w:sz w:val="16"/>
          <w:szCs w:val="16"/>
          <w:color w:val="auto"/>
        </w:rPr>
        <w:t>On June 1, 2017, preferred and common stockholders of Fannie Mae and Freddie Mac filed a</w:t>
      </w:r>
      <w:r>
        <w:rPr>
          <w:rFonts w:ascii="Arial" w:cs="Arial" w:eastAsia="Arial" w:hAnsi="Arial"/>
          <w:sz w:val="16"/>
          <w:szCs w:val="16"/>
          <w:i w:val="1"/>
          <w:iCs w:val="1"/>
          <w:color w:val="auto"/>
        </w:rPr>
        <w:t xml:space="preserve"> </w:t>
      </w:r>
      <w:r>
        <w:rPr>
          <w:rFonts w:ascii="Arial" w:cs="Arial" w:eastAsia="Arial" w:hAnsi="Arial"/>
          <w:sz w:val="16"/>
          <w:szCs w:val="16"/>
          <w:color w:val="auto"/>
        </w:rPr>
        <w:t>complaint for declaratory and injunctive relief against FHFA and Treasury in the U.S. District Court for the Western District of Michigan. FHFA and Treasury moved to dismiss the case on September 8, 2017, and plaintiffs filed a motion for summary judgment on October 6, 2017. On September 8, 2020, the court denied plaintiffs’ motion for summary judgment and granted defendants’ motion to dismiss. On October 4, 2022, the U.S. Court of Appeals for the Sixth Circuit reversed the dismissal and remanded the case to the district court to determine whether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384175</wp:posOffset>
            </wp:positionV>
            <wp:extent cx="713867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900" w:type="dxa"/>
            <w:vAlign w:val="bottom"/>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340" w:type="dxa"/>
            <w:vAlign w:val="bottom"/>
          </w:tcPr>
          <w:p>
            <w:pPr>
              <w:jc w:val="right"/>
              <w:spacing w:after="0"/>
              <w:rPr>
                <w:sz w:val="20"/>
                <w:szCs w:val="20"/>
                <w:color w:val="auto"/>
              </w:rPr>
            </w:pPr>
            <w:r>
              <w:rPr>
                <w:rFonts w:ascii="Arial" w:cs="Arial" w:eastAsia="Arial" w:hAnsi="Arial"/>
                <w:sz w:val="14"/>
                <w:szCs w:val="14"/>
                <w:color w:val="05314D"/>
              </w:rPr>
              <w:t>119</w:t>
            </w:r>
          </w:p>
        </w:tc>
      </w:tr>
      <w:tr>
        <w:trPr>
          <w:trHeight w:val="211"/>
        </w:trPr>
        <w:tc>
          <w:tcPr>
            <w:tcW w:w="6900" w:type="dxa"/>
            <w:vAlign w:val="bottom"/>
            <w:tcBorders>
              <w:bottom w:val="single" w:sz="8" w:color="9A9A9A"/>
            </w:tcBorders>
          </w:tcPr>
          <w:p>
            <w:pPr>
              <w:spacing w:after="0"/>
              <w:rPr>
                <w:sz w:val="18"/>
                <w:szCs w:val="18"/>
                <w:color w:val="auto"/>
              </w:rPr>
            </w:pPr>
          </w:p>
        </w:tc>
        <w:tc>
          <w:tcPr>
            <w:tcW w:w="43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22" w:name="page123"/>
    <w:bookmarkEnd w:id="122"/>
    <w:p>
      <w:pPr>
        <w:ind w:left="10060"/>
        <w:spacing w:after="0"/>
        <w:rPr>
          <w:sz w:val="20"/>
          <w:szCs w:val="20"/>
          <w:color w:val="auto"/>
        </w:rPr>
      </w:pPr>
      <w:r>
        <w:rPr>
          <w:rFonts w:ascii="Arial" w:cs="Arial" w:eastAsia="Arial" w:hAnsi="Arial"/>
          <w:sz w:val="14"/>
          <w:szCs w:val="14"/>
          <w:color w:val="05314D"/>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280"/>
        <w:spacing w:after="0" w:line="283" w:lineRule="auto"/>
        <w:rPr>
          <w:sz w:val="20"/>
          <w:szCs w:val="20"/>
          <w:color w:val="auto"/>
        </w:rPr>
      </w:pPr>
      <w:r>
        <w:rPr>
          <w:rFonts w:ascii="Arial" w:cs="Arial" w:eastAsia="Arial" w:hAnsi="Arial"/>
          <w:sz w:val="16"/>
          <w:szCs w:val="16"/>
          <w:color w:val="auto"/>
        </w:rPr>
        <w:t>the stockholders suffered compensable harm. On February 2, 2023, plaintiffs filed a petition with the Supreme Court seeking review of the Sixth Circuit’s decision, which the Supreme Court denied on June 12, 2023.</w:t>
      </w:r>
    </w:p>
    <w:p>
      <w:pPr>
        <w:spacing w:after="0" w:line="26"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i w:val="1"/>
          <w:iCs w:val="1"/>
          <w:color w:val="auto"/>
        </w:rPr>
        <w:t xml:space="preserve">District of Minnesota (Bhatti et al. v. FHFA et al.). </w:t>
      </w:r>
      <w:r>
        <w:rPr>
          <w:rFonts w:ascii="Arial" w:cs="Arial" w:eastAsia="Arial" w:hAnsi="Arial"/>
          <w:sz w:val="16"/>
          <w:szCs w:val="16"/>
          <w:color w:val="auto"/>
        </w:rPr>
        <w:t>On June 22, 2017, preferred and common stockholders of Fannie Mae and Freddie Mac filed a complaint</w:t>
      </w:r>
      <w:r>
        <w:rPr>
          <w:rFonts w:ascii="Arial" w:cs="Arial" w:eastAsia="Arial" w:hAnsi="Arial"/>
          <w:sz w:val="16"/>
          <w:szCs w:val="16"/>
          <w:i w:val="1"/>
          <w:iCs w:val="1"/>
          <w:color w:val="auto"/>
        </w:rPr>
        <w:t xml:space="preserve"> </w:t>
      </w:r>
      <w:r>
        <w:rPr>
          <w:rFonts w:ascii="Arial" w:cs="Arial" w:eastAsia="Arial" w:hAnsi="Arial"/>
          <w:sz w:val="16"/>
          <w:szCs w:val="16"/>
          <w:color w:val="auto"/>
        </w:rPr>
        <w:t>for declaratory and injunctive relief against FHFA and Treasury in the U.S. District Court for the District of Minnesota. The court dismissed the case on July 6, 2018. On October 6, 2021, the U.S. Court of Appeals for the Eighth Circuit affirmed in part and reversed in part the district court’s ruling and remanded the case to the district court to determine whether the stockholders suffered compensable harm. On January 26, 2022, plaintiffs filed an amended complaint. On March 11, 2022 and March 14, 2022, Treasury and FHFA each filed motions to dismiss the new complaint. On December 16, 2022, the district court dismissed the case and on January 9, 2023, plaintiffs filed a notice of appeal.</w:t>
      </w:r>
    </w:p>
    <w:p>
      <w:pPr>
        <w:spacing w:after="0" w:line="58"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i w:val="1"/>
          <w:iCs w:val="1"/>
          <w:color w:val="auto"/>
        </w:rPr>
        <w:t>Eastern District of Pennsylvania (Wazee Street Opportunities Fund IV L.P. et al. v. FHFA et al.)</w:t>
      </w:r>
      <w:r>
        <w:rPr>
          <w:rFonts w:ascii="Arial" w:cs="Arial" w:eastAsia="Arial" w:hAnsi="Arial"/>
          <w:sz w:val="16"/>
          <w:szCs w:val="16"/>
          <w:color w:val="auto"/>
        </w:rPr>
        <w:t>. On August 16, 2018, common stockholders of Fannie Mae</w:t>
      </w:r>
      <w:r>
        <w:rPr>
          <w:rFonts w:ascii="Arial" w:cs="Arial" w:eastAsia="Arial" w:hAnsi="Arial"/>
          <w:sz w:val="16"/>
          <w:szCs w:val="16"/>
          <w:i w:val="1"/>
          <w:iCs w:val="1"/>
          <w:color w:val="auto"/>
        </w:rPr>
        <w:t xml:space="preserve"> </w:t>
      </w:r>
      <w:r>
        <w:rPr>
          <w:rFonts w:ascii="Arial" w:cs="Arial" w:eastAsia="Arial" w:hAnsi="Arial"/>
          <w:sz w:val="16"/>
          <w:szCs w:val="16"/>
          <w:color w:val="auto"/>
        </w:rPr>
        <w:t>and Freddie Mac filed a complaint for declaratory and injunctive relief against FHFA and Treasury in the U.S. District Court for the Eastern District of Pennsylvania. FHFA and Treasury moved to dismiss the case on November 16, 2018, and plaintiffs filed a motion for summary judgment on December 21, 2018. This case is currently stayed.</w:t>
      </w:r>
    </w:p>
    <w:p>
      <w:pPr>
        <w:spacing w:after="0" w:line="41"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i w:val="1"/>
          <w:iCs w:val="1"/>
          <w:color w:val="auto"/>
        </w:rPr>
        <w:t xml:space="preserve">U.S. Court of Federal Claims (Fisher et al. v. United States of America). </w:t>
      </w:r>
      <w:r>
        <w:rPr>
          <w:rFonts w:ascii="Arial" w:cs="Arial" w:eastAsia="Arial" w:hAnsi="Arial"/>
          <w:sz w:val="16"/>
          <w:szCs w:val="16"/>
          <w:color w:val="auto"/>
        </w:rPr>
        <w:t>On December 2, 2013, common stockholders of Fannie Mae filed a lawsuit against</w:t>
      </w:r>
      <w:r>
        <w:rPr>
          <w:rFonts w:ascii="Arial" w:cs="Arial" w:eastAsia="Arial" w:hAnsi="Arial"/>
          <w:sz w:val="16"/>
          <w:szCs w:val="16"/>
          <w:i w:val="1"/>
          <w:iCs w:val="1"/>
          <w:color w:val="auto"/>
        </w:rPr>
        <w:t xml:space="preserve"> </w:t>
      </w:r>
      <w:r>
        <w:rPr>
          <w:rFonts w:ascii="Arial" w:cs="Arial" w:eastAsia="Arial" w:hAnsi="Arial"/>
          <w:sz w:val="16"/>
          <w:szCs w:val="16"/>
          <w:color w:val="auto"/>
        </w:rPr>
        <w:t>the United States that listed Fannie Mae as a nominal defendant. The plaintiffs alleged that the net worth sweep dividend provisions of the senior preferred stock that were implemented pursuant to the August 2012 amendment constituted a taking of Fannie Mae’s property without just compensation in violation of the U.S. Constitution. On February 15, 2023, the court issued an order for plaintiffs to show cause why their claims should not be dismissed, as claims similar to theirs brought by other Fannie Mae stockholders in other cases against the United States have been dismissed by the court. Plaintiffs filed a response to the show cause order on March 15, 2023, the United States filed its response to the plaintiffs’ submission on June 16, 2023, and the plaintiffs filed a reply on July 21, 2023. The parties are awaiting a ruling from the court.</w:t>
      </w:r>
    </w:p>
    <w:p>
      <w:pPr>
        <w:spacing w:after="0" w:line="123"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Item 1A. Risk Factors</w:t>
      </w:r>
    </w:p>
    <w:p>
      <w:pPr>
        <w:spacing w:after="0" w:line="38" w:lineRule="exact"/>
        <w:rPr>
          <w:sz w:val="20"/>
          <w:szCs w:val="20"/>
          <w:color w:val="auto"/>
        </w:rPr>
      </w:pPr>
    </w:p>
    <w:p>
      <w:pPr>
        <w:ind w:right="420"/>
        <w:spacing w:after="0" w:line="246" w:lineRule="auto"/>
        <w:rPr>
          <w:sz w:val="20"/>
          <w:szCs w:val="20"/>
          <w:color w:val="auto"/>
        </w:rPr>
      </w:pPr>
      <w:r>
        <w:rPr>
          <w:rFonts w:ascii="Arial" w:cs="Arial" w:eastAsia="Arial" w:hAnsi="Arial"/>
          <w:sz w:val="16"/>
          <w:szCs w:val="16"/>
          <w:color w:val="auto"/>
        </w:rPr>
        <w:t>In addition to the information in this report, you should carefully consider the risks relating to our business that we identify in “Risk Factors” in our 2022 Form 10-K. Also refer to “MD&amp;A—Key Market Economic Indicators,” “MD&amp;A—Risk Management,” “MD&amp;A—Single-Family Business” and “MD&amp;A— Multifamily Business” in our 2022 Form 10-K and in this report for more detailed descriptions of the primary risks to our business and how we seek to manage those risks.</w:t>
      </w:r>
    </w:p>
    <w:p>
      <w:pPr>
        <w:spacing w:after="0" w:line="46" w:lineRule="exact"/>
        <w:rPr>
          <w:sz w:val="20"/>
          <w:szCs w:val="20"/>
          <w:color w:val="auto"/>
        </w:rPr>
      </w:pPr>
    </w:p>
    <w:p>
      <w:pPr>
        <w:ind w:right="240"/>
        <w:spacing w:after="0" w:line="262" w:lineRule="auto"/>
        <w:rPr>
          <w:sz w:val="20"/>
          <w:szCs w:val="20"/>
          <w:color w:val="auto"/>
        </w:rPr>
      </w:pPr>
      <w:r>
        <w:rPr>
          <w:rFonts w:ascii="Arial" w:cs="Arial" w:eastAsia="Arial" w:hAnsi="Arial"/>
          <w:sz w:val="16"/>
          <w:szCs w:val="16"/>
          <w:color w:val="auto"/>
        </w:rPr>
        <w:t>The risks we face could materially adversely affect our business, results of operations, financial condition, liquidity and net worth, and could cause our actual results to differ materially from our past results or the results contemplated by any forward-looking statements we make. We believe the risks described in the other sections of this report and our 2022 Form 10-K referenced above are the most significant we face; however, these are not the only risks we face. We face additional risks and uncertainties not currently known to us or that we currently believe are immaterial.</w:t>
      </w:r>
    </w:p>
    <w:p>
      <w:pPr>
        <w:spacing w:after="0" w:line="72"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Item 2. Unregistered Sales of Equity Securities and Use of Proceeds</w:t>
      </w:r>
    </w:p>
    <w:p>
      <w:pPr>
        <w:spacing w:after="0" w:line="133"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Common Stock</w:t>
      </w:r>
    </w:p>
    <w:p>
      <w:pPr>
        <w:spacing w:after="0" w:line="77" w:lineRule="exact"/>
        <w:rPr>
          <w:sz w:val="20"/>
          <w:szCs w:val="20"/>
          <w:color w:val="auto"/>
        </w:rPr>
      </w:pPr>
    </w:p>
    <w:p>
      <w:pPr>
        <w:ind w:right="420"/>
        <w:spacing w:after="0" w:line="300" w:lineRule="auto"/>
        <w:rPr>
          <w:sz w:val="20"/>
          <w:szCs w:val="20"/>
          <w:color w:val="auto"/>
        </w:rPr>
      </w:pPr>
      <w:r>
        <w:rPr>
          <w:rFonts w:ascii="Arial" w:cs="Arial" w:eastAsia="Arial" w:hAnsi="Arial"/>
          <w:sz w:val="16"/>
          <w:szCs w:val="16"/>
          <w:color w:val="auto"/>
        </w:rPr>
        <w:t>Our common stock is traded in the over-the-counter market and quoted on the OTCQB, operated by OTC Markets Group Inc., under the ticker symbol “FNMA.”</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Recent Sales of Unregistered Equity Securities</w:t>
      </w:r>
    </w:p>
    <w:p>
      <w:pPr>
        <w:spacing w:after="0" w:line="77"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Under the terms of our senior preferred stock purchase agreement with Treasury, we are prohibited from selling or issuing our equity interests without the prior written consent of Treasury except under limited circumstances, which are described in “Business—Conservatorship and Treasury Agreements— Treasury Agreements—Covenants under Treasury Agreements” in our 2022 Form 10-K. During the quarter ended June 30, 2023, we did not sell any equity securities.</w:t>
      </w:r>
    </w:p>
    <w:p>
      <w:pPr>
        <w:spacing w:after="0" w:line="71"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Information about Certain Securities Issuances by Fannie Mae</w:t>
      </w:r>
    </w:p>
    <w:p>
      <w:pPr>
        <w:spacing w:after="0" w:line="77"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Pursuant to SEC regulations, public companies are required to disclose certain information when they incur a material direct financial obligation or become directly or contingently liable for a material obligation under an off-balance sheet arrangement. The disclosure must be made in a current report on Form 8-K under Item 2.03 or, if the obligation is incurred in connection with certain types of securities offerings, in prospectuses for that offering that are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385445</wp:posOffset>
            </wp:positionV>
            <wp:extent cx="713867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900" w:type="dxa"/>
            <w:vAlign w:val="bottom"/>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340" w:type="dxa"/>
            <w:vAlign w:val="bottom"/>
          </w:tcPr>
          <w:p>
            <w:pPr>
              <w:jc w:val="right"/>
              <w:spacing w:after="0"/>
              <w:rPr>
                <w:sz w:val="20"/>
                <w:szCs w:val="20"/>
                <w:color w:val="auto"/>
              </w:rPr>
            </w:pPr>
            <w:r>
              <w:rPr>
                <w:rFonts w:ascii="Arial" w:cs="Arial" w:eastAsia="Arial" w:hAnsi="Arial"/>
                <w:sz w:val="14"/>
                <w:szCs w:val="14"/>
                <w:color w:val="05314D"/>
              </w:rPr>
              <w:t>120</w:t>
            </w:r>
          </w:p>
        </w:tc>
      </w:tr>
      <w:tr>
        <w:trPr>
          <w:trHeight w:val="224"/>
        </w:trPr>
        <w:tc>
          <w:tcPr>
            <w:tcW w:w="6900" w:type="dxa"/>
            <w:vAlign w:val="bottom"/>
            <w:tcBorders>
              <w:bottom w:val="single" w:sz="8" w:color="9A9A9A"/>
            </w:tcBorders>
          </w:tcPr>
          <w:p>
            <w:pPr>
              <w:spacing w:after="0"/>
              <w:rPr>
                <w:sz w:val="19"/>
                <w:szCs w:val="19"/>
                <w:color w:val="auto"/>
              </w:rPr>
            </w:pPr>
          </w:p>
        </w:tc>
        <w:tc>
          <w:tcPr>
            <w:tcW w:w="43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23" w:name="page124"/>
    <w:bookmarkEnd w:id="123"/>
    <w:p>
      <w:pPr>
        <w:ind w:left="10060"/>
        <w:spacing w:after="0"/>
        <w:rPr>
          <w:sz w:val="20"/>
          <w:szCs w:val="20"/>
          <w:color w:val="auto"/>
        </w:rPr>
      </w:pPr>
      <w:r>
        <w:rPr>
          <w:rFonts w:ascii="Arial" w:cs="Arial" w:eastAsia="Arial" w:hAnsi="Arial"/>
          <w:sz w:val="14"/>
          <w:szCs w:val="14"/>
          <w:color w:val="05314D"/>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Because the securities we issue are exempted securities under the Securities Act of 1933, we do not file registration statements or prospectuses with the SEC with respect to our securities offerings. To comply with the disclosure requirements of Form 8-K relating to the incurrence of material financial obligations, in accordance with a “no-action” letter we received from the SEC staff in 2004, we report our incurrence of these types of obligations in offering circulars or prospectuses (or supplements thereto) that we post on our website within the same time period that a prospectus for a non-exempt securities offering would be required to be filed with the SEC. To the extent we incur a material financial obligation that is not disclosed in this manner, we would file a Form 8-K if required to do so under applicable Form 8-K requirements.</w:t>
      </w:r>
    </w:p>
    <w:p>
      <w:pPr>
        <w:spacing w:after="0" w:line="50" w:lineRule="exact"/>
        <w:rPr>
          <w:sz w:val="20"/>
          <w:szCs w:val="20"/>
          <w:color w:val="auto"/>
        </w:rPr>
      </w:pPr>
    </w:p>
    <w:p>
      <w:pPr>
        <w:ind w:right="460"/>
        <w:spacing w:after="0" w:line="276" w:lineRule="auto"/>
        <w:rPr>
          <w:sz w:val="20"/>
          <w:szCs w:val="20"/>
          <w:color w:val="auto"/>
        </w:rPr>
      </w:pPr>
      <w:r>
        <w:rPr>
          <w:rFonts w:ascii="Arial" w:cs="Arial" w:eastAsia="Arial" w:hAnsi="Arial"/>
          <w:sz w:val="16"/>
          <w:szCs w:val="16"/>
          <w:color w:val="auto"/>
        </w:rPr>
        <w:t>The website address for disclosure about our debt securities is www.fanniemae.com/debtsearch. From this address, investors can access the offering circular and related supplements for debt securities offerings under Fannie Mae’s universal debt facility, including pricing supplements for individual issuances of debt securities.</w:t>
      </w:r>
    </w:p>
    <w:p>
      <w:pPr>
        <w:spacing w:after="0" w:line="36" w:lineRule="exact"/>
        <w:rPr>
          <w:sz w:val="20"/>
          <w:szCs w:val="20"/>
          <w:color w:val="auto"/>
        </w:rPr>
      </w:pPr>
    </w:p>
    <w:p>
      <w:pPr>
        <w:ind w:right="420"/>
        <w:spacing w:after="0" w:line="267" w:lineRule="auto"/>
        <w:rPr>
          <w:sz w:val="20"/>
          <w:szCs w:val="20"/>
          <w:color w:val="auto"/>
        </w:rPr>
      </w:pPr>
      <w:r>
        <w:rPr>
          <w:rFonts w:ascii="Arial" w:cs="Arial" w:eastAsia="Arial" w:hAnsi="Arial"/>
          <w:sz w:val="16"/>
          <w:szCs w:val="16"/>
          <w:color w:val="auto"/>
        </w:rPr>
        <w:t>Disclosure about our obligations pursuant to the MBS we issue, some of which may be off-balance sheet obligations, can be found at www.fanniemae.com/mbsdisclosure. From this address, investors can access information and documents about our MBS, including prospectuses and related prospectus supplements.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We are providing our website address solely for your information. Information appearing on our website is not incorporated into this report.</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Our Purchases of Equity Securities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We did not repurchase any of our equity securities during the second quarter of 2023.</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b w:val="1"/>
          <w:bCs w:val="1"/>
          <w:color w:val="05314D"/>
        </w:rPr>
        <w:t>Dividend Restrictions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Our payment of dividends is subject to the following restrictions:</w:t>
      </w:r>
    </w:p>
    <w:p>
      <w:pPr>
        <w:spacing w:after="0" w:line="83"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i w:val="1"/>
          <w:iCs w:val="1"/>
          <w:color w:val="auto"/>
        </w:rPr>
        <w:t xml:space="preserve">Restrictions Relating to Conservatorship. </w:t>
      </w:r>
      <w:r>
        <w:rPr>
          <w:rFonts w:ascii="Arial" w:cs="Arial" w:eastAsia="Arial" w:hAnsi="Arial"/>
          <w:sz w:val="16"/>
          <w:szCs w:val="16"/>
          <w:color w:val="auto"/>
        </w:rPr>
        <w:t>Our conservator announced on September 7, 2008 that we would not pay any dividends on the common stock or</w:t>
      </w:r>
      <w:r>
        <w:rPr>
          <w:rFonts w:ascii="Arial" w:cs="Arial" w:eastAsia="Arial" w:hAnsi="Arial"/>
          <w:sz w:val="16"/>
          <w:szCs w:val="16"/>
          <w:i w:val="1"/>
          <w:iCs w:val="1"/>
          <w:color w:val="auto"/>
        </w:rPr>
        <w:t xml:space="preserve"> </w:t>
      </w:r>
      <w:r>
        <w:rPr>
          <w:rFonts w:ascii="Arial" w:cs="Arial" w:eastAsia="Arial" w:hAnsi="Arial"/>
          <w:sz w:val="16"/>
          <w:szCs w:val="16"/>
          <w:color w:val="auto"/>
        </w:rPr>
        <w:t>on any series of preferred stock, other than the senior preferred stock. In addition, FHFA’s regulations relating to conservatorship and receivership operations prohibit us from paying any dividends while in conservatorship unless authorized by the Director of FHFA. The Director of FHFA has directed us to make dividend payments on the senior preferred stock on a quarterly basis for every dividend period for which dividends were payable.</w:t>
      </w:r>
    </w:p>
    <w:p>
      <w:pPr>
        <w:spacing w:after="0" w:line="3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i w:val="1"/>
          <w:iCs w:val="1"/>
          <w:color w:val="auto"/>
        </w:rPr>
        <w:t xml:space="preserve">Restrictions Under Senior Preferred Stock Purchase Agreement and Senior Preferred Stock. </w:t>
      </w:r>
      <w:r>
        <w:rPr>
          <w:rFonts w:ascii="Arial" w:cs="Arial" w:eastAsia="Arial" w:hAnsi="Arial"/>
          <w:sz w:val="16"/>
          <w:szCs w:val="16"/>
          <w:color w:val="auto"/>
        </w:rPr>
        <w:t>The senior preferred stock purchase agreement prohibits us</w:t>
      </w:r>
      <w:r>
        <w:rPr>
          <w:rFonts w:ascii="Arial" w:cs="Arial" w:eastAsia="Arial" w:hAnsi="Arial"/>
          <w:sz w:val="16"/>
          <w:szCs w:val="16"/>
          <w:i w:val="1"/>
          <w:iCs w:val="1"/>
          <w:color w:val="auto"/>
        </w:rPr>
        <w:t xml:space="preserve"> </w:t>
      </w:r>
      <w:r>
        <w:rPr>
          <w:rFonts w:ascii="Arial" w:cs="Arial" w:eastAsia="Arial" w:hAnsi="Arial"/>
          <w:sz w:val="16"/>
          <w:szCs w:val="16"/>
          <w:color w:val="auto"/>
        </w:rPr>
        <w:t>from declaring or paying any dividends on Fannie Mae equity securities (other than the senior preferred stock) without the prior written consent of Treasury. In addition, the provisions of the senior preferred stock provide for dividends each quarter through and including the capital reserve end date in the amount, if any, by which our net worth as of the end of the immediately preceding fiscal quarter exceeds an applicable capital reserve amount. The applicable capital reserve amount is the amount of adjusted total capital necessary for us to meet the capital requirements and buffers set forth in the enterprise regulatory capital framework. The capital reserve end date is defined as the last day of the second consecutive fiscal quarter during which we have had and maintained capital equal to, or in excess of, all of the capital requirements and buffers under the enterprise regulatory capital framework. After the capital reserve end date, the amount of quarterly dividends to Treasury will be equal to the lesser of any quarterly increase in our net worth and a 10% annual rate on the then-current liquidation preference of the senior preferred stock. As a result, our ability to retain earnings in excess of the capital requirements and buffers set forth in the enterprise regulatory capital framework will be limited. For more information on the terms of the senior preferred stock purchase agreement and senior preferred stock, see “Business—Conservatorship and Treasury Agreements” in our 2022 Form 10-K.</w:t>
      </w:r>
    </w:p>
    <w:p>
      <w:pPr>
        <w:spacing w:after="0" w:line="46" w:lineRule="exact"/>
        <w:rPr>
          <w:sz w:val="20"/>
          <w:szCs w:val="20"/>
          <w:color w:val="auto"/>
        </w:rPr>
      </w:pPr>
    </w:p>
    <w:p>
      <w:pPr>
        <w:ind w:right="380"/>
        <w:spacing w:after="0" w:line="270" w:lineRule="auto"/>
        <w:rPr>
          <w:sz w:val="20"/>
          <w:szCs w:val="20"/>
          <w:color w:val="auto"/>
        </w:rPr>
      </w:pPr>
      <w:r>
        <w:rPr>
          <w:rFonts w:ascii="Arial" w:cs="Arial" w:eastAsia="Arial" w:hAnsi="Arial"/>
          <w:sz w:val="16"/>
          <w:szCs w:val="16"/>
          <w:i w:val="1"/>
          <w:iCs w:val="1"/>
          <w:color w:val="auto"/>
        </w:rPr>
        <w:t xml:space="preserve">Additional Restrictions Relating to Preferred Stock. </w:t>
      </w:r>
      <w:r>
        <w:rPr>
          <w:rFonts w:ascii="Arial" w:cs="Arial" w:eastAsia="Arial" w:hAnsi="Arial"/>
          <w:sz w:val="16"/>
          <w:szCs w:val="16"/>
          <w:color w:val="auto"/>
        </w:rPr>
        <w:t>Payment of dividends on our common stock is also subject to the prior payment of dividends on our</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stock and our senior preferred stock. Payment of dividends on all outstanding preferred stock, other than the senior preferred stock, is also subject to the prior payment of dividends on the senior preferred stock.</w:t>
      </w:r>
    </w:p>
    <w:p>
      <w:pPr>
        <w:spacing w:after="0" w:line="49"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i w:val="1"/>
          <w:iCs w:val="1"/>
          <w:color w:val="auto"/>
        </w:rPr>
        <w:t xml:space="preserve">Statutory Restrictions. </w:t>
      </w:r>
      <w:r>
        <w:rPr>
          <w:rFonts w:ascii="Arial" w:cs="Arial" w:eastAsia="Arial" w:hAnsi="Arial"/>
          <w:sz w:val="16"/>
          <w:szCs w:val="16"/>
          <w:color w:val="auto"/>
        </w:rPr>
        <w:t>Under the GSE Act, FHFA has authority to prohibit capital distributions, including payment of dividends, if we fail to meet our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If FHFA classifies us as significantly undercapitalized, approval of the Director of FHFA is required for any dividend payment. Under the Charter Act and the GSE Act, we are not permitted to make a capital distribution if, after making the distribution, we would be undercapitalized. The Director of FHFA, however, may permit us to repurchase shares if the repurchase is made in connection with the issuance of additional shares or obligations in at least an equivalent amount and will reduce our financial obligations or otherwise improve our financial condition.</w:t>
      </w:r>
    </w:p>
    <w:p>
      <w:pPr>
        <w:spacing w:after="0" w:line="61" w:lineRule="exact"/>
        <w:rPr>
          <w:sz w:val="20"/>
          <w:szCs w:val="20"/>
          <w:color w:val="auto"/>
        </w:rPr>
      </w:pPr>
    </w:p>
    <w:p>
      <w:pPr>
        <w:ind w:right="560"/>
        <w:spacing w:after="0" w:line="283" w:lineRule="auto"/>
        <w:rPr>
          <w:sz w:val="20"/>
          <w:szCs w:val="20"/>
          <w:color w:val="auto"/>
        </w:rPr>
      </w:pPr>
      <w:r>
        <w:rPr>
          <w:rFonts w:ascii="Arial" w:cs="Arial" w:eastAsia="Arial" w:hAnsi="Arial"/>
          <w:sz w:val="16"/>
          <w:szCs w:val="16"/>
          <w:color w:val="auto"/>
        </w:rPr>
        <w:t>While not currently applicable, our payment of dividends will be subject to the following restrictions under the enterprise regulatory capital framework effective on the date of termination of our conservatorship: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366395</wp:posOffset>
            </wp:positionV>
            <wp:extent cx="713867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900" w:type="dxa"/>
            <w:vAlign w:val="bottom"/>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340" w:type="dxa"/>
            <w:vAlign w:val="bottom"/>
          </w:tcPr>
          <w:p>
            <w:pPr>
              <w:jc w:val="right"/>
              <w:spacing w:after="0"/>
              <w:rPr>
                <w:sz w:val="20"/>
                <w:szCs w:val="20"/>
                <w:color w:val="auto"/>
              </w:rPr>
            </w:pPr>
            <w:r>
              <w:rPr>
                <w:rFonts w:ascii="Arial" w:cs="Arial" w:eastAsia="Arial" w:hAnsi="Arial"/>
                <w:sz w:val="14"/>
                <w:szCs w:val="14"/>
                <w:color w:val="05314D"/>
              </w:rPr>
              <w:t>121</w:t>
            </w:r>
          </w:p>
        </w:tc>
      </w:tr>
      <w:tr>
        <w:trPr>
          <w:trHeight w:val="224"/>
        </w:trPr>
        <w:tc>
          <w:tcPr>
            <w:tcW w:w="6900" w:type="dxa"/>
            <w:vAlign w:val="bottom"/>
            <w:tcBorders>
              <w:bottom w:val="single" w:sz="8" w:color="9A9A9A"/>
            </w:tcBorders>
          </w:tcPr>
          <w:p>
            <w:pPr>
              <w:spacing w:after="0"/>
              <w:rPr>
                <w:sz w:val="19"/>
                <w:szCs w:val="19"/>
                <w:color w:val="auto"/>
              </w:rPr>
            </w:pPr>
          </w:p>
        </w:tc>
        <w:tc>
          <w:tcPr>
            <w:tcW w:w="43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24" w:name="page125"/>
    <w:bookmarkEnd w:id="124"/>
    <w:p>
      <w:pPr>
        <w:ind w:left="10060"/>
        <w:spacing w:after="0"/>
        <w:rPr>
          <w:sz w:val="20"/>
          <w:szCs w:val="20"/>
          <w:color w:val="auto"/>
        </w:rPr>
      </w:pPr>
      <w:r>
        <w:rPr>
          <w:rFonts w:ascii="Arial" w:cs="Arial" w:eastAsia="Arial" w:hAnsi="Arial"/>
          <w:sz w:val="14"/>
          <w:szCs w:val="14"/>
          <w:color w:val="05314D"/>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i w:val="1"/>
          <w:iCs w:val="1"/>
          <w:color w:val="auto"/>
        </w:rPr>
        <w:t xml:space="preserve">Restrictions Under Enterprise Regulatory Capital Framework. </w:t>
      </w:r>
      <w:r>
        <w:rPr>
          <w:rFonts w:ascii="Arial" w:cs="Arial" w:eastAsia="Arial" w:hAnsi="Arial"/>
          <w:sz w:val="16"/>
          <w:szCs w:val="16"/>
          <w:color w:val="auto"/>
        </w:rPr>
        <w:t>During a calendar quarter, we will not be permitted to pay dividends or make any other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distributions (or create an obligation to make such distributions) that, in the aggregate, exceed the amount equal to our eligible retained income for the quarter multiplied by our maximum payout ratio. The maximum payout ratio for a given quarter is the lowest of the payout ratios determined by our capital conservation buffer and our leverage buffer. We will not be subject to this limitation on distributions if we have a capital conservation buffer that is greater than our prescribed capital conservation buffer amount and a leverage buffer that is greater than our prescribed leverage buffer amount. Notwithstanding the above-described limitations, FHFA may permit us to make a distribution upon our request, if FHFA determines that the distribution would not be contrary to the purposes of this section of the enterprise regulatory capital framework or to our safety and soundness. We will not be permitted to make any distributions during a quarter if our eligible retained income is negative and either (a) our capital conservation buffer is less than our stress capital buffer or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(b) our leverage buffer is less than our prescribed leverage buffer amount.</w:t>
      </w:r>
    </w:p>
    <w:p>
      <w:pPr>
        <w:spacing w:after="0" w:line="97"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Item 3. Defaults Upon Senior Securities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98"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Item 4. Mine Safety Disclosures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98"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Item 5. Other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98" w:lineRule="exact"/>
        <w:rPr>
          <w:sz w:val="20"/>
          <w:szCs w:val="20"/>
          <w:color w:val="auto"/>
        </w:rPr>
      </w:pPr>
    </w:p>
    <w:p>
      <w:pPr>
        <w:spacing w:after="0"/>
        <w:rPr>
          <w:sz w:val="20"/>
          <w:szCs w:val="20"/>
          <w:color w:val="auto"/>
        </w:rPr>
      </w:pPr>
      <w:r>
        <w:rPr>
          <w:rFonts w:ascii="Arial" w:cs="Arial" w:eastAsia="Arial" w:hAnsi="Arial"/>
          <w:sz w:val="27"/>
          <w:szCs w:val="27"/>
          <w:b w:val="1"/>
          <w:bCs w:val="1"/>
          <w:color w:val="05314D"/>
        </w:rPr>
        <w:t>Item 6. Exhibits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exhibits listed below are being filed or furnished with or incorporated by reference into this report.</w:t>
      </w:r>
    </w:p>
    <w:p>
      <w:pPr>
        <w:spacing w:after="0" w:line="126"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97"/>
              </w:rPr>
              <w:t>Item</w:t>
            </w:r>
          </w:p>
        </w:tc>
        <w:tc>
          <w:tcPr>
            <w:tcW w:w="11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6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rPr>
              <w:t>Description</w:t>
            </w:r>
          </w:p>
        </w:tc>
        <w:tc>
          <w:tcPr>
            <w:tcW w:w="4340" w:type="dxa"/>
            <w:vAlign w:val="bottom"/>
            <w:gridSpan w:val="6"/>
          </w:tcPr>
          <w:p>
            <w:pPr>
              <w:spacing w:after="0"/>
              <w:rPr>
                <w:sz w:val="14"/>
                <w:szCs w:val="14"/>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3.1</w:t>
            </w:r>
          </w:p>
        </w:tc>
        <w:tc>
          <w:tcPr>
            <w:tcW w:w="1100" w:type="dxa"/>
            <w:vAlign w:val="bottom"/>
          </w:tcPr>
          <w:p>
            <w:pPr>
              <w:spacing w:after="0"/>
              <w:rPr>
                <w:sz w:val="16"/>
                <w:szCs w:val="16"/>
                <w:color w:val="auto"/>
              </w:rPr>
            </w:pPr>
          </w:p>
        </w:tc>
        <w:tc>
          <w:tcPr>
            <w:tcW w:w="9580" w:type="dxa"/>
            <w:vAlign w:val="bottom"/>
            <w:gridSpan w:val="11"/>
          </w:tcPr>
          <w:p>
            <w:pPr>
              <w:spacing w:after="0"/>
              <w:rPr>
                <w:rFonts w:ascii="Arial" w:cs="Arial" w:eastAsia="Arial" w:hAnsi="Arial"/>
                <w:sz w:val="15"/>
                <w:szCs w:val="15"/>
                <w:color w:val="0000FF"/>
              </w:rPr>
            </w:pPr>
            <w:hyperlink r:id="rId560">
              <w:r>
                <w:rPr>
                  <w:rFonts w:ascii="Arial" w:cs="Arial" w:eastAsia="Arial" w:hAnsi="Arial"/>
                  <w:sz w:val="15"/>
                  <w:szCs w:val="15"/>
                  <w:color w:val="0000FF"/>
                </w:rPr>
                <w:t>Fannie Mae Charter Act (12 U.S.C. § 1716 et seq.) as amended through July 25, 2019 (Incorporated by reference to Exhibit 3.1 to Fannie</w:t>
              </w:r>
            </w:hyperlink>
          </w:p>
        </w:tc>
      </w:tr>
      <w:tr>
        <w:trPr>
          <w:trHeight w:val="135"/>
        </w:trPr>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40" w:type="dxa"/>
            <w:vAlign w:val="bottom"/>
            <w:tcBorders>
              <w:top w:val="single" w:sz="8" w:color="0000FF"/>
              <w:bottom w:val="single" w:sz="8" w:color="0000FF"/>
            </w:tcBorders>
            <w:gridSpan w:val="8"/>
          </w:tcPr>
          <w:p>
            <w:pPr>
              <w:spacing w:after="0" w:line="135" w:lineRule="exact"/>
              <w:rPr>
                <w:rFonts w:ascii="Arial" w:cs="Arial" w:eastAsia="Arial" w:hAnsi="Arial"/>
                <w:sz w:val="15"/>
                <w:szCs w:val="15"/>
                <w:color w:val="0000FF"/>
              </w:rPr>
            </w:pPr>
            <w:hyperlink r:id="rId560">
              <w:r>
                <w:rPr>
                  <w:rFonts w:ascii="Arial" w:cs="Arial" w:eastAsia="Arial" w:hAnsi="Arial"/>
                  <w:sz w:val="15"/>
                  <w:szCs w:val="15"/>
                  <w:color w:val="0000FF"/>
                </w:rPr>
                <w:t>Mae’s Quarterly Report on Form 10-Q for the quarter ended September 30, 2019, filed October 31, 2019.)</w:t>
              </w:r>
            </w:hyperlink>
          </w:p>
        </w:tc>
        <w:tc>
          <w:tcPr>
            <w:tcW w:w="2160" w:type="dxa"/>
            <w:vAlign w:val="bottom"/>
            <w:tcBorders>
              <w:top w:val="single" w:sz="8" w:color="0000FF"/>
            </w:tcBorders>
            <w:gridSpan w:val="2"/>
          </w:tcPr>
          <w:p>
            <w:pPr>
              <w:spacing w:after="0"/>
              <w:rPr>
                <w:sz w:val="11"/>
                <w:szCs w:val="11"/>
                <w:color w:val="auto"/>
              </w:rPr>
            </w:pPr>
          </w:p>
        </w:tc>
        <w:tc>
          <w:tcPr>
            <w:tcW w:w="180" w:type="dxa"/>
            <w:vAlign w:val="bottom"/>
          </w:tcPr>
          <w:p>
            <w:pPr>
              <w:spacing w:after="0"/>
              <w:rPr>
                <w:sz w:val="11"/>
                <w:szCs w:val="11"/>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3.2</w:t>
            </w:r>
          </w:p>
        </w:tc>
        <w:tc>
          <w:tcPr>
            <w:tcW w:w="1100" w:type="dxa"/>
            <w:vAlign w:val="bottom"/>
          </w:tcPr>
          <w:p>
            <w:pPr>
              <w:spacing w:after="0"/>
              <w:rPr>
                <w:sz w:val="16"/>
                <w:szCs w:val="16"/>
                <w:color w:val="auto"/>
              </w:rPr>
            </w:pPr>
          </w:p>
        </w:tc>
        <w:tc>
          <w:tcPr>
            <w:tcW w:w="9580" w:type="dxa"/>
            <w:vAlign w:val="bottom"/>
            <w:gridSpan w:val="11"/>
          </w:tcPr>
          <w:p>
            <w:pPr>
              <w:spacing w:after="0"/>
              <w:rPr>
                <w:rFonts w:ascii="Arial" w:cs="Arial" w:eastAsia="Arial" w:hAnsi="Arial"/>
                <w:sz w:val="15"/>
                <w:szCs w:val="15"/>
                <w:color w:val="0000FF"/>
              </w:rPr>
            </w:pPr>
            <w:hyperlink r:id="rId561">
              <w:r>
                <w:rPr>
                  <w:rFonts w:ascii="Arial" w:cs="Arial" w:eastAsia="Arial" w:hAnsi="Arial"/>
                  <w:sz w:val="15"/>
                  <w:szCs w:val="15"/>
                  <w:color w:val="0000FF"/>
                </w:rPr>
                <w:t>Fannie Mae Bylaws, as amended through January 29, 2019 (Incorporated by reference to Exhibit 3.2 to Fannie Mae’s Annual Report on</w:t>
              </w:r>
            </w:hyperlink>
          </w:p>
        </w:tc>
      </w:tr>
      <w:tr>
        <w:trPr>
          <w:trHeight w:val="135"/>
        </w:trPr>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80" w:type="dxa"/>
            <w:vAlign w:val="bottom"/>
            <w:tcBorders>
              <w:top w:val="single" w:sz="8" w:color="0000FF"/>
            </w:tcBorders>
            <w:gridSpan w:val="9"/>
          </w:tcPr>
          <w:p>
            <w:pPr>
              <w:spacing w:after="0" w:line="135" w:lineRule="exact"/>
              <w:rPr>
                <w:rFonts w:ascii="Arial" w:cs="Arial" w:eastAsia="Arial" w:hAnsi="Arial"/>
                <w:sz w:val="15"/>
                <w:szCs w:val="15"/>
                <w:color w:val="0000FF"/>
              </w:rPr>
            </w:pPr>
            <w:hyperlink r:id="rId561">
              <w:r>
                <w:rPr>
                  <w:rFonts w:ascii="Arial" w:cs="Arial" w:eastAsia="Arial" w:hAnsi="Arial"/>
                  <w:sz w:val="15"/>
                  <w:szCs w:val="15"/>
                  <w:color w:val="0000FF"/>
                </w:rPr>
                <w:t>Form 10-K for the year ended December 31, 2018, filed February 14, 2019.)</w:t>
              </w:r>
            </w:hyperlink>
          </w:p>
        </w:tc>
        <w:tc>
          <w:tcPr>
            <w:tcW w:w="300" w:type="dxa"/>
            <w:vAlign w:val="bottom"/>
            <w:gridSpan w:val="2"/>
          </w:tcPr>
          <w:p>
            <w:pPr>
              <w:spacing w:after="0"/>
              <w:rPr>
                <w:sz w:val="11"/>
                <w:szCs w:val="11"/>
                <w:color w:val="auto"/>
              </w:rPr>
            </w:pPr>
          </w:p>
        </w:tc>
      </w:tr>
      <w:tr>
        <w:trPr>
          <w:trHeight w:val="20"/>
        </w:trPr>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31.1</w:t>
            </w:r>
          </w:p>
        </w:tc>
        <w:tc>
          <w:tcPr>
            <w:tcW w:w="1100" w:type="dxa"/>
            <w:vAlign w:val="bottom"/>
          </w:tcPr>
          <w:p>
            <w:pPr>
              <w:spacing w:after="0"/>
              <w:rPr>
                <w:sz w:val="16"/>
                <w:szCs w:val="16"/>
                <w:color w:val="auto"/>
              </w:rPr>
            </w:pPr>
          </w:p>
        </w:tc>
        <w:tc>
          <w:tcPr>
            <w:tcW w:w="9580" w:type="dxa"/>
            <w:vAlign w:val="bottom"/>
            <w:gridSpan w:val="11"/>
          </w:tcPr>
          <w:p>
            <w:pPr>
              <w:spacing w:after="0"/>
              <w:rPr>
                <w:sz w:val="20"/>
                <w:szCs w:val="20"/>
                <w:color w:val="auto"/>
              </w:rPr>
            </w:pPr>
            <w:r>
              <w:rPr>
                <w:rFonts w:ascii="Arial" w:cs="Arial" w:eastAsia="Arial" w:hAnsi="Arial"/>
                <w:sz w:val="15"/>
                <w:szCs w:val="15"/>
                <w:color w:val="0000FF"/>
              </w:rPr>
              <w:t>Certification of Chief Executive Officer pursuant to Securities Exchange Act Rule 13a-14(a)</w:t>
            </w: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31.2</w:t>
            </w:r>
          </w:p>
        </w:tc>
        <w:tc>
          <w:tcPr>
            <w:tcW w:w="1100" w:type="dxa"/>
            <w:vAlign w:val="bottom"/>
          </w:tcPr>
          <w:p>
            <w:pPr>
              <w:spacing w:after="0"/>
              <w:rPr>
                <w:sz w:val="16"/>
                <w:szCs w:val="16"/>
                <w:color w:val="auto"/>
              </w:rPr>
            </w:pPr>
          </w:p>
        </w:tc>
        <w:tc>
          <w:tcPr>
            <w:tcW w:w="616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5"/>
                <w:szCs w:val="15"/>
                <w:color w:val="0000FF"/>
              </w:rPr>
              <w:t>Certification of Chief Financial Officer pursuant to Securities Exchange Act Rule 13a-14(a)</w:t>
            </w:r>
          </w:p>
        </w:tc>
        <w:tc>
          <w:tcPr>
            <w:tcW w:w="40" w:type="dxa"/>
            <w:vAlign w:val="bottom"/>
            <w:tcBorders>
              <w:top w:val="single" w:sz="8" w:color="0000FF"/>
            </w:tcBorders>
          </w:tcPr>
          <w:p>
            <w:pPr>
              <w:spacing w:after="0"/>
              <w:rPr>
                <w:sz w:val="16"/>
                <w:szCs w:val="16"/>
                <w:color w:val="auto"/>
              </w:rPr>
            </w:pPr>
          </w:p>
        </w:tc>
        <w:tc>
          <w:tcPr>
            <w:tcW w:w="3380" w:type="dxa"/>
            <w:vAlign w:val="bottom"/>
            <w:gridSpan w:val="4"/>
          </w:tcPr>
          <w:p>
            <w:pPr>
              <w:spacing w:after="0"/>
              <w:rPr>
                <w:sz w:val="16"/>
                <w:szCs w:val="16"/>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32.1</w:t>
            </w:r>
          </w:p>
        </w:tc>
        <w:tc>
          <w:tcPr>
            <w:tcW w:w="1100" w:type="dxa"/>
            <w:vAlign w:val="bottom"/>
          </w:tcPr>
          <w:p>
            <w:pPr>
              <w:spacing w:after="0"/>
              <w:rPr>
                <w:sz w:val="16"/>
                <w:szCs w:val="16"/>
                <w:color w:val="auto"/>
              </w:rPr>
            </w:pPr>
          </w:p>
        </w:tc>
        <w:tc>
          <w:tcPr>
            <w:tcW w:w="5080" w:type="dxa"/>
            <w:vAlign w:val="bottom"/>
            <w:tcBorders>
              <w:bottom w:val="single" w:sz="8" w:color="0000FF"/>
            </w:tcBorders>
            <w:gridSpan w:val="3"/>
          </w:tcPr>
          <w:p>
            <w:pPr>
              <w:spacing w:after="0"/>
              <w:rPr>
                <w:sz w:val="20"/>
                <w:szCs w:val="20"/>
                <w:color w:val="auto"/>
              </w:rPr>
            </w:pPr>
            <w:r>
              <w:rPr>
                <w:rFonts w:ascii="Arial" w:cs="Arial" w:eastAsia="Arial" w:hAnsi="Arial"/>
                <w:sz w:val="15"/>
                <w:szCs w:val="15"/>
                <w:color w:val="0000FF"/>
              </w:rPr>
              <w:t>Certification of Chief Executive Officer pursuant to 18 U.S.C. Section 1350</w:t>
            </w:r>
          </w:p>
        </w:tc>
        <w:tc>
          <w:tcPr>
            <w:tcW w:w="4500" w:type="dxa"/>
            <w:vAlign w:val="bottom"/>
            <w:gridSpan w:val="8"/>
          </w:tcPr>
          <w:p>
            <w:pPr>
              <w:spacing w:after="0"/>
              <w:rPr>
                <w:sz w:val="16"/>
                <w:szCs w:val="16"/>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32.2</w:t>
            </w:r>
          </w:p>
        </w:tc>
        <w:tc>
          <w:tcPr>
            <w:tcW w:w="1100" w:type="dxa"/>
            <w:vAlign w:val="bottom"/>
          </w:tcPr>
          <w:p>
            <w:pPr>
              <w:spacing w:after="0"/>
              <w:rPr>
                <w:sz w:val="16"/>
                <w:szCs w:val="16"/>
                <w:color w:val="auto"/>
              </w:rPr>
            </w:pPr>
          </w:p>
        </w:tc>
        <w:tc>
          <w:tcPr>
            <w:tcW w:w="9580" w:type="dxa"/>
            <w:vAlign w:val="bottom"/>
            <w:gridSpan w:val="11"/>
          </w:tcPr>
          <w:p>
            <w:pPr>
              <w:spacing w:after="0"/>
              <w:rPr>
                <w:sz w:val="20"/>
                <w:szCs w:val="20"/>
                <w:color w:val="auto"/>
              </w:rPr>
            </w:pPr>
            <w:r>
              <w:rPr>
                <w:rFonts w:ascii="Arial" w:cs="Arial" w:eastAsia="Arial" w:hAnsi="Arial"/>
                <w:sz w:val="15"/>
                <w:szCs w:val="15"/>
                <w:color w:val="0000FF"/>
              </w:rPr>
              <w:t>Certification of Chief Financial Officer pursuant to 18 U.S.C. Section 1350</w:t>
            </w:r>
          </w:p>
        </w:tc>
      </w:tr>
      <w:tr>
        <w:trPr>
          <w:trHeight w:val="20"/>
        </w:trPr>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20" w:type="dxa"/>
            <w:vAlign w:val="bottom"/>
            <w:gridSpan w:val="2"/>
            <w:shd w:val="clear" w:color="auto" w:fill="0000FF"/>
          </w:tcPr>
          <w:p>
            <w:pPr>
              <w:spacing w:after="0" w:line="20" w:lineRule="exact"/>
              <w:rPr>
                <w:sz w:val="1"/>
                <w:szCs w:val="1"/>
                <w:color w:val="auto"/>
              </w:rPr>
            </w:pPr>
          </w:p>
        </w:tc>
        <w:tc>
          <w:tcPr>
            <w:tcW w:w="4560" w:type="dxa"/>
            <w:vAlign w:val="bottom"/>
            <w:gridSpan w:val="9"/>
          </w:tcPr>
          <w:p>
            <w:pPr>
              <w:spacing w:after="0" w:line="20" w:lineRule="exact"/>
              <w:rPr>
                <w:sz w:val="1"/>
                <w:szCs w:val="1"/>
                <w:color w:val="auto"/>
              </w:rPr>
            </w:pPr>
          </w:p>
        </w:tc>
      </w:tr>
      <w:tr>
        <w:trPr>
          <w:trHeight w:val="178"/>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100" w:type="dxa"/>
            <w:vAlign w:val="bottom"/>
          </w:tcPr>
          <w:p>
            <w:pPr>
              <w:ind w:left="20"/>
              <w:spacing w:after="0"/>
              <w:rPr>
                <w:sz w:val="20"/>
                <w:szCs w:val="20"/>
                <w:color w:val="auto"/>
              </w:rPr>
            </w:pPr>
            <w:r>
              <w:rPr>
                <w:rFonts w:ascii="Arial" w:cs="Arial" w:eastAsia="Arial" w:hAnsi="Arial"/>
                <w:sz w:val="15"/>
                <w:szCs w:val="15"/>
                <w:color w:val="auto"/>
              </w:rPr>
              <w:t>INS</w:t>
            </w:r>
          </w:p>
        </w:tc>
        <w:tc>
          <w:tcPr>
            <w:tcW w:w="9580" w:type="dxa"/>
            <w:vAlign w:val="bottom"/>
            <w:gridSpan w:val="11"/>
          </w:tcPr>
          <w:p>
            <w:pPr>
              <w:spacing w:after="0"/>
              <w:rPr>
                <w:sz w:val="20"/>
                <w:szCs w:val="20"/>
                <w:color w:val="auto"/>
              </w:rPr>
            </w:pPr>
            <w:r>
              <w:rPr>
                <w:rFonts w:ascii="Arial" w:cs="Arial" w:eastAsia="Arial" w:hAnsi="Arial"/>
                <w:sz w:val="15"/>
                <w:szCs w:val="15"/>
                <w:color w:val="auto"/>
              </w:rPr>
              <w:t>Inline XBRL Instance Document* - the instance document does not appear in the Interactive Data File because its XBRL tags are embedded</w:t>
            </w:r>
          </w:p>
        </w:tc>
      </w:tr>
      <w:tr>
        <w:trPr>
          <w:trHeight w:val="196"/>
        </w:trPr>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580" w:type="dxa"/>
            <w:vAlign w:val="bottom"/>
            <w:gridSpan w:val="11"/>
          </w:tcPr>
          <w:p>
            <w:pPr>
              <w:spacing w:after="0"/>
              <w:rPr>
                <w:sz w:val="20"/>
                <w:szCs w:val="20"/>
                <w:color w:val="auto"/>
              </w:rPr>
            </w:pPr>
            <w:r>
              <w:rPr>
                <w:rFonts w:ascii="Arial" w:cs="Arial" w:eastAsia="Arial" w:hAnsi="Arial"/>
                <w:sz w:val="15"/>
                <w:szCs w:val="15"/>
                <w:color w:val="auto"/>
              </w:rPr>
              <w:t>within the Inline XBRL document</w:t>
            </w:r>
          </w:p>
        </w:tc>
      </w:tr>
      <w:tr>
        <w:trPr>
          <w:trHeight w:val="2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100" w:type="dxa"/>
            <w:vAlign w:val="bottom"/>
          </w:tcPr>
          <w:p>
            <w:pPr>
              <w:ind w:left="20"/>
              <w:spacing w:after="0"/>
              <w:rPr>
                <w:sz w:val="20"/>
                <w:szCs w:val="20"/>
                <w:color w:val="auto"/>
              </w:rPr>
            </w:pPr>
            <w:r>
              <w:rPr>
                <w:rFonts w:ascii="Arial" w:cs="Arial" w:eastAsia="Arial" w:hAnsi="Arial"/>
                <w:sz w:val="15"/>
                <w:szCs w:val="15"/>
                <w:color w:val="auto"/>
              </w:rPr>
              <w:t>SCH</w:t>
            </w:r>
          </w:p>
        </w:tc>
        <w:tc>
          <w:tcPr>
            <w:tcW w:w="9580" w:type="dxa"/>
            <w:vAlign w:val="bottom"/>
            <w:gridSpan w:val="11"/>
          </w:tcPr>
          <w:p>
            <w:pPr>
              <w:spacing w:after="0"/>
              <w:rPr>
                <w:sz w:val="20"/>
                <w:szCs w:val="20"/>
                <w:color w:val="auto"/>
              </w:rPr>
            </w:pPr>
            <w:r>
              <w:rPr>
                <w:rFonts w:ascii="Arial" w:cs="Arial" w:eastAsia="Arial" w:hAnsi="Arial"/>
                <w:sz w:val="15"/>
                <w:szCs w:val="15"/>
                <w:color w:val="auto"/>
              </w:rPr>
              <w:t>Inline XBRL Taxonomy Extension Schema*</w:t>
            </w:r>
          </w:p>
        </w:tc>
      </w:tr>
      <w:tr>
        <w:trPr>
          <w:trHeight w:val="2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100" w:type="dxa"/>
            <w:vAlign w:val="bottom"/>
          </w:tcPr>
          <w:p>
            <w:pPr>
              <w:ind w:left="20"/>
              <w:spacing w:after="0"/>
              <w:rPr>
                <w:sz w:val="20"/>
                <w:szCs w:val="20"/>
                <w:color w:val="auto"/>
              </w:rPr>
            </w:pPr>
            <w:r>
              <w:rPr>
                <w:rFonts w:ascii="Arial" w:cs="Arial" w:eastAsia="Arial" w:hAnsi="Arial"/>
                <w:sz w:val="15"/>
                <w:szCs w:val="15"/>
                <w:color w:val="auto"/>
              </w:rPr>
              <w:t>CAL</w:t>
            </w:r>
          </w:p>
        </w:tc>
        <w:tc>
          <w:tcPr>
            <w:tcW w:w="9580" w:type="dxa"/>
            <w:vAlign w:val="bottom"/>
            <w:gridSpan w:val="11"/>
          </w:tcPr>
          <w:p>
            <w:pPr>
              <w:spacing w:after="0"/>
              <w:rPr>
                <w:sz w:val="20"/>
                <w:szCs w:val="20"/>
                <w:color w:val="auto"/>
              </w:rPr>
            </w:pPr>
            <w:r>
              <w:rPr>
                <w:rFonts w:ascii="Arial" w:cs="Arial" w:eastAsia="Arial" w:hAnsi="Arial"/>
                <w:sz w:val="15"/>
                <w:szCs w:val="15"/>
                <w:color w:val="auto"/>
              </w:rPr>
              <w:t>Inline XBRL Taxonomy Extension Calculation*</w:t>
            </w:r>
          </w:p>
        </w:tc>
      </w:tr>
      <w:tr>
        <w:trPr>
          <w:trHeight w:val="2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100" w:type="dxa"/>
            <w:vAlign w:val="bottom"/>
          </w:tcPr>
          <w:p>
            <w:pPr>
              <w:ind w:left="20"/>
              <w:spacing w:after="0"/>
              <w:rPr>
                <w:sz w:val="20"/>
                <w:szCs w:val="20"/>
                <w:color w:val="auto"/>
              </w:rPr>
            </w:pPr>
            <w:r>
              <w:rPr>
                <w:rFonts w:ascii="Arial" w:cs="Arial" w:eastAsia="Arial" w:hAnsi="Arial"/>
                <w:sz w:val="15"/>
                <w:szCs w:val="15"/>
                <w:color w:val="auto"/>
              </w:rPr>
              <w:t>DEF</w:t>
            </w:r>
          </w:p>
        </w:tc>
        <w:tc>
          <w:tcPr>
            <w:tcW w:w="9580" w:type="dxa"/>
            <w:vAlign w:val="bottom"/>
            <w:gridSpan w:val="11"/>
          </w:tcPr>
          <w:p>
            <w:pPr>
              <w:spacing w:after="0"/>
              <w:rPr>
                <w:sz w:val="20"/>
                <w:szCs w:val="20"/>
                <w:color w:val="auto"/>
              </w:rPr>
            </w:pPr>
            <w:r>
              <w:rPr>
                <w:rFonts w:ascii="Arial" w:cs="Arial" w:eastAsia="Arial" w:hAnsi="Arial"/>
                <w:sz w:val="15"/>
                <w:szCs w:val="15"/>
                <w:color w:val="auto"/>
              </w:rPr>
              <w:t>Inline XBRL Taxonomy Extension Definition*</w:t>
            </w:r>
          </w:p>
        </w:tc>
      </w:tr>
      <w:tr>
        <w:trPr>
          <w:trHeight w:val="2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100" w:type="dxa"/>
            <w:vAlign w:val="bottom"/>
          </w:tcPr>
          <w:p>
            <w:pPr>
              <w:ind w:left="20"/>
              <w:spacing w:after="0"/>
              <w:rPr>
                <w:sz w:val="20"/>
                <w:szCs w:val="20"/>
                <w:color w:val="auto"/>
              </w:rPr>
            </w:pPr>
            <w:r>
              <w:rPr>
                <w:rFonts w:ascii="Arial" w:cs="Arial" w:eastAsia="Arial" w:hAnsi="Arial"/>
                <w:sz w:val="15"/>
                <w:szCs w:val="15"/>
                <w:color w:val="auto"/>
              </w:rPr>
              <w:t>LAB</w:t>
            </w:r>
          </w:p>
        </w:tc>
        <w:tc>
          <w:tcPr>
            <w:tcW w:w="9580" w:type="dxa"/>
            <w:vAlign w:val="bottom"/>
            <w:gridSpan w:val="11"/>
          </w:tcPr>
          <w:p>
            <w:pPr>
              <w:spacing w:after="0"/>
              <w:rPr>
                <w:sz w:val="20"/>
                <w:szCs w:val="20"/>
                <w:color w:val="auto"/>
              </w:rPr>
            </w:pPr>
            <w:r>
              <w:rPr>
                <w:rFonts w:ascii="Arial" w:cs="Arial" w:eastAsia="Arial" w:hAnsi="Arial"/>
                <w:sz w:val="15"/>
                <w:szCs w:val="15"/>
                <w:color w:val="auto"/>
              </w:rPr>
              <w:t>Inline XBRL Taxonomy Extension Label*</w:t>
            </w:r>
          </w:p>
        </w:tc>
      </w:tr>
      <w:tr>
        <w:trPr>
          <w:trHeight w:val="2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100" w:type="dxa"/>
            <w:vAlign w:val="bottom"/>
          </w:tcPr>
          <w:p>
            <w:pPr>
              <w:ind w:left="20"/>
              <w:spacing w:after="0"/>
              <w:rPr>
                <w:sz w:val="20"/>
                <w:szCs w:val="20"/>
                <w:color w:val="auto"/>
              </w:rPr>
            </w:pPr>
            <w:r>
              <w:rPr>
                <w:rFonts w:ascii="Arial" w:cs="Arial" w:eastAsia="Arial" w:hAnsi="Arial"/>
                <w:sz w:val="15"/>
                <w:szCs w:val="15"/>
                <w:color w:val="auto"/>
              </w:rPr>
              <w:t>PRE</w:t>
            </w:r>
          </w:p>
        </w:tc>
        <w:tc>
          <w:tcPr>
            <w:tcW w:w="9580" w:type="dxa"/>
            <w:vAlign w:val="bottom"/>
            <w:gridSpan w:val="11"/>
          </w:tcPr>
          <w:p>
            <w:pPr>
              <w:spacing w:after="0"/>
              <w:rPr>
                <w:sz w:val="20"/>
                <w:szCs w:val="20"/>
                <w:color w:val="auto"/>
              </w:rPr>
            </w:pPr>
            <w:r>
              <w:rPr>
                <w:rFonts w:ascii="Arial" w:cs="Arial" w:eastAsia="Arial" w:hAnsi="Arial"/>
                <w:sz w:val="15"/>
                <w:szCs w:val="15"/>
                <w:color w:val="auto"/>
              </w:rPr>
              <w:t>Inline XBRL Taxonomy Extension Presentation*</w:t>
            </w:r>
          </w:p>
        </w:tc>
      </w:tr>
    </w:tbl>
    <w:p>
      <w:pPr>
        <w:spacing w:after="0" w:line="10" w:lineRule="exact"/>
        <w:rPr>
          <w:sz w:val="20"/>
          <w:szCs w:val="20"/>
          <w:color w:val="auto"/>
        </w:rPr>
      </w:pPr>
    </w:p>
    <w:p>
      <w:pPr>
        <w:ind w:left="160" w:right="4200" w:firstLine="15"/>
        <w:spacing w:after="0" w:line="505" w:lineRule="auto"/>
        <w:tabs>
          <w:tab w:leader="none" w:pos="1602" w:val="left"/>
        </w:tabs>
        <w:numPr>
          <w:ilvl w:val="1"/>
          <w:numId w:val="136"/>
        </w:numPr>
        <w:rPr>
          <w:rFonts w:ascii="Arial" w:cs="Arial" w:eastAsia="Arial" w:hAnsi="Arial"/>
          <w:sz w:val="15"/>
          <w:szCs w:val="15"/>
          <w:color w:val="auto"/>
        </w:rPr>
      </w:pPr>
      <w:r>
        <w:rPr>
          <w:rFonts w:ascii="Arial" w:cs="Arial" w:eastAsia="Arial" w:hAnsi="Arial"/>
          <w:sz w:val="15"/>
          <w:szCs w:val="15"/>
          <w:color w:val="auto"/>
        </w:rPr>
        <w:t xml:space="preserve">Cover Page Interactive Data File* (embedded within the Inline XBRL document) </w:t>
      </w:r>
      <w:r>
        <w:rPr>
          <w:rFonts w:ascii="Arial" w:cs="Arial" w:eastAsia="Arial" w:hAnsi="Arial"/>
          <w:sz w:val="16"/>
          <w:szCs w:val="16"/>
          <w:color w:val="auto"/>
        </w:rPr>
        <w:t>* The financial information contained in these Inline XBRL documents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266700</wp:posOffset>
            </wp:positionV>
            <wp:extent cx="713867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900" w:type="dxa"/>
            <w:vAlign w:val="bottom"/>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340" w:type="dxa"/>
            <w:vAlign w:val="bottom"/>
          </w:tcPr>
          <w:p>
            <w:pPr>
              <w:jc w:val="right"/>
              <w:spacing w:after="0"/>
              <w:rPr>
                <w:sz w:val="20"/>
                <w:szCs w:val="20"/>
                <w:color w:val="auto"/>
              </w:rPr>
            </w:pPr>
            <w:r>
              <w:rPr>
                <w:rFonts w:ascii="Arial" w:cs="Arial" w:eastAsia="Arial" w:hAnsi="Arial"/>
                <w:sz w:val="14"/>
                <w:szCs w:val="14"/>
                <w:color w:val="05314D"/>
              </w:rPr>
              <w:t>122</w:t>
            </w:r>
          </w:p>
        </w:tc>
      </w:tr>
      <w:tr>
        <w:trPr>
          <w:trHeight w:val="224"/>
        </w:trPr>
        <w:tc>
          <w:tcPr>
            <w:tcW w:w="6900" w:type="dxa"/>
            <w:vAlign w:val="bottom"/>
            <w:tcBorders>
              <w:bottom w:val="single" w:sz="8" w:color="9A9A9A"/>
            </w:tcBorders>
          </w:tcPr>
          <w:p>
            <w:pPr>
              <w:spacing w:after="0"/>
              <w:rPr>
                <w:sz w:val="19"/>
                <w:szCs w:val="19"/>
                <w:color w:val="auto"/>
              </w:rPr>
            </w:pPr>
          </w:p>
        </w:tc>
        <w:tc>
          <w:tcPr>
            <w:tcW w:w="43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25" w:name="page126"/>
    <w:bookmarkEnd w:id="125"/>
    <w:p>
      <w:pPr>
        <w:ind w:left="10480"/>
        <w:spacing w:after="0"/>
        <w:rPr>
          <w:sz w:val="20"/>
          <w:szCs w:val="20"/>
          <w:color w:val="auto"/>
        </w:rPr>
      </w:pPr>
      <w:r>
        <w:rPr>
          <w:rFonts w:ascii="Arial" w:cs="Arial" w:eastAsia="Arial" w:hAnsi="Arial"/>
          <w:sz w:val="14"/>
          <w:szCs w:val="14"/>
          <w:color w:val="05314D"/>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15875</wp:posOffset>
            </wp:positionV>
            <wp:extent cx="700722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5">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SIGNATURES</w:t>
      </w:r>
    </w:p>
    <w:p>
      <w:pPr>
        <w:spacing w:after="0" w:line="155" w:lineRule="exact"/>
        <w:rPr>
          <w:sz w:val="20"/>
          <w:szCs w:val="20"/>
          <w:color w:val="auto"/>
        </w:rPr>
      </w:pPr>
    </w:p>
    <w:p>
      <w:pPr>
        <w:ind w:right="900"/>
        <w:spacing w:after="0" w:line="28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240" w:type="dxa"/>
            <w:vAlign w:val="bottom"/>
            <w:gridSpan w:val="2"/>
          </w:tcPr>
          <w:p>
            <w:pPr>
              <w:ind w:left="5700"/>
              <w:spacing w:after="0"/>
              <w:rPr>
                <w:sz w:val="20"/>
                <w:szCs w:val="20"/>
                <w:color w:val="auto"/>
              </w:rPr>
            </w:pPr>
            <w:r>
              <w:rPr>
                <w:rFonts w:ascii="Arial" w:cs="Arial" w:eastAsia="Arial" w:hAnsi="Arial"/>
                <w:sz w:val="15"/>
                <w:szCs w:val="15"/>
                <w:color w:val="auto"/>
              </w:rPr>
              <w:t>Federal National Mortgage Association</w:t>
            </w:r>
          </w:p>
        </w:tc>
      </w:tr>
      <w:tr>
        <w:trPr>
          <w:trHeight w:val="776"/>
        </w:trPr>
        <w:tc>
          <w:tcPr>
            <w:tcW w:w="6820" w:type="dxa"/>
            <w:vAlign w:val="bottom"/>
          </w:tcPr>
          <w:p>
            <w:pPr>
              <w:ind w:left="6260"/>
              <w:spacing w:after="0"/>
              <w:rPr>
                <w:sz w:val="20"/>
                <w:szCs w:val="20"/>
                <w:color w:val="auto"/>
              </w:rPr>
            </w:pPr>
            <w:r>
              <w:rPr>
                <w:rFonts w:ascii="Arial" w:cs="Arial" w:eastAsia="Arial" w:hAnsi="Arial"/>
                <w:sz w:val="15"/>
                <w:szCs w:val="15"/>
                <w:color w:val="auto"/>
              </w:rPr>
              <w:t>By:</w:t>
            </w:r>
          </w:p>
        </w:tc>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 Priscilla Almodovar</w:t>
            </w:r>
          </w:p>
        </w:tc>
      </w:tr>
      <w:tr>
        <w:trPr>
          <w:trHeight w:val="155"/>
        </w:trPr>
        <w:tc>
          <w:tcPr>
            <w:tcW w:w="6820" w:type="dxa"/>
            <w:vAlign w:val="bottom"/>
          </w:tcPr>
          <w:p>
            <w:pPr>
              <w:spacing w:after="0"/>
              <w:rPr>
                <w:sz w:val="13"/>
                <w:szCs w:val="13"/>
                <w:color w:val="auto"/>
              </w:rPr>
            </w:pPr>
          </w:p>
        </w:tc>
        <w:tc>
          <w:tcPr>
            <w:tcW w:w="4420" w:type="dxa"/>
            <w:vAlign w:val="bottom"/>
          </w:tcPr>
          <w:p>
            <w:pPr>
              <w:spacing w:after="0" w:line="155" w:lineRule="exact"/>
              <w:rPr>
                <w:sz w:val="20"/>
                <w:szCs w:val="20"/>
                <w:color w:val="auto"/>
              </w:rPr>
            </w:pPr>
            <w:r>
              <w:rPr>
                <w:rFonts w:ascii="Arial" w:cs="Arial" w:eastAsia="Arial" w:hAnsi="Arial"/>
                <w:sz w:val="15"/>
                <w:szCs w:val="15"/>
                <w:color w:val="auto"/>
              </w:rPr>
              <w:t>Priscilla Almodovar</w:t>
            </w:r>
          </w:p>
        </w:tc>
      </w:tr>
      <w:tr>
        <w:trPr>
          <w:trHeight w:val="196"/>
        </w:trPr>
        <w:tc>
          <w:tcPr>
            <w:tcW w:w="682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Arial" w:cs="Arial" w:eastAsia="Arial" w:hAnsi="Arial"/>
                <w:sz w:val="15"/>
                <w:szCs w:val="15"/>
                <w:color w:val="auto"/>
              </w:rPr>
              <w:t>Chief Executive Officer</w:t>
            </w:r>
          </w:p>
        </w:tc>
      </w:tr>
      <w:tr>
        <w:trPr>
          <w:trHeight w:val="350"/>
        </w:trPr>
        <w:tc>
          <w:tcPr>
            <w:tcW w:w="6820" w:type="dxa"/>
            <w:vAlign w:val="bottom"/>
          </w:tcPr>
          <w:p>
            <w:pPr>
              <w:spacing w:after="0"/>
              <w:rPr>
                <w:sz w:val="20"/>
                <w:szCs w:val="20"/>
                <w:color w:val="auto"/>
              </w:rPr>
            </w:pPr>
            <w:r>
              <w:rPr>
                <w:rFonts w:ascii="Arial" w:cs="Arial" w:eastAsia="Arial" w:hAnsi="Arial"/>
                <w:sz w:val="16"/>
                <w:szCs w:val="16"/>
                <w:color w:val="auto"/>
              </w:rPr>
              <w:t>Date: August 1, 2023</w:t>
            </w:r>
          </w:p>
        </w:tc>
        <w:tc>
          <w:tcPr>
            <w:tcW w:w="4420" w:type="dxa"/>
            <w:vAlign w:val="bottom"/>
          </w:tcPr>
          <w:p>
            <w:pPr>
              <w:spacing w:after="0"/>
              <w:rPr>
                <w:sz w:val="24"/>
                <w:szCs w:val="24"/>
                <w:color w:val="auto"/>
              </w:rPr>
            </w:pPr>
          </w:p>
        </w:tc>
      </w:tr>
      <w:tr>
        <w:trPr>
          <w:trHeight w:val="313"/>
        </w:trPr>
        <w:tc>
          <w:tcPr>
            <w:tcW w:w="6820" w:type="dxa"/>
            <w:vAlign w:val="bottom"/>
          </w:tcPr>
          <w:p>
            <w:pPr>
              <w:ind w:left="6260"/>
              <w:spacing w:after="0"/>
              <w:rPr>
                <w:sz w:val="20"/>
                <w:szCs w:val="20"/>
                <w:color w:val="auto"/>
              </w:rPr>
            </w:pPr>
            <w:r>
              <w:rPr>
                <w:rFonts w:ascii="Arial" w:cs="Arial" w:eastAsia="Arial" w:hAnsi="Arial"/>
                <w:sz w:val="15"/>
                <w:szCs w:val="15"/>
                <w:color w:val="auto"/>
              </w:rPr>
              <w:t>By:</w:t>
            </w:r>
          </w:p>
        </w:tc>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 Chryssa C. Halley</w:t>
            </w:r>
          </w:p>
        </w:tc>
      </w:tr>
      <w:tr>
        <w:trPr>
          <w:trHeight w:val="152"/>
        </w:trPr>
        <w:tc>
          <w:tcPr>
            <w:tcW w:w="6820" w:type="dxa"/>
            <w:vAlign w:val="bottom"/>
          </w:tcPr>
          <w:p>
            <w:pPr>
              <w:spacing w:after="0"/>
              <w:rPr>
                <w:sz w:val="13"/>
                <w:szCs w:val="13"/>
                <w:color w:val="auto"/>
              </w:rPr>
            </w:pPr>
          </w:p>
        </w:tc>
        <w:tc>
          <w:tcPr>
            <w:tcW w:w="4420" w:type="dxa"/>
            <w:vAlign w:val="bottom"/>
          </w:tcPr>
          <w:p>
            <w:pPr>
              <w:spacing w:after="0" w:line="152" w:lineRule="exact"/>
              <w:rPr>
                <w:sz w:val="20"/>
                <w:szCs w:val="20"/>
                <w:color w:val="auto"/>
              </w:rPr>
            </w:pPr>
            <w:r>
              <w:rPr>
                <w:rFonts w:ascii="Arial" w:cs="Arial" w:eastAsia="Arial" w:hAnsi="Arial"/>
                <w:sz w:val="15"/>
                <w:szCs w:val="15"/>
                <w:color w:val="auto"/>
              </w:rPr>
              <w:t>Chryssa C. Halley</w:t>
            </w:r>
          </w:p>
        </w:tc>
      </w:tr>
      <w:tr>
        <w:trPr>
          <w:trHeight w:val="155"/>
        </w:trPr>
        <w:tc>
          <w:tcPr>
            <w:tcW w:w="6820" w:type="dxa"/>
            <w:vAlign w:val="bottom"/>
          </w:tcPr>
          <w:p>
            <w:pPr>
              <w:spacing w:after="0"/>
              <w:rPr>
                <w:sz w:val="13"/>
                <w:szCs w:val="13"/>
                <w:color w:val="auto"/>
              </w:rPr>
            </w:pPr>
          </w:p>
        </w:tc>
        <w:tc>
          <w:tcPr>
            <w:tcW w:w="4420" w:type="dxa"/>
            <w:vAlign w:val="bottom"/>
          </w:tcPr>
          <w:p>
            <w:pPr>
              <w:spacing w:after="0" w:line="155" w:lineRule="exact"/>
              <w:rPr>
                <w:sz w:val="20"/>
                <w:szCs w:val="20"/>
                <w:color w:val="auto"/>
              </w:rPr>
            </w:pPr>
            <w:r>
              <w:rPr>
                <w:rFonts w:ascii="Arial" w:cs="Arial" w:eastAsia="Arial" w:hAnsi="Arial"/>
                <w:sz w:val="15"/>
                <w:szCs w:val="15"/>
                <w:color w:val="auto"/>
              </w:rPr>
              <w:t>Executive Vice President and</w:t>
            </w:r>
          </w:p>
        </w:tc>
      </w:tr>
      <w:tr>
        <w:trPr>
          <w:trHeight w:val="196"/>
        </w:trPr>
        <w:tc>
          <w:tcPr>
            <w:tcW w:w="682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Arial" w:cs="Arial" w:eastAsia="Arial" w:hAnsi="Arial"/>
                <w:sz w:val="15"/>
                <w:szCs w:val="15"/>
                <w:color w:val="auto"/>
              </w:rPr>
              <w:t>Chief Financial Officer</w:t>
            </w:r>
          </w:p>
        </w:tc>
      </w:tr>
      <w:tr>
        <w:trPr>
          <w:trHeight w:val="363"/>
        </w:trPr>
        <w:tc>
          <w:tcPr>
            <w:tcW w:w="6820" w:type="dxa"/>
            <w:vAlign w:val="bottom"/>
          </w:tcPr>
          <w:p>
            <w:pPr>
              <w:spacing w:after="0"/>
              <w:rPr>
                <w:sz w:val="20"/>
                <w:szCs w:val="20"/>
                <w:color w:val="auto"/>
              </w:rPr>
            </w:pPr>
            <w:r>
              <w:rPr>
                <w:rFonts w:ascii="Arial" w:cs="Arial" w:eastAsia="Arial" w:hAnsi="Arial"/>
                <w:sz w:val="16"/>
                <w:szCs w:val="16"/>
                <w:color w:val="auto"/>
              </w:rPr>
              <w:t>Date: August 1, 2023</w:t>
            </w:r>
          </w:p>
        </w:tc>
        <w:tc>
          <w:tcPr>
            <w:tcW w:w="4420" w:type="dxa"/>
            <w:vAlign w:val="bottom"/>
          </w:tcPr>
          <w:p>
            <w:pPr>
              <w:spacing w:after="0"/>
              <w:rPr>
                <w:sz w:val="24"/>
                <w:szCs w:val="24"/>
                <w:color w:val="auto"/>
              </w:rPr>
            </w:pPr>
          </w:p>
        </w:tc>
      </w:tr>
      <w:tr>
        <w:trPr>
          <w:trHeight w:val="622"/>
        </w:trPr>
        <w:tc>
          <w:tcPr>
            <w:tcW w:w="6820" w:type="dxa"/>
            <w:vAlign w:val="bottom"/>
            <w:tcBorders>
              <w:bottom w:val="single" w:sz="8" w:color="CBC8C3"/>
            </w:tcBorders>
          </w:tcPr>
          <w:p>
            <w:pPr>
              <w:spacing w:after="0"/>
              <w:rPr>
                <w:sz w:val="24"/>
                <w:szCs w:val="24"/>
                <w:color w:val="auto"/>
              </w:rPr>
            </w:pPr>
          </w:p>
        </w:tc>
        <w:tc>
          <w:tcPr>
            <w:tcW w:w="4420" w:type="dxa"/>
            <w:vAlign w:val="bottom"/>
            <w:tcBorders>
              <w:bottom w:val="single" w:sz="8" w:color="CBC8C3"/>
            </w:tcBorders>
          </w:tcPr>
          <w:p>
            <w:pPr>
              <w:spacing w:after="0"/>
              <w:rPr>
                <w:sz w:val="24"/>
                <w:szCs w:val="24"/>
                <w:color w:val="auto"/>
              </w:rPr>
            </w:pPr>
          </w:p>
        </w:tc>
      </w:tr>
      <w:tr>
        <w:trPr>
          <w:trHeight w:val="188"/>
        </w:trPr>
        <w:tc>
          <w:tcPr>
            <w:tcW w:w="6820" w:type="dxa"/>
            <w:vAlign w:val="bottom"/>
          </w:tcPr>
          <w:p>
            <w:pPr>
              <w:ind w:left="20"/>
              <w:spacing w:after="0"/>
              <w:rPr>
                <w:sz w:val="20"/>
                <w:szCs w:val="20"/>
                <w:color w:val="auto"/>
              </w:rPr>
            </w:pPr>
            <w:r>
              <w:rPr>
                <w:rFonts w:ascii="Arial" w:cs="Arial" w:eastAsia="Arial" w:hAnsi="Arial"/>
                <w:sz w:val="14"/>
                <w:szCs w:val="14"/>
                <w:color w:val="05314D"/>
              </w:rPr>
              <w:t>Fannie Mae Second Quarter 2023 Form 10-Q</w:t>
            </w:r>
          </w:p>
        </w:tc>
        <w:tc>
          <w:tcPr>
            <w:tcW w:w="4420" w:type="dxa"/>
            <w:vAlign w:val="bottom"/>
          </w:tcPr>
          <w:p>
            <w:pPr>
              <w:ind w:left="4180"/>
              <w:spacing w:after="0"/>
              <w:rPr>
                <w:sz w:val="20"/>
                <w:szCs w:val="20"/>
                <w:color w:val="auto"/>
              </w:rPr>
            </w:pPr>
            <w:r>
              <w:rPr>
                <w:rFonts w:ascii="Arial" w:cs="Arial" w:eastAsia="Arial" w:hAnsi="Arial"/>
                <w:sz w:val="14"/>
                <w:szCs w:val="14"/>
                <w:color w:val="05314D"/>
                <w:w w:val="94"/>
              </w:rPr>
              <w:t>123</w:t>
            </w:r>
          </w:p>
        </w:tc>
      </w:tr>
      <w:tr>
        <w:trPr>
          <w:trHeight w:val="211"/>
        </w:trPr>
        <w:tc>
          <w:tcPr>
            <w:tcW w:w="6820" w:type="dxa"/>
            <w:vAlign w:val="bottom"/>
            <w:tcBorders>
              <w:bottom w:val="single" w:sz="8" w:color="9A9A9A"/>
            </w:tcBorders>
          </w:tcPr>
          <w:p>
            <w:pPr>
              <w:spacing w:after="0"/>
              <w:rPr>
                <w:sz w:val="18"/>
                <w:szCs w:val="18"/>
                <w:color w:val="auto"/>
              </w:rPr>
            </w:pPr>
          </w:p>
        </w:tc>
        <w:tc>
          <w:tcPr>
            <w:tcW w:w="44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26" w:name="page127"/>
    <w:bookmarkEnd w:id="1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2219325</wp:posOffset>
            </wp:positionH>
            <wp:positionV relativeFrom="page">
              <wp:posOffset>5000625</wp:posOffset>
            </wp:positionV>
            <wp:extent cx="3110865" cy="91694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8">
                      <a:clrChange>
                        <a:clrFrom>
                          <a:srgbClr val="FFFFFF"/>
                        </a:clrFrom>
                        <a:clrTo>
                          <a:srgbClr val="FFFFFF">
                            <a:alpha val="0"/>
                          </a:srgbClr>
                        </a:clrTo>
                      </a:clrChange>
                      <a:extLst>
                        <a:ext uri="{28A0092B-C50C-407E-A947-70E740481C1C}"/>
                      </a:extLst>
                    </a:blip>
                    <a:srcRect/>
                    <a:stretch>
                      <a:fillRect/>
                    </a:stretch>
                  </pic:blipFill>
                  <pic:spPr bwMode="auto">
                    <a:xfrm>
                      <a:off x="0" y="0"/>
                      <a:ext cx="3110865" cy="916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right"/>
        <w:spacing w:after="0"/>
        <w:rPr>
          <w:sz w:val="20"/>
          <w:szCs w:val="20"/>
          <w:color w:val="auto"/>
        </w:rPr>
      </w:pPr>
      <w:r>
        <w:rPr>
          <w:rFonts w:ascii="Arial" w:cs="Arial" w:eastAsia="Arial" w:hAnsi="Arial"/>
          <w:sz w:val="21"/>
          <w:szCs w:val="21"/>
          <w:b w:val="1"/>
          <w:bCs w:val="1"/>
          <w:color w:val="auto"/>
        </w:rPr>
        <w:t>Exhibit 31.1</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w:t>
      </w:r>
    </w:p>
    <w:p>
      <w:pPr>
        <w:spacing w:after="0" w:line="236" w:lineRule="exact"/>
        <w:rPr>
          <w:sz w:val="20"/>
          <w:szCs w:val="20"/>
          <w:color w:val="auto"/>
        </w:rPr>
      </w:pPr>
    </w:p>
    <w:p>
      <w:pPr>
        <w:ind w:left="2640"/>
        <w:spacing w:after="0"/>
        <w:rPr>
          <w:sz w:val="20"/>
          <w:szCs w:val="20"/>
          <w:color w:val="auto"/>
        </w:rPr>
      </w:pPr>
      <w:r>
        <w:rPr>
          <w:rFonts w:ascii="Arial" w:cs="Arial" w:eastAsia="Arial" w:hAnsi="Arial"/>
          <w:sz w:val="21"/>
          <w:szCs w:val="21"/>
          <w:b w:val="1"/>
          <w:bCs w:val="1"/>
          <w:color w:val="auto"/>
        </w:rPr>
        <w:t>PURSUANT TO SECURITIES EXCHANGE ACT RULE 13a-14(a)</w:t>
      </w:r>
    </w:p>
    <w:p>
      <w:pPr>
        <w:spacing w:after="0" w:line="254" w:lineRule="exact"/>
        <w:rPr>
          <w:sz w:val="20"/>
          <w:szCs w:val="20"/>
          <w:color w:val="auto"/>
        </w:rPr>
      </w:pPr>
    </w:p>
    <w:p>
      <w:pPr>
        <w:spacing w:after="0"/>
        <w:rPr>
          <w:sz w:val="20"/>
          <w:szCs w:val="20"/>
          <w:color w:val="auto"/>
        </w:rPr>
      </w:pPr>
      <w:r>
        <w:rPr>
          <w:rFonts w:ascii="Arial" w:cs="Arial" w:eastAsia="Arial" w:hAnsi="Arial"/>
          <w:sz w:val="21"/>
          <w:szCs w:val="21"/>
          <w:color w:val="auto"/>
        </w:rPr>
        <w:t>I, Priscilla Almodovar, certify that:</w:t>
      </w:r>
    </w:p>
    <w:p>
      <w:pPr>
        <w:spacing w:after="0" w:line="55" w:lineRule="exact"/>
        <w:rPr>
          <w:sz w:val="20"/>
          <w:szCs w:val="20"/>
          <w:color w:val="auto"/>
        </w:rPr>
      </w:pPr>
    </w:p>
    <w:p>
      <w:pPr>
        <w:ind w:left="240" w:right="400" w:hanging="198"/>
        <w:spacing w:after="0" w:line="265" w:lineRule="auto"/>
        <w:tabs>
          <w:tab w:leader="none" w:pos="408" w:val="left"/>
        </w:tabs>
        <w:numPr>
          <w:ilvl w:val="0"/>
          <w:numId w:val="137"/>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for the quarter ended June 30, 2023 of Fannie Mae (formally, the Federal National Mortgage Association);</w:t>
      </w:r>
    </w:p>
    <w:p>
      <w:pPr>
        <w:spacing w:after="0" w:line="8" w:lineRule="exact"/>
        <w:rPr>
          <w:rFonts w:ascii="Arial" w:cs="Arial" w:eastAsia="Arial" w:hAnsi="Arial"/>
          <w:sz w:val="21"/>
          <w:szCs w:val="21"/>
          <w:color w:val="auto"/>
        </w:rPr>
      </w:pPr>
    </w:p>
    <w:p>
      <w:pPr>
        <w:ind w:left="240" w:right="200" w:hanging="198"/>
        <w:spacing w:after="0" w:line="260" w:lineRule="auto"/>
        <w:tabs>
          <w:tab w:leader="none" w:pos="408" w:val="left"/>
        </w:tabs>
        <w:numPr>
          <w:ilvl w:val="0"/>
          <w:numId w:val="137"/>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 w:lineRule="exact"/>
        <w:rPr>
          <w:rFonts w:ascii="Arial" w:cs="Arial" w:eastAsia="Arial" w:hAnsi="Arial"/>
          <w:sz w:val="21"/>
          <w:szCs w:val="21"/>
          <w:color w:val="auto"/>
        </w:rPr>
      </w:pPr>
    </w:p>
    <w:p>
      <w:pPr>
        <w:ind w:left="240" w:right="100" w:hanging="198"/>
        <w:spacing w:after="0" w:line="254" w:lineRule="auto"/>
        <w:tabs>
          <w:tab w:leader="none" w:pos="408" w:val="left"/>
        </w:tabs>
        <w:numPr>
          <w:ilvl w:val="0"/>
          <w:numId w:val="137"/>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 w:lineRule="exact"/>
        <w:rPr>
          <w:rFonts w:ascii="Arial" w:cs="Arial" w:eastAsia="Arial" w:hAnsi="Arial"/>
          <w:sz w:val="21"/>
          <w:szCs w:val="21"/>
          <w:color w:val="auto"/>
        </w:rPr>
      </w:pPr>
    </w:p>
    <w:p>
      <w:pPr>
        <w:ind w:left="240" w:right="20" w:hanging="198"/>
        <w:spacing w:after="0" w:line="260" w:lineRule="auto"/>
        <w:tabs>
          <w:tab w:leader="none" w:pos="408" w:val="left"/>
        </w:tabs>
        <w:numPr>
          <w:ilvl w:val="0"/>
          <w:numId w:val="137"/>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 w:lineRule="exact"/>
        <w:rPr>
          <w:rFonts w:ascii="Arial" w:cs="Arial" w:eastAsia="Arial" w:hAnsi="Arial"/>
          <w:sz w:val="21"/>
          <w:szCs w:val="21"/>
          <w:color w:val="auto"/>
        </w:rPr>
      </w:pPr>
    </w:p>
    <w:p>
      <w:pPr>
        <w:jc w:val="both"/>
        <w:ind w:left="500" w:right="140" w:hanging="187"/>
        <w:spacing w:after="0" w:line="287" w:lineRule="auto"/>
        <w:tabs>
          <w:tab w:leader="none" w:pos="656" w:val="left"/>
        </w:tabs>
        <w:numPr>
          <w:ilvl w:val="1"/>
          <w:numId w:val="137"/>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9"/>
          <w:szCs w:val="19"/>
          <w:color w:val="auto"/>
        </w:rPr>
      </w:pPr>
    </w:p>
    <w:p>
      <w:pPr>
        <w:ind w:left="500" w:right="160" w:hanging="187"/>
        <w:spacing w:after="0" w:line="278" w:lineRule="auto"/>
        <w:tabs>
          <w:tab w:leader="none" w:pos="668" w:val="left"/>
        </w:tabs>
        <w:numPr>
          <w:ilvl w:val="1"/>
          <w:numId w:val="137"/>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500" w:right="80" w:hanging="187"/>
        <w:spacing w:after="0" w:line="254" w:lineRule="auto"/>
        <w:tabs>
          <w:tab w:leader="none" w:pos="656" w:val="left"/>
        </w:tabs>
        <w:numPr>
          <w:ilvl w:val="1"/>
          <w:numId w:val="137"/>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2" w:lineRule="exact"/>
        <w:rPr>
          <w:rFonts w:ascii="Arial" w:cs="Arial" w:eastAsia="Arial" w:hAnsi="Arial"/>
          <w:sz w:val="21"/>
          <w:szCs w:val="21"/>
          <w:color w:val="auto"/>
        </w:rPr>
      </w:pPr>
    </w:p>
    <w:p>
      <w:pPr>
        <w:ind w:left="500" w:right="460" w:hanging="187"/>
        <w:spacing w:after="0" w:line="287" w:lineRule="auto"/>
        <w:tabs>
          <w:tab w:leader="none" w:pos="668" w:val="left"/>
        </w:tabs>
        <w:numPr>
          <w:ilvl w:val="1"/>
          <w:numId w:val="137"/>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19"/>
          <w:szCs w:val="19"/>
          <w:color w:val="auto"/>
        </w:rPr>
      </w:pPr>
    </w:p>
    <w:p>
      <w:pPr>
        <w:ind w:left="240" w:right="220" w:hanging="198"/>
        <w:spacing w:after="0" w:line="254" w:lineRule="auto"/>
        <w:tabs>
          <w:tab w:leader="none" w:pos="408" w:val="left"/>
        </w:tabs>
        <w:numPr>
          <w:ilvl w:val="0"/>
          <w:numId w:val="137"/>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2" w:lineRule="exact"/>
        <w:rPr>
          <w:rFonts w:ascii="Arial" w:cs="Arial" w:eastAsia="Arial" w:hAnsi="Arial"/>
          <w:sz w:val="21"/>
          <w:szCs w:val="21"/>
          <w:color w:val="auto"/>
        </w:rPr>
      </w:pPr>
    </w:p>
    <w:p>
      <w:pPr>
        <w:ind w:left="500" w:hanging="187"/>
        <w:spacing w:after="0" w:line="254" w:lineRule="auto"/>
        <w:tabs>
          <w:tab w:leader="none" w:pos="656" w:val="left"/>
        </w:tabs>
        <w:numPr>
          <w:ilvl w:val="1"/>
          <w:numId w:val="137"/>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 w:lineRule="exact"/>
        <w:rPr>
          <w:rFonts w:ascii="Arial" w:cs="Arial" w:eastAsia="Arial" w:hAnsi="Arial"/>
          <w:sz w:val="21"/>
          <w:szCs w:val="21"/>
          <w:color w:val="auto"/>
        </w:rPr>
      </w:pPr>
    </w:p>
    <w:p>
      <w:pPr>
        <w:ind w:left="500" w:right="20" w:hanging="187"/>
        <w:spacing w:after="0" w:line="262" w:lineRule="auto"/>
        <w:tabs>
          <w:tab w:leader="none" w:pos="668" w:val="left"/>
        </w:tabs>
        <w:numPr>
          <w:ilvl w:val="1"/>
          <w:numId w:val="137"/>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6020"/>
        <w:spacing w:after="0"/>
        <w:rPr>
          <w:sz w:val="20"/>
          <w:szCs w:val="20"/>
          <w:color w:val="auto"/>
        </w:rPr>
      </w:pPr>
      <w:r>
        <w:rPr>
          <w:rFonts w:ascii="Arial" w:cs="Arial" w:eastAsia="Arial" w:hAnsi="Arial"/>
          <w:sz w:val="21"/>
          <w:szCs w:val="21"/>
          <w:color w:val="auto"/>
        </w:rPr>
        <w:t>/s/ Priscilla Almodovar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3710305</wp:posOffset>
            </wp:positionH>
            <wp:positionV relativeFrom="paragraph">
              <wp:posOffset>15875</wp:posOffset>
            </wp:positionV>
            <wp:extent cx="338074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9">
                      <a:extLst>
                        <a:ext uri="{28A0092B-C50C-407E-A947-70E740481C1C}"/>
                      </a:extLst>
                    </a:blip>
                    <a:srcRect/>
                    <a:stretch>
                      <a:fillRect/>
                    </a:stretch>
                  </pic:blipFill>
                  <pic:spPr bwMode="auto">
                    <a:xfrm>
                      <a:off x="0" y="0"/>
                      <a:ext cx="3380740" cy="8255"/>
                    </a:xfrm>
                    <a:prstGeom prst="rect">
                      <a:avLst/>
                    </a:prstGeom>
                    <a:noFill/>
                  </pic:spPr>
                </pic:pic>
              </a:graphicData>
            </a:graphic>
          </wp:anchor>
        </w:drawing>
      </w:r>
    </w:p>
    <w:p>
      <w:pPr>
        <w:ind w:left="5860"/>
        <w:spacing w:after="0"/>
        <w:rPr>
          <w:sz w:val="20"/>
          <w:szCs w:val="20"/>
          <w:color w:val="auto"/>
        </w:rPr>
      </w:pPr>
      <w:r>
        <w:rPr>
          <w:rFonts w:ascii="Arial" w:cs="Arial" w:eastAsia="Arial" w:hAnsi="Arial"/>
          <w:sz w:val="21"/>
          <w:szCs w:val="21"/>
          <w:color w:val="auto"/>
        </w:rPr>
        <w:t>Priscilla Almodovar</w:t>
      </w:r>
    </w:p>
    <w:p>
      <w:pPr>
        <w:ind w:left="5860"/>
        <w:spacing w:after="0"/>
        <w:rPr>
          <w:sz w:val="20"/>
          <w:szCs w:val="20"/>
          <w:color w:val="auto"/>
        </w:rPr>
      </w:pPr>
      <w:r>
        <w:rPr>
          <w:rFonts w:ascii="Arial" w:cs="Arial" w:eastAsia="Arial" w:hAnsi="Arial"/>
          <w:sz w:val="21"/>
          <w:szCs w:val="21"/>
          <w:color w:val="auto"/>
        </w:rPr>
        <w:t>Chief Executive Officer</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Date: August 1, 2023</w:t>
      </w:r>
    </w:p>
    <w:p>
      <w:pPr>
        <w:sectPr>
          <w:pgSz w:w="11900" w:h="16838" w:orient="portrait"/>
          <w:cols w:equalWidth="0" w:num="1">
            <w:col w:w="11240"/>
          </w:cols>
          <w:pgMar w:left="320" w:top="860"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21"/>
          <w:szCs w:val="21"/>
          <w:b w:val="1"/>
          <w:bCs w:val="1"/>
          <w:color w:val="auto"/>
        </w:rPr>
        <w:t>Exhibit 31.2</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w:t>
      </w:r>
    </w:p>
    <w:p>
      <w:pPr>
        <w:spacing w:after="0" w:line="236" w:lineRule="exact"/>
        <w:rPr>
          <w:sz w:val="20"/>
          <w:szCs w:val="20"/>
          <w:color w:val="auto"/>
        </w:rPr>
      </w:pPr>
    </w:p>
    <w:p>
      <w:pPr>
        <w:ind w:left="2640"/>
        <w:spacing w:after="0"/>
        <w:rPr>
          <w:sz w:val="20"/>
          <w:szCs w:val="20"/>
          <w:color w:val="auto"/>
        </w:rPr>
      </w:pPr>
      <w:r>
        <w:rPr>
          <w:rFonts w:ascii="Arial" w:cs="Arial" w:eastAsia="Arial" w:hAnsi="Arial"/>
          <w:sz w:val="21"/>
          <w:szCs w:val="21"/>
          <w:b w:val="1"/>
          <w:bCs w:val="1"/>
          <w:color w:val="auto"/>
        </w:rPr>
        <w:t>PURSUANT TO SECURITIES EXCHANGE ACT RULE 13a-14(a)</w:t>
      </w:r>
    </w:p>
    <w:p>
      <w:pPr>
        <w:spacing w:after="0" w:line="74" w:lineRule="exact"/>
        <w:rPr>
          <w:sz w:val="20"/>
          <w:szCs w:val="20"/>
          <w:color w:val="auto"/>
        </w:rPr>
      </w:pPr>
    </w:p>
    <w:p>
      <w:pPr>
        <w:spacing w:after="0"/>
        <w:rPr>
          <w:sz w:val="20"/>
          <w:szCs w:val="20"/>
          <w:color w:val="auto"/>
        </w:rPr>
      </w:pPr>
      <w:r>
        <w:rPr>
          <w:rFonts w:ascii="Arial" w:cs="Arial" w:eastAsia="Arial" w:hAnsi="Arial"/>
          <w:sz w:val="21"/>
          <w:szCs w:val="21"/>
          <w:color w:val="auto"/>
        </w:rPr>
        <w:t>I, Chryssa C. Halley, certify that:</w:t>
      </w:r>
    </w:p>
    <w:p>
      <w:pPr>
        <w:spacing w:after="0" w:line="55" w:lineRule="exact"/>
        <w:rPr>
          <w:sz w:val="20"/>
          <w:szCs w:val="20"/>
          <w:color w:val="auto"/>
        </w:rPr>
      </w:pPr>
    </w:p>
    <w:p>
      <w:pPr>
        <w:ind w:left="240" w:right="400" w:hanging="198"/>
        <w:spacing w:after="0" w:line="265" w:lineRule="auto"/>
        <w:tabs>
          <w:tab w:leader="none" w:pos="408" w:val="left"/>
        </w:tabs>
        <w:numPr>
          <w:ilvl w:val="0"/>
          <w:numId w:val="138"/>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for the quarter ended June 30, 2023 of Fannie Mae (formally, the Federal National Mortgage Association);</w:t>
      </w:r>
    </w:p>
    <w:p>
      <w:pPr>
        <w:spacing w:after="0" w:line="8" w:lineRule="exact"/>
        <w:rPr>
          <w:rFonts w:ascii="Arial" w:cs="Arial" w:eastAsia="Arial" w:hAnsi="Arial"/>
          <w:sz w:val="21"/>
          <w:szCs w:val="21"/>
          <w:color w:val="auto"/>
        </w:rPr>
      </w:pPr>
    </w:p>
    <w:p>
      <w:pPr>
        <w:ind w:left="240" w:right="200" w:hanging="198"/>
        <w:spacing w:after="0" w:line="260" w:lineRule="auto"/>
        <w:tabs>
          <w:tab w:leader="none" w:pos="408" w:val="left"/>
        </w:tabs>
        <w:numPr>
          <w:ilvl w:val="0"/>
          <w:numId w:val="138"/>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 w:lineRule="exact"/>
        <w:rPr>
          <w:rFonts w:ascii="Arial" w:cs="Arial" w:eastAsia="Arial" w:hAnsi="Arial"/>
          <w:sz w:val="21"/>
          <w:szCs w:val="21"/>
          <w:color w:val="auto"/>
        </w:rPr>
      </w:pPr>
    </w:p>
    <w:p>
      <w:pPr>
        <w:ind w:left="240" w:right="100" w:hanging="198"/>
        <w:spacing w:after="0" w:line="254" w:lineRule="auto"/>
        <w:tabs>
          <w:tab w:leader="none" w:pos="408" w:val="left"/>
        </w:tabs>
        <w:numPr>
          <w:ilvl w:val="0"/>
          <w:numId w:val="138"/>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 w:lineRule="exact"/>
        <w:rPr>
          <w:rFonts w:ascii="Arial" w:cs="Arial" w:eastAsia="Arial" w:hAnsi="Arial"/>
          <w:sz w:val="21"/>
          <w:szCs w:val="21"/>
          <w:color w:val="auto"/>
        </w:rPr>
      </w:pPr>
    </w:p>
    <w:p>
      <w:pPr>
        <w:ind w:left="240" w:right="20" w:hanging="198"/>
        <w:spacing w:after="0" w:line="260" w:lineRule="auto"/>
        <w:tabs>
          <w:tab w:leader="none" w:pos="408" w:val="left"/>
        </w:tabs>
        <w:numPr>
          <w:ilvl w:val="0"/>
          <w:numId w:val="138"/>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 w:lineRule="exact"/>
        <w:rPr>
          <w:rFonts w:ascii="Arial" w:cs="Arial" w:eastAsia="Arial" w:hAnsi="Arial"/>
          <w:sz w:val="21"/>
          <w:szCs w:val="21"/>
          <w:color w:val="auto"/>
        </w:rPr>
      </w:pPr>
    </w:p>
    <w:p>
      <w:pPr>
        <w:jc w:val="both"/>
        <w:ind w:left="500" w:right="140" w:hanging="187"/>
        <w:spacing w:after="0" w:line="287" w:lineRule="auto"/>
        <w:tabs>
          <w:tab w:leader="none" w:pos="656" w:val="left"/>
        </w:tabs>
        <w:numPr>
          <w:ilvl w:val="1"/>
          <w:numId w:val="138"/>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9"/>
          <w:szCs w:val="19"/>
          <w:color w:val="auto"/>
        </w:rPr>
      </w:pPr>
    </w:p>
    <w:p>
      <w:pPr>
        <w:ind w:left="500" w:right="160" w:hanging="187"/>
        <w:spacing w:after="0" w:line="278" w:lineRule="auto"/>
        <w:tabs>
          <w:tab w:leader="none" w:pos="668" w:val="left"/>
        </w:tabs>
        <w:numPr>
          <w:ilvl w:val="1"/>
          <w:numId w:val="138"/>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500" w:right="80" w:hanging="187"/>
        <w:spacing w:after="0" w:line="254" w:lineRule="auto"/>
        <w:tabs>
          <w:tab w:leader="none" w:pos="656" w:val="left"/>
        </w:tabs>
        <w:numPr>
          <w:ilvl w:val="1"/>
          <w:numId w:val="138"/>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2" w:lineRule="exact"/>
        <w:rPr>
          <w:rFonts w:ascii="Arial" w:cs="Arial" w:eastAsia="Arial" w:hAnsi="Arial"/>
          <w:sz w:val="21"/>
          <w:szCs w:val="21"/>
          <w:color w:val="auto"/>
        </w:rPr>
      </w:pPr>
    </w:p>
    <w:p>
      <w:pPr>
        <w:ind w:left="500" w:right="460" w:hanging="187"/>
        <w:spacing w:after="0" w:line="287" w:lineRule="auto"/>
        <w:tabs>
          <w:tab w:leader="none" w:pos="668" w:val="left"/>
        </w:tabs>
        <w:numPr>
          <w:ilvl w:val="1"/>
          <w:numId w:val="138"/>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19"/>
          <w:szCs w:val="19"/>
          <w:color w:val="auto"/>
        </w:rPr>
      </w:pPr>
    </w:p>
    <w:p>
      <w:pPr>
        <w:ind w:left="240" w:right="220" w:hanging="198"/>
        <w:spacing w:after="0" w:line="254" w:lineRule="auto"/>
        <w:tabs>
          <w:tab w:leader="none" w:pos="408" w:val="left"/>
        </w:tabs>
        <w:numPr>
          <w:ilvl w:val="0"/>
          <w:numId w:val="138"/>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2" w:lineRule="exact"/>
        <w:rPr>
          <w:rFonts w:ascii="Arial" w:cs="Arial" w:eastAsia="Arial" w:hAnsi="Arial"/>
          <w:sz w:val="21"/>
          <w:szCs w:val="21"/>
          <w:color w:val="auto"/>
        </w:rPr>
      </w:pPr>
    </w:p>
    <w:p>
      <w:pPr>
        <w:ind w:left="500" w:hanging="187"/>
        <w:spacing w:after="0" w:line="254" w:lineRule="auto"/>
        <w:tabs>
          <w:tab w:leader="none" w:pos="656" w:val="left"/>
        </w:tabs>
        <w:numPr>
          <w:ilvl w:val="1"/>
          <w:numId w:val="138"/>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 w:lineRule="exact"/>
        <w:rPr>
          <w:rFonts w:ascii="Arial" w:cs="Arial" w:eastAsia="Arial" w:hAnsi="Arial"/>
          <w:sz w:val="21"/>
          <w:szCs w:val="21"/>
          <w:color w:val="auto"/>
        </w:rPr>
      </w:pPr>
    </w:p>
    <w:p>
      <w:pPr>
        <w:ind w:left="500" w:right="20" w:hanging="187"/>
        <w:spacing w:after="0" w:line="262" w:lineRule="auto"/>
        <w:tabs>
          <w:tab w:leader="none" w:pos="668" w:val="left"/>
        </w:tabs>
        <w:numPr>
          <w:ilvl w:val="1"/>
          <w:numId w:val="138"/>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6260"/>
        <w:spacing w:after="0"/>
        <w:rPr>
          <w:sz w:val="20"/>
          <w:szCs w:val="20"/>
          <w:color w:val="auto"/>
        </w:rPr>
      </w:pPr>
      <w:r>
        <w:rPr>
          <w:rFonts w:ascii="Arial" w:cs="Arial" w:eastAsia="Arial" w:hAnsi="Arial"/>
          <w:sz w:val="21"/>
          <w:szCs w:val="21"/>
          <w:color w:val="auto"/>
        </w:rPr>
        <w:t>/s/ Chryssa C. Halley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15875</wp:posOffset>
            </wp:positionV>
            <wp:extent cx="266065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0">
                      <a:extLst>
                        <a:ext uri="{28A0092B-C50C-407E-A947-70E740481C1C}"/>
                      </a:extLst>
                    </a:blip>
                    <a:srcRect/>
                    <a:stretch>
                      <a:fillRect/>
                    </a:stretch>
                  </pic:blipFill>
                  <pic:spPr bwMode="auto">
                    <a:xfrm>
                      <a:off x="0" y="0"/>
                      <a:ext cx="2660650" cy="8255"/>
                    </a:xfrm>
                    <a:prstGeom prst="rect">
                      <a:avLst/>
                    </a:prstGeom>
                    <a:noFill/>
                  </pic:spPr>
                </pic:pic>
              </a:graphicData>
            </a:graphic>
          </wp:anchor>
        </w:drawing>
      </w:r>
    </w:p>
    <w:p>
      <w:pPr>
        <w:ind w:left="6120"/>
        <w:spacing w:after="0"/>
        <w:rPr>
          <w:sz w:val="20"/>
          <w:szCs w:val="20"/>
          <w:color w:val="auto"/>
        </w:rPr>
      </w:pPr>
      <w:r>
        <w:rPr>
          <w:rFonts w:ascii="Arial" w:cs="Arial" w:eastAsia="Arial" w:hAnsi="Arial"/>
          <w:sz w:val="21"/>
          <w:szCs w:val="21"/>
          <w:color w:val="auto"/>
        </w:rPr>
        <w:t>Chryssa C. Halley</w:t>
      </w:r>
    </w:p>
    <w:p>
      <w:pPr>
        <w:ind w:left="6120"/>
        <w:spacing w:after="0" w:line="205" w:lineRule="auto"/>
        <w:rPr>
          <w:sz w:val="20"/>
          <w:szCs w:val="20"/>
          <w:color w:val="auto"/>
        </w:rPr>
      </w:pPr>
      <w:r>
        <w:rPr>
          <w:rFonts w:ascii="Arial" w:cs="Arial" w:eastAsia="Arial" w:hAnsi="Arial"/>
          <w:sz w:val="21"/>
          <w:szCs w:val="21"/>
          <w:color w:val="auto"/>
        </w:rPr>
        <w:t>Executive Vice President and Chief Financial</w:t>
      </w:r>
    </w:p>
    <w:p>
      <w:pPr>
        <w:ind w:left="6120"/>
        <w:spacing w:after="0"/>
        <w:rPr>
          <w:sz w:val="20"/>
          <w:szCs w:val="20"/>
          <w:color w:val="auto"/>
        </w:rPr>
      </w:pPr>
      <w:r>
        <w:rPr>
          <w:rFonts w:ascii="Arial" w:cs="Arial" w:eastAsia="Arial" w:hAnsi="Arial"/>
          <w:sz w:val="21"/>
          <w:szCs w:val="21"/>
          <w:color w:val="auto"/>
        </w:rPr>
        <w:t>Officer</w:t>
      </w:r>
    </w:p>
    <w:p>
      <w:pPr>
        <w:spacing w:after="0" w:line="76" w:lineRule="exact"/>
        <w:rPr>
          <w:sz w:val="20"/>
          <w:szCs w:val="20"/>
          <w:color w:val="auto"/>
        </w:rPr>
      </w:pPr>
    </w:p>
    <w:p>
      <w:pPr>
        <w:spacing w:after="0"/>
        <w:rPr>
          <w:sz w:val="20"/>
          <w:szCs w:val="20"/>
          <w:color w:val="auto"/>
        </w:rPr>
      </w:pPr>
      <w:r>
        <w:rPr>
          <w:rFonts w:ascii="Arial" w:cs="Arial" w:eastAsia="Arial" w:hAnsi="Arial"/>
          <w:sz w:val="21"/>
          <w:szCs w:val="21"/>
          <w:color w:val="auto"/>
        </w:rPr>
        <w:t>Date: August 1, 2023</w:t>
      </w:r>
    </w:p>
    <w:p>
      <w:pPr>
        <w:sectPr>
          <w:pgSz w:w="11900" w:h="16838" w:orient="portrait"/>
          <w:cols w:equalWidth="0" w:num="1">
            <w:col w:w="11240"/>
          </w:cols>
          <w:pgMar w:left="320" w:top="860"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21"/>
          <w:szCs w:val="21"/>
          <w:b w:val="1"/>
          <w:bCs w:val="1"/>
          <w:color w:val="auto"/>
        </w:rPr>
        <w:t>Exhibit 32.1</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w:t>
      </w:r>
    </w:p>
    <w:p>
      <w:pPr>
        <w:spacing w:after="0" w:line="242" w:lineRule="exact"/>
        <w:rPr>
          <w:sz w:val="20"/>
          <w:szCs w:val="20"/>
          <w:color w:val="auto"/>
        </w:rPr>
      </w:pPr>
    </w:p>
    <w:p>
      <w:pPr>
        <w:ind w:right="300"/>
        <w:spacing w:after="0" w:line="301" w:lineRule="auto"/>
        <w:rPr>
          <w:sz w:val="20"/>
          <w:szCs w:val="20"/>
          <w:color w:val="auto"/>
        </w:rPr>
      </w:pPr>
      <w:r>
        <w:rPr>
          <w:rFonts w:ascii="Arial" w:cs="Arial" w:eastAsia="Arial" w:hAnsi="Arial"/>
          <w:sz w:val="19"/>
          <w:szCs w:val="19"/>
          <w:color w:val="auto"/>
        </w:rPr>
        <w:t>In connection with the Quarterly Report on Form 10-Q of Fannie Mae (formally, the Federal National Mortgage Association) for the quarter ended June 30, 2023, as filed with the Securities and Exchange Commission on the date hereof (the "Report"), I, Priscilla Almodovar, Chief Executive Officer of Fannie Mae, certify, pursuant to 18 U.S.C. Section 1350, that to my knowledge:</w:t>
      </w:r>
    </w:p>
    <w:p>
      <w:pPr>
        <w:spacing w:after="0" w:line="158" w:lineRule="exact"/>
        <w:rPr>
          <w:sz w:val="20"/>
          <w:szCs w:val="20"/>
          <w:color w:val="auto"/>
        </w:rPr>
      </w:pPr>
    </w:p>
    <w:p>
      <w:pPr>
        <w:ind w:left="240" w:right="660" w:hanging="198"/>
        <w:spacing w:after="0" w:line="265" w:lineRule="auto"/>
        <w:tabs>
          <w:tab w:leader="none" w:pos="408" w:val="left"/>
        </w:tabs>
        <w:numPr>
          <w:ilvl w:val="0"/>
          <w:numId w:val="139"/>
        </w:numPr>
        <w:rPr>
          <w:rFonts w:ascii="Arial" w:cs="Arial" w:eastAsia="Arial" w:hAnsi="Arial"/>
          <w:sz w:val="21"/>
          <w:szCs w:val="21"/>
          <w:color w:val="auto"/>
        </w:rPr>
      </w:pPr>
      <w:r>
        <w:rPr>
          <w:rFonts w:ascii="Arial" w:cs="Arial" w:eastAsia="Arial" w:hAnsi="Arial"/>
          <w:sz w:val="21"/>
          <w:szCs w:val="21"/>
          <w:color w:val="auto"/>
        </w:rPr>
        <w:t>The Report fully complies with the requirements of Section 13(a) or 15(d), as applicable, of the Securities Exchange Act of 1934; and</w:t>
      </w:r>
    </w:p>
    <w:p>
      <w:pPr>
        <w:spacing w:after="0" w:line="188" w:lineRule="exact"/>
        <w:rPr>
          <w:rFonts w:ascii="Arial" w:cs="Arial" w:eastAsia="Arial" w:hAnsi="Arial"/>
          <w:sz w:val="21"/>
          <w:szCs w:val="21"/>
          <w:color w:val="auto"/>
        </w:rPr>
      </w:pPr>
    </w:p>
    <w:p>
      <w:pPr>
        <w:ind w:left="240" w:right="60" w:hanging="198"/>
        <w:spacing w:after="0" w:line="262" w:lineRule="auto"/>
        <w:tabs>
          <w:tab w:leader="none" w:pos="408" w:val="left"/>
        </w:tabs>
        <w:numPr>
          <w:ilvl w:val="0"/>
          <w:numId w:val="139"/>
        </w:numPr>
        <w:rPr>
          <w:rFonts w:ascii="Arial" w:cs="Arial" w:eastAsia="Arial" w:hAnsi="Arial"/>
          <w:sz w:val="21"/>
          <w:szCs w:val="21"/>
          <w:color w:val="auto"/>
        </w:rPr>
      </w:pPr>
      <w:r>
        <w:rPr>
          <w:rFonts w:ascii="Arial" w:cs="Arial" w:eastAsia="Arial" w:hAnsi="Arial"/>
          <w:sz w:val="21"/>
          <w:szCs w:val="21"/>
          <w:color w:val="auto"/>
        </w:rPr>
        <w:t>The information contained in the Report fairly presents, in all material respects, the financial condition and results of operations of Fannie Mae.</w:t>
      </w:r>
    </w:p>
    <w:p>
      <w:pPr>
        <w:spacing w:after="0" w:line="1" w:lineRule="exact"/>
        <w:rPr>
          <w:sz w:val="20"/>
          <w:szCs w:val="20"/>
          <w:color w:val="auto"/>
        </w:rPr>
      </w:pPr>
    </w:p>
    <w:p>
      <w:pPr>
        <w:ind w:left="5920"/>
        <w:spacing w:after="0"/>
        <w:rPr>
          <w:sz w:val="20"/>
          <w:szCs w:val="20"/>
          <w:color w:val="auto"/>
        </w:rPr>
      </w:pPr>
      <w:r>
        <w:rPr>
          <w:rFonts w:ascii="Arial" w:cs="Arial" w:eastAsia="Arial" w:hAnsi="Arial"/>
          <w:sz w:val="21"/>
          <w:szCs w:val="21"/>
          <w:color w:val="auto"/>
        </w:rPr>
        <w:t>/s/ Priscilla Almodovar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3620135</wp:posOffset>
            </wp:positionH>
            <wp:positionV relativeFrom="paragraph">
              <wp:posOffset>15875</wp:posOffset>
            </wp:positionV>
            <wp:extent cx="352044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1">
                      <a:extLst>
                        <a:ext uri="{28A0092B-C50C-407E-A947-70E740481C1C}"/>
                      </a:extLst>
                    </a:blip>
                    <a:srcRect/>
                    <a:stretch>
                      <a:fillRect/>
                    </a:stretch>
                  </pic:blipFill>
                  <pic:spPr bwMode="auto">
                    <a:xfrm>
                      <a:off x="0" y="0"/>
                      <a:ext cx="3520440"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21"/>
          <w:szCs w:val="21"/>
          <w:color w:val="auto"/>
        </w:rPr>
        <w:t>Priscilla Almodovar</w:t>
      </w:r>
    </w:p>
    <w:p>
      <w:pPr>
        <w:ind w:left="5720"/>
        <w:spacing w:after="0"/>
        <w:rPr>
          <w:sz w:val="20"/>
          <w:szCs w:val="20"/>
          <w:color w:val="auto"/>
        </w:rPr>
      </w:pPr>
      <w:r>
        <w:rPr>
          <w:rFonts w:ascii="Arial" w:cs="Arial" w:eastAsia="Arial" w:hAnsi="Arial"/>
          <w:sz w:val="21"/>
          <w:szCs w:val="21"/>
          <w:color w:val="auto"/>
        </w:rPr>
        <w:t>Chief Executive Officer</w:t>
      </w:r>
    </w:p>
    <w:p>
      <w:pPr>
        <w:spacing w:after="0" w:line="308" w:lineRule="exact"/>
        <w:rPr>
          <w:sz w:val="20"/>
          <w:szCs w:val="20"/>
          <w:color w:val="auto"/>
        </w:rPr>
      </w:pPr>
    </w:p>
    <w:p>
      <w:pPr>
        <w:spacing w:after="0"/>
        <w:rPr>
          <w:sz w:val="20"/>
          <w:szCs w:val="20"/>
          <w:color w:val="auto"/>
        </w:rPr>
      </w:pPr>
      <w:r>
        <w:rPr>
          <w:rFonts w:ascii="Arial" w:cs="Arial" w:eastAsia="Arial" w:hAnsi="Arial"/>
          <w:sz w:val="21"/>
          <w:szCs w:val="21"/>
          <w:color w:val="auto"/>
        </w:rPr>
        <w:t>Date: August 1, 2023</w:t>
      </w:r>
    </w:p>
    <w:p>
      <w:pPr>
        <w:spacing w:after="0" w:line="248" w:lineRule="exact"/>
        <w:rPr>
          <w:sz w:val="20"/>
          <w:szCs w:val="20"/>
          <w:color w:val="auto"/>
        </w:rPr>
      </w:pPr>
    </w:p>
    <w:p>
      <w:pPr>
        <w:ind w:right="220"/>
        <w:spacing w:after="0" w:line="265" w:lineRule="auto"/>
        <w:rPr>
          <w:sz w:val="20"/>
          <w:szCs w:val="20"/>
          <w:color w:val="auto"/>
        </w:rPr>
      </w:pPr>
      <w:r>
        <w:rPr>
          <w:rFonts w:ascii="Arial" w:cs="Arial" w:eastAsia="Arial" w:hAnsi="Arial"/>
          <w:sz w:val="21"/>
          <w:szCs w:val="21"/>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860"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21"/>
          <w:szCs w:val="21"/>
          <w:b w:val="1"/>
          <w:bCs w:val="1"/>
          <w:color w:val="auto"/>
        </w:rPr>
        <w:t>Exhibit 32.2</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w:t>
      </w:r>
    </w:p>
    <w:p>
      <w:pPr>
        <w:spacing w:after="0" w:line="242" w:lineRule="exact"/>
        <w:rPr>
          <w:sz w:val="20"/>
          <w:szCs w:val="20"/>
          <w:color w:val="auto"/>
        </w:rPr>
      </w:pPr>
    </w:p>
    <w:p>
      <w:pPr>
        <w:jc w:val="both"/>
        <w:ind w:right="300"/>
        <w:spacing w:after="0" w:line="255" w:lineRule="auto"/>
        <w:rPr>
          <w:sz w:val="20"/>
          <w:szCs w:val="20"/>
          <w:color w:val="auto"/>
        </w:rPr>
      </w:pPr>
      <w:r>
        <w:rPr>
          <w:rFonts w:ascii="Arial" w:cs="Arial" w:eastAsia="Arial" w:hAnsi="Arial"/>
          <w:sz w:val="21"/>
          <w:szCs w:val="21"/>
          <w:color w:val="auto"/>
        </w:rPr>
        <w:t>In connection with the Quarterly Report on Form 10-Q of Fannie Mae (formally, the Federal National Mortgage Association) for the quarter ended June 30, 2023, as filed with the Securities and Exchange Commission on the date hereof (the “Report”), I, Chryssa C. Halley, Executive Vice President and Chief Financial Officer of Fannie Mae, certify, pursuant to 18 U.S.C. Section 1350, that to my knowledge:</w:t>
      </w:r>
    </w:p>
    <w:p>
      <w:pPr>
        <w:spacing w:after="0" w:line="198" w:lineRule="exact"/>
        <w:rPr>
          <w:sz w:val="20"/>
          <w:szCs w:val="20"/>
          <w:color w:val="auto"/>
        </w:rPr>
      </w:pPr>
    </w:p>
    <w:p>
      <w:pPr>
        <w:ind w:left="240" w:right="660" w:hanging="198"/>
        <w:spacing w:after="0" w:line="265" w:lineRule="auto"/>
        <w:tabs>
          <w:tab w:leader="none" w:pos="408" w:val="left"/>
        </w:tabs>
        <w:numPr>
          <w:ilvl w:val="0"/>
          <w:numId w:val="140"/>
        </w:numPr>
        <w:rPr>
          <w:rFonts w:ascii="Arial" w:cs="Arial" w:eastAsia="Arial" w:hAnsi="Arial"/>
          <w:sz w:val="21"/>
          <w:szCs w:val="21"/>
          <w:color w:val="auto"/>
        </w:rPr>
      </w:pPr>
      <w:r>
        <w:rPr>
          <w:rFonts w:ascii="Arial" w:cs="Arial" w:eastAsia="Arial" w:hAnsi="Arial"/>
          <w:sz w:val="21"/>
          <w:szCs w:val="21"/>
          <w:color w:val="auto"/>
        </w:rPr>
        <w:t>The Report fully complies with the requirements of Section 13(a) or 15(d), as applicable, of the Securities Exchange Act of 1934; and</w:t>
      </w:r>
    </w:p>
    <w:p>
      <w:pPr>
        <w:spacing w:after="0" w:line="201" w:lineRule="exact"/>
        <w:rPr>
          <w:rFonts w:ascii="Arial" w:cs="Arial" w:eastAsia="Arial" w:hAnsi="Arial"/>
          <w:sz w:val="21"/>
          <w:szCs w:val="21"/>
          <w:color w:val="auto"/>
        </w:rPr>
      </w:pPr>
    </w:p>
    <w:p>
      <w:pPr>
        <w:ind w:left="240" w:right="60" w:hanging="198"/>
        <w:spacing w:after="0" w:line="265" w:lineRule="auto"/>
        <w:tabs>
          <w:tab w:leader="none" w:pos="408" w:val="left"/>
        </w:tabs>
        <w:numPr>
          <w:ilvl w:val="0"/>
          <w:numId w:val="140"/>
        </w:numPr>
        <w:rPr>
          <w:rFonts w:ascii="Arial" w:cs="Arial" w:eastAsia="Arial" w:hAnsi="Arial"/>
          <w:sz w:val="21"/>
          <w:szCs w:val="21"/>
          <w:color w:val="auto"/>
        </w:rPr>
      </w:pPr>
      <w:r>
        <w:rPr>
          <w:rFonts w:ascii="Arial" w:cs="Arial" w:eastAsia="Arial" w:hAnsi="Arial"/>
          <w:sz w:val="21"/>
          <w:szCs w:val="21"/>
          <w:color w:val="auto"/>
        </w:rPr>
        <w:t>The information contained in the Report fairly presents, in all material respects, the financial condition and results of operations of Fannie Mae.</w:t>
      </w:r>
    </w:p>
    <w:p>
      <w:pPr>
        <w:spacing w:after="0" w:line="214" w:lineRule="exact"/>
        <w:rPr>
          <w:sz w:val="20"/>
          <w:szCs w:val="20"/>
          <w:color w:val="auto"/>
        </w:rPr>
      </w:pPr>
    </w:p>
    <w:p>
      <w:pPr>
        <w:ind w:left="7060"/>
        <w:spacing w:after="0"/>
        <w:rPr>
          <w:sz w:val="20"/>
          <w:szCs w:val="20"/>
          <w:color w:val="auto"/>
        </w:rPr>
      </w:pPr>
      <w:r>
        <w:rPr>
          <w:rFonts w:ascii="Arial" w:cs="Arial" w:eastAsia="Arial" w:hAnsi="Arial"/>
          <w:sz w:val="21"/>
          <w:szCs w:val="21"/>
          <w:color w:val="auto"/>
        </w:rPr>
        <w:t>/s/ Chryssa C. Halley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4373245</wp:posOffset>
            </wp:positionH>
            <wp:positionV relativeFrom="paragraph">
              <wp:posOffset>15875</wp:posOffset>
            </wp:positionV>
            <wp:extent cx="276669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2">
                      <a:extLst>
                        <a:ext uri="{28A0092B-C50C-407E-A947-70E740481C1C}"/>
                      </a:extLst>
                    </a:blip>
                    <a:srcRect/>
                    <a:stretch>
                      <a:fillRect/>
                    </a:stretch>
                  </pic:blipFill>
                  <pic:spPr bwMode="auto">
                    <a:xfrm>
                      <a:off x="0" y="0"/>
                      <a:ext cx="2766695" cy="8255"/>
                    </a:xfrm>
                    <a:prstGeom prst="rect">
                      <a:avLst/>
                    </a:prstGeom>
                    <a:noFill/>
                  </pic:spPr>
                </pic:pic>
              </a:graphicData>
            </a:graphic>
          </wp:anchor>
        </w:drawing>
      </w:r>
    </w:p>
    <w:p>
      <w:pPr>
        <w:ind w:left="6900"/>
        <w:spacing w:after="0"/>
        <w:rPr>
          <w:sz w:val="20"/>
          <w:szCs w:val="20"/>
          <w:color w:val="auto"/>
        </w:rPr>
      </w:pPr>
      <w:r>
        <w:rPr>
          <w:rFonts w:ascii="Arial" w:cs="Arial" w:eastAsia="Arial" w:hAnsi="Arial"/>
          <w:sz w:val="21"/>
          <w:szCs w:val="21"/>
          <w:color w:val="auto"/>
        </w:rPr>
        <w:t>Chryssa C. Halley</w:t>
      </w:r>
    </w:p>
    <w:p>
      <w:pPr>
        <w:ind w:left="6900"/>
        <w:spacing w:after="0" w:line="205" w:lineRule="auto"/>
        <w:rPr>
          <w:sz w:val="20"/>
          <w:szCs w:val="20"/>
          <w:color w:val="auto"/>
        </w:rPr>
      </w:pPr>
      <w:r>
        <w:rPr>
          <w:rFonts w:ascii="Arial" w:cs="Arial" w:eastAsia="Arial" w:hAnsi="Arial"/>
          <w:sz w:val="21"/>
          <w:szCs w:val="21"/>
          <w:color w:val="auto"/>
        </w:rPr>
        <w:t>Executive Vice President and Chief Financial</w:t>
      </w:r>
    </w:p>
    <w:p>
      <w:pPr>
        <w:ind w:left="6900"/>
        <w:spacing w:after="0"/>
        <w:rPr>
          <w:sz w:val="20"/>
          <w:szCs w:val="20"/>
          <w:color w:val="auto"/>
        </w:rPr>
      </w:pPr>
      <w:r>
        <w:rPr>
          <w:rFonts w:ascii="Arial" w:cs="Arial" w:eastAsia="Arial" w:hAnsi="Arial"/>
          <w:sz w:val="21"/>
          <w:szCs w:val="21"/>
          <w:color w:val="auto"/>
        </w:rPr>
        <w:t>Officer</w:t>
      </w:r>
    </w:p>
    <w:p>
      <w:pPr>
        <w:spacing w:after="0" w:line="321" w:lineRule="exact"/>
        <w:rPr>
          <w:sz w:val="20"/>
          <w:szCs w:val="20"/>
          <w:color w:val="auto"/>
        </w:rPr>
      </w:pPr>
    </w:p>
    <w:p>
      <w:pPr>
        <w:spacing w:after="0"/>
        <w:rPr>
          <w:sz w:val="20"/>
          <w:szCs w:val="20"/>
          <w:color w:val="auto"/>
        </w:rPr>
      </w:pPr>
      <w:r>
        <w:rPr>
          <w:rFonts w:ascii="Arial" w:cs="Arial" w:eastAsia="Arial" w:hAnsi="Arial"/>
          <w:sz w:val="21"/>
          <w:szCs w:val="21"/>
          <w:color w:val="auto"/>
        </w:rPr>
        <w:t>Date: August 1, 2023</w:t>
      </w:r>
    </w:p>
    <w:p>
      <w:pPr>
        <w:spacing w:after="0" w:line="200" w:lineRule="exact"/>
        <w:rPr>
          <w:sz w:val="20"/>
          <w:szCs w:val="20"/>
          <w:color w:val="auto"/>
        </w:rPr>
      </w:pPr>
    </w:p>
    <w:p>
      <w:pPr>
        <w:spacing w:after="0" w:line="268" w:lineRule="exact"/>
        <w:rPr>
          <w:sz w:val="20"/>
          <w:szCs w:val="20"/>
          <w:color w:val="auto"/>
        </w:rPr>
      </w:pPr>
    </w:p>
    <w:p>
      <w:pPr>
        <w:ind w:right="220"/>
        <w:spacing w:after="0" w:line="265" w:lineRule="auto"/>
        <w:rPr>
          <w:sz w:val="20"/>
          <w:szCs w:val="20"/>
          <w:color w:val="auto"/>
        </w:rPr>
      </w:pPr>
      <w:r>
        <w:rPr>
          <w:rFonts w:ascii="Arial" w:cs="Arial" w:eastAsia="Arial" w:hAnsi="Arial"/>
          <w:sz w:val="21"/>
          <w:szCs w:val="21"/>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8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8A3148"/>
    <w:multiLevelType w:val="hybridMultilevel"/>
    <w:lvl w:ilvl="0">
      <w:lvlJc w:val="left"/>
      <w:lvlText w:val="☑"/>
      <w:numFmt w:val="bullet"/>
      <w:start w:val="1"/>
    </w:lvl>
  </w:abstractNum>
  <w:abstractNum w:abstractNumId="1">
    <w:nsid w:val="799D0247"/>
    <w:multiLevelType w:val="hybridMultilevel"/>
    <w:lvl w:ilvl="0">
      <w:lvlJc w:val="left"/>
      <w:lvlText w:val="☐"/>
      <w:numFmt w:val="bullet"/>
      <w:start w:val="1"/>
    </w:lvl>
  </w:abstractNum>
  <w:abstractNum w:abstractNumId="2">
    <w:nsid w:val="6B94764"/>
    <w:multiLevelType w:val="hybridMultilevel"/>
    <w:lvl w:ilvl="0">
      <w:lvlJc w:val="left"/>
      <w:lvlText w:val="•"/>
      <w:numFmt w:val="bullet"/>
      <w:start w:val="1"/>
    </w:lvl>
    <w:lvl w:ilvl="1">
      <w:lvlJc w:val="left"/>
      <w:lvlText w:val="◦"/>
      <w:numFmt w:val="bullet"/>
      <w:start w:val="1"/>
    </w:lvl>
  </w:abstractNum>
  <w:abstractNum w:abstractNumId="3">
    <w:nsid w:val="42C296BD"/>
    <w:multiLevelType w:val="hybridMultilevel"/>
    <w:lvl w:ilvl="0">
      <w:lvlJc w:val="left"/>
      <w:lvlText w:val="•"/>
      <w:numFmt w:val="bullet"/>
      <w:start w:val="1"/>
    </w:lvl>
    <w:lvl w:ilvl="1">
      <w:lvlJc w:val="left"/>
      <w:lvlText w:val="◦"/>
      <w:numFmt w:val="bullet"/>
      <w:start w:val="1"/>
    </w:lvl>
  </w:abstractNum>
  <w:abstractNum w:abstractNumId="4">
    <w:nsid w:val="168E121F"/>
    <w:multiLevelType w:val="hybridMultilevel"/>
    <w:lvl w:ilvl="0">
      <w:lvlJc w:val="left"/>
      <w:lvlText w:val="(%1)"/>
      <w:numFmt w:val="decimal"/>
      <w:start w:val="1"/>
    </w:lvl>
  </w:abstractNum>
  <w:abstractNum w:abstractNumId="5">
    <w:nsid w:val="1EBA5D23"/>
    <w:multiLevelType w:val="hybridMultilevel"/>
    <w:lvl w:ilvl="0">
      <w:lvlJc w:val="left"/>
      <w:lvlText w:val="•"/>
      <w:numFmt w:val="bullet"/>
      <w:start w:val="1"/>
    </w:lvl>
  </w:abstractNum>
  <w:abstractNum w:abstractNumId="6">
    <w:nsid w:val="661E3F1E"/>
    <w:multiLevelType w:val="hybridMultilevel"/>
    <w:lvl w:ilvl="0">
      <w:lvlJc w:val="left"/>
      <w:lvlText w:val="(%1)"/>
      <w:numFmt w:val="decimal"/>
      <w:start w:val="1"/>
    </w:lvl>
  </w:abstractNum>
  <w:abstractNum w:abstractNumId="7">
    <w:nsid w:val="5DC79EA8"/>
    <w:multiLevelType w:val="hybridMultilevel"/>
    <w:lvl w:ilvl="0">
      <w:lvlJc w:val="left"/>
      <w:lvlText w:val="•"/>
      <w:numFmt w:val="bullet"/>
      <w:start w:val="1"/>
    </w:lvl>
  </w:abstractNum>
  <w:abstractNum w:abstractNumId="8">
    <w:nsid w:val="540A471C"/>
    <w:multiLevelType w:val="hybridMultilevel"/>
    <w:lvl w:ilvl="0">
      <w:lvlJc w:val="left"/>
      <w:lvlText w:val="•"/>
      <w:numFmt w:val="bullet"/>
      <w:start w:val="1"/>
    </w:lvl>
  </w:abstractNum>
  <w:abstractNum w:abstractNumId="9">
    <w:nsid w:val="7BD3EE7B"/>
    <w:multiLevelType w:val="hybridMultilevel"/>
    <w:lvl w:ilvl="0">
      <w:lvlJc w:val="left"/>
      <w:lvlText w:val="(%1)"/>
      <w:numFmt w:val="decimal"/>
      <w:start w:val="1"/>
    </w:lvl>
  </w:abstractNum>
  <w:abstractNum w:abstractNumId="10">
    <w:nsid w:val="51D9C564"/>
    <w:multiLevelType w:val="hybridMultilevel"/>
    <w:lvl w:ilvl="0">
      <w:lvlJc w:val="left"/>
      <w:lvlText w:val="•"/>
      <w:numFmt w:val="bullet"/>
      <w:start w:val="1"/>
    </w:lvl>
  </w:abstractNum>
  <w:abstractNum w:abstractNumId="11">
    <w:nsid w:val="613EFDC5"/>
    <w:multiLevelType w:val="hybridMultilevel"/>
    <w:lvl w:ilvl="0">
      <w:lvlJc w:val="left"/>
      <w:lvlText w:val="•"/>
      <w:numFmt w:val="bullet"/>
      <w:start w:val="1"/>
    </w:lvl>
  </w:abstractNum>
  <w:abstractNum w:abstractNumId="12">
    <w:nsid w:val="BF72B14"/>
    <w:multiLevelType w:val="hybridMultilevel"/>
    <w:lvl w:ilvl="0">
      <w:lvlJc w:val="left"/>
      <w:lvlText w:val="(%1)"/>
      <w:numFmt w:val="decimal"/>
      <w:start w:val="1"/>
    </w:lvl>
  </w:abstractNum>
  <w:abstractNum w:abstractNumId="13">
    <w:nsid w:val="11447B73"/>
    <w:multiLevelType w:val="hybridMultilevel"/>
    <w:lvl w:ilvl="0">
      <w:lvlJc w:val="left"/>
      <w:lvlText w:val="•"/>
      <w:numFmt w:val="bullet"/>
      <w:start w:val="1"/>
    </w:lvl>
  </w:abstractNum>
  <w:abstractNum w:abstractNumId="14">
    <w:nsid w:val="42963E5A"/>
    <w:multiLevelType w:val="hybridMultilevel"/>
    <w:lvl w:ilvl="0">
      <w:lvlJc w:val="left"/>
      <w:lvlText w:val="•"/>
      <w:numFmt w:val="bullet"/>
      <w:start w:val="1"/>
    </w:lvl>
  </w:abstractNum>
  <w:abstractNum w:abstractNumId="15">
    <w:nsid w:val="A0382C5"/>
    <w:multiLevelType w:val="hybridMultilevel"/>
    <w:lvl w:ilvl="0">
      <w:lvlJc w:val="left"/>
      <w:lvlText w:val="(%1)"/>
      <w:numFmt w:val="decimal"/>
      <w:start w:val="1"/>
    </w:lvl>
  </w:abstractNum>
  <w:abstractNum w:abstractNumId="16">
    <w:nsid w:val="8F2B15E"/>
    <w:multiLevelType w:val="hybridMultilevel"/>
    <w:lvl w:ilvl="0">
      <w:lvlJc w:val="left"/>
      <w:lvlText w:val="•"/>
      <w:numFmt w:val="bullet"/>
      <w:start w:val="1"/>
    </w:lvl>
  </w:abstractNum>
  <w:abstractNum w:abstractNumId="17">
    <w:nsid w:val="1A32234B"/>
    <w:multiLevelType w:val="hybridMultilevel"/>
    <w:lvl w:ilvl="0">
      <w:lvlJc w:val="left"/>
      <w:lvlText w:val="(%1)"/>
      <w:numFmt w:val="decimal"/>
      <w:start w:val="1"/>
    </w:lvl>
  </w:abstractNum>
  <w:abstractNum w:abstractNumId="18">
    <w:nsid w:val="3B0FD379"/>
    <w:multiLevelType w:val="hybridMultilevel"/>
    <w:lvl w:ilvl="0">
      <w:lvlJc w:val="left"/>
      <w:lvlText w:val="•"/>
      <w:numFmt w:val="bullet"/>
      <w:start w:val="1"/>
    </w:lvl>
  </w:abstractNum>
  <w:abstractNum w:abstractNumId="19">
    <w:nsid w:val="68EB2F63"/>
    <w:multiLevelType w:val="hybridMultilevel"/>
    <w:lvl w:ilvl="0">
      <w:lvlJc w:val="left"/>
      <w:lvlText w:val="•"/>
      <w:numFmt w:val="bullet"/>
      <w:start w:val="1"/>
    </w:lvl>
  </w:abstractNum>
  <w:abstractNum w:abstractNumId="20">
    <w:nsid w:val="4962813B"/>
    <w:multiLevelType w:val="hybridMultilevel"/>
    <w:lvl w:ilvl="0">
      <w:lvlJc w:val="left"/>
      <w:lvlText w:val="(%1)"/>
      <w:numFmt w:val="decimal"/>
      <w:start w:val="1"/>
    </w:lvl>
  </w:abstractNum>
  <w:abstractNum w:abstractNumId="21">
    <w:nsid w:val="60B6DF70"/>
    <w:multiLevelType w:val="hybridMultilevel"/>
    <w:lvl w:ilvl="0">
      <w:lvlJc w:val="left"/>
      <w:lvlText w:val="(%1)"/>
      <w:numFmt w:val="decimal"/>
      <w:start w:val="1"/>
    </w:lvl>
  </w:abstractNum>
  <w:abstractNum w:abstractNumId="22">
    <w:nsid w:val="6A5EE64"/>
    <w:multiLevelType w:val="hybridMultilevel"/>
    <w:lvl w:ilvl="0">
      <w:lvlJc w:val="left"/>
      <w:lvlText w:val="•"/>
      <w:numFmt w:val="bullet"/>
      <w:start w:val="1"/>
    </w:lvl>
  </w:abstractNum>
  <w:abstractNum w:abstractNumId="23">
    <w:nsid w:val="14330624"/>
    <w:multiLevelType w:val="hybridMultilevel"/>
    <w:lvl w:ilvl="0">
      <w:lvlJc w:val="left"/>
      <w:lvlText w:val="•"/>
      <w:numFmt w:val="bullet"/>
      <w:start w:val="1"/>
    </w:lvl>
  </w:abstractNum>
  <w:abstractNum w:abstractNumId="24">
    <w:nsid w:val="7FFFCA11"/>
    <w:multiLevelType w:val="hybridMultilevel"/>
    <w:lvl w:ilvl="0">
      <w:lvlJc w:val="left"/>
      <w:lvlText w:val="(%1)"/>
      <w:numFmt w:val="decimal"/>
      <w:start w:val="1"/>
    </w:lvl>
  </w:abstractNum>
  <w:abstractNum w:abstractNumId="25">
    <w:nsid w:val="1A27709E"/>
    <w:multiLevelType w:val="hybridMultilevel"/>
    <w:lvl w:ilvl="0">
      <w:lvlJc w:val="left"/>
      <w:lvlText w:val="•"/>
      <w:numFmt w:val="bullet"/>
      <w:start w:val="1"/>
    </w:lvl>
  </w:abstractNum>
  <w:abstractNum w:abstractNumId="26">
    <w:nsid w:val="71EA1109"/>
    <w:multiLevelType w:val="hybridMultilevel"/>
    <w:lvl w:ilvl="0">
      <w:lvlJc w:val="left"/>
      <w:lvlText w:val="•"/>
      <w:numFmt w:val="bullet"/>
      <w:start w:val="1"/>
    </w:lvl>
  </w:abstractNum>
  <w:abstractNum w:abstractNumId="27">
    <w:nsid w:val="100F59DC"/>
    <w:multiLevelType w:val="hybridMultilevel"/>
    <w:lvl w:ilvl="0">
      <w:lvlJc w:val="left"/>
      <w:lvlText w:val="(%1)"/>
      <w:numFmt w:val="decimal"/>
      <w:start w:val="1"/>
    </w:lvl>
  </w:abstractNum>
  <w:abstractNum w:abstractNumId="28">
    <w:nsid w:val="7FB7E0AA"/>
    <w:multiLevelType w:val="hybridMultilevel"/>
    <w:lvl w:ilvl="0">
      <w:lvlJc w:val="left"/>
      <w:lvlText w:val="•"/>
      <w:numFmt w:val="bullet"/>
      <w:start w:val="1"/>
    </w:lvl>
  </w:abstractNum>
  <w:abstractNum w:abstractNumId="29">
    <w:nsid w:val="6EB5BD4"/>
    <w:multiLevelType w:val="hybridMultilevel"/>
    <w:lvl w:ilvl="0">
      <w:lvlJc w:val="left"/>
      <w:lvlText w:val="•"/>
      <w:numFmt w:val="bullet"/>
      <w:start w:val="1"/>
    </w:lvl>
  </w:abstractNum>
  <w:abstractNum w:abstractNumId="30">
    <w:nsid w:val="6F6DD9AC"/>
    <w:multiLevelType w:val="hybridMultilevel"/>
    <w:lvl w:ilvl="0">
      <w:lvlJc w:val="left"/>
      <w:lvlText w:val="(%1)"/>
      <w:numFmt w:val="decimal"/>
      <w:start w:val="1"/>
    </w:lvl>
  </w:abstractNum>
  <w:abstractNum w:abstractNumId="31">
    <w:nsid w:val="94211F2"/>
    <w:multiLevelType w:val="hybridMultilevel"/>
    <w:lvl w:ilvl="0">
      <w:lvlJc w:val="left"/>
      <w:lvlText w:val="(%1)"/>
      <w:numFmt w:val="decimal"/>
      <w:start w:val="1"/>
    </w:lvl>
  </w:abstractNum>
  <w:abstractNum w:abstractNumId="32">
    <w:nsid w:val="885E1B"/>
    <w:multiLevelType w:val="hybridMultilevel"/>
    <w:lvl w:ilvl="0">
      <w:lvlJc w:val="left"/>
      <w:lvlText w:val="(%1)"/>
      <w:numFmt w:val="decimal"/>
      <w:start w:val="1"/>
    </w:lvl>
  </w:abstractNum>
  <w:abstractNum w:abstractNumId="33">
    <w:nsid w:val="76272110"/>
    <w:multiLevelType w:val="hybridMultilevel"/>
    <w:lvl w:ilvl="0">
      <w:lvlJc w:val="left"/>
      <w:lvlText w:val="*"/>
      <w:numFmt w:val="bullet"/>
      <w:start w:val="1"/>
    </w:lvl>
  </w:abstractNum>
  <w:abstractNum w:abstractNumId="34">
    <w:nsid w:val="4C04A8AF"/>
    <w:multiLevelType w:val="hybridMultilevel"/>
    <w:lvl w:ilvl="0">
      <w:lvlJc w:val="left"/>
      <w:lvlText w:val="(%1)"/>
      <w:numFmt w:val="decimal"/>
      <w:start w:val="1"/>
    </w:lvl>
  </w:abstractNum>
  <w:abstractNum w:abstractNumId="35">
    <w:nsid w:val="1716703B"/>
    <w:multiLevelType w:val="hybridMultilevel"/>
    <w:lvl w:ilvl="0">
      <w:lvlJc w:val="left"/>
      <w:lvlText w:val="(%1)"/>
      <w:numFmt w:val="decimal"/>
      <w:start w:val="1"/>
    </w:lvl>
  </w:abstractNum>
  <w:abstractNum w:abstractNumId="36">
    <w:nsid w:val="14E17E33"/>
    <w:multiLevelType w:val="hybridMultilevel"/>
    <w:lvl w:ilvl="0">
      <w:lvlJc w:val="left"/>
      <w:lvlText w:val="(%1)"/>
      <w:numFmt w:val="decimal"/>
      <w:start w:val="1"/>
    </w:lvl>
  </w:abstractNum>
  <w:abstractNum w:abstractNumId="37">
    <w:nsid w:val="3222E7CD"/>
    <w:multiLevelType w:val="hybridMultilevel"/>
    <w:lvl w:ilvl="0">
      <w:lvlJc w:val="left"/>
      <w:lvlText w:val="(%1)"/>
      <w:numFmt w:val="decimal"/>
      <w:start w:val="1"/>
    </w:lvl>
  </w:abstractNum>
  <w:abstractNum w:abstractNumId="38">
    <w:nsid w:val="74DE0EE3"/>
    <w:multiLevelType w:val="hybridMultilevel"/>
    <w:lvl w:ilvl="0">
      <w:lvlJc w:val="left"/>
      <w:lvlText w:val="(%1)"/>
      <w:numFmt w:val="decimal"/>
      <w:start w:val="1"/>
    </w:lvl>
  </w:abstractNum>
  <w:abstractNum w:abstractNumId="39">
    <w:nsid w:val="68EBC550"/>
    <w:multiLevelType w:val="hybridMultilevel"/>
    <w:lvl w:ilvl="0">
      <w:lvlJc w:val="left"/>
      <w:lvlText w:val="*"/>
      <w:numFmt w:val="bullet"/>
      <w:start w:val="1"/>
    </w:lvl>
  </w:abstractNum>
  <w:abstractNum w:abstractNumId="40">
    <w:nsid w:val="2DF6D648"/>
    <w:multiLevelType w:val="hybridMultilevel"/>
    <w:lvl w:ilvl="0">
      <w:lvlJc w:val="left"/>
      <w:lvlText w:val="(%1)"/>
      <w:numFmt w:val="decimal"/>
      <w:start w:val="1"/>
    </w:lvl>
  </w:abstractNum>
  <w:abstractNum w:abstractNumId="41">
    <w:nsid w:val="46B7D447"/>
    <w:multiLevelType w:val="hybridMultilevel"/>
    <w:lvl w:ilvl="0">
      <w:lvlJc w:val="left"/>
      <w:lvlText w:val="(%1)"/>
      <w:numFmt w:val="decimal"/>
      <w:start w:val="1"/>
    </w:lvl>
  </w:abstractNum>
  <w:abstractNum w:abstractNumId="42">
    <w:nsid w:val="4A2AC315"/>
    <w:multiLevelType w:val="hybridMultilevel"/>
    <w:lvl w:ilvl="0">
      <w:lvlJc w:val="left"/>
      <w:lvlText w:val="(%1)"/>
      <w:numFmt w:val="decimal"/>
      <w:start w:val="1"/>
    </w:lvl>
  </w:abstractNum>
  <w:abstractNum w:abstractNumId="43">
    <w:nsid w:val="39EE015C"/>
    <w:multiLevelType w:val="hybridMultilevel"/>
    <w:lvl w:ilvl="0">
      <w:lvlJc w:val="left"/>
      <w:lvlText w:val="(%1)"/>
      <w:numFmt w:val="decimal"/>
      <w:start w:val="1"/>
    </w:lvl>
  </w:abstractNum>
  <w:abstractNum w:abstractNumId="44">
    <w:nsid w:val="57FC4FBB"/>
    <w:multiLevelType w:val="hybridMultilevel"/>
    <w:lvl w:ilvl="0">
      <w:lvlJc w:val="left"/>
      <w:lvlText w:val="•"/>
      <w:numFmt w:val="bullet"/>
      <w:start w:val="1"/>
    </w:lvl>
  </w:abstractNum>
  <w:abstractNum w:abstractNumId="45">
    <w:nsid w:val="CC1016F"/>
    <w:multiLevelType w:val="hybridMultilevel"/>
    <w:lvl w:ilvl="0">
      <w:lvlJc w:val="left"/>
      <w:lvlText w:val="(%1)"/>
      <w:numFmt w:val="decimal"/>
      <w:start w:val="1"/>
    </w:lvl>
  </w:abstractNum>
  <w:abstractNum w:abstractNumId="46">
    <w:nsid w:val="43F18422"/>
    <w:multiLevelType w:val="hybridMultilevel"/>
    <w:lvl w:ilvl="0">
      <w:lvlJc w:val="left"/>
      <w:lvlText w:val="(%1)"/>
      <w:numFmt w:val="decimal"/>
      <w:start w:val="1"/>
    </w:lvl>
  </w:abstractNum>
  <w:abstractNum w:abstractNumId="47">
    <w:nsid w:val="60EF0119"/>
    <w:multiLevelType w:val="hybridMultilevel"/>
    <w:lvl w:ilvl="0">
      <w:lvlJc w:val="left"/>
      <w:lvlText w:val="(%1)"/>
      <w:numFmt w:val="decimal"/>
      <w:start w:val="1"/>
    </w:lvl>
  </w:abstractNum>
  <w:abstractNum w:abstractNumId="48">
    <w:nsid w:val="26F324BA"/>
    <w:multiLevelType w:val="hybridMultilevel"/>
    <w:lvl w:ilvl="0">
      <w:lvlJc w:val="left"/>
      <w:lvlText w:val="(%1)"/>
      <w:numFmt w:val="decimal"/>
      <w:start w:val="1"/>
    </w:lvl>
  </w:abstractNum>
  <w:abstractNum w:abstractNumId="49">
    <w:nsid w:val="7F01579B"/>
    <w:multiLevelType w:val="hybridMultilevel"/>
    <w:lvl w:ilvl="0">
      <w:lvlJc w:val="left"/>
      <w:lvlText w:val="(%1)"/>
      <w:numFmt w:val="decimal"/>
      <w:start w:val="1"/>
    </w:lvl>
  </w:abstractNum>
  <w:abstractNum w:abstractNumId="50">
    <w:nsid w:val="49DA307D"/>
    <w:multiLevelType w:val="hybridMultilevel"/>
    <w:lvl w:ilvl="0">
      <w:lvlJc w:val="left"/>
      <w:lvlText w:val="(%1)"/>
      <w:numFmt w:val="decimal"/>
      <w:start w:val="1"/>
    </w:lvl>
  </w:abstractNum>
  <w:abstractNum w:abstractNumId="51">
    <w:nsid w:val="7055A5F5"/>
    <w:multiLevelType w:val="hybridMultilevel"/>
    <w:lvl w:ilvl="0">
      <w:lvlJc w:val="left"/>
      <w:lvlText w:val="*"/>
      <w:numFmt w:val="bullet"/>
      <w:start w:val="1"/>
    </w:lvl>
  </w:abstractNum>
  <w:abstractNum w:abstractNumId="52">
    <w:nsid w:val="5FB8370B"/>
    <w:multiLevelType w:val="hybridMultilevel"/>
    <w:lvl w:ilvl="0">
      <w:lvlJc w:val="left"/>
      <w:lvlText w:val="(%1)"/>
      <w:numFmt w:val="decimal"/>
      <w:start w:val="1"/>
    </w:lvl>
  </w:abstractNum>
  <w:abstractNum w:abstractNumId="53">
    <w:nsid w:val="50801EE1"/>
    <w:multiLevelType w:val="hybridMultilevel"/>
    <w:lvl w:ilvl="0">
      <w:lvlJc w:val="left"/>
      <w:lvlText w:val="(%1)"/>
      <w:numFmt w:val="decimal"/>
      <w:start w:val="1"/>
    </w:lvl>
  </w:abstractNum>
  <w:abstractNum w:abstractNumId="54">
    <w:nsid w:val="488AC1A"/>
    <w:multiLevelType w:val="hybridMultilevel"/>
    <w:lvl w:ilvl="0">
      <w:lvlJc w:val="left"/>
      <w:lvlText w:val="(%1)"/>
      <w:numFmt w:val="decimal"/>
      <w:start w:val="1"/>
    </w:lvl>
  </w:abstractNum>
  <w:abstractNum w:abstractNumId="55">
    <w:nsid w:val="5FB8011C"/>
    <w:multiLevelType w:val="hybridMultilevel"/>
    <w:lvl w:ilvl="0">
      <w:lvlJc w:val="left"/>
      <w:lvlText w:val="(%1)"/>
      <w:numFmt w:val="decimal"/>
      <w:start w:val="1"/>
    </w:lvl>
  </w:abstractNum>
  <w:abstractNum w:abstractNumId="56">
    <w:nsid w:val="6AA78F7F"/>
    <w:multiLevelType w:val="hybridMultilevel"/>
    <w:lvl w:ilvl="0">
      <w:lvlJc w:val="left"/>
      <w:lvlText w:val="(%1)"/>
      <w:numFmt w:val="decimal"/>
      <w:start w:val="1"/>
    </w:lvl>
  </w:abstractNum>
  <w:abstractNum w:abstractNumId="57">
    <w:nsid w:val="7672BD23"/>
    <w:multiLevelType w:val="hybridMultilevel"/>
    <w:lvl w:ilvl="0">
      <w:lvlJc w:val="left"/>
      <w:lvlText w:val="•"/>
      <w:numFmt w:val="bullet"/>
      <w:start w:val="1"/>
    </w:lvl>
  </w:abstractNum>
  <w:abstractNum w:abstractNumId="58">
    <w:nsid w:val="6FC75AF8"/>
    <w:multiLevelType w:val="hybridMultilevel"/>
    <w:lvl w:ilvl="0">
      <w:lvlJc w:val="left"/>
      <w:lvlText w:val="(%1)"/>
      <w:numFmt w:val="decimal"/>
      <w:start w:val="1"/>
    </w:lvl>
  </w:abstractNum>
  <w:abstractNum w:abstractNumId="59">
    <w:nsid w:val="6A5F7029"/>
    <w:multiLevelType w:val="hybridMultilevel"/>
    <w:lvl w:ilvl="0">
      <w:lvlJc w:val="left"/>
      <w:lvlText w:val="(%1)"/>
      <w:numFmt w:val="decimal"/>
      <w:start w:val="1"/>
    </w:lvl>
  </w:abstractNum>
  <w:abstractNum w:abstractNumId="60">
    <w:nsid w:val="7D5E18F8"/>
    <w:multiLevelType w:val="hybridMultilevel"/>
    <w:lvl w:ilvl="0">
      <w:lvlJc w:val="left"/>
      <w:lvlText w:val="(%1)"/>
      <w:numFmt w:val="decimal"/>
      <w:start w:val="6"/>
    </w:lvl>
  </w:abstractNum>
  <w:abstractNum w:abstractNumId="61">
    <w:nsid w:val="5F3534A4"/>
    <w:multiLevelType w:val="hybridMultilevel"/>
    <w:lvl w:ilvl="0">
      <w:lvlJc w:val="left"/>
      <w:lvlText w:val="$"/>
      <w:numFmt w:val="bullet"/>
      <w:start w:val="1"/>
    </w:lvl>
  </w:abstractNum>
  <w:abstractNum w:abstractNumId="62">
    <w:nsid w:val="73A1821B"/>
    <w:multiLevelType w:val="hybridMultilevel"/>
    <w:lvl w:ilvl="0">
      <w:lvlJc w:val="left"/>
      <w:lvlText w:val="$"/>
      <w:numFmt w:val="bullet"/>
      <w:start w:val="1"/>
    </w:lvl>
  </w:abstractNum>
  <w:abstractNum w:abstractNumId="63">
    <w:nsid w:val="7DE67713"/>
    <w:multiLevelType w:val="hybridMultilevel"/>
    <w:lvl w:ilvl="0">
      <w:lvlJc w:val="left"/>
      <w:lvlText w:val="$"/>
      <w:numFmt w:val="bullet"/>
      <w:start w:val="1"/>
    </w:lvl>
  </w:abstractNum>
  <w:abstractNum w:abstractNumId="64">
    <w:nsid w:val="555C55B5"/>
    <w:multiLevelType w:val="hybridMultilevel"/>
    <w:lvl w:ilvl="0">
      <w:lvlJc w:val="left"/>
      <w:lvlText w:val="$"/>
      <w:numFmt w:val="bullet"/>
      <w:start w:val="1"/>
    </w:lvl>
  </w:abstractNum>
  <w:abstractNum w:abstractNumId="65">
    <w:nsid w:val="3FA62ACA"/>
    <w:multiLevelType w:val="hybridMultilevel"/>
    <w:lvl w:ilvl="0">
      <w:lvlJc w:val="left"/>
      <w:lvlText w:val="(%1)"/>
      <w:numFmt w:val="decimal"/>
      <w:start w:val="1"/>
    </w:lvl>
  </w:abstractNum>
  <w:abstractNum w:abstractNumId="66">
    <w:nsid w:val="14FCE74E"/>
    <w:multiLevelType w:val="hybridMultilevel"/>
    <w:lvl w:ilvl="0">
      <w:lvlJc w:val="left"/>
      <w:lvlText w:val="(%1)"/>
      <w:numFmt w:val="decimal"/>
      <w:start w:val="1"/>
    </w:lvl>
  </w:abstractNum>
  <w:abstractNum w:abstractNumId="67">
    <w:nsid w:val="6A3DD3E8"/>
    <w:multiLevelType w:val="hybridMultilevel"/>
    <w:lvl w:ilvl="0">
      <w:lvlJc w:val="left"/>
      <w:lvlText w:val="(%1)"/>
      <w:numFmt w:val="decimal"/>
      <w:start w:val="1"/>
    </w:lvl>
  </w:abstractNum>
  <w:abstractNum w:abstractNumId="68">
    <w:nsid w:val="71C91298"/>
    <w:multiLevelType w:val="hybridMultilevel"/>
    <w:lvl w:ilvl="0">
      <w:lvlJc w:val="left"/>
      <w:lvlText w:val="(%1)"/>
      <w:numFmt w:val="decimal"/>
      <w:start w:val="3"/>
    </w:lvl>
  </w:abstractNum>
  <w:abstractNum w:abstractNumId="69">
    <w:nsid w:val="9DAF632"/>
    <w:multiLevelType w:val="hybridMultilevel"/>
    <w:lvl w:ilvl="0">
      <w:lvlJc w:val="left"/>
      <w:lvlText w:val="•"/>
      <w:numFmt w:val="bullet"/>
      <w:start w:val="1"/>
    </w:lvl>
  </w:abstractNum>
  <w:abstractNum w:abstractNumId="70">
    <w:nsid w:val="53299938"/>
    <w:multiLevelType w:val="hybridMultilevel"/>
    <w:lvl w:ilvl="0">
      <w:lvlJc w:val="left"/>
      <w:lvlText w:val="•"/>
      <w:numFmt w:val="bullet"/>
      <w:start w:val="1"/>
    </w:lvl>
  </w:abstractNum>
  <w:abstractNum w:abstractNumId="71">
    <w:nsid w:val="1FBFE8E0"/>
    <w:multiLevelType w:val="hybridMultilevel"/>
    <w:lvl w:ilvl="0">
      <w:lvlJc w:val="left"/>
      <w:lvlText w:val="•"/>
      <w:numFmt w:val="bullet"/>
      <w:start w:val="1"/>
    </w:lvl>
  </w:abstractNum>
  <w:abstractNum w:abstractNumId="72">
    <w:nsid w:val="5092CA79"/>
    <w:multiLevelType w:val="hybridMultilevel"/>
    <w:lvl w:ilvl="0">
      <w:lvlJc w:val="left"/>
      <w:lvlText w:val="•"/>
      <w:numFmt w:val="bullet"/>
      <w:start w:val="1"/>
    </w:lvl>
  </w:abstractNum>
  <w:abstractNum w:abstractNumId="73">
    <w:nsid w:val="1D545C4D"/>
    <w:multiLevelType w:val="hybridMultilevel"/>
    <w:lvl w:ilvl="0">
      <w:lvlJc w:val="left"/>
      <w:lvlText w:val="•"/>
      <w:numFmt w:val="bullet"/>
      <w:start w:val="1"/>
    </w:lvl>
  </w:abstractNum>
  <w:abstractNum w:abstractNumId="74">
    <w:nsid w:val="59ADEA3D"/>
    <w:multiLevelType w:val="hybridMultilevel"/>
    <w:lvl w:ilvl="0">
      <w:lvlJc w:val="left"/>
      <w:lvlText w:val="(%1)"/>
      <w:numFmt w:val="decimal"/>
      <w:start w:val="1"/>
    </w:lvl>
  </w:abstractNum>
  <w:abstractNum w:abstractNumId="75">
    <w:nsid w:val="288F1A34"/>
    <w:multiLevelType w:val="hybridMultilevel"/>
    <w:lvl w:ilvl="0">
      <w:lvlJc w:val="left"/>
      <w:lvlText w:val="(%1)"/>
      <w:numFmt w:val="decimal"/>
      <w:start w:val="1"/>
    </w:lvl>
  </w:abstractNum>
  <w:abstractNum w:abstractNumId="76">
    <w:nsid w:val="2A155DBC"/>
    <w:multiLevelType w:val="hybridMultilevel"/>
    <w:lvl w:ilvl="0">
      <w:lvlJc w:val="left"/>
      <w:lvlText w:val="(%1)"/>
      <w:numFmt w:val="decimal"/>
      <w:start w:val="1"/>
    </w:lvl>
  </w:abstractNum>
  <w:abstractNum w:abstractNumId="77">
    <w:nsid w:val="1D9F6E5F"/>
    <w:multiLevelType w:val="hybridMultilevel"/>
    <w:lvl w:ilvl="0">
      <w:lvlJc w:val="left"/>
      <w:lvlText w:val="(%1)"/>
      <w:numFmt w:val="decimal"/>
      <w:start w:val="1"/>
    </w:lvl>
  </w:abstractNum>
  <w:abstractNum w:abstractNumId="78">
    <w:nsid w:val="97E1B4E"/>
    <w:multiLevelType w:val="hybridMultilevel"/>
    <w:lvl w:ilvl="0">
      <w:lvlJc w:val="left"/>
      <w:lvlText w:val="(%1)"/>
      <w:numFmt w:val="decimal"/>
      <w:start w:val="1"/>
    </w:lvl>
  </w:abstractNum>
  <w:abstractNum w:abstractNumId="79">
    <w:nsid w:val="51088277"/>
    <w:multiLevelType w:val="hybridMultilevel"/>
    <w:lvl w:ilvl="0">
      <w:lvlJc w:val="left"/>
      <w:lvlText w:val="*"/>
      <w:numFmt w:val="bullet"/>
      <w:start w:val="1"/>
    </w:lvl>
  </w:abstractNum>
  <w:abstractNum w:abstractNumId="80">
    <w:nsid w:val="1CA0C5FA"/>
    <w:multiLevelType w:val="hybridMultilevel"/>
    <w:lvl w:ilvl="0">
      <w:lvlJc w:val="left"/>
      <w:lvlText w:val="(%1)"/>
      <w:numFmt w:val="decimal"/>
      <w:start w:val="1"/>
    </w:lvl>
  </w:abstractNum>
  <w:abstractNum w:abstractNumId="81">
    <w:nsid w:val="53584BCB"/>
    <w:multiLevelType w:val="hybridMultilevel"/>
    <w:lvl w:ilvl="0">
      <w:lvlJc w:val="left"/>
      <w:lvlText w:val="(%1)"/>
      <w:numFmt w:val="decimal"/>
      <w:start w:val="3"/>
    </w:lvl>
  </w:abstractNum>
  <w:abstractNum w:abstractNumId="82">
    <w:nsid w:val="415E286C"/>
    <w:multiLevelType w:val="hybridMultilevel"/>
    <w:lvl w:ilvl="0">
      <w:lvlJc w:val="left"/>
      <w:lvlText w:val="(%1)"/>
      <w:numFmt w:val="decimal"/>
      <w:start w:val="1"/>
    </w:lvl>
  </w:abstractNum>
  <w:abstractNum w:abstractNumId="83">
    <w:nsid w:val="7C58FD05"/>
    <w:multiLevelType w:val="hybridMultilevel"/>
    <w:lvl w:ilvl="0">
      <w:lvlJc w:val="left"/>
      <w:lvlText w:val="(%1)"/>
      <w:numFmt w:val="decimal"/>
      <w:start w:val="1"/>
    </w:lvl>
  </w:abstractNum>
  <w:abstractNum w:abstractNumId="84">
    <w:nsid w:val="23D86AAC"/>
    <w:multiLevelType w:val="hybridMultilevel"/>
    <w:lvl w:ilvl="0">
      <w:lvlJc w:val="left"/>
      <w:lvlText w:val="(%1)"/>
      <w:numFmt w:val="decimal"/>
      <w:start w:val="1"/>
    </w:lvl>
  </w:abstractNum>
  <w:abstractNum w:abstractNumId="85">
    <w:nsid w:val="45E6D486"/>
    <w:multiLevelType w:val="hybridMultilevel"/>
    <w:lvl w:ilvl="0">
      <w:lvlJc w:val="left"/>
      <w:lvlText w:val="(%1)"/>
      <w:numFmt w:val="decimal"/>
      <w:start w:val="1"/>
    </w:lvl>
  </w:abstractNum>
  <w:abstractNum w:abstractNumId="86">
    <w:nsid w:val="5C10FE21"/>
    <w:multiLevelType w:val="hybridMultilevel"/>
    <w:lvl w:ilvl="0">
      <w:lvlJc w:val="left"/>
      <w:lvlText w:val="(%1)"/>
      <w:numFmt w:val="decimal"/>
      <w:start w:val="1"/>
    </w:lvl>
  </w:abstractNum>
  <w:abstractNum w:abstractNumId="87">
    <w:nsid w:val="E7FFA2B"/>
    <w:multiLevelType w:val="hybridMultilevel"/>
    <w:lvl w:ilvl="0">
      <w:lvlJc w:val="left"/>
      <w:lvlText w:val="(%1)"/>
      <w:numFmt w:val="decimal"/>
      <w:start w:val="1"/>
    </w:lvl>
  </w:abstractNum>
  <w:abstractNum w:abstractNumId="88">
    <w:nsid w:val="3C5991AA"/>
    <w:multiLevelType w:val="hybridMultilevel"/>
    <w:lvl w:ilvl="0">
      <w:lvlJc w:val="left"/>
      <w:lvlText w:val="•"/>
      <w:numFmt w:val="bullet"/>
      <w:start w:val="1"/>
    </w:lvl>
  </w:abstractNum>
  <w:abstractNum w:abstractNumId="89">
    <w:nsid w:val="4BD8591A"/>
    <w:multiLevelType w:val="hybridMultilevel"/>
    <w:lvl w:ilvl="0">
      <w:lvlJc w:val="left"/>
      <w:lvlText w:val="•"/>
      <w:numFmt w:val="bullet"/>
      <w:start w:val="1"/>
    </w:lvl>
  </w:abstractNum>
  <w:abstractNum w:abstractNumId="90">
    <w:nsid w:val="78DF6A55"/>
    <w:multiLevelType w:val="hybridMultilevel"/>
    <w:lvl w:ilvl="0">
      <w:lvlJc w:val="left"/>
      <w:lvlText w:val="(%1)"/>
      <w:numFmt w:val="decimal"/>
      <w:start w:val="1"/>
    </w:lvl>
  </w:abstractNum>
  <w:abstractNum w:abstractNumId="91">
    <w:nsid w:val="39B7AAA2"/>
    <w:multiLevelType w:val="hybridMultilevel"/>
    <w:lvl w:ilvl="0">
      <w:lvlJc w:val="left"/>
      <w:lvlText w:val="(%1)"/>
      <w:numFmt w:val="decimal"/>
      <w:start w:val="1"/>
    </w:lvl>
  </w:abstractNum>
  <w:abstractNum w:abstractNumId="92">
    <w:nsid w:val="2B0D8DBE"/>
    <w:multiLevelType w:val="hybridMultilevel"/>
    <w:lvl w:ilvl="0">
      <w:lvlJc w:val="left"/>
      <w:lvlText w:val="(%1)"/>
      <w:numFmt w:val="decimal"/>
      <w:start w:val="1"/>
    </w:lvl>
  </w:abstractNum>
  <w:abstractNum w:abstractNumId="93">
    <w:nsid w:val="6C80EC70"/>
    <w:multiLevelType w:val="hybridMultilevel"/>
    <w:lvl w:ilvl="0">
      <w:lvlJc w:val="left"/>
      <w:lvlText w:val="(%1)"/>
      <w:numFmt w:val="decimal"/>
      <w:start w:val="1"/>
    </w:lvl>
  </w:abstractNum>
  <w:abstractNum w:abstractNumId="94">
    <w:nsid w:val="379E21B5"/>
    <w:multiLevelType w:val="hybridMultilevel"/>
    <w:lvl w:ilvl="0">
      <w:lvlJc w:val="left"/>
      <w:lvlText w:val="(%1)"/>
      <w:numFmt w:val="decimal"/>
      <w:start w:val="1"/>
    </w:lvl>
  </w:abstractNum>
  <w:abstractNum w:abstractNumId="95">
    <w:nsid w:val="69E373"/>
    <w:multiLevelType w:val="hybridMultilevel"/>
    <w:lvl w:ilvl="0">
      <w:lvlJc w:val="left"/>
      <w:lvlText w:val="(%1)"/>
      <w:numFmt w:val="decimal"/>
      <w:start w:val="1"/>
    </w:lvl>
  </w:abstractNum>
  <w:abstractNum w:abstractNumId="96">
    <w:nsid w:val="2C27173B"/>
    <w:multiLevelType w:val="hybridMultilevel"/>
    <w:lvl w:ilvl="0">
      <w:lvlJc w:val="left"/>
      <w:lvlText w:val="(%1)"/>
      <w:numFmt w:val="decimal"/>
      <w:start w:val="1"/>
    </w:lvl>
  </w:abstractNum>
  <w:abstractNum w:abstractNumId="97">
    <w:nsid w:val="4C9B0904"/>
    <w:multiLevelType w:val="hybridMultilevel"/>
    <w:lvl w:ilvl="0">
      <w:lvlJc w:val="left"/>
      <w:lvlText w:val="(%1)"/>
      <w:numFmt w:val="decimal"/>
      <w:start w:val="2"/>
    </w:lvl>
  </w:abstractNum>
  <w:abstractNum w:abstractNumId="98">
    <w:nsid w:val="6AA7B75C"/>
    <w:multiLevelType w:val="hybridMultilevel"/>
    <w:lvl w:ilvl="0">
      <w:lvlJc w:val="left"/>
      <w:lvlText w:val="*"/>
      <w:numFmt w:val="bullet"/>
      <w:start w:val="1"/>
    </w:lvl>
  </w:abstractNum>
  <w:abstractNum w:abstractNumId="99">
    <w:nsid w:val="1DF029D3"/>
    <w:multiLevelType w:val="hybridMultilevel"/>
    <w:lvl w:ilvl="0">
      <w:lvlJc w:val="left"/>
      <w:lvlText w:val="(%1)"/>
      <w:numFmt w:val="decimal"/>
      <w:start w:val="1"/>
    </w:lvl>
  </w:abstractNum>
  <w:abstractNum w:abstractNumId="100">
    <w:nsid w:val="5675FF36"/>
    <w:multiLevelType w:val="hybridMultilevel"/>
    <w:lvl w:ilvl="0">
      <w:lvlJc w:val="left"/>
      <w:lvlText w:val="(%1)"/>
      <w:numFmt w:val="decimal"/>
      <w:start w:val="1"/>
    </w:lvl>
  </w:abstractNum>
  <w:abstractNum w:abstractNumId="101">
    <w:nsid w:val="3DD15094"/>
    <w:multiLevelType w:val="hybridMultilevel"/>
    <w:lvl w:ilvl="0">
      <w:lvlJc w:val="left"/>
      <w:lvlText w:val="(%1)"/>
      <w:numFmt w:val="decimal"/>
      <w:start w:val="3"/>
    </w:lvl>
  </w:abstractNum>
  <w:abstractNum w:abstractNumId="102">
    <w:nsid w:val="3DB012B3"/>
    <w:multiLevelType w:val="hybridMultilevel"/>
    <w:lvl w:ilvl="0">
      <w:lvlJc w:val="left"/>
      <w:lvlText w:val="(%1)"/>
      <w:numFmt w:val="decimal"/>
      <w:start w:val="1"/>
    </w:lvl>
  </w:abstractNum>
  <w:abstractNum w:abstractNumId="103">
    <w:nsid w:val="2708C9AF"/>
    <w:multiLevelType w:val="hybridMultilevel"/>
    <w:lvl w:ilvl="0">
      <w:lvlJc w:val="left"/>
      <w:lvlText w:val="%1"/>
      <w:numFmt w:val="decimal"/>
      <w:start w:val="23"/>
    </w:lvl>
  </w:abstractNum>
  <w:abstractNum w:abstractNumId="104">
    <w:nsid w:val="5B25ACE2"/>
    <w:multiLevelType w:val="hybridMultilevel"/>
    <w:lvl w:ilvl="0">
      <w:lvlJc w:val="left"/>
      <w:lvlText w:val="%1"/>
      <w:numFmt w:val="decimal"/>
      <w:start w:val="23"/>
    </w:lvl>
  </w:abstractNum>
  <w:abstractNum w:abstractNumId="105">
    <w:nsid w:val="175DFCF0"/>
    <w:multiLevelType w:val="hybridMultilevel"/>
    <w:lvl w:ilvl="0">
      <w:lvlJc w:val="left"/>
      <w:lvlText w:val="%1"/>
      <w:numFmt w:val="decimal"/>
      <w:start w:val="46"/>
    </w:lvl>
  </w:abstractNum>
  <w:abstractNum w:abstractNumId="106">
    <w:nsid w:val="4F97E3E4"/>
    <w:multiLevelType w:val="hybridMultilevel"/>
    <w:lvl w:ilvl="0">
      <w:lvlJc w:val="left"/>
      <w:lvlText w:val="%1"/>
      <w:numFmt w:val="decimal"/>
      <w:start w:val="22"/>
    </w:lvl>
  </w:abstractNum>
  <w:abstractNum w:abstractNumId="107">
    <w:nsid w:val="53B0A9E"/>
    <w:multiLevelType w:val="hybridMultilevel"/>
    <w:lvl w:ilvl="0">
      <w:lvlJc w:val="left"/>
      <w:lvlText w:val="%1"/>
      <w:numFmt w:val="decimal"/>
      <w:start w:val="45"/>
    </w:lvl>
  </w:abstractNum>
  <w:abstractNum w:abstractNumId="108">
    <w:nsid w:val="34FD6B4F"/>
    <w:multiLevelType w:val="hybridMultilevel"/>
    <w:lvl w:ilvl="0">
      <w:lvlJc w:val="left"/>
      <w:lvlText w:val="%1"/>
      <w:numFmt w:val="decimal"/>
      <w:start w:val="28"/>
    </w:lvl>
  </w:abstractNum>
  <w:abstractNum w:abstractNumId="109">
    <w:nsid w:val="5915FF32"/>
    <w:multiLevelType w:val="hybridMultilevel"/>
    <w:lvl w:ilvl="0">
      <w:lvlJc w:val="left"/>
      <w:lvlText w:val="%1"/>
      <w:numFmt w:val="decimal"/>
      <w:start w:val="43"/>
    </w:lvl>
  </w:abstractNum>
  <w:abstractNum w:abstractNumId="110">
    <w:nsid w:val="56438D15"/>
    <w:multiLevelType w:val="hybridMultilevel"/>
    <w:lvl w:ilvl="0">
      <w:lvlJc w:val="left"/>
      <w:lvlText w:val="%1"/>
      <w:numFmt w:val="decimal"/>
      <w:start w:val="71"/>
    </w:lvl>
  </w:abstractNum>
  <w:abstractNum w:abstractNumId="111">
    <w:nsid w:val="519E3149"/>
    <w:multiLevelType w:val="hybridMultilevel"/>
    <w:lvl w:ilvl="0">
      <w:lvlJc w:val="left"/>
      <w:lvlText w:val="%1"/>
      <w:numFmt w:val="decimal"/>
      <w:start w:val="28"/>
    </w:lvl>
  </w:abstractNum>
  <w:abstractNum w:abstractNumId="112">
    <w:nsid w:val="2C6E4AFD"/>
    <w:multiLevelType w:val="hybridMultilevel"/>
    <w:lvl w:ilvl="0">
      <w:lvlJc w:val="left"/>
      <w:lvlText w:val="%1"/>
      <w:numFmt w:val="decimal"/>
      <w:start w:val="43"/>
    </w:lvl>
  </w:abstractNum>
  <w:abstractNum w:abstractNumId="113">
    <w:nsid w:val="17A1B582"/>
    <w:multiLevelType w:val="hybridMultilevel"/>
    <w:lvl w:ilvl="0">
      <w:lvlJc w:val="left"/>
      <w:lvlText w:val="%1"/>
      <w:numFmt w:val="decimal"/>
      <w:start w:val="71"/>
    </w:lvl>
  </w:abstractNum>
  <w:abstractNum w:abstractNumId="114">
    <w:nsid w:val="4DF72E4E"/>
    <w:multiLevelType w:val="hybridMultilevel"/>
    <w:lvl w:ilvl="0">
      <w:lvlJc w:val="left"/>
      <w:lvlText w:val="(%1)"/>
      <w:numFmt w:val="decimal"/>
      <w:start w:val="1"/>
    </w:lvl>
  </w:abstractNum>
  <w:abstractNum w:abstractNumId="115">
    <w:nsid w:val="5046B5A9"/>
    <w:multiLevelType w:val="hybridMultilevel"/>
    <w:lvl w:ilvl="0">
      <w:lvlJc w:val="left"/>
      <w:lvlText w:val="(%1)"/>
      <w:numFmt w:val="decimal"/>
      <w:start w:val="3"/>
    </w:lvl>
  </w:abstractNum>
  <w:abstractNum w:abstractNumId="116">
    <w:nsid w:val="5D888A08"/>
    <w:multiLevelType w:val="hybridMultilevel"/>
    <w:lvl w:ilvl="0">
      <w:lvlJc w:val="left"/>
      <w:lvlText w:val="(%1)"/>
      <w:numFmt w:val="decimal"/>
      <w:start w:val="1"/>
    </w:lvl>
  </w:abstractNum>
  <w:abstractNum w:abstractNumId="117">
    <w:nsid w:val="2A082C70"/>
    <w:multiLevelType w:val="hybridMultilevel"/>
    <w:lvl w:ilvl="0">
      <w:lvlJc w:val="left"/>
      <w:lvlText w:val="(%1)"/>
      <w:numFmt w:val="decimal"/>
      <w:start w:val="1"/>
    </w:lvl>
  </w:abstractNum>
  <w:abstractNum w:abstractNumId="118">
    <w:nsid w:val="5EC6AFD4"/>
    <w:multiLevelType w:val="hybridMultilevel"/>
    <w:lvl w:ilvl="0">
      <w:lvlJc w:val="left"/>
      <w:lvlText w:val="%1"/>
      <w:numFmt w:val="decimal"/>
      <w:start w:val="91"/>
    </w:lvl>
  </w:abstractNum>
  <w:abstractNum w:abstractNumId="119">
    <w:nsid w:val="19E21BB2"/>
    <w:multiLevelType w:val="hybridMultilevel"/>
    <w:lvl w:ilvl="0">
      <w:lvlJc w:val="left"/>
      <w:lvlText w:val="%1"/>
      <w:numFmt w:val="decimal"/>
      <w:start w:val="28"/>
    </w:lvl>
  </w:abstractNum>
  <w:abstractNum w:abstractNumId="120">
    <w:nsid w:val="75E0858A"/>
    <w:multiLevelType w:val="hybridMultilevel"/>
    <w:lvl w:ilvl="0">
      <w:lvlJc w:val="left"/>
      <w:lvlText w:val="$"/>
      <w:numFmt w:val="bullet"/>
      <w:start w:val="1"/>
    </w:lvl>
  </w:abstractNum>
  <w:abstractNum w:abstractNumId="121">
    <w:nsid w:val="57A61A29"/>
    <w:multiLevelType w:val="hybridMultilevel"/>
    <w:lvl w:ilvl="0">
      <w:lvlJc w:val="left"/>
      <w:lvlText w:val="$"/>
      <w:numFmt w:val="bullet"/>
      <w:start w:val="1"/>
    </w:lvl>
    <w:lvl w:ilvl="1">
      <w:lvlJc w:val="left"/>
      <w:lvlText w:val="(%2)"/>
      <w:numFmt w:val="decimal"/>
      <w:start w:val="24"/>
    </w:lvl>
  </w:abstractNum>
  <w:abstractNum w:abstractNumId="122">
    <w:nsid w:val="5399C654"/>
    <w:multiLevelType w:val="hybridMultilevel"/>
    <w:lvl w:ilvl="0">
      <w:lvlJc w:val="left"/>
      <w:lvlText w:val="$"/>
      <w:numFmt w:val="bullet"/>
      <w:start w:val="1"/>
    </w:lvl>
  </w:abstractNum>
  <w:abstractNum w:abstractNumId="123">
    <w:nsid w:val="20EE1348"/>
    <w:multiLevelType w:val="hybridMultilevel"/>
    <w:lvl w:ilvl="0">
      <w:lvlJc w:val="left"/>
      <w:lvlText w:val="%1"/>
      <w:numFmt w:val="decimal"/>
      <w:start w:val="96"/>
    </w:lvl>
  </w:abstractNum>
  <w:abstractNum w:abstractNumId="124">
    <w:nsid w:val="4427069A"/>
    <w:multiLevelType w:val="hybridMultilevel"/>
    <w:lvl w:ilvl="0">
      <w:lvlJc w:val="left"/>
      <w:lvlText w:val="%1"/>
      <w:numFmt w:val="decimal"/>
      <w:start w:val="25"/>
    </w:lvl>
  </w:abstractNum>
  <w:abstractNum w:abstractNumId="125">
    <w:nsid w:val="B37E80A"/>
    <w:multiLevelType w:val="hybridMultilevel"/>
    <w:lvl w:ilvl="0">
      <w:lvlJc w:val="left"/>
      <w:lvlText w:val="$"/>
      <w:numFmt w:val="bullet"/>
      <w:start w:val="1"/>
    </w:lvl>
  </w:abstractNum>
  <w:abstractNum w:abstractNumId="126">
    <w:nsid w:val="2157F6BC"/>
    <w:multiLevelType w:val="hybridMultilevel"/>
    <w:lvl w:ilvl="0">
      <w:lvlJc w:val="left"/>
      <w:lvlText w:val="$"/>
      <w:numFmt w:val="bullet"/>
      <w:start w:val="1"/>
    </w:lvl>
    <w:lvl w:ilvl="1">
      <w:lvlJc w:val="left"/>
      <w:lvlText w:val="(%2)"/>
      <w:numFmt w:val="decimal"/>
      <w:start w:val="62"/>
    </w:lvl>
  </w:abstractNum>
  <w:abstractNum w:abstractNumId="127">
    <w:nsid w:val="704E1DD5"/>
    <w:multiLevelType w:val="hybridMultilevel"/>
    <w:lvl w:ilvl="0">
      <w:lvlJc w:val="left"/>
      <w:lvlText w:val="$"/>
      <w:numFmt w:val="bullet"/>
      <w:start w:val="1"/>
    </w:lvl>
  </w:abstractNum>
  <w:abstractNum w:abstractNumId="128">
    <w:nsid w:val="57D2F10E"/>
    <w:multiLevelType w:val="hybridMultilevel"/>
    <w:lvl w:ilvl="0">
      <w:lvlJc w:val="left"/>
      <w:lvlText w:val="(%1)"/>
      <w:numFmt w:val="decimal"/>
      <w:start w:val="1"/>
    </w:lvl>
  </w:abstractNum>
  <w:abstractNum w:abstractNumId="129">
    <w:nsid w:val="BFFAE18"/>
    <w:multiLevelType w:val="hybridMultilevel"/>
    <w:lvl w:ilvl="0">
      <w:lvlJc w:val="left"/>
      <w:lvlText w:val="(%1)"/>
      <w:numFmt w:val="decimal"/>
      <w:start w:val="1"/>
    </w:lvl>
  </w:abstractNum>
  <w:abstractNum w:abstractNumId="130">
    <w:nsid w:val="E3E47A8"/>
    <w:multiLevelType w:val="hybridMultilevel"/>
    <w:lvl w:ilvl="0">
      <w:lvlJc w:val="left"/>
      <w:lvlText w:val="(%1)"/>
      <w:numFmt w:val="decimal"/>
      <w:start w:val="1"/>
    </w:lvl>
  </w:abstractNum>
  <w:abstractNum w:abstractNumId="131">
    <w:nsid w:val="2E48F044"/>
    <w:multiLevelType w:val="hybridMultilevel"/>
    <w:lvl w:ilvl="0">
      <w:lvlJc w:val="left"/>
      <w:lvlText w:val="•"/>
      <w:numFmt w:val="bullet"/>
      <w:start w:val="1"/>
    </w:lvl>
    <w:lvl w:ilvl="1">
      <w:lvlJc w:val="left"/>
      <w:lvlText w:val="◦"/>
      <w:numFmt w:val="bullet"/>
      <w:start w:val="1"/>
    </w:lvl>
  </w:abstractNum>
  <w:abstractNum w:abstractNumId="132">
    <w:nsid w:val="49D0FEAC"/>
    <w:multiLevelType w:val="hybridMultilevel"/>
    <w:lvl w:ilvl="0">
      <w:lvlJc w:val="left"/>
      <w:lvlText w:val="(%1)"/>
      <w:numFmt w:val="decimal"/>
      <w:start w:val="1"/>
    </w:lvl>
  </w:abstractNum>
  <w:abstractNum w:abstractNumId="133">
    <w:nsid w:val="4BEE5A5B"/>
    <w:multiLevelType w:val="hybridMultilevel"/>
    <w:lvl w:ilvl="0">
      <w:lvlJc w:val="left"/>
      <w:lvlText w:val="•"/>
      <w:numFmt w:val="bullet"/>
      <w:start w:val="1"/>
    </w:lvl>
  </w:abstractNum>
  <w:abstractNum w:abstractNumId="134">
    <w:nsid w:val="5551B9F3"/>
    <w:multiLevelType w:val="hybridMultilevel"/>
    <w:lvl w:ilvl="0">
      <w:lvlJc w:val="left"/>
      <w:lvlText w:val="•"/>
      <w:numFmt w:val="bullet"/>
      <w:start w:val="1"/>
    </w:lvl>
  </w:abstractNum>
  <w:abstractNum w:abstractNumId="135">
    <w:nsid w:val="24F6AB8E"/>
    <w:multiLevelType w:val="hybridMultilevel"/>
    <w:lvl w:ilvl="0">
      <w:lvlJc w:val="left"/>
      <w:lvlText w:val="*"/>
      <w:numFmt w:val="bullet"/>
      <w:start w:val="1"/>
    </w:lvl>
    <w:lvl w:ilvl="1">
      <w:lvlJc w:val="left"/>
      <w:lvlText w:val="%2"/>
      <w:numFmt w:val="decimal"/>
      <w:start w:val="104"/>
    </w:lvl>
  </w:abstractNum>
  <w:abstractNum w:abstractNumId="136">
    <w:nsid w:val="634C574C"/>
    <w:multiLevelType w:val="hybridMultilevel"/>
    <w:lvl w:ilvl="0">
      <w:lvlJc w:val="left"/>
      <w:lvlText w:val="%1."/>
      <w:numFmt w:val="decimal"/>
      <w:start w:val="1"/>
    </w:lvl>
    <w:lvl w:ilvl="1">
      <w:lvlJc w:val="left"/>
      <w:lvlText w:val="%2."/>
      <w:numFmt w:val="lowerLetter"/>
      <w:start w:val="1"/>
    </w:lvl>
  </w:abstractNum>
  <w:abstractNum w:abstractNumId="137">
    <w:nsid w:val="24E99DD7"/>
    <w:multiLevelType w:val="hybridMultilevel"/>
    <w:lvl w:ilvl="0">
      <w:lvlJc w:val="left"/>
      <w:lvlText w:val="%1."/>
      <w:numFmt w:val="decimal"/>
      <w:start w:val="1"/>
    </w:lvl>
    <w:lvl w:ilvl="1">
      <w:lvlJc w:val="left"/>
      <w:lvlText w:val="%2."/>
      <w:numFmt w:val="lowerLetter"/>
      <w:start w:val="1"/>
    </w:lvl>
  </w:abstractNum>
  <w:abstractNum w:abstractNumId="138">
    <w:nsid w:val="2A31B62D"/>
    <w:multiLevelType w:val="hybridMultilevel"/>
    <w:lvl w:ilvl="0">
      <w:lvlJc w:val="left"/>
      <w:lvlText w:val="%1."/>
      <w:numFmt w:val="decimal"/>
      <w:start w:val="1"/>
    </w:lvl>
  </w:abstractNum>
  <w:abstractNum w:abstractNumId="139">
    <w:nsid w:val="1849C2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2" Type="http://schemas.openxmlformats.org/officeDocument/2006/relationships/image" Target="media/image553.png"/><Relationship Id="rId563" Type="http://schemas.openxmlformats.org/officeDocument/2006/relationships/image" Target="media/image554.png"/><Relationship Id="rId564" Type="http://schemas.openxmlformats.org/officeDocument/2006/relationships/image" Target="media/image555.png"/><Relationship Id="rId565" Type="http://schemas.openxmlformats.org/officeDocument/2006/relationships/image" Target="media/image556.png"/><Relationship Id="rId566" Type="http://schemas.openxmlformats.org/officeDocument/2006/relationships/image" Target="media/image557.png"/><Relationship Id="rId567" Type="http://schemas.openxmlformats.org/officeDocument/2006/relationships/image" Target="media/image558.png"/><Relationship Id="rId568" Type="http://schemas.openxmlformats.org/officeDocument/2006/relationships/image" Target="media/image559.jpeg"/><Relationship Id="rId569" Type="http://schemas.openxmlformats.org/officeDocument/2006/relationships/image" Target="media/image560.png"/><Relationship Id="rId570" Type="http://schemas.openxmlformats.org/officeDocument/2006/relationships/image" Target="media/image561.png"/><Relationship Id="rId571" Type="http://schemas.openxmlformats.org/officeDocument/2006/relationships/image" Target="media/image562.png"/><Relationship Id="rId572" Type="http://schemas.openxmlformats.org/officeDocument/2006/relationships/image" Target="media/image563.png"/><Relationship Id="rId560" Type="http://schemas.openxmlformats.org/officeDocument/2006/relationships/hyperlink" Target="https://www.sec.gov/Archives/edgar/data/310522/000031052219000385/fanniemaecharteractex31.htm" TargetMode="External"/><Relationship Id="rId561" Type="http://schemas.openxmlformats.org/officeDocument/2006/relationships/hyperlink" Target="http://www.sec.gov/Archives/edgar/data/310522/000031052219000116/fanniemae201810k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2023-08-01T06:29:44Z</dcterms:created>
  <dcterms:modified xsi:type="dcterms:W3CDTF">2023-08-01T06:29:44Z</dcterms:modified>
</cp:coreProperties>
</file>