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25" w:lineRule="exact"/>
        <w:rPr>
          <w:sz w:val="20"/>
          <w:szCs w:val="20"/>
          <w:color w:val="auto"/>
        </w:rPr>
      </w:pPr>
    </w:p>
    <w:p>
      <w:pPr>
        <w:jc w:val="center"/>
        <w:ind w:right="-119"/>
        <w:spacing w:after="0"/>
        <w:tabs>
          <w:tab w:leader="none" w:pos="240" w:val="left"/>
        </w:tabs>
        <w:rPr>
          <w:sz w:val="20"/>
          <w:szCs w:val="20"/>
          <w:color w:val="auto"/>
        </w:rPr>
      </w:pPr>
      <w:r>
        <w:rPr>
          <w:rFonts w:ascii="Arial" w:cs="Arial" w:eastAsia="Arial" w:hAnsi="Arial"/>
          <w:sz w:val="18"/>
          <w:szCs w:val="18"/>
          <w:color w:val="auto"/>
        </w:rPr>
        <w:t>Exchange Act of 1934 (Amendment No.</w:t>
        <w:tab/>
        <w:t>)</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0"/>
          <w:szCs w:val="20"/>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§240.14a-12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Federal National Mortgage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line="268"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-4053205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-3632835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-3075305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-2655570</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-2235200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-1111885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-691515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-271145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148590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DEFA14A submission is being refiled solely for the purpose of including the Schedule 14A cover page which was inadvertantly omitted from the original filing on November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38" w:right="35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5343525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577850</wp:posOffset>
            </wp:positionH>
            <wp:positionV relativeFrom="page">
              <wp:posOffset>620395</wp:posOffset>
            </wp:positionV>
            <wp:extent cx="6405880" cy="4262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05880" cy="4262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5309235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560705</wp:posOffset>
            </wp:positionH>
            <wp:positionV relativeFrom="page">
              <wp:posOffset>620395</wp:posOffset>
            </wp:positionV>
            <wp:extent cx="6440170" cy="4227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40170"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5274945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620395</wp:posOffset>
            </wp:positionV>
            <wp:extent cx="6431915" cy="4193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193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620395</wp:posOffset>
            </wp:positionV>
            <wp:extent cx="6397625" cy="4090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97625" cy="4090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2019-12-12T12:03:35Z</dcterms:created>
  <dcterms:modified xsi:type="dcterms:W3CDTF">2019-12-12T12:03:35Z</dcterms:modified>
</cp:coreProperties>
</file>