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3" w:lineRule="auto"/>
        <w:framePr w:w="500" w:h="98" w:wrap="auto" w:vAnchor="page" w:hAnchor="page" w:x="260" w:y="7134"/>
        <w:rPr>
          <w:rFonts w:ascii="Arial" w:cs="Arial" w:eastAsia="Arial" w:hAnsi="Arial"/>
          <w:sz w:val="10"/>
          <w:szCs w:val="10"/>
          <w:color w:val="auto"/>
        </w:rPr>
      </w:pPr>
      <w:r>
        <w:rPr>
          <w:rFonts w:ascii="Arial" w:cs="Arial" w:eastAsia="Arial" w:hAnsi="Arial"/>
          <w:sz w:val="10"/>
          <w:szCs w:val="10"/>
          <w:color w:val="auto"/>
        </w:rPr>
        <w:t>chapter).</w:t>
      </w: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0"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38"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310"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116"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18"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February 11, 2026</w:t>
      </w:r>
    </w:p>
    <w:p>
      <w:pPr>
        <w:spacing w:after="0" w:line="267"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26"/>
          <w:szCs w:val="26"/>
          <w:b w:val="1"/>
          <w:bCs w:val="1"/>
          <w:color w:val="auto"/>
        </w:rPr>
        <w:t>Federal National Mortgage Association</w:t>
      </w:r>
    </w:p>
    <w:p>
      <w:pPr>
        <w:spacing w:after="0" w:line="28"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30" w:lineRule="exact"/>
        <w:rPr>
          <w:rFonts w:ascii="Arial" w:cs="Arial" w:eastAsia="Arial" w:hAnsi="Arial"/>
          <w:sz w:val="10"/>
          <w:szCs w:val="10"/>
          <w:color w:val="auto"/>
        </w:rPr>
      </w:pPr>
    </w:p>
    <w:p>
      <w:pPr>
        <w:jc w:val="center"/>
        <w:ind w:right="-79"/>
        <w:spacing w:after="0"/>
        <w:rPr>
          <w:sz w:val="20"/>
          <w:szCs w:val="20"/>
          <w:color w:val="auto"/>
        </w:rPr>
      </w:pPr>
      <w:r>
        <w:rPr>
          <w:rFonts w:ascii="Arial" w:cs="Arial" w:eastAsia="Arial" w:hAnsi="Arial"/>
          <w:sz w:val="26"/>
          <w:szCs w:val="26"/>
          <w:b w:val="1"/>
          <w:bCs w:val="1"/>
          <w:color w:val="auto"/>
        </w:rPr>
        <w:t>Fannie Mae</w:t>
      </w:r>
    </w:p>
    <w:p>
      <w:pPr>
        <w:spacing w:after="0" w:line="47" w:lineRule="exact"/>
        <w:rPr>
          <w:rFonts w:ascii="Arial" w:cs="Arial" w:eastAsia="Arial" w:hAnsi="Arial"/>
          <w:sz w:val="10"/>
          <w:szCs w:val="10"/>
          <w:color w:val="auto"/>
        </w:rPr>
      </w:pPr>
    </w:p>
    <w:tbl>
      <w:tblPr>
        <w:tblLayout w:type="fixed"/>
        <w:tblInd w:w="0" w:type="dxa"/>
        <w:tblCellMar>
          <w:top w:w="0" w:type="dxa"/>
          <w:left w:w="0" w:type="dxa"/>
          <w:bottom w:w="0" w:type="dxa"/>
          <w:right w:w="0" w:type="dxa"/>
        </w:tblCellMar>
      </w:tblPr>
      <w:tr>
        <w:trPr>
          <w:trHeight w:val="133"/>
        </w:trPr>
        <w:tc>
          <w:tcPr>
            <w:tcW w:w="3360" w:type="dxa"/>
            <w:vAlign w:val="bottom"/>
            <w:tcBorders>
              <w:top w:val="single" w:sz="8" w:color="auto"/>
            </w:tcBorders>
          </w:tcPr>
          <w:p>
            <w:pPr>
              <w:jc w:val="center"/>
              <w:ind w:left="270"/>
              <w:spacing w:after="0"/>
              <w:rPr>
                <w:sz w:val="20"/>
                <w:szCs w:val="20"/>
                <w:color w:val="auto"/>
              </w:rPr>
            </w:pPr>
            <w:r>
              <w:rPr>
                <w:rFonts w:ascii="Arial" w:cs="Arial" w:eastAsia="Arial" w:hAnsi="Arial"/>
                <w:sz w:val="11"/>
                <w:szCs w:val="11"/>
                <w:b w:val="1"/>
                <w:bCs w:val="1"/>
                <w:color w:val="auto"/>
                <w:w w:val="98"/>
              </w:rPr>
              <w:t>Federally chartered corporation</w:t>
            </w:r>
          </w:p>
        </w:tc>
        <w:tc>
          <w:tcPr>
            <w:tcW w:w="1600" w:type="dxa"/>
            <w:vAlign w:val="bottom"/>
            <w:tcBorders>
              <w:top w:val="single" w:sz="8" w:color="auto"/>
            </w:tcBorders>
          </w:tcPr>
          <w:p>
            <w:pPr>
              <w:jc w:val="center"/>
              <w:ind w:left="310"/>
              <w:spacing w:after="0"/>
              <w:rPr>
                <w:sz w:val="20"/>
                <w:szCs w:val="20"/>
                <w:color w:val="auto"/>
              </w:rPr>
            </w:pPr>
            <w:r>
              <w:rPr>
                <w:rFonts w:ascii="Arial" w:cs="Arial" w:eastAsia="Arial" w:hAnsi="Arial"/>
                <w:sz w:val="11"/>
                <w:szCs w:val="11"/>
                <w:b w:val="1"/>
                <w:bCs w:val="1"/>
                <w:color w:val="auto"/>
                <w:w w:val="98"/>
              </w:rPr>
              <w:t>0-50231</w:t>
            </w:r>
          </w:p>
        </w:tc>
        <w:tc>
          <w:tcPr>
            <w:tcW w:w="1340" w:type="dxa"/>
            <w:vAlign w:val="bottom"/>
            <w:tcBorders>
              <w:top w:val="single" w:sz="8" w:color="auto"/>
            </w:tcBorders>
          </w:tcPr>
          <w:p>
            <w:pPr>
              <w:jc w:val="center"/>
              <w:ind w:left="30"/>
              <w:spacing w:after="0"/>
              <w:rPr>
                <w:sz w:val="20"/>
                <w:szCs w:val="20"/>
                <w:color w:val="auto"/>
              </w:rPr>
            </w:pPr>
            <w:r>
              <w:rPr>
                <w:rFonts w:ascii="Arial" w:cs="Arial" w:eastAsia="Arial" w:hAnsi="Arial"/>
                <w:sz w:val="11"/>
                <w:szCs w:val="11"/>
                <w:b w:val="1"/>
                <w:bCs w:val="1"/>
                <w:color w:val="auto"/>
                <w:w w:val="98"/>
              </w:rPr>
              <w:t>52-0883107</w:t>
            </w:r>
          </w:p>
        </w:tc>
        <w:tc>
          <w:tcPr>
            <w:tcW w:w="1980" w:type="dxa"/>
            <w:vAlign w:val="bottom"/>
            <w:tcBorders>
              <w:top w:val="single" w:sz="8" w:color="auto"/>
            </w:tcBorders>
            <w:gridSpan w:val="2"/>
          </w:tcPr>
          <w:p>
            <w:pPr>
              <w:jc w:val="center"/>
              <w:ind w:left="668"/>
              <w:spacing w:after="0"/>
              <w:rPr>
                <w:sz w:val="20"/>
                <w:szCs w:val="20"/>
                <w:color w:val="auto"/>
              </w:rPr>
            </w:pPr>
            <w:r>
              <w:rPr>
                <w:rFonts w:ascii="Arial" w:cs="Arial" w:eastAsia="Arial" w:hAnsi="Arial"/>
                <w:sz w:val="11"/>
                <w:szCs w:val="11"/>
                <w:b w:val="1"/>
                <w:bCs w:val="1"/>
                <w:color w:val="auto"/>
                <w:w w:val="97"/>
              </w:rPr>
              <w:t>1100 15th Street, NW</w:t>
            </w:r>
          </w:p>
        </w:tc>
        <w:tc>
          <w:tcPr>
            <w:tcW w:w="6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09"/>
              <w:spacing w:after="0"/>
              <w:rPr>
                <w:sz w:val="20"/>
                <w:szCs w:val="20"/>
                <w:color w:val="auto"/>
              </w:rPr>
            </w:pPr>
            <w:r>
              <w:rPr>
                <w:rFonts w:ascii="Arial" w:cs="Arial" w:eastAsia="Arial" w:hAnsi="Arial"/>
                <w:sz w:val="11"/>
                <w:szCs w:val="11"/>
                <w:b w:val="1"/>
                <w:bCs w:val="1"/>
                <w:color w:val="auto"/>
              </w:rPr>
              <w:t>800</w:t>
            </w:r>
          </w:p>
        </w:tc>
        <w:tc>
          <w:tcPr>
            <w:tcW w:w="1760" w:type="dxa"/>
            <w:vAlign w:val="bottom"/>
            <w:tcBorders>
              <w:top w:val="single" w:sz="8" w:color="auto"/>
            </w:tcBorders>
          </w:tcPr>
          <w:p>
            <w:pPr>
              <w:jc w:val="right"/>
              <w:ind w:right="1086"/>
              <w:spacing w:after="0"/>
              <w:rPr>
                <w:sz w:val="20"/>
                <w:szCs w:val="20"/>
                <w:color w:val="auto"/>
              </w:rPr>
            </w:pPr>
            <w:r>
              <w:rPr>
                <w:rFonts w:ascii="Arial" w:cs="Arial" w:eastAsia="Arial" w:hAnsi="Arial"/>
                <w:sz w:val="11"/>
                <w:szCs w:val="11"/>
                <w:b w:val="1"/>
                <w:bCs w:val="1"/>
                <w:color w:val="auto"/>
              </w:rPr>
              <w:t>232-6643</w:t>
            </w:r>
          </w:p>
        </w:tc>
      </w:tr>
      <w:tr>
        <w:trPr>
          <w:trHeight w:val="148"/>
        </w:trPr>
        <w:tc>
          <w:tcPr>
            <w:tcW w:w="3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tcPr>
          <w:p>
            <w:pPr>
              <w:ind w:left="480"/>
              <w:spacing w:after="0"/>
              <w:rPr>
                <w:sz w:val="20"/>
                <w:szCs w:val="20"/>
                <w:color w:val="auto"/>
              </w:rPr>
            </w:pPr>
            <w:r>
              <w:rPr>
                <w:rFonts w:ascii="Arial" w:cs="Arial" w:eastAsia="Arial" w:hAnsi="Arial"/>
                <w:sz w:val="11"/>
                <w:szCs w:val="11"/>
                <w:b w:val="1"/>
                <w:bCs w:val="1"/>
                <w:color w:val="auto"/>
              </w:rPr>
              <w:t>Washington,</w:t>
            </w:r>
          </w:p>
        </w:tc>
        <w:tc>
          <w:tcPr>
            <w:tcW w:w="800" w:type="dxa"/>
            <w:vAlign w:val="bottom"/>
          </w:tcPr>
          <w:p>
            <w:pPr>
              <w:ind w:left="400"/>
              <w:spacing w:after="0"/>
              <w:rPr>
                <w:sz w:val="20"/>
                <w:szCs w:val="20"/>
                <w:color w:val="auto"/>
              </w:rPr>
            </w:pPr>
            <w:r>
              <w:rPr>
                <w:rFonts w:ascii="Arial" w:cs="Arial" w:eastAsia="Arial" w:hAnsi="Arial"/>
                <w:sz w:val="11"/>
                <w:szCs w:val="11"/>
                <w:b w:val="1"/>
                <w:bCs w:val="1"/>
                <w:color w:val="auto"/>
              </w:rPr>
              <w:t>DC</w:t>
            </w:r>
          </w:p>
        </w:tc>
        <w:tc>
          <w:tcPr>
            <w:tcW w:w="600" w:type="dxa"/>
            <w:vAlign w:val="bottom"/>
          </w:tcPr>
          <w:p>
            <w:pPr>
              <w:jc w:val="right"/>
              <w:ind w:right="166"/>
              <w:spacing w:after="0"/>
              <w:rPr>
                <w:sz w:val="20"/>
                <w:szCs w:val="20"/>
                <w:color w:val="auto"/>
              </w:rPr>
            </w:pPr>
            <w:r>
              <w:rPr>
                <w:rFonts w:ascii="Arial" w:cs="Arial" w:eastAsia="Arial" w:hAnsi="Arial"/>
                <w:sz w:val="11"/>
                <w:szCs w:val="11"/>
                <w:b w:val="1"/>
                <w:bCs w:val="1"/>
                <w:color w:val="auto"/>
              </w:rPr>
              <w:t>20005</w:t>
            </w:r>
          </w:p>
        </w:tc>
        <w:tc>
          <w:tcPr>
            <w:tcW w:w="64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99"/>
        </w:trPr>
        <w:tc>
          <w:tcPr>
            <w:tcW w:w="3360" w:type="dxa"/>
            <w:vAlign w:val="bottom"/>
          </w:tcPr>
          <w:p>
            <w:pPr>
              <w:jc w:val="center"/>
              <w:ind w:left="270"/>
              <w:spacing w:after="0" w:line="99" w:lineRule="exact"/>
              <w:rPr>
                <w:sz w:val="20"/>
                <w:szCs w:val="20"/>
                <w:color w:val="auto"/>
              </w:rPr>
            </w:pPr>
            <w:r>
              <w:rPr>
                <w:rFonts w:ascii="Arial" w:cs="Arial" w:eastAsia="Arial" w:hAnsi="Arial"/>
                <w:sz w:val="10"/>
                <w:szCs w:val="10"/>
                <w:i w:val="1"/>
                <w:iCs w:val="1"/>
                <w:color w:val="auto"/>
                <w:w w:val="94"/>
              </w:rPr>
              <w:t>(State or other jurisdiction</w:t>
            </w:r>
          </w:p>
        </w:tc>
        <w:tc>
          <w:tcPr>
            <w:tcW w:w="1600" w:type="dxa"/>
            <w:vAlign w:val="bottom"/>
          </w:tcPr>
          <w:p>
            <w:pPr>
              <w:jc w:val="center"/>
              <w:ind w:left="310"/>
              <w:spacing w:after="0" w:line="99" w:lineRule="exact"/>
              <w:rPr>
                <w:sz w:val="20"/>
                <w:szCs w:val="20"/>
                <w:color w:val="auto"/>
              </w:rPr>
            </w:pPr>
            <w:r>
              <w:rPr>
                <w:rFonts w:ascii="Arial" w:cs="Arial" w:eastAsia="Arial" w:hAnsi="Arial"/>
                <w:sz w:val="10"/>
                <w:szCs w:val="10"/>
                <w:i w:val="1"/>
                <w:iCs w:val="1"/>
                <w:color w:val="auto"/>
                <w:w w:val="95"/>
              </w:rPr>
              <w:t>(Commission</w:t>
            </w:r>
          </w:p>
        </w:tc>
        <w:tc>
          <w:tcPr>
            <w:tcW w:w="1340" w:type="dxa"/>
            <w:vAlign w:val="bottom"/>
          </w:tcPr>
          <w:p>
            <w:pPr>
              <w:jc w:val="center"/>
              <w:ind w:left="30"/>
              <w:spacing w:after="0" w:line="99" w:lineRule="exact"/>
              <w:rPr>
                <w:sz w:val="20"/>
                <w:szCs w:val="20"/>
                <w:color w:val="auto"/>
              </w:rPr>
            </w:pPr>
            <w:r>
              <w:rPr>
                <w:rFonts w:ascii="Arial" w:cs="Arial" w:eastAsia="Arial" w:hAnsi="Arial"/>
                <w:sz w:val="10"/>
                <w:szCs w:val="10"/>
                <w:i w:val="1"/>
                <w:iCs w:val="1"/>
                <w:color w:val="auto"/>
                <w:w w:val="95"/>
              </w:rPr>
              <w:t>(IRS Employer</w:t>
            </w:r>
          </w:p>
        </w:tc>
        <w:tc>
          <w:tcPr>
            <w:tcW w:w="2580" w:type="dxa"/>
            <w:vAlign w:val="bottom"/>
            <w:gridSpan w:val="3"/>
          </w:tcPr>
          <w:p>
            <w:pPr>
              <w:jc w:val="center"/>
              <w:ind w:left="88"/>
              <w:spacing w:after="0" w:line="99" w:lineRule="exact"/>
              <w:rPr>
                <w:sz w:val="20"/>
                <w:szCs w:val="20"/>
                <w:color w:val="auto"/>
              </w:rPr>
            </w:pPr>
            <w:r>
              <w:rPr>
                <w:rFonts w:ascii="Arial" w:cs="Arial" w:eastAsia="Arial" w:hAnsi="Arial"/>
                <w:sz w:val="10"/>
                <w:szCs w:val="10"/>
                <w:i w:val="1"/>
                <w:iCs w:val="1"/>
                <w:color w:val="auto"/>
                <w:w w:val="96"/>
              </w:rPr>
              <w:t>(Address of principal executive offices, including zip</w:t>
            </w:r>
          </w:p>
        </w:tc>
        <w:tc>
          <w:tcPr>
            <w:tcW w:w="2400" w:type="dxa"/>
            <w:vAlign w:val="bottom"/>
            <w:gridSpan w:val="2"/>
          </w:tcPr>
          <w:p>
            <w:pPr>
              <w:jc w:val="right"/>
              <w:spacing w:after="0" w:line="99" w:lineRule="exact"/>
              <w:rPr>
                <w:sz w:val="20"/>
                <w:szCs w:val="20"/>
                <w:color w:val="auto"/>
              </w:rPr>
            </w:pPr>
            <w:r>
              <w:rPr>
                <w:rFonts w:ascii="Arial" w:cs="Arial" w:eastAsia="Arial" w:hAnsi="Arial"/>
                <w:sz w:val="10"/>
                <w:szCs w:val="10"/>
                <w:i w:val="1"/>
                <w:iCs w:val="1"/>
                <w:color w:val="auto"/>
              </w:rPr>
              <w:t>(Registrant’s telephone number, including area code)</w:t>
            </w:r>
          </w:p>
        </w:tc>
      </w:tr>
      <w:tr>
        <w:trPr>
          <w:trHeight w:val="122"/>
        </w:trPr>
        <w:tc>
          <w:tcPr>
            <w:tcW w:w="3360" w:type="dxa"/>
            <w:vAlign w:val="bottom"/>
            <w:tcBorders>
              <w:bottom w:val="single" w:sz="8" w:color="auto"/>
            </w:tcBorders>
          </w:tcPr>
          <w:p>
            <w:pPr>
              <w:jc w:val="center"/>
              <w:ind w:left="270"/>
              <w:spacing w:after="0"/>
              <w:rPr>
                <w:sz w:val="20"/>
                <w:szCs w:val="20"/>
                <w:color w:val="auto"/>
              </w:rPr>
            </w:pPr>
            <w:r>
              <w:rPr>
                <w:rFonts w:ascii="Arial" w:cs="Arial" w:eastAsia="Arial" w:hAnsi="Arial"/>
                <w:sz w:val="10"/>
                <w:szCs w:val="10"/>
                <w:i w:val="1"/>
                <w:iCs w:val="1"/>
                <w:color w:val="auto"/>
                <w:w w:val="94"/>
              </w:rPr>
              <w:t>of incorporation)</w:t>
            </w:r>
          </w:p>
        </w:tc>
        <w:tc>
          <w:tcPr>
            <w:tcW w:w="1600" w:type="dxa"/>
            <w:vAlign w:val="bottom"/>
            <w:tcBorders>
              <w:bottom w:val="single" w:sz="8" w:color="auto"/>
            </w:tcBorders>
          </w:tcPr>
          <w:p>
            <w:pPr>
              <w:jc w:val="center"/>
              <w:ind w:left="330"/>
              <w:spacing w:after="0"/>
              <w:rPr>
                <w:sz w:val="20"/>
                <w:szCs w:val="20"/>
                <w:color w:val="auto"/>
              </w:rPr>
            </w:pPr>
            <w:r>
              <w:rPr>
                <w:rFonts w:ascii="Arial" w:cs="Arial" w:eastAsia="Arial" w:hAnsi="Arial"/>
                <w:sz w:val="10"/>
                <w:szCs w:val="10"/>
                <w:i w:val="1"/>
                <w:iCs w:val="1"/>
                <w:color w:val="auto"/>
                <w:w w:val="93"/>
              </w:rPr>
              <w:t>File Number)</w:t>
            </w:r>
          </w:p>
        </w:tc>
        <w:tc>
          <w:tcPr>
            <w:tcW w:w="1340" w:type="dxa"/>
            <w:vAlign w:val="bottom"/>
            <w:tcBorders>
              <w:bottom w:val="single" w:sz="8" w:color="auto"/>
            </w:tcBorders>
          </w:tcPr>
          <w:p>
            <w:pPr>
              <w:jc w:val="center"/>
              <w:ind w:left="30"/>
              <w:spacing w:after="0"/>
              <w:rPr>
                <w:sz w:val="20"/>
                <w:szCs w:val="20"/>
                <w:color w:val="auto"/>
              </w:rPr>
            </w:pPr>
            <w:r>
              <w:rPr>
                <w:rFonts w:ascii="Arial" w:cs="Arial" w:eastAsia="Arial" w:hAnsi="Arial"/>
                <w:sz w:val="10"/>
                <w:szCs w:val="10"/>
                <w:i w:val="1"/>
                <w:iCs w:val="1"/>
                <w:color w:val="auto"/>
                <w:w w:val="95"/>
              </w:rPr>
              <w:t>Identification No.)</w:t>
            </w:r>
          </w:p>
        </w:tc>
        <w:tc>
          <w:tcPr>
            <w:tcW w:w="1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89"/>
              <w:spacing w:after="0"/>
              <w:rPr>
                <w:sz w:val="20"/>
                <w:szCs w:val="20"/>
                <w:color w:val="auto"/>
              </w:rPr>
            </w:pPr>
            <w:r>
              <w:rPr>
                <w:rFonts w:ascii="Arial" w:cs="Arial" w:eastAsia="Arial" w:hAnsi="Arial"/>
                <w:sz w:val="10"/>
                <w:szCs w:val="10"/>
                <w:i w:val="1"/>
                <w:iCs w:val="1"/>
                <w:color w:val="auto"/>
                <w:w w:val="95"/>
              </w:rPr>
              <w:t>code)</w:t>
            </w:r>
          </w:p>
        </w:tc>
        <w:tc>
          <w:tcPr>
            <w:tcW w:w="6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bl>
    <w:p>
      <w:pPr>
        <w:spacing w:after="0" w:line="324"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w:t>
      </w:r>
      <w:r>
        <w:rPr>
          <w:rFonts w:ascii="Arial" w:cs="Arial" w:eastAsia="Arial" w:hAnsi="Arial"/>
          <w:sz w:val="11"/>
          <w:szCs w:val="11"/>
          <w:u w:val="single" w:color="auto"/>
          <w:color w:val="auto"/>
        </w:rPr>
        <w:t>see</w:t>
      </w:r>
      <w:r>
        <w:rPr>
          <w:rFonts w:ascii="Arial" w:cs="Arial" w:eastAsia="Arial" w:hAnsi="Arial"/>
          <w:sz w:val="11"/>
          <w:szCs w:val="11"/>
          <w:color w:val="auto"/>
        </w:rPr>
        <w:t xml:space="preserve"> General Instruction A.2. below):</w:t>
      </w:r>
    </w:p>
    <w:p>
      <w:pPr>
        <w:spacing w:after="0" w:line="36" w:lineRule="exact"/>
        <w:rPr>
          <w:rFonts w:ascii="Arial" w:cs="Arial" w:eastAsia="Arial" w:hAnsi="Arial"/>
          <w:sz w:val="10"/>
          <w:szCs w:val="10"/>
          <w:color w:val="auto"/>
        </w:rPr>
      </w:pPr>
    </w:p>
    <w:p>
      <w:pPr>
        <w:ind w:left="660" w:hanging="656"/>
        <w:spacing w:after="0"/>
        <w:tabs>
          <w:tab w:leader="none" w:pos="6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89" w:lineRule="exact"/>
        <w:rPr>
          <w:rFonts w:ascii="MS PGothic" w:cs="MS PGothic" w:eastAsia="MS PGothic" w:hAnsi="MS PGothic"/>
          <w:sz w:val="11"/>
          <w:szCs w:val="11"/>
          <w:color w:val="auto"/>
        </w:rPr>
      </w:pPr>
    </w:p>
    <w:p>
      <w:pPr>
        <w:ind w:left="660" w:hanging="656"/>
        <w:spacing w:after="0"/>
        <w:tabs>
          <w:tab w:leader="none" w:pos="6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98" w:lineRule="exact"/>
        <w:rPr>
          <w:rFonts w:ascii="MS PGothic" w:cs="MS PGothic" w:eastAsia="MS PGothic" w:hAnsi="MS PGothic"/>
          <w:sz w:val="11"/>
          <w:szCs w:val="11"/>
          <w:color w:val="auto"/>
        </w:rPr>
      </w:pPr>
    </w:p>
    <w:p>
      <w:pPr>
        <w:ind w:left="660" w:hanging="656"/>
        <w:spacing w:after="0"/>
        <w:tabs>
          <w:tab w:leader="none" w:pos="6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98" w:lineRule="exact"/>
        <w:rPr>
          <w:rFonts w:ascii="MS PGothic" w:cs="MS PGothic" w:eastAsia="MS PGothic" w:hAnsi="MS PGothic"/>
          <w:sz w:val="11"/>
          <w:szCs w:val="11"/>
          <w:color w:val="auto"/>
        </w:rPr>
      </w:pPr>
    </w:p>
    <w:p>
      <w:pPr>
        <w:ind w:left="660" w:hanging="656"/>
        <w:spacing w:after="0"/>
        <w:tabs>
          <w:tab w:leader="none" w:pos="6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225"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1"/>
          <w:szCs w:val="11"/>
          <w:color w:val="auto"/>
        </w:rPr>
        <w:t>Securities registered pursuant to Section 12(b) of the Act:</w:t>
      </w:r>
    </w:p>
    <w:p>
      <w:pPr>
        <w:spacing w:after="0" w:line="15" w:lineRule="exact"/>
        <w:rPr>
          <w:rFonts w:ascii="Arial" w:cs="Arial" w:eastAsia="Arial" w:hAnsi="Arial"/>
          <w:sz w:val="10"/>
          <w:szCs w:val="10"/>
          <w:color w:val="auto"/>
        </w:rPr>
      </w:pPr>
    </w:p>
    <w:tbl>
      <w:tblPr>
        <w:tblLayout w:type="fixed"/>
        <w:tblInd w:w="10" w:type="dxa"/>
        <w:tblCellMar>
          <w:top w:w="0" w:type="dxa"/>
          <w:left w:w="0" w:type="dxa"/>
          <w:bottom w:w="0" w:type="dxa"/>
          <w:right w:w="0" w:type="dxa"/>
        </w:tblCellMar>
      </w:tblPr>
      <w:tr>
        <w:trPr>
          <w:trHeight w:val="162"/>
        </w:trPr>
        <w:tc>
          <w:tcPr>
            <w:tcW w:w="3240" w:type="dxa"/>
            <w:vAlign w:val="bottom"/>
            <w:tcBorders>
              <w:top w:val="single" w:sz="8" w:color="auto"/>
              <w:left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2"/>
                <w:szCs w:val="12"/>
                <w:b w:val="1"/>
                <w:bCs w:val="1"/>
                <w:color w:val="auto"/>
              </w:rPr>
              <w:t>Title of each class</w:t>
            </w:r>
          </w:p>
        </w:tc>
        <w:tc>
          <w:tcPr>
            <w:tcW w:w="214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2"/>
                <w:szCs w:val="12"/>
                <w:b w:val="1"/>
                <w:bCs w:val="1"/>
                <w:color w:val="auto"/>
              </w:rPr>
              <w:t>Trading Symbol(s)</w:t>
            </w:r>
          </w:p>
        </w:tc>
        <w:tc>
          <w:tcPr>
            <w:tcW w:w="5620" w:type="dxa"/>
            <w:vAlign w:val="bottom"/>
            <w:tcBorders>
              <w:top w:val="single" w:sz="8" w:color="auto"/>
              <w:bottom w:val="single" w:sz="8" w:color="auto"/>
              <w:right w:val="single" w:sz="8" w:color="auto"/>
            </w:tcBorders>
          </w:tcPr>
          <w:p>
            <w:pPr>
              <w:ind w:left="1520"/>
              <w:spacing w:after="0"/>
              <w:rPr>
                <w:sz w:val="20"/>
                <w:szCs w:val="20"/>
                <w:color w:val="auto"/>
              </w:rPr>
            </w:pPr>
            <w:r>
              <w:rPr>
                <w:rFonts w:ascii="Arial" w:cs="Arial" w:eastAsia="Arial" w:hAnsi="Arial"/>
                <w:sz w:val="12"/>
                <w:szCs w:val="12"/>
                <w:b w:val="1"/>
                <w:bCs w:val="1"/>
                <w:color w:val="auto"/>
              </w:rPr>
              <w:t>Name of each exchange on which registered</w:t>
            </w:r>
          </w:p>
        </w:tc>
      </w:tr>
      <w:tr>
        <w:trPr>
          <w:trHeight w:val="142"/>
        </w:trPr>
        <w:tc>
          <w:tcPr>
            <w:tcW w:w="3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None</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N/A</w:t>
            </w:r>
          </w:p>
        </w:tc>
        <w:tc>
          <w:tcPr>
            <w:tcW w:w="5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N/A</w:t>
            </w:r>
          </w:p>
        </w:tc>
      </w:tr>
    </w:tbl>
    <w:p>
      <w:pPr>
        <w:spacing w:after="0" w:line="261"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(§230.405 of this chapter) or Rule 12b-2 of the Securities Exchange Act of 1934 (§240.12b-2 of this</w:t>
      </w:r>
    </w:p>
    <w:p>
      <w:pPr>
        <w:spacing w:after="0" w:line="15" w:lineRule="exact"/>
        <w:rPr>
          <w:rFonts w:ascii="Arial" w:cs="Arial" w:eastAsia="Arial" w:hAnsi="Arial"/>
          <w:sz w:val="10"/>
          <w:szCs w:val="10"/>
          <w:color w:val="auto"/>
        </w:rPr>
      </w:pPr>
    </w:p>
    <w:p>
      <w:pPr>
        <w:ind w:left="966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46" w:lineRule="exact"/>
        <w:rPr>
          <w:rFonts w:ascii="Arial" w:cs="Arial" w:eastAsia="Arial" w:hAnsi="Arial"/>
          <w:sz w:val="10"/>
          <w:szCs w:val="10"/>
          <w:color w:val="auto"/>
        </w:rPr>
      </w:pPr>
    </w:p>
    <w:p>
      <w:pPr>
        <w:ind w:right="40"/>
        <w:spacing w:after="0" w:line="141"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-17145</wp:posOffset>
            </wp:positionH>
            <wp:positionV relativeFrom="paragraph">
              <wp:posOffset>351155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1" w:right="319" w:bottom="1440" w:gutter="0" w:footer="0" w:header="0"/>
        </w:sectPr>
      </w:pPr>
    </w:p>
    <w:bookmarkStart w:id="1" w:name="page2"/>
    <w:bookmarkEnd w:id="1"/>
    <w:p>
      <w:pPr>
        <w:ind w:right="120"/>
        <w:spacing w:after="0" w:line="268" w:lineRule="auto"/>
        <w:rPr>
          <w:sz w:val="20"/>
          <w:szCs w:val="20"/>
          <w:color w:val="auto"/>
        </w:rPr>
      </w:pPr>
      <w:r>
        <w:rPr>
          <w:rFonts w:ascii="Arial" w:cs="Arial" w:eastAsia="Arial" w:hAnsi="Arial"/>
          <w:sz w:val="12"/>
          <w:szCs w:val="12"/>
          <w:color w:val="auto"/>
        </w:rPr>
        <w:t>The information in this report, including information contained in the exhibits submitted with this report, shall not be deemed “filed” for purposes of Section 18 of the Securities Exchange Act of 1934, or otherwise subject to the liabilities of Section 18, nor shall it be deemed incorporated by reference into any disclosure document relating to Fannie Mae (formally known as the Federal National Mortgage Association), except to the extent, if any, expressly incorporated by specific reference in that document.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69"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On February 11, 2026, Fannie Mae filed its annual report on Form 10-K for the year ended December 31, 2025 and is issuing a press release reporting its financial results for the periods covered by the Form 10-K, as well as an earnings presentation and a financial supplement. Copies of the press release, earnings presentation, and financial supplement are furnished as Exhibits 99.1, 99.2, and 99.3, respectively, to this report and are incorporated herein by reference. Copies may also be found on Fannie Mae’s website, www.fanniemae.com, in the “About Us” section under “Investor Relations/Quarterly and Annual Results.” Information appearing on the company’s website is not incorporated into this report.</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 </w:t>
      </w:r>
      <w:r>
        <w:rPr>
          <w:rFonts w:ascii="Arial" w:cs="Arial" w:eastAsia="Arial" w:hAnsi="Arial"/>
          <w:sz w:val="12"/>
          <w:szCs w:val="12"/>
          <w:u w:val="single" w:color="auto"/>
          <w:color w:val="auto"/>
        </w:rPr>
        <w:t>Exhibits</w:t>
      </w:r>
      <w:r>
        <w:rPr>
          <w:rFonts w:ascii="Arial" w:cs="Arial" w:eastAsia="Arial" w:hAnsi="Arial"/>
          <w:sz w:val="12"/>
          <w:szCs w:val="12"/>
          <w:color w:val="auto"/>
        </w:rPr>
        <w:t>. The following exhibits are being submitted with this report: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700" w:type="dxa"/>
            <w:vAlign w:val="bottom"/>
          </w:tcPr>
          <w:p>
            <w:pPr>
              <w:ind w:left="40"/>
              <w:spacing w:after="0"/>
              <w:rPr>
                <w:sz w:val="20"/>
                <w:szCs w:val="20"/>
                <w:color w:val="auto"/>
              </w:rPr>
            </w:pPr>
            <w:r>
              <w:rPr>
                <w:rFonts w:ascii="Arial" w:cs="Arial" w:eastAsia="Arial" w:hAnsi="Arial"/>
                <w:sz w:val="10"/>
                <w:szCs w:val="10"/>
                <w:b w:val="1"/>
                <w:bCs w:val="1"/>
                <w:color w:val="auto"/>
              </w:rPr>
              <w:t>Exhibit Number</w:t>
            </w:r>
          </w:p>
        </w:tc>
        <w:tc>
          <w:tcPr>
            <w:tcW w:w="9600" w:type="dxa"/>
            <w:vAlign w:val="bottom"/>
            <w:gridSpan w:val="4"/>
          </w:tcPr>
          <w:p>
            <w:pPr>
              <w:spacing w:after="0"/>
              <w:rPr>
                <w:sz w:val="20"/>
                <w:szCs w:val="20"/>
                <w:color w:val="auto"/>
              </w:rPr>
            </w:pPr>
            <w:r>
              <w:rPr>
                <w:rFonts w:ascii="Arial" w:cs="Arial" w:eastAsia="Arial" w:hAnsi="Arial"/>
                <w:sz w:val="10"/>
                <w:szCs w:val="10"/>
                <w:b w:val="1"/>
                <w:bCs w:val="1"/>
                <w:color w:val="auto"/>
              </w:rPr>
              <w:t>Description of Exhibit</w:t>
            </w:r>
          </w:p>
        </w:tc>
      </w:tr>
      <w:tr>
        <w:trPr>
          <w:trHeight w:val="130"/>
        </w:trPr>
        <w:tc>
          <w:tcPr>
            <w:tcW w:w="1700" w:type="dxa"/>
            <w:vAlign w:val="bottom"/>
          </w:tcPr>
          <w:p>
            <w:pPr>
              <w:ind w:left="40"/>
              <w:spacing w:after="0" w:line="130" w:lineRule="exact"/>
              <w:rPr>
                <w:sz w:val="20"/>
                <w:szCs w:val="20"/>
                <w:color w:val="auto"/>
              </w:rPr>
            </w:pPr>
            <w:r>
              <w:rPr>
                <w:rFonts w:ascii="Arial" w:cs="Arial" w:eastAsia="Arial" w:hAnsi="Arial"/>
                <w:sz w:val="12"/>
                <w:szCs w:val="12"/>
                <w:color w:val="auto"/>
              </w:rPr>
              <w:t>99.1</w:t>
            </w:r>
          </w:p>
        </w:tc>
        <w:tc>
          <w:tcPr>
            <w:tcW w:w="2120" w:type="dxa"/>
            <w:vAlign w:val="bottom"/>
            <w:tcBorders>
              <w:bottom w:val="single" w:sz="8" w:color="0000FF"/>
            </w:tcBorders>
          </w:tcPr>
          <w:p>
            <w:pPr>
              <w:spacing w:after="0" w:line="130" w:lineRule="exact"/>
              <w:rPr>
                <w:sz w:val="20"/>
                <w:szCs w:val="20"/>
                <w:color w:val="auto"/>
              </w:rPr>
            </w:pPr>
            <w:r>
              <w:rPr>
                <w:rFonts w:ascii="Arial" w:cs="Arial" w:eastAsia="Arial" w:hAnsi="Arial"/>
                <w:sz w:val="12"/>
                <w:szCs w:val="12"/>
                <w:color w:val="0000FF"/>
                <w:w w:val="99"/>
              </w:rPr>
              <w:t>Press release, dated February 11, 2026</w:t>
            </w:r>
          </w:p>
        </w:tc>
        <w:tc>
          <w:tcPr>
            <w:tcW w:w="7480" w:type="dxa"/>
            <w:vAlign w:val="bottom"/>
            <w:gridSpan w:val="3"/>
          </w:tcPr>
          <w:p>
            <w:pPr>
              <w:spacing w:after="0"/>
              <w:rPr>
                <w:sz w:val="11"/>
                <w:szCs w:val="11"/>
                <w:color w:val="auto"/>
              </w:rPr>
            </w:pPr>
          </w:p>
        </w:tc>
      </w:tr>
      <w:tr>
        <w:trPr>
          <w:trHeight w:val="133"/>
        </w:trPr>
        <w:tc>
          <w:tcPr>
            <w:tcW w:w="1700" w:type="dxa"/>
            <w:vAlign w:val="bottom"/>
          </w:tcPr>
          <w:p>
            <w:pPr>
              <w:ind w:left="40"/>
              <w:spacing w:after="0" w:line="133" w:lineRule="exact"/>
              <w:rPr>
                <w:sz w:val="20"/>
                <w:szCs w:val="20"/>
                <w:color w:val="auto"/>
              </w:rPr>
            </w:pPr>
            <w:r>
              <w:rPr>
                <w:rFonts w:ascii="Arial" w:cs="Arial" w:eastAsia="Arial" w:hAnsi="Arial"/>
                <w:sz w:val="12"/>
                <w:szCs w:val="12"/>
                <w:color w:val="auto"/>
              </w:rPr>
              <w:t>99.2</w:t>
            </w:r>
          </w:p>
        </w:tc>
        <w:tc>
          <w:tcPr>
            <w:tcW w:w="3680" w:type="dxa"/>
            <w:vAlign w:val="bottom"/>
            <w:tcBorders>
              <w:bottom w:val="single" w:sz="8" w:color="0000FF"/>
            </w:tcBorders>
            <w:gridSpan w:val="3"/>
          </w:tcPr>
          <w:p>
            <w:pPr>
              <w:spacing w:after="0" w:line="133" w:lineRule="exact"/>
              <w:rPr>
                <w:sz w:val="20"/>
                <w:szCs w:val="20"/>
                <w:color w:val="auto"/>
              </w:rPr>
            </w:pPr>
            <w:r>
              <w:rPr>
                <w:rFonts w:ascii="Arial" w:cs="Arial" w:eastAsia="Arial" w:hAnsi="Arial"/>
                <w:sz w:val="12"/>
                <w:szCs w:val="12"/>
                <w:color w:val="0000FF"/>
                <w:w w:val="99"/>
              </w:rPr>
              <w:t>4Q &amp; Full Year 2025 Earnings Presentation, dated February 11, 2026</w:t>
            </w:r>
          </w:p>
        </w:tc>
        <w:tc>
          <w:tcPr>
            <w:tcW w:w="5920" w:type="dxa"/>
            <w:vAlign w:val="bottom"/>
          </w:tcPr>
          <w:p>
            <w:pPr>
              <w:spacing w:after="0"/>
              <w:rPr>
                <w:sz w:val="11"/>
                <w:szCs w:val="11"/>
                <w:color w:val="auto"/>
              </w:rPr>
            </w:pPr>
          </w:p>
        </w:tc>
      </w:tr>
      <w:tr>
        <w:trPr>
          <w:trHeight w:val="133"/>
        </w:trPr>
        <w:tc>
          <w:tcPr>
            <w:tcW w:w="1700" w:type="dxa"/>
            <w:vAlign w:val="bottom"/>
          </w:tcPr>
          <w:p>
            <w:pPr>
              <w:ind w:left="40"/>
              <w:spacing w:after="0" w:line="133" w:lineRule="exact"/>
              <w:rPr>
                <w:sz w:val="20"/>
                <w:szCs w:val="20"/>
                <w:color w:val="auto"/>
              </w:rPr>
            </w:pPr>
            <w:r>
              <w:rPr>
                <w:rFonts w:ascii="Arial" w:cs="Arial" w:eastAsia="Arial" w:hAnsi="Arial"/>
                <w:sz w:val="12"/>
                <w:szCs w:val="12"/>
                <w:color w:val="auto"/>
              </w:rPr>
              <w:t>99.3</w:t>
            </w:r>
          </w:p>
        </w:tc>
        <w:tc>
          <w:tcPr>
            <w:tcW w:w="3660" w:type="dxa"/>
            <w:vAlign w:val="bottom"/>
            <w:tcBorders>
              <w:bottom w:val="single" w:sz="8" w:color="0000FF"/>
            </w:tcBorders>
            <w:gridSpan w:val="2"/>
          </w:tcPr>
          <w:p>
            <w:pPr>
              <w:spacing w:after="0" w:line="133" w:lineRule="exact"/>
              <w:rPr>
                <w:sz w:val="20"/>
                <w:szCs w:val="20"/>
                <w:color w:val="auto"/>
              </w:rPr>
            </w:pPr>
            <w:r>
              <w:rPr>
                <w:rFonts w:ascii="Arial" w:cs="Arial" w:eastAsia="Arial" w:hAnsi="Arial"/>
                <w:sz w:val="12"/>
                <w:szCs w:val="12"/>
                <w:color w:val="0000FF"/>
                <w:w w:val="99"/>
              </w:rPr>
              <w:t>Fourth Quarter 2025 Financial Supplement, dated February 11, 2026</w:t>
            </w:r>
          </w:p>
        </w:tc>
        <w:tc>
          <w:tcPr>
            <w:tcW w:w="5940" w:type="dxa"/>
            <w:vAlign w:val="bottom"/>
            <w:gridSpan w:val="2"/>
          </w:tcPr>
          <w:p>
            <w:pPr>
              <w:spacing w:after="0"/>
              <w:rPr>
                <w:sz w:val="11"/>
                <w:szCs w:val="11"/>
                <w:color w:val="auto"/>
              </w:rPr>
            </w:pPr>
          </w:p>
        </w:tc>
      </w:tr>
      <w:tr>
        <w:trPr>
          <w:trHeight w:val="162"/>
        </w:trPr>
        <w:tc>
          <w:tcPr>
            <w:tcW w:w="1700" w:type="dxa"/>
            <w:vAlign w:val="bottom"/>
          </w:tcPr>
          <w:p>
            <w:pPr>
              <w:ind w:left="40"/>
              <w:spacing w:after="0"/>
              <w:rPr>
                <w:sz w:val="20"/>
                <w:szCs w:val="20"/>
                <w:color w:val="auto"/>
              </w:rPr>
            </w:pPr>
            <w:r>
              <w:rPr>
                <w:rFonts w:ascii="Arial" w:cs="Arial" w:eastAsia="Arial" w:hAnsi="Arial"/>
                <w:sz w:val="12"/>
                <w:szCs w:val="12"/>
                <w:color w:val="auto"/>
              </w:rPr>
              <w:t>104</w:t>
            </w:r>
          </w:p>
        </w:tc>
        <w:tc>
          <w:tcPr>
            <w:tcW w:w="9600" w:type="dxa"/>
            <w:vAlign w:val="bottom"/>
            <w:gridSpan w:val="4"/>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871"/>
        </w:trPr>
        <w:tc>
          <w:tcPr>
            <w:tcW w:w="17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2" w:name="page3"/>
    <w:bookmarkEnd w:id="2"/>
    <w:p>
      <w:pPr>
        <w:ind w:left="5260"/>
        <w:spacing w:after="0"/>
        <w:rPr>
          <w:sz w:val="20"/>
          <w:szCs w:val="20"/>
          <w:color w:val="auto"/>
        </w:rPr>
      </w:pPr>
      <w:r>
        <w:rPr>
          <w:rFonts w:ascii="Arial" w:cs="Arial" w:eastAsia="Arial" w:hAnsi="Arial"/>
          <w:sz w:val="12"/>
          <w:szCs w:val="12"/>
          <w:b w:val="1"/>
          <w:bCs w:val="1"/>
          <w:color w:val="auto"/>
        </w:rPr>
        <w:t>SIGNATURES</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960"/>
        <w:spacing w:after="0"/>
        <w:rPr>
          <w:sz w:val="20"/>
          <w:szCs w:val="20"/>
          <w:color w:val="auto"/>
        </w:rPr>
      </w:pPr>
      <w:r>
        <w:rPr>
          <w:rFonts w:ascii="Arial" w:cs="Arial" w:eastAsia="Arial" w:hAnsi="Arial"/>
          <w:sz w:val="12"/>
          <w:szCs w:val="12"/>
          <w:color w:val="auto"/>
        </w:rPr>
        <w:t>FEDERAL NATIONAL MORTGAGE ASSOCIATION</w:t>
      </w:r>
    </w:p>
    <w:p>
      <w:pPr>
        <w:spacing w:after="0" w:line="330" w:lineRule="exact"/>
        <w:rPr>
          <w:sz w:val="20"/>
          <w:szCs w:val="20"/>
          <w:color w:val="auto"/>
        </w:rPr>
      </w:pPr>
    </w:p>
    <w:p>
      <w:pPr>
        <w:ind w:left="5760"/>
        <w:spacing w:after="0"/>
        <w:tabs>
          <w:tab w:leader="none" w:pos="6040" w:val="left"/>
        </w:tabs>
        <w:rPr>
          <w:sz w:val="20"/>
          <w:szCs w:val="20"/>
          <w:color w:val="auto"/>
        </w:rPr>
      </w:pPr>
      <w:r>
        <w:rPr>
          <w:rFonts w:ascii="Arial" w:cs="Arial" w:eastAsia="Arial" w:hAnsi="Arial"/>
          <w:sz w:val="12"/>
          <w:szCs w:val="12"/>
          <w:color w:val="auto"/>
        </w:rPr>
        <w:t>By:</w:t>
        <w:tab/>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12065</wp:posOffset>
            </wp:positionV>
            <wp:extent cx="332041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0415" cy="5715"/>
                    </a:xfrm>
                    <a:prstGeom prst="rect">
                      <a:avLst/>
                    </a:prstGeom>
                    <a:noFill/>
                  </pic:spPr>
                </pic:pic>
              </a:graphicData>
            </a:graphic>
          </wp:anchor>
        </w:drawing>
      </w:r>
    </w:p>
    <w:p>
      <w:pPr>
        <w:spacing w:after="0" w:line="4" w:lineRule="exact"/>
        <w:rPr>
          <w:sz w:val="20"/>
          <w:szCs w:val="20"/>
          <w:color w:val="auto"/>
        </w:rPr>
      </w:pPr>
    </w:p>
    <w:p>
      <w:pPr>
        <w:ind w:left="5960"/>
        <w:spacing w:after="0"/>
        <w:rPr>
          <w:sz w:val="20"/>
          <w:szCs w:val="20"/>
          <w:color w:val="auto"/>
        </w:rPr>
      </w:pPr>
      <w:r>
        <w:rPr>
          <w:rFonts w:ascii="Arial" w:cs="Arial" w:eastAsia="Arial" w:hAnsi="Arial"/>
          <w:sz w:val="12"/>
          <w:szCs w:val="12"/>
          <w:color w:val="auto"/>
        </w:rPr>
        <w:t>Chryssa C. Halley</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2"/>
          <w:szCs w:val="12"/>
          <w:color w:val="auto"/>
        </w:rPr>
        <w:t>Executive Vice President and Chief Financial Officer</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Date: February 11, 2026</w:t>
      </w:r>
    </w:p>
    <w:p>
      <w:pPr>
        <w:sectPr>
          <w:pgSz w:w="11900" w:h="16838" w:orient="portrait"/>
          <w:cols w:equalWidth="0" w:num="1">
            <w:col w:w="10159"/>
          </w:cols>
          <w:pgMar w:left="300" w:top="64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Exhibit 99.1</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05314D"/>
        </w:rPr>
        <w:t>Fannie Mae Earns $3.5 Billion in Fourth Quarter, $14.4 Billion in 2025</w:t>
      </w:r>
    </w:p>
    <w:p>
      <w:pPr>
        <w:spacing w:after="0" w:line="86" w:lineRule="exact"/>
        <w:rPr>
          <w:sz w:val="20"/>
          <w:szCs w:val="20"/>
          <w:color w:val="auto"/>
        </w:rPr>
      </w:pPr>
    </w:p>
    <w:p>
      <w:pPr>
        <w:ind w:left="200" w:hanging="100"/>
        <w:spacing w:after="0"/>
        <w:tabs>
          <w:tab w:leader="none" w:pos="200" w:val="left"/>
        </w:tabs>
        <w:numPr>
          <w:ilvl w:val="0"/>
          <w:numId w:val="2"/>
        </w:numPr>
        <w:rPr>
          <w:rFonts w:ascii="Arial" w:cs="Arial" w:eastAsia="Arial" w:hAnsi="Arial"/>
          <w:sz w:val="13"/>
          <w:szCs w:val="13"/>
          <w:i w:val="1"/>
          <w:iCs w:val="1"/>
          <w:color w:val="auto"/>
        </w:rPr>
      </w:pPr>
      <w:r>
        <w:rPr>
          <w:rFonts w:ascii="Arial" w:cs="Arial" w:eastAsia="Arial" w:hAnsi="Arial"/>
          <w:sz w:val="13"/>
          <w:szCs w:val="13"/>
          <w:i w:val="1"/>
          <w:iCs w:val="1"/>
          <w:color w:val="auto"/>
        </w:rPr>
        <w:t>Net worth grew to $109.0 billion at the end of 2025, up $95.5 billion since the start of 2020</w:t>
      </w:r>
    </w:p>
    <w:p>
      <w:pPr>
        <w:spacing w:after="0" w:line="48" w:lineRule="exact"/>
        <w:rPr>
          <w:rFonts w:ascii="Arial" w:cs="Arial" w:eastAsia="Arial" w:hAnsi="Arial"/>
          <w:sz w:val="13"/>
          <w:szCs w:val="13"/>
          <w:i w:val="1"/>
          <w:iCs w:val="1"/>
          <w:color w:val="auto"/>
        </w:rPr>
      </w:pPr>
    </w:p>
    <w:p>
      <w:pPr>
        <w:ind w:left="200" w:hanging="100"/>
        <w:spacing w:after="0"/>
        <w:tabs>
          <w:tab w:leader="none" w:pos="200" w:val="left"/>
        </w:tabs>
        <w:numPr>
          <w:ilvl w:val="0"/>
          <w:numId w:val="2"/>
        </w:numPr>
        <w:rPr>
          <w:rFonts w:ascii="Arial" w:cs="Arial" w:eastAsia="Arial" w:hAnsi="Arial"/>
          <w:sz w:val="13"/>
          <w:szCs w:val="13"/>
          <w:i w:val="1"/>
          <w:iCs w:val="1"/>
          <w:color w:val="auto"/>
        </w:rPr>
      </w:pPr>
      <w:r>
        <w:rPr>
          <w:rFonts w:ascii="Arial" w:cs="Arial" w:eastAsia="Arial" w:hAnsi="Arial"/>
          <w:sz w:val="13"/>
          <w:szCs w:val="13"/>
          <w:i w:val="1"/>
          <w:iCs w:val="1"/>
          <w:color w:val="auto"/>
        </w:rPr>
        <w:t>$141 million reduction in non-interest expenses from 2024, including a $40 million reduction in administrative expenses</w:t>
      </w:r>
    </w:p>
    <w:p>
      <w:pPr>
        <w:spacing w:after="0" w:line="48" w:lineRule="exact"/>
        <w:rPr>
          <w:rFonts w:ascii="Arial" w:cs="Arial" w:eastAsia="Arial" w:hAnsi="Arial"/>
          <w:sz w:val="13"/>
          <w:szCs w:val="13"/>
          <w:i w:val="1"/>
          <w:iCs w:val="1"/>
          <w:color w:val="auto"/>
        </w:rPr>
      </w:pPr>
    </w:p>
    <w:p>
      <w:pPr>
        <w:ind w:left="200" w:hanging="100"/>
        <w:spacing w:after="0"/>
        <w:tabs>
          <w:tab w:leader="none" w:pos="200" w:val="left"/>
        </w:tabs>
        <w:numPr>
          <w:ilvl w:val="0"/>
          <w:numId w:val="2"/>
        </w:numPr>
        <w:rPr>
          <w:rFonts w:ascii="Arial" w:cs="Arial" w:eastAsia="Arial" w:hAnsi="Arial"/>
          <w:sz w:val="13"/>
          <w:szCs w:val="13"/>
          <w:i w:val="1"/>
          <w:iCs w:val="1"/>
          <w:color w:val="auto"/>
        </w:rPr>
      </w:pPr>
      <w:r>
        <w:rPr>
          <w:rFonts w:ascii="Arial" w:cs="Arial" w:eastAsia="Arial" w:hAnsi="Arial"/>
          <w:sz w:val="13"/>
          <w:szCs w:val="13"/>
          <w:i w:val="1"/>
          <w:iCs w:val="1"/>
          <w:color w:val="auto"/>
        </w:rPr>
        <w:t>Net revenues</w:t>
      </w:r>
      <w:r>
        <w:rPr>
          <w:rFonts w:ascii="Arial" w:cs="Arial" w:eastAsia="Arial" w:hAnsi="Arial"/>
          <w:sz w:val="17"/>
          <w:szCs w:val="17"/>
          <w:i w:val="1"/>
          <w:iCs w:val="1"/>
          <w:color w:val="auto"/>
          <w:vertAlign w:val="superscript"/>
        </w:rPr>
        <w:t>(1)</w:t>
      </w:r>
      <w:r>
        <w:rPr>
          <w:rFonts w:ascii="Arial" w:cs="Arial" w:eastAsia="Arial" w:hAnsi="Arial"/>
          <w:sz w:val="13"/>
          <w:szCs w:val="13"/>
          <w:i w:val="1"/>
          <w:iCs w:val="1"/>
          <w:color w:val="auto"/>
        </w:rPr>
        <w:t xml:space="preserve"> stable on quarterly and annual basis at $7.3 billion and $29.0 billion, respectively</w:t>
      </w:r>
    </w:p>
    <w:p>
      <w:pPr>
        <w:spacing w:after="0" w:line="23" w:lineRule="exact"/>
        <w:rPr>
          <w:rFonts w:ascii="Arial" w:cs="Arial" w:eastAsia="Arial" w:hAnsi="Arial"/>
          <w:sz w:val="13"/>
          <w:szCs w:val="13"/>
          <w:i w:val="1"/>
          <w:iCs w:val="1"/>
          <w:color w:val="auto"/>
        </w:rPr>
      </w:pPr>
    </w:p>
    <w:p>
      <w:pPr>
        <w:ind w:left="200" w:hanging="100"/>
        <w:spacing w:after="0"/>
        <w:tabs>
          <w:tab w:leader="none" w:pos="200" w:val="left"/>
        </w:tabs>
        <w:numPr>
          <w:ilvl w:val="0"/>
          <w:numId w:val="2"/>
        </w:numPr>
        <w:rPr>
          <w:rFonts w:ascii="Arial" w:cs="Arial" w:eastAsia="Arial" w:hAnsi="Arial"/>
          <w:sz w:val="13"/>
          <w:szCs w:val="13"/>
          <w:i w:val="1"/>
          <w:iCs w:val="1"/>
          <w:color w:val="auto"/>
        </w:rPr>
      </w:pPr>
      <w:r>
        <w:rPr>
          <w:rFonts w:ascii="Arial" w:cs="Arial" w:eastAsia="Arial" w:hAnsi="Arial"/>
          <w:sz w:val="13"/>
          <w:szCs w:val="13"/>
          <w:i w:val="1"/>
          <w:iCs w:val="1"/>
          <w:color w:val="auto"/>
        </w:rPr>
        <w:t>14 straight years of annual profitability reflect effective long-term risk management and focus on mission</w:t>
      </w:r>
    </w:p>
    <w:p>
      <w:pPr>
        <w:spacing w:after="0" w:line="83" w:lineRule="exact"/>
        <w:rPr>
          <w:sz w:val="20"/>
          <w:szCs w:val="20"/>
          <w:color w:val="auto"/>
        </w:rPr>
      </w:pPr>
    </w:p>
    <w:p>
      <w:pPr>
        <w:ind w:right="100"/>
        <w:spacing w:after="0" w:line="251" w:lineRule="auto"/>
        <w:rPr>
          <w:sz w:val="20"/>
          <w:szCs w:val="20"/>
          <w:color w:val="auto"/>
        </w:rPr>
      </w:pPr>
      <w:r>
        <w:rPr>
          <w:rFonts w:ascii="Arial" w:cs="Arial" w:eastAsia="Arial" w:hAnsi="Arial"/>
          <w:sz w:val="12"/>
          <w:szCs w:val="12"/>
          <w:b w:val="1"/>
          <w:bCs w:val="1"/>
          <w:color w:val="auto"/>
        </w:rPr>
        <w:t xml:space="preserve">WASHINGTON, DC – February 11, 2026 – </w:t>
      </w:r>
      <w:r>
        <w:rPr>
          <w:rFonts w:ascii="Arial" w:cs="Arial" w:eastAsia="Arial" w:hAnsi="Arial"/>
          <w:sz w:val="12"/>
          <w:szCs w:val="12"/>
          <w:color w:val="auto"/>
        </w:rPr>
        <w:t>Fannie Mae (FNMA/OTCQB) earned $3.5 billion for the fourth quarter of 2025, compared with $3.9 billion for the third quarter of 2025, and increased its net worth to</w:t>
      </w:r>
      <w:r>
        <w:rPr>
          <w:rFonts w:ascii="Arial" w:cs="Arial" w:eastAsia="Arial" w:hAnsi="Arial"/>
          <w:sz w:val="12"/>
          <w:szCs w:val="12"/>
          <w:b w:val="1"/>
          <w:bCs w:val="1"/>
          <w:color w:val="auto"/>
        </w:rPr>
        <w:t xml:space="preserve"> </w:t>
      </w:r>
      <w:r>
        <w:rPr>
          <w:rFonts w:ascii="Arial" w:cs="Arial" w:eastAsia="Arial" w:hAnsi="Arial"/>
          <w:sz w:val="12"/>
          <w:szCs w:val="12"/>
          <w:color w:val="auto"/>
        </w:rPr>
        <w:t>$109.0 billion as of December 31, 2025. For the fourth quarter, while revenues were steady from the third quarter, changes in fair value, lower investment gains, and higher administrative expenses drove a decrease in net income. For full-year 2025, net income decreased by $2.6 billion to $14.4 billion, primarily driven by a $1.8 billion shift from a benefit for credit losses in 2024 to a provision for credit losses in 2025, as well as a $1.7 billion decrease in fair value gains in 2025.</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William J. Pulte, Director, U.S. Federal Housing, and Chairman, Fannie Mae Board of Directors:</w:t>
      </w:r>
    </w:p>
    <w:p>
      <w:pPr>
        <w:spacing w:after="0" w:line="18" w:lineRule="exact"/>
        <w:rPr>
          <w:sz w:val="20"/>
          <w:szCs w:val="20"/>
          <w:color w:val="auto"/>
        </w:rPr>
      </w:pPr>
    </w:p>
    <w:p>
      <w:pPr>
        <w:ind w:right="180"/>
        <w:spacing w:after="0" w:line="249" w:lineRule="auto"/>
        <w:rPr>
          <w:sz w:val="20"/>
          <w:szCs w:val="20"/>
          <w:color w:val="auto"/>
        </w:rPr>
      </w:pPr>
      <w:r>
        <w:rPr>
          <w:rFonts w:ascii="Arial" w:cs="Arial" w:eastAsia="Arial" w:hAnsi="Arial"/>
          <w:sz w:val="12"/>
          <w:szCs w:val="12"/>
          <w:color w:val="auto"/>
        </w:rPr>
        <w:t>"Fannie Mae’s financial footing is stronger than ever, hitting a record level $109 billion net worth. For the first time in four years we reduced annual administrative expenses, positioning the company for long-term success. This growing strength enables Fannie Mae to power the American Dream for families across the United States today and into the future."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Peter Akwaboah, Acting Chief Executive Officer and Chief Operating Offi</w:t>
      </w:r>
      <w:r>
        <w:rPr>
          <w:rFonts w:ascii="Arial" w:cs="Arial" w:eastAsia="Arial" w:hAnsi="Arial"/>
          <w:sz w:val="13"/>
          <w:szCs w:val="13"/>
          <w:b w:val="1"/>
          <w:bCs w:val="1"/>
          <w:color w:val="085280"/>
        </w:rPr>
        <w:t>cer, Fannie Mae:</w:t>
      </w:r>
    </w:p>
    <w:p>
      <w:pPr>
        <w:spacing w:after="0" w:line="17" w:lineRule="exact"/>
        <w:rPr>
          <w:sz w:val="20"/>
          <w:szCs w:val="20"/>
          <w:color w:val="auto"/>
        </w:rPr>
      </w:pPr>
    </w:p>
    <w:p>
      <w:pPr>
        <w:ind w:right="40"/>
        <w:spacing w:after="0" w:line="249" w:lineRule="auto"/>
        <w:rPr>
          <w:sz w:val="20"/>
          <w:szCs w:val="20"/>
          <w:color w:val="auto"/>
        </w:rPr>
      </w:pPr>
      <w:r>
        <w:rPr>
          <w:rFonts w:ascii="Arial" w:cs="Arial" w:eastAsia="Arial" w:hAnsi="Arial"/>
          <w:sz w:val="12"/>
          <w:szCs w:val="12"/>
          <w:color w:val="auto"/>
        </w:rPr>
        <w:t>“Fannie Mae’s 14 straight years of annual profitability reflect the strength of our business, the dedication of our employees, and the partnership of the institutions we serve. We grew our net worth to $109 billion and have strong momentum going into 2026 and beyond.”</w:t>
      </w:r>
    </w:p>
    <w:p>
      <w:pPr>
        <w:spacing w:after="0" w:line="53" w:lineRule="exact"/>
        <w:rPr>
          <w:sz w:val="20"/>
          <w:szCs w:val="20"/>
          <w:color w:val="auto"/>
        </w:rPr>
      </w:pPr>
    </w:p>
    <w:p>
      <w:pPr>
        <w:ind w:right="1020"/>
        <w:spacing w:after="0" w:line="270" w:lineRule="auto"/>
        <w:rPr>
          <w:sz w:val="20"/>
          <w:szCs w:val="20"/>
          <w:color w:val="auto"/>
        </w:rPr>
      </w:pPr>
      <w:r>
        <w:rPr>
          <w:rFonts w:ascii="Arial" w:cs="Arial" w:eastAsia="Arial" w:hAnsi="Arial"/>
          <w:sz w:val="12"/>
          <w:szCs w:val="12"/>
          <w:color w:val="auto"/>
        </w:rPr>
        <w:t>More information, including access to the webcast featuring our earnings presentation, our 2025 Form 10-K, and other disclosures, can be found on our Quarterly and Annual Results webpage at fanniemae.com/financialresults.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FFFF"/>
        </w:rPr>
        <w:t>Fourth Quarter 2025 Key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166610" cy="142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142875"/>
                    </a:xfrm>
                    <a:prstGeom prst="rect">
                      <a:avLst/>
                    </a:prstGeom>
                    <a:noFill/>
                  </pic:spPr>
                </pic:pic>
              </a:graphicData>
            </a:graphic>
          </wp:anchor>
        </w:drawing>
      </w:r>
    </w:p>
    <w:p>
      <w:pPr>
        <w:spacing w:after="0" w:line="136"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3140" w:type="dxa"/>
            <w:vAlign w:val="bottom"/>
            <w:shd w:val="clear" w:color="auto" w:fill="F8F8F7"/>
          </w:tcPr>
          <w:p>
            <w:pPr>
              <w:jc w:val="center"/>
              <w:spacing w:after="0"/>
              <w:rPr>
                <w:sz w:val="20"/>
                <w:szCs w:val="20"/>
                <w:color w:val="auto"/>
              </w:rPr>
            </w:pPr>
            <w:r>
              <w:rPr>
                <w:rFonts w:ascii="Arial" w:cs="Arial" w:eastAsia="Arial" w:hAnsi="Arial"/>
                <w:sz w:val="22"/>
                <w:szCs w:val="22"/>
                <w:b w:val="1"/>
                <w:bCs w:val="1"/>
                <w:color w:val="085280"/>
                <w:w w:val="98"/>
              </w:rPr>
              <w:t>$3.5 billion</w:t>
            </w:r>
          </w:p>
        </w:tc>
        <w:tc>
          <w:tcPr>
            <w:tcW w:w="340" w:type="dxa"/>
            <w:vAlign w:val="bottom"/>
          </w:tcPr>
          <w:p>
            <w:pPr>
              <w:spacing w:after="0"/>
              <w:rPr>
                <w:sz w:val="21"/>
                <w:szCs w:val="21"/>
                <w:color w:val="auto"/>
              </w:rPr>
            </w:pPr>
          </w:p>
        </w:tc>
        <w:tc>
          <w:tcPr>
            <w:tcW w:w="3360" w:type="dxa"/>
            <w:vAlign w:val="bottom"/>
            <w:shd w:val="clear" w:color="auto" w:fill="F8F8F7"/>
          </w:tcPr>
          <w:p>
            <w:pPr>
              <w:jc w:val="center"/>
              <w:spacing w:after="0"/>
              <w:rPr>
                <w:sz w:val="20"/>
                <w:szCs w:val="20"/>
                <w:color w:val="auto"/>
              </w:rPr>
            </w:pPr>
            <w:r>
              <w:rPr>
                <w:rFonts w:ascii="Arial" w:cs="Arial" w:eastAsia="Arial" w:hAnsi="Arial"/>
                <w:sz w:val="22"/>
                <w:szCs w:val="22"/>
                <w:b w:val="1"/>
                <w:bCs w:val="1"/>
                <w:color w:val="085280"/>
                <w:w w:val="98"/>
              </w:rPr>
              <w:t>$109.0 billion</w:t>
            </w:r>
          </w:p>
        </w:tc>
        <w:tc>
          <w:tcPr>
            <w:tcW w:w="340" w:type="dxa"/>
            <w:vAlign w:val="bottom"/>
          </w:tcPr>
          <w:p>
            <w:pPr>
              <w:spacing w:after="0"/>
              <w:rPr>
                <w:sz w:val="21"/>
                <w:szCs w:val="21"/>
                <w:color w:val="auto"/>
              </w:rPr>
            </w:pPr>
          </w:p>
        </w:tc>
        <w:tc>
          <w:tcPr>
            <w:tcW w:w="3400" w:type="dxa"/>
            <w:vAlign w:val="bottom"/>
            <w:shd w:val="clear" w:color="auto" w:fill="F8F8F7"/>
          </w:tcPr>
          <w:p>
            <w:pPr>
              <w:jc w:val="center"/>
              <w:spacing w:after="0"/>
              <w:rPr>
                <w:sz w:val="20"/>
                <w:szCs w:val="20"/>
                <w:color w:val="auto"/>
              </w:rPr>
            </w:pPr>
            <w:r>
              <w:rPr>
                <w:rFonts w:ascii="Arial" w:cs="Arial" w:eastAsia="Arial" w:hAnsi="Arial"/>
                <w:sz w:val="22"/>
                <w:szCs w:val="22"/>
                <w:b w:val="1"/>
                <w:bCs w:val="1"/>
                <w:color w:val="085280"/>
                <w:w w:val="98"/>
              </w:rPr>
              <w:t>$7.3 billion</w:t>
            </w:r>
          </w:p>
        </w:tc>
        <w:tc>
          <w:tcPr>
            <w:tcW w:w="0" w:type="dxa"/>
            <w:vAlign w:val="bottom"/>
          </w:tcPr>
          <w:p>
            <w:pPr>
              <w:spacing w:after="0"/>
              <w:rPr>
                <w:sz w:val="1"/>
                <w:szCs w:val="1"/>
                <w:color w:val="auto"/>
              </w:rPr>
            </w:pPr>
          </w:p>
        </w:tc>
      </w:tr>
      <w:tr>
        <w:trPr>
          <w:trHeight w:val="177"/>
        </w:trPr>
        <w:tc>
          <w:tcPr>
            <w:tcW w:w="3140" w:type="dxa"/>
            <w:vAlign w:val="bottom"/>
            <w:shd w:val="clear" w:color="auto" w:fill="F8F8F7"/>
          </w:tcPr>
          <w:p>
            <w:pPr>
              <w:jc w:val="center"/>
              <w:spacing w:after="0"/>
              <w:rPr>
                <w:sz w:val="20"/>
                <w:szCs w:val="20"/>
                <w:color w:val="auto"/>
              </w:rPr>
            </w:pPr>
            <w:r>
              <w:rPr>
                <w:rFonts w:ascii="Arial" w:cs="Arial" w:eastAsia="Arial" w:hAnsi="Arial"/>
                <w:sz w:val="13"/>
                <w:szCs w:val="13"/>
                <w:b w:val="1"/>
                <w:bCs w:val="1"/>
                <w:color w:val="auto"/>
              </w:rPr>
              <w:t>Net Income</w:t>
            </w:r>
          </w:p>
        </w:tc>
        <w:tc>
          <w:tcPr>
            <w:tcW w:w="340" w:type="dxa"/>
            <w:vAlign w:val="bottom"/>
          </w:tcPr>
          <w:p>
            <w:pPr>
              <w:spacing w:after="0"/>
              <w:rPr>
                <w:sz w:val="15"/>
                <w:szCs w:val="15"/>
                <w:color w:val="auto"/>
              </w:rPr>
            </w:pPr>
          </w:p>
        </w:tc>
        <w:tc>
          <w:tcPr>
            <w:tcW w:w="3360" w:type="dxa"/>
            <w:vAlign w:val="bottom"/>
            <w:shd w:val="clear" w:color="auto" w:fill="F8F8F7"/>
          </w:tcPr>
          <w:p>
            <w:pPr>
              <w:jc w:val="center"/>
              <w:spacing w:after="0"/>
              <w:rPr>
                <w:sz w:val="20"/>
                <w:szCs w:val="20"/>
                <w:color w:val="auto"/>
              </w:rPr>
            </w:pPr>
            <w:r>
              <w:rPr>
                <w:rFonts w:ascii="Arial" w:cs="Arial" w:eastAsia="Arial" w:hAnsi="Arial"/>
                <w:sz w:val="13"/>
                <w:szCs w:val="13"/>
                <w:b w:val="1"/>
                <w:bCs w:val="1"/>
                <w:color w:val="auto"/>
              </w:rPr>
              <w:t>Net Worth</w:t>
            </w:r>
          </w:p>
        </w:tc>
        <w:tc>
          <w:tcPr>
            <w:tcW w:w="340" w:type="dxa"/>
            <w:vAlign w:val="bottom"/>
          </w:tcPr>
          <w:p>
            <w:pPr>
              <w:spacing w:after="0"/>
              <w:rPr>
                <w:sz w:val="15"/>
                <w:szCs w:val="15"/>
                <w:color w:val="auto"/>
              </w:rPr>
            </w:pPr>
          </w:p>
        </w:tc>
        <w:tc>
          <w:tcPr>
            <w:tcW w:w="3400" w:type="dxa"/>
            <w:vAlign w:val="bottom"/>
            <w:shd w:val="clear" w:color="auto" w:fill="F8F8F7"/>
          </w:tcPr>
          <w:p>
            <w:pPr>
              <w:jc w:val="center"/>
              <w:spacing w:after="0" w:line="176" w:lineRule="exact"/>
              <w:rPr>
                <w:sz w:val="20"/>
                <w:szCs w:val="20"/>
                <w:color w:val="auto"/>
              </w:rPr>
            </w:pPr>
            <w:r>
              <w:rPr>
                <w:rFonts w:ascii="Arial" w:cs="Arial" w:eastAsia="Arial" w:hAnsi="Arial"/>
                <w:sz w:val="13"/>
                <w:szCs w:val="13"/>
                <w:b w:val="1"/>
                <w:bCs w:val="1"/>
                <w:color w:val="auto"/>
                <w:w w:val="98"/>
              </w:rPr>
              <w:t>Net Revenues</w:t>
            </w:r>
            <w:r>
              <w:rPr>
                <w:rFonts w:ascii="Arial" w:cs="Arial" w:eastAsia="Arial" w:hAnsi="Arial"/>
                <w:sz w:val="17"/>
                <w:szCs w:val="17"/>
                <w:b w:val="1"/>
                <w:bCs w:val="1"/>
                <w:color w:val="auto"/>
                <w:w w:val="98"/>
                <w:vertAlign w:val="superscript"/>
              </w:rPr>
              <w:t>(1)</w:t>
            </w:r>
          </w:p>
        </w:tc>
        <w:tc>
          <w:tcPr>
            <w:tcW w:w="0" w:type="dxa"/>
            <w:vAlign w:val="bottom"/>
          </w:tcPr>
          <w:p>
            <w:pPr>
              <w:spacing w:after="0"/>
              <w:rPr>
                <w:sz w:val="1"/>
                <w:szCs w:val="1"/>
                <w:color w:val="auto"/>
              </w:rPr>
            </w:pPr>
          </w:p>
        </w:tc>
      </w:tr>
      <w:tr>
        <w:trPr>
          <w:trHeight w:val="144"/>
        </w:trPr>
        <w:tc>
          <w:tcPr>
            <w:tcW w:w="3140" w:type="dxa"/>
            <w:vAlign w:val="bottom"/>
            <w:shd w:val="clear" w:color="auto" w:fill="F8F8F7"/>
          </w:tcPr>
          <w:p>
            <w:pPr>
              <w:jc w:val="center"/>
              <w:spacing w:after="0"/>
              <w:rPr>
                <w:sz w:val="20"/>
                <w:szCs w:val="20"/>
                <w:color w:val="auto"/>
              </w:rPr>
            </w:pPr>
            <w:r>
              <w:rPr>
                <w:rFonts w:ascii="Arial" w:cs="Arial" w:eastAsia="Arial" w:hAnsi="Arial"/>
                <w:sz w:val="11"/>
                <w:szCs w:val="11"/>
                <w:i w:val="1"/>
                <w:iCs w:val="1"/>
                <w:color w:val="auto"/>
                <w:w w:val="97"/>
              </w:rPr>
              <w:t>($3.9 billion in 3Q 2025)</w:t>
            </w:r>
          </w:p>
        </w:tc>
        <w:tc>
          <w:tcPr>
            <w:tcW w:w="340" w:type="dxa"/>
            <w:vAlign w:val="bottom"/>
          </w:tcPr>
          <w:p>
            <w:pPr>
              <w:spacing w:after="0"/>
              <w:rPr>
                <w:sz w:val="12"/>
                <w:szCs w:val="12"/>
                <w:color w:val="auto"/>
              </w:rPr>
            </w:pPr>
          </w:p>
        </w:tc>
        <w:tc>
          <w:tcPr>
            <w:tcW w:w="3360" w:type="dxa"/>
            <w:vAlign w:val="bottom"/>
            <w:shd w:val="clear" w:color="auto" w:fill="F8F8F7"/>
          </w:tcPr>
          <w:p>
            <w:pPr>
              <w:jc w:val="center"/>
              <w:spacing w:after="0"/>
              <w:rPr>
                <w:sz w:val="20"/>
                <w:szCs w:val="20"/>
                <w:color w:val="auto"/>
              </w:rPr>
            </w:pPr>
            <w:r>
              <w:rPr>
                <w:rFonts w:ascii="Arial" w:cs="Arial" w:eastAsia="Arial" w:hAnsi="Arial"/>
                <w:sz w:val="11"/>
                <w:szCs w:val="11"/>
                <w:i w:val="1"/>
                <w:iCs w:val="1"/>
                <w:color w:val="auto"/>
                <w:w w:val="99"/>
              </w:rPr>
              <w:t>($105.5 billion in 3Q 2025)</w:t>
            </w:r>
          </w:p>
        </w:tc>
        <w:tc>
          <w:tcPr>
            <w:tcW w:w="340" w:type="dxa"/>
            <w:vAlign w:val="bottom"/>
          </w:tcPr>
          <w:p>
            <w:pPr>
              <w:spacing w:after="0"/>
              <w:rPr>
                <w:sz w:val="12"/>
                <w:szCs w:val="12"/>
                <w:color w:val="auto"/>
              </w:rPr>
            </w:pPr>
          </w:p>
        </w:tc>
        <w:tc>
          <w:tcPr>
            <w:tcW w:w="3400" w:type="dxa"/>
            <w:vAlign w:val="bottom"/>
            <w:shd w:val="clear" w:color="auto" w:fill="F8F8F7"/>
          </w:tcPr>
          <w:p>
            <w:pPr>
              <w:jc w:val="center"/>
              <w:spacing w:after="0"/>
              <w:rPr>
                <w:sz w:val="20"/>
                <w:szCs w:val="20"/>
                <w:color w:val="auto"/>
              </w:rPr>
            </w:pPr>
            <w:r>
              <w:rPr>
                <w:rFonts w:ascii="Arial" w:cs="Arial" w:eastAsia="Arial" w:hAnsi="Arial"/>
                <w:sz w:val="11"/>
                <w:szCs w:val="11"/>
                <w:i w:val="1"/>
                <w:iCs w:val="1"/>
                <w:color w:val="auto"/>
                <w:w w:val="97"/>
              </w:rPr>
              <w:t>($7.3 billion in 3Q 2025)</w:t>
            </w:r>
          </w:p>
        </w:tc>
        <w:tc>
          <w:tcPr>
            <w:tcW w:w="0" w:type="dxa"/>
            <w:vAlign w:val="bottom"/>
          </w:tcPr>
          <w:p>
            <w:pPr>
              <w:spacing w:after="0"/>
              <w:rPr>
                <w:sz w:val="1"/>
                <w:szCs w:val="1"/>
                <w:color w:val="auto"/>
              </w:rPr>
            </w:pPr>
          </w:p>
        </w:tc>
      </w:tr>
      <w:tr>
        <w:trPr>
          <w:trHeight w:val="99"/>
        </w:trPr>
        <w:tc>
          <w:tcPr>
            <w:tcW w:w="3140" w:type="dxa"/>
            <w:vAlign w:val="bottom"/>
          </w:tcPr>
          <w:p>
            <w:pPr>
              <w:spacing w:after="0"/>
              <w:rPr>
                <w:sz w:val="8"/>
                <w:szCs w:val="8"/>
                <w:color w:val="auto"/>
              </w:rPr>
            </w:pPr>
          </w:p>
        </w:tc>
        <w:tc>
          <w:tcPr>
            <w:tcW w:w="34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34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3140" w:type="dxa"/>
            <w:vAlign w:val="bottom"/>
            <w:shd w:val="clear" w:color="auto" w:fill="F8F8F7"/>
          </w:tcPr>
          <w:p>
            <w:pPr>
              <w:jc w:val="center"/>
              <w:spacing w:after="0" w:line="246" w:lineRule="exact"/>
              <w:rPr>
                <w:sz w:val="20"/>
                <w:szCs w:val="20"/>
                <w:color w:val="auto"/>
              </w:rPr>
            </w:pPr>
            <w:r>
              <w:rPr>
                <w:rFonts w:ascii="Arial" w:cs="Arial" w:eastAsia="Arial" w:hAnsi="Arial"/>
                <w:sz w:val="22"/>
                <w:szCs w:val="22"/>
                <w:b w:val="1"/>
                <w:bCs w:val="1"/>
                <w:color w:val="085280"/>
                <w:w w:val="98"/>
              </w:rPr>
              <w:t>$4.1 trillion</w:t>
            </w:r>
          </w:p>
        </w:tc>
        <w:tc>
          <w:tcPr>
            <w:tcW w:w="340" w:type="dxa"/>
            <w:vAlign w:val="bottom"/>
            <w:vMerge w:val="continue"/>
          </w:tcPr>
          <w:p>
            <w:pPr>
              <w:spacing w:after="0"/>
              <w:rPr>
                <w:sz w:val="21"/>
                <w:szCs w:val="21"/>
                <w:color w:val="auto"/>
              </w:rPr>
            </w:pPr>
          </w:p>
        </w:tc>
        <w:tc>
          <w:tcPr>
            <w:tcW w:w="3360" w:type="dxa"/>
            <w:vAlign w:val="bottom"/>
            <w:shd w:val="clear" w:color="auto" w:fill="F8F8F7"/>
          </w:tcPr>
          <w:p>
            <w:pPr>
              <w:jc w:val="center"/>
              <w:spacing w:after="0" w:line="246" w:lineRule="exact"/>
              <w:rPr>
                <w:sz w:val="20"/>
                <w:szCs w:val="20"/>
                <w:color w:val="auto"/>
              </w:rPr>
            </w:pPr>
            <w:r>
              <w:rPr>
                <w:rFonts w:ascii="Arial" w:cs="Arial" w:eastAsia="Arial" w:hAnsi="Arial"/>
                <w:sz w:val="22"/>
                <w:szCs w:val="22"/>
                <w:b w:val="1"/>
                <w:bCs w:val="1"/>
                <w:color w:val="085280"/>
                <w:w w:val="96"/>
              </w:rPr>
              <w:t>12.6%</w:t>
            </w:r>
          </w:p>
        </w:tc>
        <w:tc>
          <w:tcPr>
            <w:tcW w:w="340" w:type="dxa"/>
            <w:vAlign w:val="bottom"/>
            <w:vMerge w:val="continue"/>
          </w:tcPr>
          <w:p>
            <w:pPr>
              <w:spacing w:after="0"/>
              <w:rPr>
                <w:sz w:val="21"/>
                <w:szCs w:val="21"/>
                <w:color w:val="auto"/>
              </w:rPr>
            </w:pPr>
          </w:p>
        </w:tc>
        <w:tc>
          <w:tcPr>
            <w:tcW w:w="3400" w:type="dxa"/>
            <w:vAlign w:val="bottom"/>
            <w:shd w:val="clear" w:color="auto" w:fill="F8F8F7"/>
          </w:tcPr>
          <w:p>
            <w:pPr>
              <w:jc w:val="center"/>
              <w:spacing w:after="0" w:line="246" w:lineRule="exact"/>
              <w:rPr>
                <w:sz w:val="20"/>
                <w:szCs w:val="20"/>
                <w:color w:val="auto"/>
              </w:rPr>
            </w:pPr>
            <w:r>
              <w:rPr>
                <w:rFonts w:ascii="Arial" w:cs="Arial" w:eastAsia="Arial" w:hAnsi="Arial"/>
                <w:sz w:val="22"/>
                <w:szCs w:val="22"/>
                <w:b w:val="1"/>
                <w:bCs w:val="1"/>
                <w:color w:val="085280"/>
                <w:w w:val="99"/>
              </w:rPr>
              <w:t>10.2%</w:t>
            </w:r>
          </w:p>
        </w:tc>
        <w:tc>
          <w:tcPr>
            <w:tcW w:w="0" w:type="dxa"/>
            <w:vAlign w:val="bottom"/>
          </w:tcPr>
          <w:p>
            <w:pPr>
              <w:spacing w:after="0"/>
              <w:rPr>
                <w:sz w:val="1"/>
                <w:szCs w:val="1"/>
                <w:color w:val="auto"/>
              </w:rPr>
            </w:pPr>
          </w:p>
        </w:tc>
      </w:tr>
      <w:tr>
        <w:trPr>
          <w:trHeight w:val="177"/>
        </w:trPr>
        <w:tc>
          <w:tcPr>
            <w:tcW w:w="3140" w:type="dxa"/>
            <w:vAlign w:val="bottom"/>
            <w:shd w:val="clear" w:color="auto" w:fill="F8F8F7"/>
          </w:tcPr>
          <w:p>
            <w:pPr>
              <w:jc w:val="center"/>
              <w:spacing w:after="0"/>
              <w:rPr>
                <w:sz w:val="20"/>
                <w:szCs w:val="20"/>
                <w:color w:val="auto"/>
              </w:rPr>
            </w:pPr>
            <w:r>
              <w:rPr>
                <w:rFonts w:ascii="Arial" w:cs="Arial" w:eastAsia="Arial" w:hAnsi="Arial"/>
                <w:sz w:val="13"/>
                <w:szCs w:val="13"/>
                <w:b w:val="1"/>
                <w:bCs w:val="1"/>
                <w:color w:val="auto"/>
              </w:rPr>
              <w:t>Guaranty Book of Business</w:t>
            </w:r>
          </w:p>
        </w:tc>
        <w:tc>
          <w:tcPr>
            <w:tcW w:w="340" w:type="dxa"/>
            <w:vAlign w:val="bottom"/>
          </w:tcPr>
          <w:p>
            <w:pPr>
              <w:spacing w:after="0"/>
              <w:rPr>
                <w:sz w:val="15"/>
                <w:szCs w:val="15"/>
                <w:color w:val="auto"/>
              </w:rPr>
            </w:pPr>
          </w:p>
        </w:tc>
        <w:tc>
          <w:tcPr>
            <w:tcW w:w="3360" w:type="dxa"/>
            <w:vAlign w:val="bottom"/>
            <w:shd w:val="clear" w:color="auto" w:fill="F8F8F7"/>
          </w:tcPr>
          <w:p>
            <w:pPr>
              <w:jc w:val="center"/>
              <w:spacing w:after="0"/>
              <w:rPr>
                <w:sz w:val="20"/>
                <w:szCs w:val="20"/>
                <w:color w:val="auto"/>
              </w:rPr>
            </w:pPr>
            <w:r>
              <w:rPr>
                <w:rFonts w:ascii="Arial" w:cs="Arial" w:eastAsia="Arial" w:hAnsi="Arial"/>
                <w:sz w:val="12"/>
                <w:szCs w:val="12"/>
                <w:b w:val="1"/>
                <w:bCs w:val="1"/>
                <w:color w:val="auto"/>
                <w:w w:val="99"/>
              </w:rPr>
              <w:t>Administrative Expense Ratio</w:t>
            </w:r>
            <w:r>
              <w:rPr>
                <w:rFonts w:ascii="Arial" w:cs="Arial" w:eastAsia="Arial" w:hAnsi="Arial"/>
                <w:sz w:val="15"/>
                <w:szCs w:val="15"/>
                <w:b w:val="1"/>
                <w:bCs w:val="1"/>
                <w:color w:val="auto"/>
                <w:w w:val="99"/>
                <w:vertAlign w:val="superscript"/>
              </w:rPr>
              <w:t>(2)</w:t>
            </w:r>
          </w:p>
        </w:tc>
        <w:tc>
          <w:tcPr>
            <w:tcW w:w="340" w:type="dxa"/>
            <w:vAlign w:val="bottom"/>
          </w:tcPr>
          <w:p>
            <w:pPr>
              <w:spacing w:after="0"/>
              <w:rPr>
                <w:sz w:val="15"/>
                <w:szCs w:val="15"/>
                <w:color w:val="auto"/>
              </w:rPr>
            </w:pPr>
          </w:p>
        </w:tc>
        <w:tc>
          <w:tcPr>
            <w:tcW w:w="3400" w:type="dxa"/>
            <w:vAlign w:val="bottom"/>
            <w:shd w:val="clear" w:color="auto" w:fill="F8F8F7"/>
          </w:tcPr>
          <w:p>
            <w:pPr>
              <w:jc w:val="center"/>
              <w:spacing w:after="0" w:line="176" w:lineRule="exact"/>
              <w:rPr>
                <w:sz w:val="20"/>
                <w:szCs w:val="20"/>
                <w:color w:val="auto"/>
              </w:rPr>
            </w:pPr>
            <w:r>
              <w:rPr>
                <w:rFonts w:ascii="Arial" w:cs="Arial" w:eastAsia="Arial" w:hAnsi="Arial"/>
                <w:sz w:val="13"/>
                <w:szCs w:val="13"/>
                <w:b w:val="1"/>
                <w:bCs w:val="1"/>
                <w:color w:val="auto"/>
                <w:w w:val="99"/>
              </w:rPr>
              <w:t>Illust. Return on Avg. Req. CET1</w:t>
            </w:r>
            <w:r>
              <w:rPr>
                <w:rFonts w:ascii="Arial" w:cs="Arial" w:eastAsia="Arial" w:hAnsi="Arial"/>
                <w:sz w:val="17"/>
                <w:szCs w:val="17"/>
                <w:b w:val="1"/>
                <w:bCs w:val="1"/>
                <w:color w:val="auto"/>
                <w:w w:val="99"/>
                <w:vertAlign w:val="superscript"/>
              </w:rPr>
              <w:t>(3)</w:t>
            </w:r>
          </w:p>
        </w:tc>
        <w:tc>
          <w:tcPr>
            <w:tcW w:w="0" w:type="dxa"/>
            <w:vAlign w:val="bottom"/>
          </w:tcPr>
          <w:p>
            <w:pPr>
              <w:spacing w:after="0"/>
              <w:rPr>
                <w:sz w:val="1"/>
                <w:szCs w:val="1"/>
                <w:color w:val="auto"/>
              </w:rPr>
            </w:pPr>
          </w:p>
        </w:tc>
      </w:tr>
      <w:tr>
        <w:trPr>
          <w:trHeight w:val="142"/>
        </w:trPr>
        <w:tc>
          <w:tcPr>
            <w:tcW w:w="3140" w:type="dxa"/>
            <w:vAlign w:val="bottom"/>
            <w:vMerge w:val="restart"/>
            <w:shd w:val="clear" w:color="auto" w:fill="F8F8F7"/>
          </w:tcPr>
          <w:p>
            <w:pPr>
              <w:jc w:val="center"/>
              <w:spacing w:after="0"/>
              <w:rPr>
                <w:sz w:val="20"/>
                <w:szCs w:val="20"/>
                <w:color w:val="auto"/>
              </w:rPr>
            </w:pPr>
            <w:r>
              <w:rPr>
                <w:rFonts w:ascii="Arial" w:cs="Arial" w:eastAsia="Arial" w:hAnsi="Arial"/>
                <w:sz w:val="11"/>
                <w:szCs w:val="11"/>
                <w:i w:val="1"/>
                <w:iCs w:val="1"/>
                <w:color w:val="auto"/>
                <w:w w:val="98"/>
              </w:rPr>
              <w:t>($4.1 trillion in 3Q 2025)</w:t>
            </w:r>
          </w:p>
        </w:tc>
        <w:tc>
          <w:tcPr>
            <w:tcW w:w="340" w:type="dxa"/>
            <w:vAlign w:val="bottom"/>
          </w:tcPr>
          <w:p>
            <w:pPr>
              <w:spacing w:after="0"/>
              <w:rPr>
                <w:sz w:val="12"/>
                <w:szCs w:val="12"/>
                <w:color w:val="auto"/>
              </w:rPr>
            </w:pPr>
          </w:p>
        </w:tc>
        <w:tc>
          <w:tcPr>
            <w:tcW w:w="3360" w:type="dxa"/>
            <w:vAlign w:val="bottom"/>
            <w:shd w:val="clear" w:color="auto" w:fill="F8F8F7"/>
          </w:tcPr>
          <w:p>
            <w:pPr>
              <w:jc w:val="center"/>
              <w:spacing w:after="0"/>
              <w:rPr>
                <w:sz w:val="20"/>
                <w:szCs w:val="20"/>
                <w:color w:val="auto"/>
              </w:rPr>
            </w:pPr>
            <w:r>
              <w:rPr>
                <w:rFonts w:ascii="Arial" w:cs="Arial" w:eastAsia="Arial" w:hAnsi="Arial"/>
                <w:sz w:val="11"/>
                <w:szCs w:val="11"/>
                <w:i w:val="1"/>
                <w:iCs w:val="1"/>
                <w:color w:val="auto"/>
                <w:w w:val="96"/>
              </w:rPr>
              <w:t>(11.2% in 3Q 2025)</w:t>
            </w:r>
          </w:p>
        </w:tc>
        <w:tc>
          <w:tcPr>
            <w:tcW w:w="340" w:type="dxa"/>
            <w:vAlign w:val="bottom"/>
          </w:tcPr>
          <w:p>
            <w:pPr>
              <w:spacing w:after="0"/>
              <w:rPr>
                <w:sz w:val="12"/>
                <w:szCs w:val="12"/>
                <w:color w:val="auto"/>
              </w:rPr>
            </w:pPr>
          </w:p>
        </w:tc>
        <w:tc>
          <w:tcPr>
            <w:tcW w:w="3400" w:type="dxa"/>
            <w:vAlign w:val="bottom"/>
            <w:vMerge w:val="restart"/>
            <w:shd w:val="clear" w:color="auto" w:fill="F8F8F7"/>
          </w:tcPr>
          <w:p>
            <w:pPr>
              <w:jc w:val="center"/>
              <w:spacing w:after="0"/>
              <w:rPr>
                <w:sz w:val="20"/>
                <w:szCs w:val="20"/>
                <w:color w:val="auto"/>
              </w:rPr>
            </w:pPr>
            <w:r>
              <w:rPr>
                <w:rFonts w:ascii="Arial" w:cs="Arial" w:eastAsia="Arial" w:hAnsi="Arial"/>
                <w:sz w:val="11"/>
                <w:szCs w:val="11"/>
                <w:i w:val="1"/>
                <w:iCs w:val="1"/>
                <w:color w:val="auto"/>
                <w:w w:val="98"/>
              </w:rPr>
              <w:t>(10.3% in 3Q 2025)</w:t>
            </w:r>
          </w:p>
        </w:tc>
        <w:tc>
          <w:tcPr>
            <w:tcW w:w="0" w:type="dxa"/>
            <w:vAlign w:val="bottom"/>
          </w:tcPr>
          <w:p>
            <w:pPr>
              <w:spacing w:after="0"/>
              <w:rPr>
                <w:sz w:val="1"/>
                <w:szCs w:val="1"/>
                <w:color w:val="auto"/>
              </w:rPr>
            </w:pPr>
          </w:p>
        </w:tc>
      </w:tr>
      <w:tr>
        <w:trPr>
          <w:trHeight w:val="72"/>
        </w:trPr>
        <w:tc>
          <w:tcPr>
            <w:tcW w:w="3140" w:type="dxa"/>
            <w:vAlign w:val="bottom"/>
            <w:vMerge w:val="continue"/>
            <w:shd w:val="clear" w:color="auto" w:fill="F8F8F7"/>
          </w:tcPr>
          <w:p>
            <w:pPr>
              <w:spacing w:after="0"/>
              <w:rPr>
                <w:sz w:val="6"/>
                <w:szCs w:val="6"/>
                <w:color w:val="auto"/>
              </w:rPr>
            </w:pPr>
          </w:p>
        </w:tc>
        <w:tc>
          <w:tcPr>
            <w:tcW w:w="340" w:type="dxa"/>
            <w:vAlign w:val="bottom"/>
          </w:tcPr>
          <w:p>
            <w:pPr>
              <w:spacing w:after="0"/>
              <w:rPr>
                <w:sz w:val="6"/>
                <w:szCs w:val="6"/>
                <w:color w:val="auto"/>
              </w:rPr>
            </w:pPr>
          </w:p>
        </w:tc>
        <w:tc>
          <w:tcPr>
            <w:tcW w:w="3360" w:type="dxa"/>
            <w:vAlign w:val="bottom"/>
            <w:shd w:val="clear" w:color="auto" w:fill="F8F8F7"/>
          </w:tcPr>
          <w:p>
            <w:pPr>
              <w:spacing w:after="0"/>
              <w:rPr>
                <w:sz w:val="6"/>
                <w:szCs w:val="6"/>
                <w:color w:val="auto"/>
              </w:rPr>
            </w:pPr>
          </w:p>
        </w:tc>
        <w:tc>
          <w:tcPr>
            <w:tcW w:w="340" w:type="dxa"/>
            <w:vAlign w:val="bottom"/>
          </w:tcPr>
          <w:p>
            <w:pPr>
              <w:spacing w:after="0"/>
              <w:rPr>
                <w:sz w:val="6"/>
                <w:szCs w:val="6"/>
                <w:color w:val="auto"/>
              </w:rPr>
            </w:pPr>
          </w:p>
        </w:tc>
        <w:tc>
          <w:tcPr>
            <w:tcW w:w="3400" w:type="dxa"/>
            <w:vAlign w:val="bottom"/>
            <w:vMerge w:val="continue"/>
            <w:shd w:val="clear" w:color="auto" w:fill="F8F8F7"/>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3140" w:type="dxa"/>
            <w:vAlign w:val="bottom"/>
            <w:shd w:val="clear" w:color="auto" w:fill="F8F8F7"/>
          </w:tcPr>
          <w:p>
            <w:pPr>
              <w:spacing w:after="0"/>
              <w:rPr>
                <w:sz w:val="6"/>
                <w:szCs w:val="6"/>
                <w:color w:val="auto"/>
              </w:rPr>
            </w:pPr>
          </w:p>
        </w:tc>
        <w:tc>
          <w:tcPr>
            <w:tcW w:w="340" w:type="dxa"/>
            <w:vAlign w:val="bottom"/>
          </w:tcPr>
          <w:p>
            <w:pPr>
              <w:spacing w:after="0"/>
              <w:rPr>
                <w:sz w:val="6"/>
                <w:szCs w:val="6"/>
                <w:color w:val="auto"/>
              </w:rPr>
            </w:pPr>
          </w:p>
        </w:tc>
        <w:tc>
          <w:tcPr>
            <w:tcW w:w="3360" w:type="dxa"/>
            <w:vAlign w:val="bottom"/>
            <w:shd w:val="clear" w:color="auto" w:fill="F8F8F7"/>
          </w:tcPr>
          <w:p>
            <w:pPr>
              <w:spacing w:after="0"/>
              <w:rPr>
                <w:sz w:val="6"/>
                <w:szCs w:val="6"/>
                <w:color w:val="auto"/>
              </w:rPr>
            </w:pPr>
          </w:p>
        </w:tc>
        <w:tc>
          <w:tcPr>
            <w:tcW w:w="340" w:type="dxa"/>
            <w:vAlign w:val="bottom"/>
          </w:tcPr>
          <w:p>
            <w:pPr>
              <w:spacing w:after="0"/>
              <w:rPr>
                <w:sz w:val="6"/>
                <w:szCs w:val="6"/>
                <w:color w:val="auto"/>
              </w:rPr>
            </w:pPr>
          </w:p>
        </w:tc>
        <w:tc>
          <w:tcPr>
            <w:tcW w:w="3400" w:type="dxa"/>
            <w:vAlign w:val="bottom"/>
            <w:shd w:val="clear" w:color="auto" w:fill="F8F8F7"/>
          </w:tcPr>
          <w:p>
            <w:pPr>
              <w:spacing w:after="0"/>
              <w:rPr>
                <w:sz w:val="6"/>
                <w:szCs w:val="6"/>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FFFFFF"/>
        </w:rPr>
        <w:t>Business Impact and 2025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166610" cy="142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6610" cy="14287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p>
      <w:pPr>
        <w:spacing w:after="0" w:line="139" w:lineRule="exact"/>
        <w:rPr>
          <w:sz w:val="20"/>
          <w:szCs w:val="20"/>
          <w:color w:val="auto"/>
        </w:rPr>
      </w:pPr>
    </w:p>
    <w:p>
      <w:pPr>
        <w:jc w:val="center"/>
        <w:ind w:left="120"/>
        <w:spacing w:after="0"/>
        <w:rPr>
          <w:sz w:val="20"/>
          <w:szCs w:val="20"/>
          <w:color w:val="auto"/>
        </w:rPr>
      </w:pPr>
      <w:r>
        <w:rPr>
          <w:rFonts w:ascii="Arial" w:cs="Arial" w:eastAsia="Arial" w:hAnsi="Arial"/>
          <w:sz w:val="13"/>
          <w:szCs w:val="13"/>
          <w:b w:val="1"/>
          <w:bCs w:val="1"/>
          <w:u w:val="single" w:color="auto"/>
          <w:color w:val="00497F"/>
        </w:rPr>
        <w:t>Mortgage Acquisitions</w:t>
      </w:r>
    </w:p>
    <w:p>
      <w:pPr>
        <w:spacing w:after="0" w:line="30" w:lineRule="exact"/>
        <w:rPr>
          <w:sz w:val="20"/>
          <w:szCs w:val="20"/>
          <w:color w:val="auto"/>
        </w:rPr>
      </w:pPr>
    </w:p>
    <w:p>
      <w:pPr>
        <w:jc w:val="center"/>
        <w:ind w:left="120"/>
        <w:spacing w:after="0"/>
        <w:rPr>
          <w:sz w:val="20"/>
          <w:szCs w:val="20"/>
          <w:color w:val="auto"/>
        </w:rPr>
      </w:pPr>
      <w:r>
        <w:rPr>
          <w:rFonts w:ascii="Arial" w:cs="Arial" w:eastAsia="Arial" w:hAnsi="Arial"/>
          <w:sz w:val="11"/>
          <w:szCs w:val="11"/>
          <w:b w:val="1"/>
          <w:bCs w:val="1"/>
          <w:i w:val="1"/>
          <w:iCs w:val="1"/>
          <w:color w:val="00497F"/>
        </w:rPr>
        <w:t>Enabled the financing of ~1.5 million home purchases,</w:t>
      </w:r>
    </w:p>
    <w:p>
      <w:pPr>
        <w:spacing w:after="0" w:line="14" w:lineRule="exact"/>
        <w:rPr>
          <w:sz w:val="20"/>
          <w:szCs w:val="20"/>
          <w:color w:val="auto"/>
        </w:rPr>
      </w:pPr>
    </w:p>
    <w:p>
      <w:pPr>
        <w:jc w:val="center"/>
        <w:ind w:left="120"/>
        <w:spacing w:after="0"/>
        <w:rPr>
          <w:sz w:val="20"/>
          <w:szCs w:val="20"/>
          <w:color w:val="auto"/>
        </w:rPr>
      </w:pPr>
      <w:r>
        <w:rPr>
          <w:rFonts w:ascii="Arial" w:cs="Arial" w:eastAsia="Arial" w:hAnsi="Arial"/>
          <w:sz w:val="12"/>
          <w:szCs w:val="12"/>
          <w:b w:val="1"/>
          <w:bCs w:val="1"/>
          <w:i w:val="1"/>
          <w:iCs w:val="1"/>
          <w:color w:val="00497F"/>
        </w:rPr>
        <w:t>refinances, and rental units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4445</wp:posOffset>
            </wp:positionV>
            <wp:extent cx="2303145" cy="1423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03145" cy="1423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right="340"/>
        <w:spacing w:after="0" w:line="239" w:lineRule="auto"/>
        <w:rPr>
          <w:sz w:val="20"/>
          <w:szCs w:val="20"/>
          <w:color w:val="auto"/>
        </w:rPr>
      </w:pPr>
      <w:r>
        <w:rPr>
          <w:rFonts w:ascii="Arial" w:cs="Arial" w:eastAsia="Arial" w:hAnsi="Arial"/>
          <w:sz w:val="12"/>
          <w:szCs w:val="12"/>
          <w:b w:val="1"/>
          <w:bCs w:val="1"/>
          <w:color w:val="auto"/>
        </w:rPr>
        <w:t xml:space="preserve">$409 billion in liquidity </w:t>
      </w:r>
      <w:r>
        <w:rPr>
          <w:rFonts w:ascii="Arial" w:cs="Arial" w:eastAsia="Arial" w:hAnsi="Arial"/>
          <w:sz w:val="12"/>
          <w:szCs w:val="12"/>
          <w:color w:val="auto"/>
        </w:rPr>
        <w:t>provided to mortgage market, supporting approximately 704,000 home</w:t>
      </w:r>
      <w:r>
        <w:rPr>
          <w:rFonts w:ascii="Arial" w:cs="Arial" w:eastAsia="Arial" w:hAnsi="Arial"/>
          <w:sz w:val="12"/>
          <w:szCs w:val="12"/>
          <w:b w:val="1"/>
          <w:bCs w:val="1"/>
          <w:color w:val="auto"/>
        </w:rPr>
        <w:t xml:space="preserve"> </w:t>
      </w:r>
      <w:r>
        <w:rPr>
          <w:rFonts w:ascii="Arial" w:cs="Arial" w:eastAsia="Arial" w:hAnsi="Arial"/>
          <w:sz w:val="12"/>
          <w:szCs w:val="12"/>
          <w:color w:val="auto"/>
        </w:rPr>
        <w:t>purchases, 283,000 refinancings, and 531,000 rental units.</w:t>
      </w:r>
    </w:p>
    <w:p>
      <w:pPr>
        <w:spacing w:after="0" w:line="40" w:lineRule="exact"/>
        <w:rPr>
          <w:sz w:val="20"/>
          <w:szCs w:val="20"/>
          <w:color w:val="auto"/>
        </w:rPr>
      </w:pPr>
    </w:p>
    <w:p>
      <w:pPr>
        <w:ind w:right="580"/>
        <w:spacing w:after="0" w:line="239" w:lineRule="auto"/>
        <w:rPr>
          <w:sz w:val="20"/>
          <w:szCs w:val="20"/>
          <w:color w:val="auto"/>
        </w:rPr>
      </w:pPr>
      <w:r>
        <w:rPr>
          <w:rFonts w:ascii="Arial" w:cs="Arial" w:eastAsia="Arial" w:hAnsi="Arial"/>
          <w:sz w:val="12"/>
          <w:szCs w:val="12"/>
          <w:b w:val="1"/>
          <w:bCs w:val="1"/>
          <w:color w:val="auto"/>
        </w:rPr>
        <w:t xml:space="preserve">Renters earning less than 100% of area median income </w:t>
      </w:r>
      <w:r>
        <w:rPr>
          <w:rFonts w:ascii="Arial" w:cs="Arial" w:eastAsia="Arial" w:hAnsi="Arial"/>
          <w:sz w:val="12"/>
          <w:szCs w:val="12"/>
          <w:color w:val="auto"/>
        </w:rPr>
        <w:t>made up more than 80% of the</w:t>
      </w:r>
      <w:r>
        <w:rPr>
          <w:rFonts w:ascii="Arial" w:cs="Arial" w:eastAsia="Arial" w:hAnsi="Arial"/>
          <w:sz w:val="12"/>
          <w:szCs w:val="12"/>
          <w:b w:val="1"/>
          <w:bCs w:val="1"/>
          <w:color w:val="auto"/>
        </w:rPr>
        <w:t xml:space="preserve"> </w:t>
      </w:r>
      <w:r>
        <w:rPr>
          <w:rFonts w:ascii="Arial" w:cs="Arial" w:eastAsia="Arial" w:hAnsi="Arial"/>
          <w:sz w:val="12"/>
          <w:szCs w:val="12"/>
          <w:color w:val="auto"/>
        </w:rPr>
        <w:t>multifamily units we financed.</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First-time homebuyers </w:t>
      </w:r>
      <w:r>
        <w:rPr>
          <w:rFonts w:ascii="Arial" w:cs="Arial" w:eastAsia="Arial" w:hAnsi="Arial"/>
          <w:sz w:val="12"/>
          <w:szCs w:val="12"/>
          <w:color w:val="auto"/>
        </w:rPr>
        <w:t>accounted for more than half of our single-family purchase mortgages.</w:t>
      </w:r>
    </w:p>
    <w:p>
      <w:pPr>
        <w:spacing w:after="0" w:line="51" w:lineRule="exact"/>
        <w:rPr>
          <w:sz w:val="20"/>
          <w:szCs w:val="20"/>
          <w:color w:val="auto"/>
        </w:rPr>
      </w:pPr>
    </w:p>
    <w:p>
      <w:pPr>
        <w:ind w:right="440"/>
        <w:spacing w:after="0" w:line="239" w:lineRule="auto"/>
        <w:rPr>
          <w:sz w:val="20"/>
          <w:szCs w:val="20"/>
          <w:color w:val="auto"/>
        </w:rPr>
      </w:pPr>
      <w:r>
        <w:rPr>
          <w:rFonts w:ascii="Arial" w:cs="Arial" w:eastAsia="Arial" w:hAnsi="Arial"/>
          <w:sz w:val="12"/>
          <w:szCs w:val="12"/>
          <w:b w:val="1"/>
          <w:bCs w:val="1"/>
          <w:color w:val="auto"/>
        </w:rPr>
        <w:t xml:space="preserve">Our foreclosure prevention solutions </w:t>
      </w:r>
      <w:r>
        <w:rPr>
          <w:rFonts w:ascii="Arial" w:cs="Arial" w:eastAsia="Arial" w:hAnsi="Arial"/>
          <w:sz w:val="12"/>
          <w:szCs w:val="12"/>
          <w:color w:val="auto"/>
        </w:rPr>
        <w:t>allowed nearly 99,000 homeowners to remain in their</w:t>
      </w:r>
      <w:r>
        <w:rPr>
          <w:rFonts w:ascii="Arial" w:cs="Arial" w:eastAsia="Arial" w:hAnsi="Arial"/>
          <w:sz w:val="12"/>
          <w:szCs w:val="12"/>
          <w:b w:val="1"/>
          <w:bCs w:val="1"/>
          <w:color w:val="auto"/>
        </w:rPr>
        <w:t xml:space="preserve"> </w:t>
      </w:r>
      <w:r>
        <w:rPr>
          <w:rFonts w:ascii="Arial" w:cs="Arial" w:eastAsia="Arial" w:hAnsi="Arial"/>
          <w:sz w:val="12"/>
          <w:szCs w:val="12"/>
          <w:color w:val="auto"/>
        </w:rPr>
        <w:t>homes.</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Increased MBS purchase activity </w:t>
      </w:r>
      <w:r>
        <w:rPr>
          <w:rFonts w:ascii="Arial" w:cs="Arial" w:eastAsia="Arial" w:hAnsi="Arial"/>
          <w:sz w:val="12"/>
          <w:szCs w:val="12"/>
          <w:color w:val="auto"/>
        </w:rPr>
        <w:t>to support market and lender liquidity.</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Multifamily acquisition volume </w:t>
      </w:r>
      <w:r>
        <w:rPr>
          <w:rFonts w:ascii="Arial" w:cs="Arial" w:eastAsia="Arial" w:hAnsi="Arial"/>
          <w:sz w:val="12"/>
          <w:szCs w:val="12"/>
          <w:color w:val="auto"/>
        </w:rPr>
        <w:t>totaled $73.7 billion, the highest in five years.</w:t>
      </w:r>
    </w:p>
    <w:p>
      <w:pPr>
        <w:spacing w:after="0" w:line="200" w:lineRule="exact"/>
        <w:rPr>
          <w:sz w:val="20"/>
          <w:szCs w:val="20"/>
          <w:color w:val="auto"/>
        </w:rPr>
      </w:pPr>
    </w:p>
    <w:p>
      <w:pPr>
        <w:sectPr>
          <w:pgSz w:w="11900" w:h="16838" w:orient="portrait"/>
          <w:cols w:equalWidth="0" w:num="2">
            <w:col w:w="5180" w:space="720"/>
            <w:col w:w="5400"/>
          </w:cols>
          <w:pgMar w:left="300" w:top="653" w:right="299" w:bottom="1440" w:gutter="0" w:footer="0" w:header="0"/>
          <w:type w:val="continuous"/>
        </w:sectPr>
      </w:pPr>
    </w:p>
    <w:p>
      <w:pPr>
        <w:spacing w:after="0" w:line="39" w:lineRule="exact"/>
        <w:rPr>
          <w:sz w:val="20"/>
          <w:szCs w:val="20"/>
          <w:color w:val="auto"/>
        </w:rPr>
      </w:pPr>
    </w:p>
    <w:p>
      <w:pPr>
        <w:ind w:left="9700"/>
        <w:spacing w:after="0"/>
        <w:rPr>
          <w:sz w:val="20"/>
          <w:szCs w:val="20"/>
          <w:color w:val="auto"/>
        </w:rPr>
      </w:pPr>
      <w:r>
        <w:rPr>
          <w:rFonts w:ascii="Arial" w:cs="Arial" w:eastAsia="Arial" w:hAnsi="Arial"/>
          <w:sz w:val="10"/>
          <w:szCs w:val="10"/>
          <w:i w:val="1"/>
          <w:iCs w:val="1"/>
          <w:color w:val="auto"/>
        </w:rPr>
        <w:t>Endnotes are presented on 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100" w:type="dxa"/>
            <w:vAlign w:val="bottom"/>
            <w:tcBorders>
              <w:top w:val="single" w:sz="8" w:color="05314D"/>
            </w:tcBorders>
          </w:tcPr>
          <w:p>
            <w:pPr>
              <w:spacing w:after="0"/>
              <w:rPr>
                <w:sz w:val="20"/>
                <w:szCs w:val="20"/>
                <w:color w:val="auto"/>
              </w:rPr>
            </w:pPr>
            <w:r>
              <w:rPr>
                <w:rFonts w:ascii="Arial" w:cs="Arial" w:eastAsia="Arial" w:hAnsi="Arial"/>
                <w:sz w:val="11"/>
                <w:szCs w:val="11"/>
                <w:color w:val="auto"/>
              </w:rPr>
              <w:t>Fourth Quarter 2025</w:t>
            </w:r>
          </w:p>
        </w:tc>
        <w:tc>
          <w:tcPr>
            <w:tcW w:w="5200" w:type="dxa"/>
            <w:vAlign w:val="bottom"/>
            <w:tcBorders>
              <w:top w:val="single" w:sz="8" w:color="05314D"/>
            </w:tcBorders>
          </w:tcPr>
          <w:p>
            <w:pPr>
              <w:jc w:val="right"/>
              <w:spacing w:after="0"/>
              <w:rPr>
                <w:sz w:val="20"/>
                <w:szCs w:val="20"/>
                <w:color w:val="auto"/>
              </w:rPr>
            </w:pPr>
            <w:r>
              <w:rPr>
                <w:rFonts w:ascii="Arial" w:cs="Arial" w:eastAsia="Arial" w:hAnsi="Arial"/>
                <w:sz w:val="11"/>
                <w:szCs w:val="11"/>
                <w:color w:val="auto"/>
              </w:rPr>
              <w:t>1</w:t>
            </w:r>
          </w:p>
        </w:tc>
      </w:tr>
    </w:tbl>
    <w:p>
      <w:pPr>
        <w:sectPr>
          <w:pgSz w:w="11900" w:h="16838" w:orient="portrait"/>
          <w:cols w:equalWidth="0" w:num="1">
            <w:col w:w="11300"/>
          </w:cols>
          <w:pgMar w:left="300" w:top="653" w:right="29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05314D"/>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Summary of Financial Results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Chryssa C. Halley, Chief Financial Officer, Fannie Mae</w:t>
      </w:r>
      <w:r>
        <w:rPr>
          <w:rFonts w:ascii="Arial" w:cs="Arial" w:eastAsia="Arial" w:hAnsi="Arial"/>
          <w:sz w:val="12"/>
          <w:szCs w:val="12"/>
          <w:color w:val="085280"/>
        </w:rPr>
        <w:t>:</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2"/>
          <w:szCs w:val="12"/>
          <w:color w:val="auto"/>
        </w:rPr>
        <w:t>“We generated $3.5 billion in net income in the fourth quarter and $14.4 billion for the year, supported by steady revenues of $7.3 billion and $29.0 billion, respectively. We are well positioned to continue to meet the needs of the housing market while operating in a safe and sound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78040" cy="13373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Key Highlights — Fourth Quarter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79" w:lineRule="exact"/>
        <w:rPr>
          <w:sz w:val="20"/>
          <w:szCs w:val="20"/>
          <w:color w:val="auto"/>
        </w:rPr>
      </w:pPr>
    </w:p>
    <w:p>
      <w:pPr>
        <w:ind w:left="200" w:hanging="128"/>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Net revenues </w:t>
      </w:r>
      <w:r>
        <w:rPr>
          <w:rFonts w:ascii="Arial" w:cs="Arial" w:eastAsia="Arial" w:hAnsi="Arial"/>
          <w:sz w:val="11"/>
          <w:szCs w:val="11"/>
          <w:color w:val="auto"/>
        </w:rPr>
        <w:t>of $7.3 billion, primarily driven by guaranty fees on the company’s $4.1 trillion guaranty book of business.</w:t>
      </w:r>
    </w:p>
    <w:p>
      <w:pPr>
        <w:spacing w:after="0" w:line="71" w:lineRule="exact"/>
        <w:rPr>
          <w:rFonts w:ascii="Arial" w:cs="Arial" w:eastAsia="Arial" w:hAnsi="Arial"/>
          <w:sz w:val="11"/>
          <w:szCs w:val="11"/>
          <w:color w:val="auto"/>
        </w:rPr>
      </w:pPr>
    </w:p>
    <w:p>
      <w:pPr>
        <w:ind w:left="240" w:hanging="38"/>
        <w:spacing w:after="0"/>
        <w:tabs>
          <w:tab w:leader="none" w:pos="240" w:val="left"/>
        </w:tabs>
        <w:numPr>
          <w:ilvl w:val="1"/>
          <w:numId w:val="3"/>
        </w:numPr>
        <w:rPr>
          <w:rFonts w:ascii="Arial" w:cs="Arial" w:eastAsia="Arial" w:hAnsi="Arial"/>
          <w:sz w:val="10"/>
          <w:szCs w:val="10"/>
          <w:color w:val="auto"/>
        </w:rPr>
      </w:pPr>
      <w:r>
        <w:rPr>
          <w:rFonts w:ascii="Arial" w:cs="Arial" w:eastAsia="Arial" w:hAnsi="Arial"/>
          <w:sz w:val="10"/>
          <w:szCs w:val="10"/>
          <w:b w:val="1"/>
          <w:bCs w:val="1"/>
          <w:color w:val="auto"/>
        </w:rPr>
        <w:t xml:space="preserve">Single-family net revenues </w:t>
      </w:r>
      <w:r>
        <w:rPr>
          <w:rFonts w:ascii="Arial" w:cs="Arial" w:eastAsia="Arial" w:hAnsi="Arial"/>
          <w:sz w:val="10"/>
          <w:szCs w:val="10"/>
          <w:color w:val="auto"/>
        </w:rPr>
        <w:t>of $6.1 billion from a $3.6 trillion conventional guaranty book with an average charged guaranty fee of 48.7 basis points.</w:t>
      </w:r>
    </w:p>
    <w:p>
      <w:pPr>
        <w:spacing w:after="0" w:line="74" w:lineRule="exact"/>
        <w:rPr>
          <w:rFonts w:ascii="Arial" w:cs="Arial" w:eastAsia="Arial" w:hAnsi="Arial"/>
          <w:sz w:val="10"/>
          <w:szCs w:val="10"/>
          <w:color w:val="auto"/>
        </w:rPr>
      </w:pPr>
    </w:p>
    <w:p>
      <w:pPr>
        <w:ind w:left="240" w:hanging="38"/>
        <w:spacing w:after="0"/>
        <w:tabs>
          <w:tab w:leader="none" w:pos="240" w:val="left"/>
        </w:tabs>
        <w:numPr>
          <w:ilvl w:val="1"/>
          <w:numId w:val="3"/>
        </w:numPr>
        <w:rPr>
          <w:rFonts w:ascii="Arial" w:cs="Arial" w:eastAsia="Arial" w:hAnsi="Arial"/>
          <w:sz w:val="10"/>
          <w:szCs w:val="10"/>
          <w:color w:val="auto"/>
        </w:rPr>
      </w:pPr>
      <w:r>
        <w:rPr>
          <w:rFonts w:ascii="Arial" w:cs="Arial" w:eastAsia="Arial" w:hAnsi="Arial"/>
          <w:sz w:val="10"/>
          <w:szCs w:val="10"/>
          <w:b w:val="1"/>
          <w:bCs w:val="1"/>
          <w:color w:val="auto"/>
        </w:rPr>
        <w:t xml:space="preserve">Multifamily net revenues </w:t>
      </w:r>
      <w:r>
        <w:rPr>
          <w:rFonts w:ascii="Arial" w:cs="Arial" w:eastAsia="Arial" w:hAnsi="Arial"/>
          <w:sz w:val="10"/>
          <w:szCs w:val="10"/>
          <w:color w:val="auto"/>
        </w:rPr>
        <w:t>of $1.2 billion from a $534.7 billion guaranty book with an average charged guaranty fee of 71.6 basis points.</w:t>
      </w:r>
    </w:p>
    <w:p>
      <w:pPr>
        <w:spacing w:after="0" w:line="74" w:lineRule="exact"/>
        <w:rPr>
          <w:rFonts w:ascii="Arial" w:cs="Arial" w:eastAsia="Arial" w:hAnsi="Arial"/>
          <w:sz w:val="10"/>
          <w:szCs w:val="10"/>
          <w:color w:val="auto"/>
        </w:rPr>
      </w:pPr>
    </w:p>
    <w:p>
      <w:pPr>
        <w:ind w:left="200" w:hanging="128"/>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Provision for credit losses </w:t>
      </w:r>
      <w:r>
        <w:rPr>
          <w:rFonts w:ascii="Arial" w:cs="Arial" w:eastAsia="Arial" w:hAnsi="Arial"/>
          <w:sz w:val="11"/>
          <w:szCs w:val="11"/>
          <w:color w:val="auto"/>
        </w:rPr>
        <w:t>of $298 million, largely driven by a provision for newly acquired single-family loans during the period and increased delinquencies.</w:t>
      </w:r>
    </w:p>
    <w:p>
      <w:pPr>
        <w:spacing w:after="0" w:line="62" w:lineRule="exact"/>
        <w:rPr>
          <w:rFonts w:ascii="Arial" w:cs="Arial" w:eastAsia="Arial" w:hAnsi="Arial"/>
          <w:sz w:val="11"/>
          <w:szCs w:val="11"/>
          <w:color w:val="auto"/>
        </w:rPr>
      </w:pPr>
    </w:p>
    <w:p>
      <w:pPr>
        <w:ind w:left="200" w:hanging="128"/>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Non-interest expense </w:t>
      </w:r>
      <w:r>
        <w:rPr>
          <w:rFonts w:ascii="Arial" w:cs="Arial" w:eastAsia="Arial" w:hAnsi="Arial"/>
          <w:sz w:val="11"/>
          <w:szCs w:val="11"/>
          <w:color w:val="auto"/>
        </w:rPr>
        <w:t>of $2.4 billion compared with $2.3 billion in the third quarter; increase driven primarily by higher administrative expense.</w:t>
      </w:r>
    </w:p>
    <w:p>
      <w:pPr>
        <w:spacing w:after="0" w:line="53" w:lineRule="exact"/>
        <w:rPr>
          <w:rFonts w:ascii="Arial" w:cs="Arial" w:eastAsia="Arial" w:hAnsi="Arial"/>
          <w:sz w:val="11"/>
          <w:szCs w:val="11"/>
          <w:color w:val="auto"/>
        </w:rPr>
      </w:pPr>
    </w:p>
    <w:p>
      <w:pPr>
        <w:ind w:left="200" w:hanging="128"/>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Net income </w:t>
      </w:r>
      <w:r>
        <w:rPr>
          <w:rFonts w:ascii="Arial" w:cs="Arial" w:eastAsia="Arial" w:hAnsi="Arial"/>
          <w:sz w:val="11"/>
          <w:szCs w:val="11"/>
          <w:color w:val="auto"/>
        </w:rPr>
        <w:t>of $3.5 billion, compared with $3.9 billion in 3Q 2025;</w:t>
      </w:r>
      <w:r>
        <w:rPr>
          <w:rFonts w:ascii="Arial" w:cs="Arial" w:eastAsia="Arial" w:hAnsi="Arial"/>
          <w:sz w:val="11"/>
          <w:szCs w:val="11"/>
          <w:b w:val="1"/>
          <w:bCs w:val="1"/>
          <w:color w:val="auto"/>
        </w:rPr>
        <w:t xml:space="preserve"> net worth </w:t>
      </w:r>
      <w:r>
        <w:rPr>
          <w:rFonts w:ascii="Arial" w:cs="Arial" w:eastAsia="Arial" w:hAnsi="Arial"/>
          <w:sz w:val="11"/>
          <w:szCs w:val="11"/>
          <w:color w:val="auto"/>
        </w:rPr>
        <w:t>increased to $109.0 billion.</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Summary of 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178040" cy="1085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780" w:type="dxa"/>
            <w:vAlign w:val="bottom"/>
            <w:tcBorders>
              <w:top w:val="single" w:sz="8" w:color="1C6FA3"/>
              <w:bottom w:val="single" w:sz="8" w:color="5587A6"/>
            </w:tcBorders>
          </w:tcPr>
          <w:p>
            <w:pPr>
              <w:spacing w:after="0"/>
              <w:rPr>
                <w:sz w:val="20"/>
                <w:szCs w:val="20"/>
                <w:color w:val="auto"/>
              </w:rPr>
            </w:pPr>
            <w:r>
              <w:rPr>
                <w:rFonts w:ascii="Arial" w:cs="Arial" w:eastAsia="Arial" w:hAnsi="Arial"/>
                <w:sz w:val="11"/>
                <w:szCs w:val="11"/>
                <w:b w:val="1"/>
                <w:bCs w:val="1"/>
                <w:color w:val="auto"/>
              </w:rPr>
              <w:t>(Dollars in millions)</w:t>
            </w:r>
          </w:p>
        </w:tc>
        <w:tc>
          <w:tcPr>
            <w:tcW w:w="80" w:type="dxa"/>
            <w:vAlign w:val="bottom"/>
            <w:tcBorders>
              <w:top w:val="single" w:sz="8" w:color="1C6FA3"/>
            </w:tcBorders>
          </w:tcPr>
          <w:p>
            <w:pPr>
              <w:spacing w:after="0"/>
              <w:rPr>
                <w:sz w:val="13"/>
                <w:szCs w:val="13"/>
                <w:color w:val="auto"/>
              </w:rPr>
            </w:pPr>
          </w:p>
        </w:tc>
        <w:tc>
          <w:tcPr>
            <w:tcW w:w="180" w:type="dxa"/>
            <w:vAlign w:val="bottom"/>
            <w:tcBorders>
              <w:top w:val="single" w:sz="8" w:color="1C6FA3"/>
              <w:bottom w:val="single" w:sz="8" w:color="5587A6"/>
            </w:tcBorders>
          </w:tcPr>
          <w:p>
            <w:pPr>
              <w:spacing w:after="0"/>
              <w:rPr>
                <w:sz w:val="13"/>
                <w:szCs w:val="13"/>
                <w:color w:val="auto"/>
              </w:rPr>
            </w:pPr>
          </w:p>
        </w:tc>
        <w:tc>
          <w:tcPr>
            <w:tcW w:w="640" w:type="dxa"/>
            <w:vAlign w:val="bottom"/>
            <w:tcBorders>
              <w:top w:val="single" w:sz="8" w:color="1C6FA3"/>
              <w:bottom w:val="single" w:sz="8" w:color="5587A6"/>
            </w:tcBorders>
          </w:tcPr>
          <w:p>
            <w:pPr>
              <w:jc w:val="right"/>
              <w:ind w:right="226"/>
              <w:spacing w:after="0"/>
              <w:rPr>
                <w:sz w:val="20"/>
                <w:szCs w:val="20"/>
                <w:color w:val="auto"/>
              </w:rPr>
            </w:pPr>
            <w:r>
              <w:rPr>
                <w:rFonts w:ascii="Arial" w:cs="Arial" w:eastAsia="Arial" w:hAnsi="Arial"/>
                <w:sz w:val="11"/>
                <w:szCs w:val="11"/>
                <w:b w:val="1"/>
                <w:bCs w:val="1"/>
                <w:color w:val="auto"/>
              </w:rPr>
              <w:t>4Q25</w:t>
            </w:r>
          </w:p>
        </w:tc>
        <w:tc>
          <w:tcPr>
            <w:tcW w:w="80" w:type="dxa"/>
            <w:vAlign w:val="bottom"/>
            <w:tcBorders>
              <w:top w:val="single" w:sz="8" w:color="1C6FA3"/>
            </w:tcBorders>
          </w:tcPr>
          <w:p>
            <w:pPr>
              <w:spacing w:after="0"/>
              <w:rPr>
                <w:sz w:val="13"/>
                <w:szCs w:val="13"/>
                <w:color w:val="auto"/>
              </w:rPr>
            </w:pPr>
          </w:p>
        </w:tc>
        <w:tc>
          <w:tcPr>
            <w:tcW w:w="180" w:type="dxa"/>
            <w:vAlign w:val="bottom"/>
            <w:tcBorders>
              <w:top w:val="single" w:sz="8" w:color="1C6FA3"/>
              <w:bottom w:val="single" w:sz="8" w:color="5587A6"/>
            </w:tcBorders>
          </w:tcPr>
          <w:p>
            <w:pPr>
              <w:spacing w:after="0"/>
              <w:rPr>
                <w:sz w:val="13"/>
                <w:szCs w:val="13"/>
                <w:color w:val="auto"/>
              </w:rPr>
            </w:pPr>
          </w:p>
        </w:tc>
        <w:tc>
          <w:tcPr>
            <w:tcW w:w="660" w:type="dxa"/>
            <w:vAlign w:val="bottom"/>
            <w:tcBorders>
              <w:top w:val="single" w:sz="8" w:color="1C6FA3"/>
              <w:bottom w:val="single" w:sz="8" w:color="5587A6"/>
            </w:tcBorders>
          </w:tcPr>
          <w:p>
            <w:pPr>
              <w:jc w:val="right"/>
              <w:ind w:right="226"/>
              <w:spacing w:after="0"/>
              <w:rPr>
                <w:sz w:val="20"/>
                <w:szCs w:val="20"/>
                <w:color w:val="auto"/>
              </w:rPr>
            </w:pPr>
            <w:r>
              <w:rPr>
                <w:rFonts w:ascii="Arial" w:cs="Arial" w:eastAsia="Arial" w:hAnsi="Arial"/>
                <w:sz w:val="11"/>
                <w:szCs w:val="11"/>
                <w:b w:val="1"/>
                <w:bCs w:val="1"/>
                <w:color w:val="auto"/>
              </w:rPr>
              <w:t>3Q25</w:t>
            </w:r>
          </w:p>
        </w:tc>
        <w:tc>
          <w:tcPr>
            <w:tcW w:w="80" w:type="dxa"/>
            <w:vAlign w:val="bottom"/>
            <w:tcBorders>
              <w:top w:val="single" w:sz="8" w:color="1C6FA3"/>
            </w:tcBorders>
          </w:tcPr>
          <w:p>
            <w:pPr>
              <w:spacing w:after="0"/>
              <w:rPr>
                <w:sz w:val="13"/>
                <w:szCs w:val="13"/>
                <w:color w:val="auto"/>
              </w:rPr>
            </w:pPr>
          </w:p>
        </w:tc>
        <w:tc>
          <w:tcPr>
            <w:tcW w:w="120" w:type="dxa"/>
            <w:vAlign w:val="bottom"/>
            <w:tcBorders>
              <w:top w:val="single" w:sz="8" w:color="1C6FA3"/>
              <w:bottom w:val="single" w:sz="8" w:color="5587A6"/>
            </w:tcBorders>
          </w:tcPr>
          <w:p>
            <w:pPr>
              <w:spacing w:after="0"/>
              <w:rPr>
                <w:sz w:val="13"/>
                <w:szCs w:val="13"/>
                <w:color w:val="auto"/>
              </w:rPr>
            </w:pPr>
          </w:p>
        </w:tc>
        <w:tc>
          <w:tcPr>
            <w:tcW w:w="700" w:type="dxa"/>
            <w:vAlign w:val="bottom"/>
            <w:tcBorders>
              <w:top w:val="single" w:sz="8" w:color="1C6FA3"/>
              <w:bottom w:val="single" w:sz="8" w:color="5587A6"/>
            </w:tcBorders>
          </w:tcPr>
          <w:p>
            <w:pPr>
              <w:jc w:val="right"/>
              <w:ind w:right="126"/>
              <w:spacing w:after="0"/>
              <w:rPr>
                <w:sz w:val="20"/>
                <w:szCs w:val="20"/>
                <w:color w:val="auto"/>
              </w:rPr>
            </w:pPr>
            <w:r>
              <w:rPr>
                <w:rFonts w:ascii="Arial" w:cs="Arial" w:eastAsia="Arial" w:hAnsi="Arial"/>
                <w:sz w:val="11"/>
                <w:szCs w:val="11"/>
                <w:b w:val="1"/>
                <w:bCs w:val="1"/>
                <w:color w:val="auto"/>
              </w:rPr>
              <w:t>Variance</w:t>
            </w:r>
          </w:p>
        </w:tc>
        <w:tc>
          <w:tcPr>
            <w:tcW w:w="80" w:type="dxa"/>
            <w:vAlign w:val="bottom"/>
            <w:tcBorders>
              <w:top w:val="single" w:sz="8" w:color="1C6FA3"/>
            </w:tcBorders>
          </w:tcPr>
          <w:p>
            <w:pPr>
              <w:spacing w:after="0"/>
              <w:rPr>
                <w:sz w:val="13"/>
                <w:szCs w:val="13"/>
                <w:color w:val="auto"/>
              </w:rPr>
            </w:pPr>
          </w:p>
        </w:tc>
        <w:tc>
          <w:tcPr>
            <w:tcW w:w="840" w:type="dxa"/>
            <w:vAlign w:val="bottom"/>
            <w:tcBorders>
              <w:top w:val="single" w:sz="8" w:color="1C6FA3"/>
              <w:bottom w:val="single" w:sz="8" w:color="5587A6"/>
            </w:tcBorders>
          </w:tcPr>
          <w:p>
            <w:pPr>
              <w:jc w:val="right"/>
              <w:ind w:right="46"/>
              <w:spacing w:after="0"/>
              <w:rPr>
                <w:sz w:val="20"/>
                <w:szCs w:val="20"/>
                <w:color w:val="auto"/>
              </w:rPr>
            </w:pPr>
            <w:r>
              <w:rPr>
                <w:rFonts w:ascii="Arial" w:cs="Arial" w:eastAsia="Arial" w:hAnsi="Arial"/>
                <w:sz w:val="11"/>
                <w:szCs w:val="11"/>
                <w:b w:val="1"/>
                <w:bCs w:val="1"/>
                <w:color w:val="auto"/>
              </w:rPr>
              <w:t>% Change</w:t>
            </w:r>
          </w:p>
        </w:tc>
        <w:tc>
          <w:tcPr>
            <w:tcW w:w="140" w:type="dxa"/>
            <w:vAlign w:val="bottom"/>
            <w:tcBorders>
              <w:top w:val="single" w:sz="8" w:color="1C6FA3"/>
              <w:bottom w:val="single" w:sz="8" w:color="5587A6"/>
            </w:tcBorders>
          </w:tcPr>
          <w:p>
            <w:pPr>
              <w:spacing w:after="0"/>
              <w:rPr>
                <w:sz w:val="13"/>
                <w:szCs w:val="13"/>
                <w:color w:val="auto"/>
              </w:rPr>
            </w:pPr>
          </w:p>
        </w:tc>
        <w:tc>
          <w:tcPr>
            <w:tcW w:w="60" w:type="dxa"/>
            <w:vAlign w:val="bottom"/>
            <w:tcBorders>
              <w:top w:val="single" w:sz="8" w:color="1C6FA3"/>
            </w:tcBorders>
          </w:tcPr>
          <w:p>
            <w:pPr>
              <w:spacing w:after="0"/>
              <w:rPr>
                <w:sz w:val="13"/>
                <w:szCs w:val="13"/>
                <w:color w:val="auto"/>
              </w:rPr>
            </w:pPr>
          </w:p>
        </w:tc>
        <w:tc>
          <w:tcPr>
            <w:tcW w:w="180" w:type="dxa"/>
            <w:vAlign w:val="bottom"/>
            <w:tcBorders>
              <w:top w:val="single" w:sz="8" w:color="1C6FA3"/>
              <w:bottom w:val="single" w:sz="8" w:color="5587A6"/>
            </w:tcBorders>
          </w:tcPr>
          <w:p>
            <w:pPr>
              <w:spacing w:after="0"/>
              <w:rPr>
                <w:sz w:val="13"/>
                <w:szCs w:val="13"/>
                <w:color w:val="auto"/>
              </w:rPr>
            </w:pPr>
          </w:p>
        </w:tc>
        <w:tc>
          <w:tcPr>
            <w:tcW w:w="660" w:type="dxa"/>
            <w:vAlign w:val="bottom"/>
            <w:tcBorders>
              <w:top w:val="single" w:sz="8" w:color="1C6FA3"/>
              <w:bottom w:val="single" w:sz="8" w:color="5587A6"/>
            </w:tcBorders>
          </w:tcPr>
          <w:p>
            <w:pPr>
              <w:jc w:val="right"/>
              <w:ind w:right="246"/>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1C6FA3"/>
            </w:tcBorders>
          </w:tcPr>
          <w:p>
            <w:pPr>
              <w:spacing w:after="0"/>
              <w:rPr>
                <w:sz w:val="13"/>
                <w:szCs w:val="13"/>
                <w:color w:val="auto"/>
              </w:rPr>
            </w:pPr>
          </w:p>
        </w:tc>
        <w:tc>
          <w:tcPr>
            <w:tcW w:w="160" w:type="dxa"/>
            <w:vAlign w:val="bottom"/>
            <w:tcBorders>
              <w:top w:val="single" w:sz="8" w:color="1C6FA3"/>
              <w:bottom w:val="single" w:sz="8" w:color="5587A6"/>
            </w:tcBorders>
          </w:tcPr>
          <w:p>
            <w:pPr>
              <w:spacing w:after="0"/>
              <w:rPr>
                <w:sz w:val="13"/>
                <w:szCs w:val="13"/>
                <w:color w:val="auto"/>
              </w:rPr>
            </w:pPr>
          </w:p>
        </w:tc>
        <w:tc>
          <w:tcPr>
            <w:tcW w:w="640" w:type="dxa"/>
            <w:vAlign w:val="bottom"/>
            <w:tcBorders>
              <w:top w:val="single" w:sz="8" w:color="1C6FA3"/>
              <w:bottom w:val="single" w:sz="8" w:color="5587A6"/>
            </w:tcBorders>
          </w:tcPr>
          <w:p>
            <w:pPr>
              <w:jc w:val="right"/>
              <w:ind w:right="226"/>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1C6FA3"/>
            </w:tcBorders>
          </w:tcPr>
          <w:p>
            <w:pPr>
              <w:spacing w:after="0"/>
              <w:rPr>
                <w:sz w:val="13"/>
                <w:szCs w:val="13"/>
                <w:color w:val="auto"/>
              </w:rPr>
            </w:pPr>
          </w:p>
        </w:tc>
        <w:tc>
          <w:tcPr>
            <w:tcW w:w="120" w:type="dxa"/>
            <w:vAlign w:val="bottom"/>
            <w:tcBorders>
              <w:top w:val="single" w:sz="8" w:color="1C6FA3"/>
              <w:bottom w:val="single" w:sz="8" w:color="5587A6"/>
            </w:tcBorders>
          </w:tcPr>
          <w:p>
            <w:pPr>
              <w:spacing w:after="0"/>
              <w:rPr>
                <w:sz w:val="13"/>
                <w:szCs w:val="13"/>
                <w:color w:val="auto"/>
              </w:rPr>
            </w:pPr>
          </w:p>
        </w:tc>
        <w:tc>
          <w:tcPr>
            <w:tcW w:w="720" w:type="dxa"/>
            <w:vAlign w:val="bottom"/>
            <w:tcBorders>
              <w:top w:val="single" w:sz="8" w:color="1C6FA3"/>
              <w:bottom w:val="single" w:sz="8" w:color="5587A6"/>
            </w:tcBorders>
          </w:tcPr>
          <w:p>
            <w:pPr>
              <w:jc w:val="right"/>
              <w:ind w:right="146"/>
              <w:spacing w:after="0"/>
              <w:rPr>
                <w:sz w:val="20"/>
                <w:szCs w:val="20"/>
                <w:color w:val="auto"/>
              </w:rPr>
            </w:pPr>
            <w:r>
              <w:rPr>
                <w:rFonts w:ascii="Arial" w:cs="Arial" w:eastAsia="Arial" w:hAnsi="Arial"/>
                <w:sz w:val="11"/>
                <w:szCs w:val="11"/>
                <w:b w:val="1"/>
                <w:bCs w:val="1"/>
                <w:color w:val="auto"/>
              </w:rPr>
              <w:t>Variance</w:t>
            </w:r>
          </w:p>
        </w:tc>
        <w:tc>
          <w:tcPr>
            <w:tcW w:w="60" w:type="dxa"/>
            <w:vAlign w:val="bottom"/>
            <w:tcBorders>
              <w:top w:val="single" w:sz="8" w:color="1C6FA3"/>
            </w:tcBorders>
          </w:tcPr>
          <w:p>
            <w:pPr>
              <w:spacing w:after="0"/>
              <w:rPr>
                <w:sz w:val="13"/>
                <w:szCs w:val="13"/>
                <w:color w:val="auto"/>
              </w:rPr>
            </w:pPr>
          </w:p>
        </w:tc>
        <w:tc>
          <w:tcPr>
            <w:tcW w:w="800" w:type="dxa"/>
            <w:vAlign w:val="bottom"/>
            <w:tcBorders>
              <w:top w:val="single" w:sz="8" w:color="1C6FA3"/>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 Change</w:t>
            </w:r>
          </w:p>
        </w:tc>
        <w:tc>
          <w:tcPr>
            <w:tcW w:w="40" w:type="dxa"/>
            <w:vAlign w:val="bottom"/>
            <w:tcBorders>
              <w:top w:val="single" w:sz="8" w:color="1C6FA3"/>
              <w:bottom w:val="single" w:sz="8" w:color="5587A6"/>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860" w:type="dxa"/>
            <w:vAlign w:val="bottom"/>
            <w:gridSpan w:val="2"/>
          </w:tcPr>
          <w:p>
            <w:pPr>
              <w:spacing w:after="0"/>
              <w:rPr>
                <w:sz w:val="20"/>
                <w:szCs w:val="20"/>
                <w:color w:val="auto"/>
              </w:rPr>
            </w:pPr>
            <w:r>
              <w:rPr>
                <w:rFonts w:ascii="Arial" w:cs="Arial" w:eastAsia="Arial" w:hAnsi="Arial"/>
                <w:sz w:val="11"/>
                <w:szCs w:val="11"/>
                <w:color w:val="auto"/>
              </w:rPr>
              <w:t>Net interest income</w:t>
            </w:r>
          </w:p>
        </w:tc>
        <w:tc>
          <w:tcPr>
            <w:tcW w:w="180" w:type="dxa"/>
            <w:vAlign w:val="bottom"/>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7,268</w:t>
            </w:r>
          </w:p>
        </w:tc>
        <w:tc>
          <w:tcPr>
            <w:tcW w:w="8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7,184</w:t>
            </w:r>
          </w:p>
        </w:tc>
        <w:tc>
          <w:tcPr>
            <w:tcW w:w="8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84</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28,608</w:t>
            </w:r>
          </w:p>
        </w:tc>
        <w:tc>
          <w:tcPr>
            <w:tcW w:w="8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28,748</w:t>
            </w:r>
          </w:p>
        </w:tc>
        <w:tc>
          <w:tcPr>
            <w:tcW w:w="8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(140)</w:t>
            </w:r>
          </w:p>
        </w:tc>
        <w:tc>
          <w:tcPr>
            <w:tcW w:w="60" w:type="dxa"/>
            <w:vAlign w:val="bottom"/>
          </w:tcPr>
          <w:p>
            <w:pPr>
              <w:spacing w:after="0"/>
              <w:rPr>
                <w:sz w:val="11"/>
                <w:szCs w:val="11"/>
                <w:color w:val="auto"/>
              </w:rPr>
            </w:pPr>
          </w:p>
        </w:tc>
        <w:tc>
          <w:tcPr>
            <w:tcW w:w="980" w:type="dxa"/>
            <w:vAlign w:val="bottom"/>
            <w:gridSpan w:val="3"/>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44"/>
        </w:trPr>
        <w:tc>
          <w:tcPr>
            <w:tcW w:w="378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Fee and other income</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63</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123</w:t>
            </w:r>
          </w:p>
        </w:tc>
        <w:tc>
          <w:tcPr>
            <w:tcW w:w="80" w:type="dxa"/>
            <w:vAlign w:val="bottom"/>
          </w:tcPr>
          <w:p>
            <w:pPr>
              <w:spacing w:after="0"/>
              <w:rPr>
                <w:sz w:val="12"/>
                <w:szCs w:val="12"/>
                <w:color w:val="auto"/>
              </w:rPr>
            </w:pPr>
          </w:p>
        </w:tc>
        <w:tc>
          <w:tcPr>
            <w:tcW w:w="12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(60)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(49)</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356</w:t>
            </w:r>
          </w:p>
        </w:tc>
        <w:tc>
          <w:tcPr>
            <w:tcW w:w="8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321</w:t>
            </w:r>
          </w:p>
        </w:tc>
        <w:tc>
          <w:tcPr>
            <w:tcW w:w="80" w:type="dxa"/>
            <w:vAlign w:val="bottom"/>
          </w:tcPr>
          <w:p>
            <w:pPr>
              <w:spacing w:after="0"/>
              <w:rPr>
                <w:sz w:val="12"/>
                <w:szCs w:val="12"/>
                <w:color w:val="auto"/>
              </w:rPr>
            </w:pPr>
          </w:p>
        </w:tc>
        <w:tc>
          <w:tcPr>
            <w:tcW w:w="12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35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11</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3860" w:type="dxa"/>
            <w:vAlign w:val="bottom"/>
            <w:gridSpan w:val="2"/>
          </w:tcPr>
          <w:p>
            <w:pPr>
              <w:spacing w:after="0"/>
              <w:rPr>
                <w:sz w:val="20"/>
                <w:szCs w:val="20"/>
                <w:color w:val="auto"/>
              </w:rPr>
            </w:pPr>
            <w:r>
              <w:rPr>
                <w:rFonts w:ascii="Arial" w:cs="Arial" w:eastAsia="Arial" w:hAnsi="Arial"/>
                <w:sz w:val="11"/>
                <w:szCs w:val="11"/>
                <w:b w:val="1"/>
                <w:bCs w:val="1"/>
                <w:color w:val="auto"/>
              </w:rPr>
              <w:t>Net revenues</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7,331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7,307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1"/>
                <w:szCs w:val="1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1"/>
                <w:szCs w:val="11"/>
                <w:color w:val="auto"/>
              </w:rPr>
              <w:t>— %*</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28,964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29,069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(105)</w:t>
            </w:r>
          </w:p>
        </w:tc>
        <w:tc>
          <w:tcPr>
            <w:tcW w:w="60" w:type="dxa"/>
            <w:vAlign w:val="bottom"/>
          </w:tcPr>
          <w:p>
            <w:pPr>
              <w:spacing w:after="0"/>
              <w:rPr>
                <w:sz w:val="11"/>
                <w:szCs w:val="11"/>
                <w:color w:val="auto"/>
              </w:rPr>
            </w:pPr>
          </w:p>
        </w:tc>
        <w:tc>
          <w:tcPr>
            <w:tcW w:w="980" w:type="dxa"/>
            <w:vAlign w:val="bottom"/>
            <w:gridSpan w:val="3"/>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44"/>
        </w:trPr>
        <w:tc>
          <w:tcPr>
            <w:tcW w:w="3860" w:type="dxa"/>
            <w:vAlign w:val="bottom"/>
            <w:gridSpan w:val="2"/>
          </w:tcPr>
          <w:p>
            <w:pPr>
              <w:spacing w:after="0"/>
              <w:rPr>
                <w:sz w:val="20"/>
                <w:szCs w:val="20"/>
                <w:color w:val="auto"/>
              </w:rPr>
            </w:pPr>
            <w:r>
              <w:rPr>
                <w:rFonts w:ascii="Arial" w:cs="Arial" w:eastAsia="Arial" w:hAnsi="Arial"/>
                <w:sz w:val="11"/>
                <w:szCs w:val="11"/>
                <w:color w:val="auto"/>
              </w:rPr>
              <w:t>Fair value gains (losses), net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(257)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(270)</w:t>
            </w:r>
          </w:p>
        </w:tc>
        <w:tc>
          <w:tcPr>
            <w:tcW w:w="80" w:type="dxa"/>
            <w:vAlign w:val="bottom"/>
          </w:tcPr>
          <w:p>
            <w:pPr>
              <w:spacing w:after="0"/>
              <w:rPr>
                <w:sz w:val="12"/>
                <w:szCs w:val="12"/>
                <w:color w:val="auto"/>
              </w:rPr>
            </w:pPr>
          </w:p>
        </w:tc>
        <w:tc>
          <w:tcPr>
            <w:tcW w:w="1040" w:type="dxa"/>
            <w:vAlign w:val="bottom"/>
            <w:gridSpan w:val="3"/>
          </w:tcPr>
          <w:p>
            <w:pPr>
              <w:ind w:left="800"/>
              <w:spacing w:after="0"/>
              <w:rPr>
                <w:sz w:val="20"/>
                <w:szCs w:val="20"/>
                <w:color w:val="auto"/>
              </w:rPr>
            </w:pPr>
            <w:r>
              <w:rPr>
                <w:rFonts w:ascii="Arial" w:cs="Arial" w:eastAsia="Arial" w:hAnsi="Arial"/>
                <w:sz w:val="11"/>
                <w:szCs w:val="11"/>
                <w:color w:val="auto"/>
              </w:rPr>
              <w:t>NM</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90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1,821</w:t>
            </w:r>
          </w:p>
        </w:tc>
        <w:tc>
          <w:tcPr>
            <w:tcW w:w="8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(1,731)</w:t>
            </w:r>
          </w:p>
        </w:tc>
        <w:tc>
          <w:tcPr>
            <w:tcW w:w="900" w:type="dxa"/>
            <w:vAlign w:val="bottom"/>
            <w:gridSpan w:val="3"/>
          </w:tcPr>
          <w:p>
            <w:pPr>
              <w:jc w:val="right"/>
              <w:spacing w:after="0"/>
              <w:rPr>
                <w:sz w:val="20"/>
                <w:szCs w:val="20"/>
                <w:color w:val="auto"/>
              </w:rPr>
            </w:pPr>
            <w:r>
              <w:rPr>
                <w:rFonts w:ascii="Arial" w:cs="Arial" w:eastAsia="Arial" w:hAnsi="Arial"/>
                <w:sz w:val="11"/>
                <w:szCs w:val="11"/>
                <w:color w:val="auto"/>
              </w:rPr>
              <w:t>(95)</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780" w:type="dxa"/>
            <w:vAlign w:val="bottom"/>
            <w:tcBorders>
              <w:bottom w:val="single" w:sz="8" w:color="5587A6"/>
            </w:tcBorders>
          </w:tcPr>
          <w:p>
            <w:pPr>
              <w:spacing w:after="0" w:line="144" w:lineRule="exact"/>
              <w:rPr>
                <w:sz w:val="20"/>
                <w:szCs w:val="20"/>
                <w:color w:val="auto"/>
              </w:rPr>
            </w:pPr>
            <w:r>
              <w:rPr>
                <w:rFonts w:ascii="Arial" w:cs="Arial" w:eastAsia="Arial" w:hAnsi="Arial"/>
                <w:sz w:val="11"/>
                <w:szCs w:val="11"/>
                <w:color w:val="auto"/>
              </w:rPr>
              <w:t>Investment gains (losses), net</w:t>
            </w:r>
            <w:r>
              <w:rPr>
                <w:rFonts w:ascii="Arial" w:cs="Arial" w:eastAsia="Arial" w:hAnsi="Arial"/>
                <w:sz w:val="14"/>
                <w:szCs w:val="14"/>
                <w:color w:val="auto"/>
                <w:vertAlign w:val="superscript"/>
              </w:rPr>
              <w:t>(4)</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5</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120</w:t>
            </w:r>
          </w:p>
        </w:tc>
        <w:tc>
          <w:tcPr>
            <w:tcW w:w="80" w:type="dxa"/>
            <w:vAlign w:val="bottom"/>
          </w:tcPr>
          <w:p>
            <w:pPr>
              <w:spacing w:after="0"/>
              <w:rPr>
                <w:sz w:val="12"/>
                <w:szCs w:val="12"/>
                <w:color w:val="auto"/>
              </w:rPr>
            </w:pPr>
          </w:p>
        </w:tc>
        <w:tc>
          <w:tcPr>
            <w:tcW w:w="12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(115)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(96)</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105</w:t>
            </w:r>
          </w:p>
        </w:tc>
        <w:tc>
          <w:tcPr>
            <w:tcW w:w="8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(96)</w:t>
            </w:r>
          </w:p>
        </w:tc>
        <w:tc>
          <w:tcPr>
            <w:tcW w:w="80" w:type="dxa"/>
            <w:vAlign w:val="bottom"/>
          </w:tcPr>
          <w:p>
            <w:pPr>
              <w:spacing w:after="0"/>
              <w:rPr>
                <w:sz w:val="12"/>
                <w:szCs w:val="12"/>
                <w:color w:val="auto"/>
              </w:rPr>
            </w:pPr>
          </w:p>
        </w:tc>
        <w:tc>
          <w:tcPr>
            <w:tcW w:w="12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201</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w w:val="81"/>
              </w:rPr>
              <w:t>NM</w:t>
            </w:r>
          </w:p>
        </w:tc>
        <w:tc>
          <w:tcPr>
            <w:tcW w:w="0" w:type="dxa"/>
            <w:vAlign w:val="bottom"/>
          </w:tcPr>
          <w:p>
            <w:pPr>
              <w:spacing w:after="0"/>
              <w:rPr>
                <w:sz w:val="1"/>
                <w:szCs w:val="1"/>
                <w:color w:val="auto"/>
              </w:rPr>
            </w:pPr>
          </w:p>
        </w:tc>
      </w:tr>
      <w:tr>
        <w:trPr>
          <w:trHeight w:val="133"/>
        </w:trPr>
        <w:tc>
          <w:tcPr>
            <w:tcW w:w="3860" w:type="dxa"/>
            <w:vAlign w:val="bottom"/>
            <w:gridSpan w:val="2"/>
          </w:tcPr>
          <w:p>
            <w:pPr>
              <w:spacing w:after="0"/>
              <w:rPr>
                <w:sz w:val="20"/>
                <w:szCs w:val="20"/>
                <w:color w:val="auto"/>
              </w:rPr>
            </w:pPr>
            <w:r>
              <w:rPr>
                <w:rFonts w:ascii="Arial" w:cs="Arial" w:eastAsia="Arial" w:hAnsi="Arial"/>
                <w:sz w:val="11"/>
                <w:szCs w:val="11"/>
                <w:b w:val="1"/>
                <w:bCs w:val="1"/>
                <w:color w:val="auto"/>
              </w:rPr>
              <w:t>Other gains (losses), net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(252)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(385)</w:t>
            </w:r>
          </w:p>
        </w:tc>
        <w:tc>
          <w:tcPr>
            <w:tcW w:w="80" w:type="dxa"/>
            <w:vAlign w:val="bottom"/>
          </w:tcPr>
          <w:p>
            <w:pPr>
              <w:spacing w:after="0"/>
              <w:rPr>
                <w:sz w:val="11"/>
                <w:szCs w:val="11"/>
                <w:color w:val="auto"/>
              </w:rPr>
            </w:pPr>
          </w:p>
        </w:tc>
        <w:tc>
          <w:tcPr>
            <w:tcW w:w="1040" w:type="dxa"/>
            <w:vAlign w:val="bottom"/>
            <w:gridSpan w:val="3"/>
          </w:tcPr>
          <w:p>
            <w:pPr>
              <w:ind w:left="800"/>
              <w:spacing w:after="0"/>
              <w:rPr>
                <w:sz w:val="20"/>
                <w:szCs w:val="20"/>
                <w:color w:val="auto"/>
              </w:rPr>
            </w:pPr>
            <w:r>
              <w:rPr>
                <w:rFonts w:ascii="Arial" w:cs="Arial" w:eastAsia="Arial" w:hAnsi="Arial"/>
                <w:sz w:val="11"/>
                <w:szCs w:val="11"/>
                <w:color w:val="auto"/>
              </w:rPr>
              <w:t>NM</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195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1,725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(1,530)</w:t>
            </w:r>
          </w:p>
        </w:tc>
        <w:tc>
          <w:tcPr>
            <w:tcW w:w="900" w:type="dxa"/>
            <w:vAlign w:val="bottom"/>
            <w:gridSpan w:val="3"/>
          </w:tcPr>
          <w:p>
            <w:pPr>
              <w:jc w:val="right"/>
              <w:spacing w:after="0"/>
              <w:rPr>
                <w:sz w:val="20"/>
                <w:szCs w:val="20"/>
                <w:color w:val="auto"/>
              </w:rPr>
            </w:pPr>
            <w:r>
              <w:rPr>
                <w:rFonts w:ascii="Arial" w:cs="Arial" w:eastAsia="Arial" w:hAnsi="Arial"/>
                <w:sz w:val="11"/>
                <w:szCs w:val="11"/>
                <w:color w:val="auto"/>
              </w:rPr>
              <w:t>(89)</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860" w:type="dxa"/>
            <w:vAlign w:val="bottom"/>
            <w:gridSpan w:val="2"/>
          </w:tcPr>
          <w:p>
            <w:pPr>
              <w:spacing w:after="0"/>
              <w:rPr>
                <w:sz w:val="20"/>
                <w:szCs w:val="20"/>
                <w:color w:val="auto"/>
              </w:rPr>
            </w:pPr>
            <w:r>
              <w:rPr>
                <w:rFonts w:ascii="Arial" w:cs="Arial" w:eastAsia="Arial" w:hAnsi="Arial"/>
                <w:sz w:val="11"/>
                <w:szCs w:val="11"/>
                <w:color w:val="auto"/>
              </w:rPr>
              <w:t>(Provision) benefit for credit losses</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(298)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40</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12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(1,606)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186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(1,792)</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w w:val="81"/>
              </w:rPr>
              <w:t>NM</w:t>
            </w:r>
          </w:p>
        </w:tc>
        <w:tc>
          <w:tcPr>
            <w:tcW w:w="0" w:type="dxa"/>
            <w:vAlign w:val="bottom"/>
          </w:tcPr>
          <w:p>
            <w:pPr>
              <w:spacing w:after="0"/>
              <w:rPr>
                <w:sz w:val="1"/>
                <w:szCs w:val="1"/>
                <w:color w:val="auto"/>
              </w:rPr>
            </w:pPr>
          </w:p>
        </w:tc>
      </w:tr>
      <w:tr>
        <w:trPr>
          <w:trHeight w:val="142"/>
        </w:trPr>
        <w:tc>
          <w:tcPr>
            <w:tcW w:w="3860" w:type="dxa"/>
            <w:vAlign w:val="bottom"/>
            <w:gridSpan w:val="2"/>
          </w:tcPr>
          <w:p>
            <w:pPr>
              <w:spacing w:after="0"/>
              <w:rPr>
                <w:sz w:val="20"/>
                <w:szCs w:val="20"/>
                <w:color w:val="auto"/>
              </w:rPr>
            </w:pPr>
            <w:r>
              <w:rPr>
                <w:rFonts w:ascii="Arial" w:cs="Arial" w:eastAsia="Arial" w:hAnsi="Arial"/>
                <w:sz w:val="11"/>
                <w:szCs w:val="11"/>
                <w:color w:val="auto"/>
              </w:rPr>
              <w:t>Non-interest expense: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860" w:type="dxa"/>
            <w:vAlign w:val="bottom"/>
            <w:gridSpan w:val="2"/>
          </w:tcPr>
          <w:p>
            <w:pPr>
              <w:ind w:left="80"/>
              <w:spacing w:after="0" w:line="147" w:lineRule="exact"/>
              <w:rPr>
                <w:sz w:val="20"/>
                <w:szCs w:val="20"/>
                <w:color w:val="auto"/>
              </w:rPr>
            </w:pPr>
            <w:r>
              <w:rPr>
                <w:rFonts w:ascii="Arial" w:cs="Arial" w:eastAsia="Arial" w:hAnsi="Arial"/>
                <w:sz w:val="11"/>
                <w:szCs w:val="11"/>
                <w:color w:val="auto"/>
              </w:rPr>
              <w:t>Administrative expenses</w:t>
            </w:r>
            <w:r>
              <w:rPr>
                <w:rFonts w:ascii="Arial" w:cs="Arial" w:eastAsia="Arial" w:hAnsi="Arial"/>
                <w:sz w:val="14"/>
                <w:szCs w:val="14"/>
                <w:color w:val="auto"/>
                <w:vertAlign w:val="superscript"/>
              </w:rPr>
              <w:t>(5)</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(921)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(3,579)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(3,619)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40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860" w:type="dxa"/>
            <w:vAlign w:val="bottom"/>
            <w:gridSpan w:val="2"/>
          </w:tcPr>
          <w:p>
            <w:pPr>
              <w:ind w:left="80"/>
              <w:spacing w:after="0" w:line="144" w:lineRule="exact"/>
              <w:rPr>
                <w:sz w:val="20"/>
                <w:szCs w:val="20"/>
                <w:color w:val="auto"/>
              </w:rPr>
            </w:pPr>
            <w:r>
              <w:rPr>
                <w:rFonts w:ascii="Arial" w:cs="Arial" w:eastAsia="Arial" w:hAnsi="Arial"/>
                <w:sz w:val="11"/>
                <w:szCs w:val="11"/>
                <w:color w:val="auto"/>
              </w:rPr>
              <w:t>Legislative assessments</w:t>
            </w:r>
            <w:r>
              <w:rPr>
                <w:rFonts w:ascii="Arial" w:cs="Arial" w:eastAsia="Arial" w:hAnsi="Arial"/>
                <w:sz w:val="14"/>
                <w:szCs w:val="14"/>
                <w:color w:val="auto"/>
                <w:vertAlign w:val="superscript"/>
              </w:rPr>
              <w:t>(6)</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(936)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(943)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(3,749)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(3,766)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17</w:t>
            </w:r>
          </w:p>
        </w:tc>
        <w:tc>
          <w:tcPr>
            <w:tcW w:w="60" w:type="dxa"/>
            <w:vAlign w:val="bottom"/>
          </w:tcPr>
          <w:p>
            <w:pPr>
              <w:spacing w:after="0"/>
              <w:rPr>
                <w:sz w:val="12"/>
                <w:szCs w:val="12"/>
                <w:color w:val="auto"/>
              </w:rPr>
            </w:pPr>
          </w:p>
        </w:tc>
        <w:tc>
          <w:tcPr>
            <w:tcW w:w="980" w:type="dxa"/>
            <w:vAlign w:val="bottom"/>
            <w:gridSpan w:val="3"/>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44"/>
        </w:trPr>
        <w:tc>
          <w:tcPr>
            <w:tcW w:w="3860" w:type="dxa"/>
            <w:vAlign w:val="bottom"/>
            <w:gridSpan w:val="2"/>
          </w:tcPr>
          <w:p>
            <w:pPr>
              <w:ind w:left="80"/>
              <w:spacing w:after="0" w:line="144" w:lineRule="exact"/>
              <w:rPr>
                <w:sz w:val="20"/>
                <w:szCs w:val="20"/>
                <w:color w:val="auto"/>
              </w:rPr>
            </w:pPr>
            <w:r>
              <w:rPr>
                <w:rFonts w:ascii="Arial" w:cs="Arial" w:eastAsia="Arial" w:hAnsi="Arial"/>
                <w:sz w:val="11"/>
                <w:szCs w:val="11"/>
                <w:color w:val="auto"/>
              </w:rPr>
              <w:t>Credit enhancement expense</w:t>
            </w:r>
            <w:r>
              <w:rPr>
                <w:rFonts w:ascii="Arial" w:cs="Arial" w:eastAsia="Arial" w:hAnsi="Arial"/>
                <w:sz w:val="14"/>
                <w:szCs w:val="14"/>
                <w:color w:val="auto"/>
                <w:vertAlign w:val="superscript"/>
              </w:rPr>
              <w:t>(7)</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(368)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(409)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41</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10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(1,656)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(1,641)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w:t>
            </w:r>
          </w:p>
        </w:tc>
        <w:tc>
          <w:tcPr>
            <w:tcW w:w="900" w:type="dxa"/>
            <w:vAlign w:val="bottom"/>
            <w:gridSpan w:val="3"/>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780" w:type="dxa"/>
            <w:vAlign w:val="bottom"/>
            <w:tcBorders>
              <w:bottom w:val="single" w:sz="8" w:color="5587A6"/>
            </w:tcBorders>
          </w:tcPr>
          <w:p>
            <w:pPr>
              <w:ind w:left="80"/>
              <w:spacing w:after="0" w:line="144" w:lineRule="exact"/>
              <w:rPr>
                <w:sz w:val="20"/>
                <w:szCs w:val="20"/>
                <w:color w:val="auto"/>
              </w:rPr>
            </w:pPr>
            <w:r>
              <w:rPr>
                <w:rFonts w:ascii="Arial" w:cs="Arial" w:eastAsia="Arial" w:hAnsi="Arial"/>
                <w:sz w:val="11"/>
                <w:szCs w:val="11"/>
                <w:color w:val="auto"/>
              </w:rPr>
              <w:t>Other income (expense), net</w:t>
            </w:r>
            <w:r>
              <w:rPr>
                <w:rFonts w:ascii="Arial" w:cs="Arial" w:eastAsia="Arial" w:hAnsi="Arial"/>
                <w:sz w:val="14"/>
                <w:szCs w:val="14"/>
                <w:color w:val="auto"/>
                <w:vertAlign w:val="superscript"/>
              </w:rPr>
              <w:t>(4)(8)</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(146)</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(96)</w:t>
            </w:r>
          </w:p>
        </w:tc>
        <w:tc>
          <w:tcPr>
            <w:tcW w:w="80" w:type="dxa"/>
            <w:vAlign w:val="bottom"/>
          </w:tcPr>
          <w:p>
            <w:pPr>
              <w:spacing w:after="0"/>
              <w:rPr>
                <w:sz w:val="12"/>
                <w:szCs w:val="12"/>
                <w:color w:val="auto"/>
              </w:rPr>
            </w:pPr>
          </w:p>
        </w:tc>
        <w:tc>
          <w:tcPr>
            <w:tcW w:w="12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(586)</w:t>
            </w:r>
          </w:p>
        </w:tc>
        <w:tc>
          <w:tcPr>
            <w:tcW w:w="8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(685)</w:t>
            </w:r>
          </w:p>
        </w:tc>
        <w:tc>
          <w:tcPr>
            <w:tcW w:w="80" w:type="dxa"/>
            <w:vAlign w:val="bottom"/>
          </w:tcPr>
          <w:p>
            <w:pPr>
              <w:spacing w:after="0"/>
              <w:rPr>
                <w:sz w:val="12"/>
                <w:szCs w:val="12"/>
                <w:color w:val="auto"/>
              </w:rPr>
            </w:pPr>
          </w:p>
        </w:tc>
        <w:tc>
          <w:tcPr>
            <w:tcW w:w="12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99</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14</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378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Total non-interest expense</w:t>
            </w: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(2,371)</w:t>
            </w: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(2,267)</w:t>
            </w:r>
          </w:p>
        </w:tc>
        <w:tc>
          <w:tcPr>
            <w:tcW w:w="80" w:type="dxa"/>
            <w:vAlign w:val="bottom"/>
          </w:tcPr>
          <w:p>
            <w:pPr>
              <w:spacing w:after="0"/>
              <w:rPr>
                <w:sz w:val="11"/>
                <w:szCs w:val="11"/>
                <w:color w:val="auto"/>
              </w:rPr>
            </w:pPr>
          </w:p>
        </w:tc>
        <w:tc>
          <w:tcPr>
            <w:tcW w:w="12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(104)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(9,570)</w:t>
            </w:r>
          </w:p>
        </w:tc>
        <w:tc>
          <w:tcPr>
            <w:tcW w:w="80" w:type="dxa"/>
            <w:vAlign w:val="bottom"/>
          </w:tcPr>
          <w:p>
            <w:pPr>
              <w:spacing w:after="0"/>
              <w:rPr>
                <w:sz w:val="11"/>
                <w:szCs w:val="11"/>
                <w:color w:val="auto"/>
              </w:rPr>
            </w:pPr>
          </w:p>
        </w:tc>
        <w:tc>
          <w:tcPr>
            <w:tcW w:w="16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(9,711)</w:t>
            </w:r>
          </w:p>
        </w:tc>
        <w:tc>
          <w:tcPr>
            <w:tcW w:w="80" w:type="dxa"/>
            <w:vAlign w:val="bottom"/>
          </w:tcPr>
          <w:p>
            <w:pPr>
              <w:spacing w:after="0"/>
              <w:rPr>
                <w:sz w:val="11"/>
                <w:szCs w:val="11"/>
                <w:color w:val="auto"/>
              </w:rPr>
            </w:pPr>
          </w:p>
        </w:tc>
        <w:tc>
          <w:tcPr>
            <w:tcW w:w="120" w:type="dxa"/>
            <w:vAlign w:val="bottom"/>
            <w:tcBorders>
              <w:bottom w:val="single" w:sz="8" w:color="5587A6"/>
            </w:tcBorders>
          </w:tcPr>
          <w:p>
            <w:pPr>
              <w:spacing w:after="0"/>
              <w:rPr>
                <w:sz w:val="11"/>
                <w:szCs w:val="11"/>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141</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3860" w:type="dxa"/>
            <w:vAlign w:val="bottom"/>
            <w:gridSpan w:val="2"/>
          </w:tcPr>
          <w:p>
            <w:pPr>
              <w:spacing w:after="0"/>
              <w:rPr>
                <w:sz w:val="20"/>
                <w:szCs w:val="20"/>
                <w:color w:val="auto"/>
              </w:rPr>
            </w:pPr>
            <w:r>
              <w:rPr>
                <w:rFonts w:ascii="Arial" w:cs="Arial" w:eastAsia="Arial" w:hAnsi="Arial"/>
                <w:sz w:val="11"/>
                <w:szCs w:val="11"/>
                <w:b w:val="1"/>
                <w:bCs w:val="1"/>
                <w:color w:val="auto"/>
              </w:rPr>
              <w:t>Income before federal income taxes</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4,410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4,835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17,983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21,269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(3,286)</w:t>
            </w:r>
          </w:p>
        </w:tc>
        <w:tc>
          <w:tcPr>
            <w:tcW w:w="900" w:type="dxa"/>
            <w:vAlign w:val="bottom"/>
            <w:gridSpan w:val="3"/>
          </w:tcPr>
          <w:p>
            <w:pPr>
              <w:jc w:val="right"/>
              <w:spacing w:after="0"/>
              <w:rPr>
                <w:sz w:val="20"/>
                <w:szCs w:val="20"/>
                <w:color w:val="auto"/>
              </w:rPr>
            </w:pPr>
            <w:r>
              <w:rPr>
                <w:rFonts w:ascii="Arial" w:cs="Arial" w:eastAsia="Arial" w:hAnsi="Arial"/>
                <w:sz w:val="11"/>
                <w:szCs w:val="11"/>
                <w:color w:val="auto"/>
              </w:rPr>
              <w:t>(15)</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78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Provision for federal income taxes</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(883)</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(976)</w:t>
            </w:r>
          </w:p>
        </w:tc>
        <w:tc>
          <w:tcPr>
            <w:tcW w:w="80" w:type="dxa"/>
            <w:vAlign w:val="bottom"/>
          </w:tcPr>
          <w:p>
            <w:pPr>
              <w:spacing w:after="0"/>
              <w:rPr>
                <w:sz w:val="12"/>
                <w:szCs w:val="12"/>
                <w:color w:val="auto"/>
              </w:rPr>
            </w:pPr>
          </w:p>
        </w:tc>
        <w:tc>
          <w:tcPr>
            <w:tcW w:w="12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93</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10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(3,619)</w:t>
            </w:r>
          </w:p>
        </w:tc>
        <w:tc>
          <w:tcPr>
            <w:tcW w:w="8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(4,291)</w:t>
            </w:r>
          </w:p>
        </w:tc>
        <w:tc>
          <w:tcPr>
            <w:tcW w:w="80" w:type="dxa"/>
            <w:vAlign w:val="bottom"/>
          </w:tcPr>
          <w:p>
            <w:pPr>
              <w:spacing w:after="0"/>
              <w:rPr>
                <w:sz w:val="12"/>
                <w:szCs w:val="12"/>
                <w:color w:val="auto"/>
              </w:rPr>
            </w:pPr>
          </w:p>
        </w:tc>
        <w:tc>
          <w:tcPr>
            <w:tcW w:w="12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672</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16</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3860" w:type="dxa"/>
            <w:vAlign w:val="bottom"/>
            <w:gridSpan w:val="2"/>
          </w:tcPr>
          <w:p>
            <w:pPr>
              <w:spacing w:after="0"/>
              <w:rPr>
                <w:sz w:val="20"/>
                <w:szCs w:val="20"/>
                <w:color w:val="auto"/>
              </w:rPr>
            </w:pPr>
            <w:r>
              <w:rPr>
                <w:rFonts w:ascii="Arial" w:cs="Arial" w:eastAsia="Arial" w:hAnsi="Arial"/>
                <w:sz w:val="11"/>
                <w:szCs w:val="11"/>
                <w:b w:val="1"/>
                <w:bCs w:val="1"/>
                <w:color w:val="auto"/>
              </w:rPr>
              <w:t>Net income</w:t>
            </w:r>
          </w:p>
        </w:tc>
        <w:tc>
          <w:tcPr>
            <w:tcW w:w="180" w:type="dxa"/>
            <w:vAlign w:val="bottom"/>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3,527</w:t>
            </w:r>
          </w:p>
        </w:tc>
        <w:tc>
          <w:tcPr>
            <w:tcW w:w="8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3,859</w:t>
            </w:r>
          </w:p>
        </w:tc>
        <w:tc>
          <w:tcPr>
            <w:tcW w:w="8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(332)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14,364</w:t>
            </w:r>
          </w:p>
        </w:tc>
        <w:tc>
          <w:tcPr>
            <w:tcW w:w="8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16,978</w:t>
            </w:r>
          </w:p>
        </w:tc>
        <w:tc>
          <w:tcPr>
            <w:tcW w:w="8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(2,614)</w:t>
            </w:r>
          </w:p>
        </w:tc>
        <w:tc>
          <w:tcPr>
            <w:tcW w:w="900" w:type="dxa"/>
            <w:vAlign w:val="bottom"/>
            <w:gridSpan w:val="3"/>
          </w:tcPr>
          <w:p>
            <w:pPr>
              <w:jc w:val="right"/>
              <w:spacing w:after="0"/>
              <w:rPr>
                <w:sz w:val="20"/>
                <w:szCs w:val="20"/>
                <w:color w:val="auto"/>
              </w:rPr>
            </w:pPr>
            <w:r>
              <w:rPr>
                <w:rFonts w:ascii="Arial" w:cs="Arial" w:eastAsia="Arial" w:hAnsi="Arial"/>
                <w:sz w:val="11"/>
                <w:szCs w:val="11"/>
                <w:color w:val="auto"/>
              </w:rPr>
              <w:t>(15)</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378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5587A6"/>
              <w:bottom w:val="single" w:sz="8" w:color="5587A6"/>
            </w:tcBorders>
          </w:tcPr>
          <w:p>
            <w:pPr>
              <w:spacing w:after="0" w:line="20" w:lineRule="exact"/>
              <w:rPr>
                <w:sz w:val="1"/>
                <w:szCs w:val="1"/>
                <w:color w:val="auto"/>
              </w:rPr>
            </w:pPr>
          </w:p>
        </w:tc>
        <w:tc>
          <w:tcPr>
            <w:tcW w:w="64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5587A6"/>
              <w:bottom w:val="single" w:sz="8" w:color="5587A6"/>
            </w:tcBorders>
          </w:tcPr>
          <w:p>
            <w:pPr>
              <w:spacing w:after="0" w:line="20" w:lineRule="exact"/>
              <w:rPr>
                <w:sz w:val="1"/>
                <w:szCs w:val="1"/>
                <w:color w:val="auto"/>
              </w:rPr>
            </w:pPr>
          </w:p>
        </w:tc>
        <w:tc>
          <w:tcPr>
            <w:tcW w:w="66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1"/>
                <w:szCs w:val="11"/>
                <w:color w:val="auto"/>
              </w:rPr>
              <w:t>(100)</w:t>
            </w: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line="20" w:lineRule="exact"/>
              <w:rPr>
                <w:sz w:val="1"/>
                <w:szCs w:val="1"/>
                <w:color w:val="auto"/>
              </w:rPr>
            </w:pPr>
          </w:p>
        </w:tc>
        <w:tc>
          <w:tcPr>
            <w:tcW w:w="180" w:type="dxa"/>
            <w:vAlign w:val="bottom"/>
            <w:tcBorders>
              <w:top w:val="single" w:sz="8" w:color="5587A6"/>
              <w:bottom w:val="single" w:sz="8" w:color="5587A6"/>
            </w:tcBorders>
          </w:tcPr>
          <w:p>
            <w:pPr>
              <w:spacing w:after="0" w:line="20" w:lineRule="exact"/>
              <w:rPr>
                <w:sz w:val="1"/>
                <w:szCs w:val="1"/>
                <w:color w:val="auto"/>
              </w:rPr>
            </w:pPr>
          </w:p>
        </w:tc>
        <w:tc>
          <w:tcPr>
            <w:tcW w:w="66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5587A6"/>
              <w:bottom w:val="single" w:sz="8" w:color="5587A6"/>
            </w:tcBorders>
          </w:tcPr>
          <w:p>
            <w:pPr>
              <w:spacing w:after="0" w:line="20" w:lineRule="exact"/>
              <w:rPr>
                <w:sz w:val="1"/>
                <w:szCs w:val="1"/>
                <w:color w:val="auto"/>
              </w:rPr>
            </w:pPr>
          </w:p>
        </w:tc>
        <w:tc>
          <w:tcPr>
            <w:tcW w:w="64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5587A6"/>
              <w:bottom w:val="single" w:sz="8" w:color="5587A6"/>
            </w:tcBorders>
          </w:tcPr>
          <w:p>
            <w:pPr>
              <w:spacing w:after="0" w:line="20" w:lineRule="exact"/>
              <w:rPr>
                <w:sz w:val="1"/>
                <w:szCs w:val="1"/>
                <w:color w:val="auto"/>
              </w:rPr>
            </w:pPr>
          </w:p>
        </w:tc>
        <w:tc>
          <w:tcPr>
            <w:tcW w:w="72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18" w:lineRule="exact"/>
              <w:rPr>
                <w:sz w:val="20"/>
                <w:szCs w:val="20"/>
                <w:color w:val="auto"/>
              </w:rPr>
            </w:pPr>
            <w:r>
              <w:rPr>
                <w:rFonts w:ascii="Arial" w:cs="Arial" w:eastAsia="Arial" w:hAnsi="Arial"/>
                <w:sz w:val="11"/>
                <w:szCs w:val="11"/>
                <w:color w:val="auto"/>
              </w:rPr>
              <w:t>3,849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line="118" w:lineRule="exact"/>
              <w:rPr>
                <w:sz w:val="20"/>
                <w:szCs w:val="20"/>
                <w:color w:val="auto"/>
              </w:rPr>
            </w:pPr>
            <w:r>
              <w:rPr>
                <w:rFonts w:ascii="Arial" w:cs="Arial" w:eastAsia="Arial" w:hAnsi="Arial"/>
                <w:sz w:val="11"/>
                <w:szCs w:val="11"/>
                <w:color w:val="auto"/>
              </w:rPr>
              <w:t>(3,849)</w:t>
            </w:r>
          </w:p>
        </w:tc>
        <w:tc>
          <w:tcPr>
            <w:tcW w:w="92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6"/>
              <w:spacing w:after="0" w:line="118"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860" w:type="dxa"/>
            <w:vAlign w:val="bottom"/>
            <w:gridSpan w:val="2"/>
          </w:tcPr>
          <w:p>
            <w:pPr>
              <w:spacing w:after="0"/>
              <w:rPr>
                <w:sz w:val="20"/>
                <w:szCs w:val="20"/>
                <w:color w:val="auto"/>
              </w:rPr>
            </w:pPr>
            <w:r>
              <w:rPr>
                <w:rFonts w:ascii="Arial" w:cs="Arial" w:eastAsia="Arial" w:hAnsi="Arial"/>
                <w:sz w:val="11"/>
                <w:szCs w:val="11"/>
                <w:b w:val="1"/>
                <w:bCs w:val="1"/>
                <w:color w:val="auto"/>
              </w:rPr>
              <w:t>Total comprehensive income</w:t>
            </w:r>
          </w:p>
        </w:tc>
        <w:tc>
          <w:tcPr>
            <w:tcW w:w="180" w:type="dxa"/>
            <w:vAlign w:val="bottom"/>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3,527</w:t>
            </w:r>
          </w:p>
        </w:tc>
        <w:tc>
          <w:tcPr>
            <w:tcW w:w="8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3,849</w:t>
            </w:r>
          </w:p>
        </w:tc>
        <w:tc>
          <w:tcPr>
            <w:tcW w:w="8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(322)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14,355</w:t>
            </w:r>
          </w:p>
        </w:tc>
        <w:tc>
          <w:tcPr>
            <w:tcW w:w="8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16,975</w:t>
            </w:r>
          </w:p>
        </w:tc>
        <w:tc>
          <w:tcPr>
            <w:tcW w:w="8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(2,620)</w:t>
            </w:r>
          </w:p>
        </w:tc>
        <w:tc>
          <w:tcPr>
            <w:tcW w:w="900" w:type="dxa"/>
            <w:vAlign w:val="bottom"/>
            <w:gridSpan w:val="3"/>
          </w:tcPr>
          <w:p>
            <w:pPr>
              <w:jc w:val="right"/>
              <w:spacing w:after="0"/>
              <w:rPr>
                <w:sz w:val="20"/>
                <w:szCs w:val="20"/>
                <w:color w:val="auto"/>
              </w:rPr>
            </w:pPr>
            <w:r>
              <w:rPr>
                <w:rFonts w:ascii="Arial" w:cs="Arial" w:eastAsia="Arial" w:hAnsi="Arial"/>
                <w:sz w:val="11"/>
                <w:szCs w:val="11"/>
                <w:color w:val="auto"/>
              </w:rPr>
              <w:t>(15)</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3860" w:type="dxa"/>
            <w:vAlign w:val="bottom"/>
            <w:gridSpan w:val="2"/>
          </w:tcPr>
          <w:p>
            <w:pPr>
              <w:spacing w:after="0"/>
              <w:rPr>
                <w:sz w:val="20"/>
                <w:szCs w:val="20"/>
                <w:color w:val="auto"/>
              </w:rPr>
            </w:pPr>
            <w:r>
              <w:rPr>
                <w:rFonts w:ascii="Arial" w:cs="Arial" w:eastAsia="Arial" w:hAnsi="Arial"/>
                <w:sz w:val="11"/>
                <w:szCs w:val="11"/>
                <w:b w:val="1"/>
                <w:bCs w:val="1"/>
                <w:color w:val="auto"/>
              </w:rPr>
              <w:t>Net worth</w:t>
            </w:r>
          </w:p>
        </w:tc>
        <w:tc>
          <w:tcPr>
            <w:tcW w:w="180" w:type="dxa"/>
            <w:vAlign w:val="bottom"/>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109,012</w:t>
            </w:r>
          </w:p>
        </w:tc>
        <w:tc>
          <w:tcPr>
            <w:tcW w:w="8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105,485</w:t>
            </w:r>
          </w:p>
        </w:tc>
        <w:tc>
          <w:tcPr>
            <w:tcW w:w="8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3,527</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3</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109,012</w:t>
            </w:r>
          </w:p>
        </w:tc>
        <w:tc>
          <w:tcPr>
            <w:tcW w:w="8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94,657</w:t>
            </w:r>
          </w:p>
        </w:tc>
        <w:tc>
          <w:tcPr>
            <w:tcW w:w="8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14,355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15</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3860" w:type="dxa"/>
            <w:vAlign w:val="bottom"/>
            <w:gridSpan w:val="2"/>
          </w:tcPr>
          <w:p>
            <w:pPr>
              <w:spacing w:after="0"/>
              <w:rPr>
                <w:sz w:val="20"/>
                <w:szCs w:val="20"/>
                <w:color w:val="auto"/>
              </w:rPr>
            </w:pPr>
            <w:r>
              <w:rPr>
                <w:rFonts w:ascii="Arial" w:cs="Arial" w:eastAsia="Arial" w:hAnsi="Arial"/>
                <w:sz w:val="7"/>
                <w:szCs w:val="7"/>
                <w:color w:val="auto"/>
              </w:rPr>
              <w:t>NM - Not meaningful</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60" w:type="dxa"/>
            <w:vAlign w:val="bottom"/>
            <w:gridSpan w:val="2"/>
          </w:tcPr>
          <w:p>
            <w:pPr>
              <w:spacing w:after="0"/>
              <w:rPr>
                <w:sz w:val="20"/>
                <w:szCs w:val="20"/>
                <w:color w:val="auto"/>
              </w:rPr>
            </w:pPr>
            <w:r>
              <w:rPr>
                <w:rFonts w:ascii="Arial" w:cs="Arial" w:eastAsia="Arial" w:hAnsi="Arial"/>
                <w:sz w:val="7"/>
                <w:szCs w:val="7"/>
                <w:color w:val="auto"/>
              </w:rPr>
              <w:t>* Represents less than 0.5%</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6"/>
        </w:trPr>
        <w:tc>
          <w:tcPr>
            <w:tcW w:w="3860" w:type="dxa"/>
            <w:vAlign w:val="bottom"/>
            <w:tcBorders>
              <w:bottom w:val="single" w:sz="8" w:color="05314D"/>
            </w:tcBorders>
            <w:gridSpan w:val="2"/>
          </w:tcPr>
          <w:p>
            <w:pPr>
              <w:spacing w:after="0"/>
              <w:rPr>
                <w:sz w:val="24"/>
                <w:szCs w:val="24"/>
                <w:color w:val="auto"/>
              </w:rPr>
            </w:pPr>
          </w:p>
        </w:tc>
        <w:tc>
          <w:tcPr>
            <w:tcW w:w="180" w:type="dxa"/>
            <w:vAlign w:val="bottom"/>
            <w:tcBorders>
              <w:bottom w:val="single" w:sz="8" w:color="05314D"/>
            </w:tcBorders>
          </w:tcPr>
          <w:p>
            <w:pPr>
              <w:spacing w:after="0"/>
              <w:rPr>
                <w:sz w:val="24"/>
                <w:szCs w:val="24"/>
                <w:color w:val="auto"/>
              </w:rPr>
            </w:pPr>
          </w:p>
        </w:tc>
        <w:tc>
          <w:tcPr>
            <w:tcW w:w="64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180" w:type="dxa"/>
            <w:vAlign w:val="bottom"/>
            <w:tcBorders>
              <w:bottom w:val="single" w:sz="8" w:color="05314D"/>
            </w:tcBorders>
          </w:tcPr>
          <w:p>
            <w:pPr>
              <w:spacing w:after="0"/>
              <w:rPr>
                <w:sz w:val="24"/>
                <w:szCs w:val="24"/>
                <w:color w:val="auto"/>
              </w:rPr>
            </w:pPr>
          </w:p>
        </w:tc>
        <w:tc>
          <w:tcPr>
            <w:tcW w:w="66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120" w:type="dxa"/>
            <w:vAlign w:val="bottom"/>
            <w:tcBorders>
              <w:bottom w:val="single" w:sz="8" w:color="05314D"/>
            </w:tcBorders>
          </w:tcPr>
          <w:p>
            <w:pPr>
              <w:spacing w:after="0"/>
              <w:rPr>
                <w:sz w:val="24"/>
                <w:szCs w:val="24"/>
                <w:color w:val="auto"/>
              </w:rPr>
            </w:pPr>
          </w:p>
        </w:tc>
        <w:tc>
          <w:tcPr>
            <w:tcW w:w="70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840" w:type="dxa"/>
            <w:vAlign w:val="bottom"/>
            <w:tcBorders>
              <w:bottom w:val="single" w:sz="8" w:color="05314D"/>
            </w:tcBorders>
          </w:tcPr>
          <w:p>
            <w:pPr>
              <w:spacing w:after="0"/>
              <w:rPr>
                <w:sz w:val="24"/>
                <w:szCs w:val="24"/>
                <w:color w:val="auto"/>
              </w:rPr>
            </w:pPr>
          </w:p>
        </w:tc>
        <w:tc>
          <w:tcPr>
            <w:tcW w:w="140" w:type="dxa"/>
            <w:vAlign w:val="bottom"/>
            <w:tcBorders>
              <w:bottom w:val="single" w:sz="8" w:color="05314D"/>
            </w:tcBorders>
          </w:tcPr>
          <w:p>
            <w:pPr>
              <w:spacing w:after="0"/>
              <w:rPr>
                <w:sz w:val="24"/>
                <w:szCs w:val="24"/>
                <w:color w:val="auto"/>
              </w:rPr>
            </w:pPr>
          </w:p>
        </w:tc>
        <w:tc>
          <w:tcPr>
            <w:tcW w:w="60" w:type="dxa"/>
            <w:vAlign w:val="bottom"/>
            <w:tcBorders>
              <w:bottom w:val="single" w:sz="8" w:color="05314D"/>
            </w:tcBorders>
          </w:tcPr>
          <w:p>
            <w:pPr>
              <w:spacing w:after="0"/>
              <w:rPr>
                <w:sz w:val="24"/>
                <w:szCs w:val="24"/>
                <w:color w:val="auto"/>
              </w:rPr>
            </w:pPr>
          </w:p>
        </w:tc>
        <w:tc>
          <w:tcPr>
            <w:tcW w:w="180" w:type="dxa"/>
            <w:vAlign w:val="bottom"/>
            <w:tcBorders>
              <w:bottom w:val="single" w:sz="8" w:color="05314D"/>
            </w:tcBorders>
          </w:tcPr>
          <w:p>
            <w:pPr>
              <w:spacing w:after="0"/>
              <w:rPr>
                <w:sz w:val="24"/>
                <w:szCs w:val="24"/>
                <w:color w:val="auto"/>
              </w:rPr>
            </w:pPr>
          </w:p>
        </w:tc>
        <w:tc>
          <w:tcPr>
            <w:tcW w:w="66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160" w:type="dxa"/>
            <w:vAlign w:val="bottom"/>
            <w:tcBorders>
              <w:bottom w:val="single" w:sz="8" w:color="05314D"/>
            </w:tcBorders>
          </w:tcPr>
          <w:p>
            <w:pPr>
              <w:spacing w:after="0"/>
              <w:rPr>
                <w:sz w:val="24"/>
                <w:szCs w:val="24"/>
                <w:color w:val="auto"/>
              </w:rPr>
            </w:pPr>
          </w:p>
        </w:tc>
        <w:tc>
          <w:tcPr>
            <w:tcW w:w="64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120" w:type="dxa"/>
            <w:vAlign w:val="bottom"/>
            <w:tcBorders>
              <w:bottom w:val="single" w:sz="8" w:color="05314D"/>
            </w:tcBorders>
          </w:tcPr>
          <w:p>
            <w:pPr>
              <w:spacing w:after="0"/>
              <w:rPr>
                <w:sz w:val="24"/>
                <w:szCs w:val="24"/>
                <w:color w:val="auto"/>
              </w:rPr>
            </w:pPr>
          </w:p>
        </w:tc>
        <w:tc>
          <w:tcPr>
            <w:tcW w:w="720" w:type="dxa"/>
            <w:vAlign w:val="bottom"/>
            <w:tcBorders>
              <w:bottom w:val="single" w:sz="8" w:color="05314D"/>
            </w:tcBorders>
          </w:tcPr>
          <w:p>
            <w:pPr>
              <w:spacing w:after="0"/>
              <w:rPr>
                <w:sz w:val="24"/>
                <w:szCs w:val="24"/>
                <w:color w:val="auto"/>
              </w:rPr>
            </w:pPr>
          </w:p>
        </w:tc>
        <w:tc>
          <w:tcPr>
            <w:tcW w:w="60" w:type="dxa"/>
            <w:vAlign w:val="bottom"/>
            <w:tcBorders>
              <w:bottom w:val="single" w:sz="8" w:color="05314D"/>
            </w:tcBorders>
          </w:tcPr>
          <w:p>
            <w:pPr>
              <w:spacing w:after="0"/>
              <w:rPr>
                <w:sz w:val="24"/>
                <w:szCs w:val="24"/>
                <w:color w:val="auto"/>
              </w:rPr>
            </w:pPr>
          </w:p>
        </w:tc>
        <w:tc>
          <w:tcPr>
            <w:tcW w:w="800" w:type="dxa"/>
            <w:vAlign w:val="bottom"/>
            <w:tcBorders>
              <w:bottom w:val="single" w:sz="8" w:color="05314D"/>
            </w:tcBorders>
          </w:tcPr>
          <w:p>
            <w:pPr>
              <w:spacing w:after="0"/>
              <w:rPr>
                <w:sz w:val="24"/>
                <w:szCs w:val="24"/>
                <w:color w:val="auto"/>
              </w:rPr>
            </w:pPr>
          </w:p>
        </w:tc>
        <w:tc>
          <w:tcPr>
            <w:tcW w:w="40" w:type="dxa"/>
            <w:vAlign w:val="bottom"/>
            <w:tcBorders>
              <w:bottom w:val="single" w:sz="8" w:color="05314D"/>
            </w:tcBorders>
          </w:tcPr>
          <w:p>
            <w:pPr>
              <w:spacing w:after="0"/>
              <w:rPr>
                <w:sz w:val="24"/>
                <w:szCs w:val="24"/>
                <w:color w:val="auto"/>
              </w:rPr>
            </w:pPr>
          </w:p>
        </w:tc>
        <w:tc>
          <w:tcPr>
            <w:tcW w:w="140" w:type="dxa"/>
            <w:vAlign w:val="bottom"/>
            <w:tcBorders>
              <w:bottom w:val="single" w:sz="8" w:color="05314D"/>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3860" w:type="dxa"/>
            <w:vAlign w:val="bottom"/>
            <w:gridSpan w:val="2"/>
          </w:tcPr>
          <w:p>
            <w:pPr>
              <w:spacing w:after="0"/>
              <w:rPr>
                <w:sz w:val="20"/>
                <w:szCs w:val="20"/>
                <w:color w:val="auto"/>
              </w:rPr>
            </w:pPr>
            <w:r>
              <w:rPr>
                <w:rFonts w:ascii="Arial" w:cs="Arial" w:eastAsia="Arial" w:hAnsi="Arial"/>
                <w:sz w:val="11"/>
                <w:szCs w:val="11"/>
                <w:color w:val="auto"/>
              </w:rPr>
              <w:t>Fourth Quarter 2025</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bl>
    <w:p>
      <w:pPr>
        <w:sectPr>
          <w:pgSz w:w="11900" w:h="16838" w:orient="portrait"/>
          <w:cols w:equalWidth="0" w:num="1">
            <w:col w:w="11300"/>
          </w:cols>
          <w:pgMar w:left="300" w:top="880"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05314D"/>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Single-Family Business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Jake Williamson, EVP, Head of Single-Family, Fannie Mae</w:t>
      </w:r>
      <w:r>
        <w:rPr>
          <w:rFonts w:ascii="Arial" w:cs="Arial" w:eastAsia="Arial" w:hAnsi="Arial"/>
          <w:sz w:val="12"/>
          <w:szCs w:val="12"/>
          <w:color w:val="085280"/>
        </w:rPr>
        <w:t>:</w:t>
      </w:r>
    </w:p>
    <w:p>
      <w:pPr>
        <w:ind w:right="200"/>
        <w:spacing w:after="0" w:line="249" w:lineRule="auto"/>
        <w:rPr>
          <w:sz w:val="20"/>
          <w:szCs w:val="20"/>
          <w:color w:val="auto"/>
        </w:rPr>
      </w:pPr>
      <w:r>
        <w:rPr>
          <w:rFonts w:ascii="Arial" w:cs="Arial" w:eastAsia="Arial" w:hAnsi="Arial"/>
          <w:sz w:val="12"/>
          <w:szCs w:val="12"/>
          <w:color w:val="auto"/>
        </w:rPr>
        <w:t>“Single-Family business acquisitions rose in the fourth quarter as more homeowners chose to refinance. In 2026, we will remain focused on serving our customers with ways to make the mortgage process more efficient and less costly for both lenders and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78040" cy="130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Single-Family Highlights — Fourth Quarter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70" w:lineRule="exact"/>
        <w:rPr>
          <w:sz w:val="20"/>
          <w:szCs w:val="20"/>
          <w:color w:val="auto"/>
        </w:rPr>
      </w:pPr>
    </w:p>
    <w:p>
      <w:pPr>
        <w:ind w:left="160" w:right="120" w:hanging="104"/>
        <w:spacing w:after="0" w:line="268" w:lineRule="auto"/>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Single-family conventional acquisition volume </w:t>
      </w:r>
      <w:r>
        <w:rPr>
          <w:rFonts w:ascii="Arial" w:cs="Arial" w:eastAsia="Arial" w:hAnsi="Arial"/>
          <w:sz w:val="11"/>
          <w:szCs w:val="11"/>
          <w:color w:val="auto"/>
        </w:rPr>
        <w:t>rose to $96.8 billion in 4Q 2025, compared with $90.4 billion in 3Q 2025, driven by a $19.2 billion increase in refinance acquisition volume, partially offset by a $12.8 billion decrease</w:t>
      </w:r>
      <w:r>
        <w:rPr>
          <w:rFonts w:ascii="Arial" w:cs="Arial" w:eastAsia="Arial" w:hAnsi="Arial"/>
          <w:sz w:val="11"/>
          <w:szCs w:val="11"/>
          <w:b w:val="1"/>
          <w:bCs w:val="1"/>
          <w:color w:val="auto"/>
        </w:rPr>
        <w:t xml:space="preserve"> </w:t>
      </w:r>
      <w:r>
        <w:rPr>
          <w:rFonts w:ascii="Arial" w:cs="Arial" w:eastAsia="Arial" w:hAnsi="Arial"/>
          <w:sz w:val="11"/>
          <w:szCs w:val="11"/>
          <w:color w:val="auto"/>
        </w:rPr>
        <w:t>in purchase acquisition volume.</w:t>
      </w:r>
    </w:p>
    <w:p>
      <w:pPr>
        <w:spacing w:after="0" w:line="32" w:lineRule="exact"/>
        <w:rPr>
          <w:rFonts w:ascii="Arial" w:cs="Arial" w:eastAsia="Arial" w:hAnsi="Arial"/>
          <w:sz w:val="10"/>
          <w:szCs w:val="10"/>
          <w:color w:val="auto"/>
        </w:rPr>
      </w:pPr>
    </w:p>
    <w:p>
      <w:pPr>
        <w:ind w:left="160" w:hanging="104"/>
        <w:spacing w:after="0"/>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Average single-family conventional guaranty book decreased </w:t>
      </w:r>
      <w:r>
        <w:rPr>
          <w:rFonts w:ascii="Arial" w:cs="Arial" w:eastAsia="Arial" w:hAnsi="Arial"/>
          <w:sz w:val="11"/>
          <w:szCs w:val="11"/>
          <w:color w:val="auto"/>
        </w:rPr>
        <w:t>to $3.58 trillion for 4Q 2025, from $3.59 trillion for 3Q 2025.</w:t>
      </w:r>
    </w:p>
    <w:p>
      <w:pPr>
        <w:spacing w:after="0" w:line="62" w:lineRule="exact"/>
        <w:rPr>
          <w:rFonts w:ascii="Arial" w:cs="Arial" w:eastAsia="Arial" w:hAnsi="Arial"/>
          <w:sz w:val="10"/>
          <w:szCs w:val="10"/>
          <w:color w:val="auto"/>
        </w:rPr>
      </w:pPr>
    </w:p>
    <w:p>
      <w:pPr>
        <w:ind w:left="160" w:right="160" w:hanging="104"/>
        <w:spacing w:after="0" w:line="268" w:lineRule="auto"/>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The average charged guaranty fee, net of TCCA fees, on the single-family conventional guaranty book increased </w:t>
      </w:r>
      <w:r>
        <w:rPr>
          <w:rFonts w:ascii="Arial" w:cs="Arial" w:eastAsia="Arial" w:hAnsi="Arial"/>
          <w:sz w:val="11"/>
          <w:szCs w:val="11"/>
          <w:color w:val="auto"/>
        </w:rPr>
        <w:t>to 48.7 basis points in 4Q 2025, compared with 48.5 basis points in 3Q 2025. The average charged guaranty</w:t>
      </w:r>
      <w:r>
        <w:rPr>
          <w:rFonts w:ascii="Arial" w:cs="Arial" w:eastAsia="Arial" w:hAnsi="Arial"/>
          <w:sz w:val="11"/>
          <w:szCs w:val="11"/>
          <w:b w:val="1"/>
          <w:bCs w:val="1"/>
          <w:color w:val="auto"/>
        </w:rPr>
        <w:t xml:space="preserve"> </w:t>
      </w:r>
      <w:r>
        <w:rPr>
          <w:rFonts w:ascii="Arial" w:cs="Arial" w:eastAsia="Arial" w:hAnsi="Arial"/>
          <w:sz w:val="11"/>
          <w:szCs w:val="11"/>
          <w:color w:val="auto"/>
        </w:rPr>
        <w:t>fee on newly acquired conventional loans, net of TCCA fees, decreased to 55.4 basis points in 4Q 2025, compared with 56.3 basis points in 3Q 2025.</w:t>
      </w:r>
    </w:p>
    <w:p>
      <w:pPr>
        <w:spacing w:after="0" w:line="32" w:lineRule="exact"/>
        <w:rPr>
          <w:rFonts w:ascii="Arial" w:cs="Arial" w:eastAsia="Arial" w:hAnsi="Arial"/>
          <w:sz w:val="10"/>
          <w:szCs w:val="10"/>
          <w:color w:val="auto"/>
        </w:rPr>
      </w:pPr>
    </w:p>
    <w:p>
      <w:pPr>
        <w:ind w:left="160" w:right="160" w:hanging="104"/>
        <w:spacing w:after="0" w:line="268" w:lineRule="auto"/>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Credit characteristics on the single-family conventional guaranty book remained largely unchanged </w:t>
      </w:r>
      <w:r>
        <w:rPr>
          <w:rFonts w:ascii="Arial" w:cs="Arial" w:eastAsia="Arial" w:hAnsi="Arial"/>
          <w:sz w:val="11"/>
          <w:szCs w:val="11"/>
          <w:color w:val="auto"/>
        </w:rPr>
        <w:t>compared to the prior quarter, with a weighted-average mark-to-market loan-to-value ratio of 51% and a weighted-average</w:t>
      </w:r>
      <w:r>
        <w:rPr>
          <w:rFonts w:ascii="Arial" w:cs="Arial" w:eastAsia="Arial" w:hAnsi="Arial"/>
          <w:sz w:val="11"/>
          <w:szCs w:val="11"/>
          <w:b w:val="1"/>
          <w:bCs w:val="1"/>
          <w:color w:val="auto"/>
        </w:rPr>
        <w:t xml:space="preserve"> </w:t>
      </w:r>
      <w:r>
        <w:rPr>
          <w:rFonts w:ascii="Arial" w:cs="Arial" w:eastAsia="Arial" w:hAnsi="Arial"/>
          <w:sz w:val="11"/>
          <w:szCs w:val="11"/>
          <w:color w:val="auto"/>
        </w:rPr>
        <w:t>FICO credit score at origination of 753 as of Dec. 31, 2025.</w:t>
      </w:r>
    </w:p>
    <w:p>
      <w:pPr>
        <w:spacing w:after="0" w:line="32" w:lineRule="exact"/>
        <w:rPr>
          <w:rFonts w:ascii="Arial" w:cs="Arial" w:eastAsia="Arial" w:hAnsi="Arial"/>
          <w:sz w:val="10"/>
          <w:szCs w:val="10"/>
          <w:color w:val="auto"/>
        </w:rPr>
      </w:pPr>
    </w:p>
    <w:p>
      <w:pPr>
        <w:ind w:left="160" w:hanging="104"/>
        <w:spacing w:after="0"/>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Single-family serious delinquency rate increased </w:t>
      </w:r>
      <w:r>
        <w:rPr>
          <w:rFonts w:ascii="Arial" w:cs="Arial" w:eastAsia="Arial" w:hAnsi="Arial"/>
          <w:sz w:val="11"/>
          <w:szCs w:val="11"/>
          <w:color w:val="auto"/>
        </w:rPr>
        <w:t>to 0.58% as of Dec. 31, 2025, from 0.54% as of Sep. 30, 2025.</w:t>
      </w:r>
      <w:r>
        <w:rPr>
          <w:rFonts w:ascii="Arial" w:cs="Arial" w:eastAsia="Arial" w:hAnsi="Arial"/>
          <w:sz w:val="14"/>
          <w:szCs w:val="14"/>
          <w:color w:val="auto"/>
          <w:vertAlign w:val="superscript"/>
        </w:rPr>
        <w:t>(9)</w:t>
      </w:r>
    </w:p>
    <w:p>
      <w:pPr>
        <w:spacing w:after="0" w:line="28" w:lineRule="exact"/>
        <w:rPr>
          <w:rFonts w:ascii="Arial" w:cs="Arial" w:eastAsia="Arial" w:hAnsi="Arial"/>
          <w:sz w:val="10"/>
          <w:szCs w:val="10"/>
          <w:color w:val="auto"/>
        </w:rPr>
      </w:pPr>
    </w:p>
    <w:p>
      <w:pPr>
        <w:ind w:left="160" w:right="240" w:hanging="104"/>
        <w:spacing w:after="0" w:line="267" w:lineRule="auto"/>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Provision for single-family credit losses </w:t>
      </w:r>
      <w:r>
        <w:rPr>
          <w:rFonts w:ascii="Arial" w:cs="Arial" w:eastAsia="Arial" w:hAnsi="Arial"/>
          <w:sz w:val="11"/>
          <w:szCs w:val="11"/>
          <w:color w:val="auto"/>
        </w:rPr>
        <w:t>of $293 million was recorded for 4Q 2025, driven primarily by newly acquired loans during the period and increased delinquencies. This compares with a provision for single-family credit</w:t>
      </w:r>
      <w:r>
        <w:rPr>
          <w:rFonts w:ascii="Arial" w:cs="Arial" w:eastAsia="Arial" w:hAnsi="Arial"/>
          <w:sz w:val="11"/>
          <w:szCs w:val="11"/>
          <w:b w:val="1"/>
          <w:bCs w:val="1"/>
          <w:color w:val="auto"/>
        </w:rPr>
        <w:t xml:space="preserve"> </w:t>
      </w:r>
      <w:r>
        <w:rPr>
          <w:rFonts w:ascii="Arial" w:cs="Arial" w:eastAsia="Arial" w:hAnsi="Arial"/>
          <w:sz w:val="11"/>
          <w:szCs w:val="11"/>
          <w:color w:val="auto"/>
        </w:rPr>
        <w:t>losses of $269 million for 3Q 2025.</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Single-Family Business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178040" cy="108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720" w:type="dxa"/>
            <w:vAlign w:val="bottom"/>
            <w:tcBorders>
              <w:top w:val="single" w:sz="8" w:color="1C6FA3"/>
              <w:bottom w:val="single" w:sz="8" w:color="5587A6"/>
            </w:tcBorders>
          </w:tcPr>
          <w:p>
            <w:pPr>
              <w:spacing w:after="0"/>
              <w:rPr>
                <w:sz w:val="20"/>
                <w:szCs w:val="20"/>
                <w:color w:val="auto"/>
              </w:rPr>
            </w:pPr>
            <w:r>
              <w:rPr>
                <w:rFonts w:ascii="Arial" w:cs="Arial" w:eastAsia="Arial" w:hAnsi="Arial"/>
                <w:sz w:val="11"/>
                <w:szCs w:val="11"/>
                <w:b w:val="1"/>
                <w:bCs w:val="1"/>
                <w:color w:val="auto"/>
              </w:rPr>
              <w:t>(Dollars in millions)</w:t>
            </w:r>
          </w:p>
        </w:tc>
        <w:tc>
          <w:tcPr>
            <w:tcW w:w="60" w:type="dxa"/>
            <w:vAlign w:val="bottom"/>
            <w:tcBorders>
              <w:top w:val="single" w:sz="8" w:color="1C6FA3"/>
            </w:tcBorders>
          </w:tcPr>
          <w:p>
            <w:pPr>
              <w:spacing w:after="0"/>
              <w:rPr>
                <w:sz w:val="13"/>
                <w:szCs w:val="13"/>
                <w:color w:val="auto"/>
              </w:rPr>
            </w:pPr>
          </w:p>
        </w:tc>
        <w:tc>
          <w:tcPr>
            <w:tcW w:w="160" w:type="dxa"/>
            <w:vAlign w:val="bottom"/>
            <w:tcBorders>
              <w:top w:val="single" w:sz="8" w:color="1C6FA3"/>
              <w:bottom w:val="single" w:sz="8" w:color="5587A6"/>
            </w:tcBorders>
          </w:tcPr>
          <w:p>
            <w:pPr>
              <w:spacing w:after="0"/>
              <w:rPr>
                <w:sz w:val="13"/>
                <w:szCs w:val="13"/>
                <w:color w:val="auto"/>
              </w:rPr>
            </w:pPr>
          </w:p>
        </w:tc>
        <w:tc>
          <w:tcPr>
            <w:tcW w:w="680" w:type="dxa"/>
            <w:vAlign w:val="bottom"/>
            <w:tcBorders>
              <w:top w:val="single" w:sz="8" w:color="1C6FA3"/>
              <w:bottom w:val="single" w:sz="8" w:color="5587A6"/>
            </w:tcBorders>
          </w:tcPr>
          <w:p>
            <w:pPr>
              <w:jc w:val="center"/>
              <w:ind w:right="86"/>
              <w:spacing w:after="0"/>
              <w:rPr>
                <w:sz w:val="20"/>
                <w:szCs w:val="20"/>
                <w:color w:val="auto"/>
              </w:rPr>
            </w:pPr>
            <w:r>
              <w:rPr>
                <w:rFonts w:ascii="Arial" w:cs="Arial" w:eastAsia="Arial" w:hAnsi="Arial"/>
                <w:sz w:val="11"/>
                <w:szCs w:val="11"/>
                <w:b w:val="1"/>
                <w:bCs w:val="1"/>
                <w:color w:val="auto"/>
                <w:w w:val="96"/>
              </w:rPr>
              <w:t>4Q25</w:t>
            </w:r>
          </w:p>
        </w:tc>
        <w:tc>
          <w:tcPr>
            <w:tcW w:w="8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00" w:type="dxa"/>
            <w:vAlign w:val="bottom"/>
            <w:tcBorders>
              <w:top w:val="single" w:sz="8" w:color="1C6FA3"/>
              <w:bottom w:val="single" w:sz="8" w:color="5587A6"/>
            </w:tcBorders>
          </w:tcPr>
          <w:p>
            <w:pPr>
              <w:jc w:val="center"/>
              <w:ind w:right="66"/>
              <w:spacing w:after="0"/>
              <w:rPr>
                <w:sz w:val="20"/>
                <w:szCs w:val="20"/>
                <w:color w:val="auto"/>
              </w:rPr>
            </w:pPr>
            <w:r>
              <w:rPr>
                <w:rFonts w:ascii="Arial" w:cs="Arial" w:eastAsia="Arial" w:hAnsi="Arial"/>
                <w:sz w:val="11"/>
                <w:szCs w:val="11"/>
                <w:b w:val="1"/>
                <w:bCs w:val="1"/>
                <w:color w:val="auto"/>
                <w:w w:val="96"/>
              </w:rPr>
              <w:t>3Q25</w:t>
            </w:r>
          </w:p>
        </w:tc>
        <w:tc>
          <w:tcPr>
            <w:tcW w:w="8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00" w:type="dxa"/>
            <w:vAlign w:val="bottom"/>
            <w:tcBorders>
              <w:top w:val="single" w:sz="8" w:color="1C6FA3"/>
              <w:bottom w:val="single" w:sz="8" w:color="5587A6"/>
            </w:tcBorders>
          </w:tcPr>
          <w:p>
            <w:pPr>
              <w:jc w:val="center"/>
              <w:ind w:right="86"/>
              <w:spacing w:after="0"/>
              <w:rPr>
                <w:sz w:val="20"/>
                <w:szCs w:val="20"/>
                <w:color w:val="auto"/>
              </w:rPr>
            </w:pPr>
            <w:r>
              <w:rPr>
                <w:rFonts w:ascii="Arial" w:cs="Arial" w:eastAsia="Arial" w:hAnsi="Arial"/>
                <w:sz w:val="11"/>
                <w:szCs w:val="11"/>
                <w:b w:val="1"/>
                <w:bCs w:val="1"/>
                <w:color w:val="auto"/>
                <w:w w:val="95"/>
              </w:rPr>
              <w:t>Variance</w:t>
            </w:r>
          </w:p>
        </w:tc>
        <w:tc>
          <w:tcPr>
            <w:tcW w:w="80" w:type="dxa"/>
            <w:vAlign w:val="bottom"/>
            <w:tcBorders>
              <w:top w:val="single" w:sz="8" w:color="1C6FA3"/>
            </w:tcBorders>
          </w:tcPr>
          <w:p>
            <w:pPr>
              <w:spacing w:after="0"/>
              <w:rPr>
                <w:sz w:val="13"/>
                <w:szCs w:val="13"/>
                <w:color w:val="auto"/>
              </w:rPr>
            </w:pPr>
          </w:p>
        </w:tc>
        <w:tc>
          <w:tcPr>
            <w:tcW w:w="840" w:type="dxa"/>
            <w:vAlign w:val="bottom"/>
            <w:tcBorders>
              <w:top w:val="single" w:sz="8" w:color="1C6FA3"/>
              <w:bottom w:val="single" w:sz="8" w:color="5587A6"/>
            </w:tcBorders>
          </w:tcPr>
          <w:p>
            <w:pPr>
              <w:jc w:val="right"/>
              <w:ind w:right="46"/>
              <w:spacing w:after="0"/>
              <w:rPr>
                <w:sz w:val="20"/>
                <w:szCs w:val="20"/>
                <w:color w:val="auto"/>
              </w:rPr>
            </w:pPr>
            <w:r>
              <w:rPr>
                <w:rFonts w:ascii="Arial" w:cs="Arial" w:eastAsia="Arial" w:hAnsi="Arial"/>
                <w:sz w:val="11"/>
                <w:szCs w:val="11"/>
                <w:b w:val="1"/>
                <w:bCs w:val="1"/>
                <w:color w:val="auto"/>
              </w:rPr>
              <w:t>% Change</w:t>
            </w:r>
          </w:p>
        </w:tc>
        <w:tc>
          <w:tcPr>
            <w:tcW w:w="140" w:type="dxa"/>
            <w:vAlign w:val="bottom"/>
            <w:tcBorders>
              <w:top w:val="single" w:sz="8" w:color="1C6FA3"/>
              <w:bottom w:val="single" w:sz="8" w:color="5587A6"/>
            </w:tcBorders>
          </w:tcPr>
          <w:p>
            <w:pPr>
              <w:spacing w:after="0"/>
              <w:rPr>
                <w:sz w:val="13"/>
                <w:szCs w:val="13"/>
                <w:color w:val="auto"/>
              </w:rPr>
            </w:pPr>
          </w:p>
        </w:tc>
        <w:tc>
          <w:tcPr>
            <w:tcW w:w="8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00" w:type="dxa"/>
            <w:vAlign w:val="bottom"/>
            <w:tcBorders>
              <w:top w:val="single" w:sz="8" w:color="1C6FA3"/>
              <w:bottom w:val="single" w:sz="8" w:color="5587A6"/>
            </w:tcBorders>
          </w:tcPr>
          <w:p>
            <w:pPr>
              <w:jc w:val="center"/>
              <w:ind w:right="86"/>
              <w:spacing w:after="0"/>
              <w:rPr>
                <w:sz w:val="20"/>
                <w:szCs w:val="20"/>
                <w:color w:val="auto"/>
              </w:rPr>
            </w:pPr>
            <w:r>
              <w:rPr>
                <w:rFonts w:ascii="Arial" w:cs="Arial" w:eastAsia="Arial" w:hAnsi="Arial"/>
                <w:sz w:val="11"/>
                <w:szCs w:val="11"/>
                <w:b w:val="1"/>
                <w:bCs w:val="1"/>
                <w:color w:val="auto"/>
                <w:w w:val="97"/>
              </w:rPr>
              <w:t>2025</w:t>
            </w:r>
          </w:p>
        </w:tc>
        <w:tc>
          <w:tcPr>
            <w:tcW w:w="80" w:type="dxa"/>
            <w:vAlign w:val="bottom"/>
            <w:tcBorders>
              <w:top w:val="single" w:sz="8" w:color="1C6FA3"/>
            </w:tcBorders>
          </w:tcPr>
          <w:p>
            <w:pPr>
              <w:spacing w:after="0"/>
              <w:rPr>
                <w:sz w:val="13"/>
                <w:szCs w:val="13"/>
                <w:color w:val="auto"/>
              </w:rPr>
            </w:pPr>
          </w:p>
        </w:tc>
        <w:tc>
          <w:tcPr>
            <w:tcW w:w="120" w:type="dxa"/>
            <w:vAlign w:val="bottom"/>
            <w:tcBorders>
              <w:top w:val="single" w:sz="8" w:color="1C6FA3"/>
              <w:bottom w:val="single" w:sz="8" w:color="5587A6"/>
            </w:tcBorders>
          </w:tcPr>
          <w:p>
            <w:pPr>
              <w:spacing w:after="0"/>
              <w:rPr>
                <w:sz w:val="13"/>
                <w:szCs w:val="13"/>
                <w:color w:val="auto"/>
              </w:rPr>
            </w:pPr>
          </w:p>
        </w:tc>
        <w:tc>
          <w:tcPr>
            <w:tcW w:w="680" w:type="dxa"/>
            <w:vAlign w:val="bottom"/>
            <w:tcBorders>
              <w:top w:val="single" w:sz="8" w:color="1C6FA3"/>
              <w:bottom w:val="single" w:sz="8" w:color="5587A6"/>
            </w:tcBorders>
          </w:tcPr>
          <w:p>
            <w:pPr>
              <w:jc w:val="center"/>
              <w:ind w:right="66"/>
              <w:spacing w:after="0"/>
              <w:rPr>
                <w:sz w:val="20"/>
                <w:szCs w:val="20"/>
                <w:color w:val="auto"/>
              </w:rPr>
            </w:pPr>
            <w:r>
              <w:rPr>
                <w:rFonts w:ascii="Arial" w:cs="Arial" w:eastAsia="Arial" w:hAnsi="Arial"/>
                <w:sz w:val="11"/>
                <w:szCs w:val="11"/>
                <w:b w:val="1"/>
                <w:bCs w:val="1"/>
                <w:color w:val="auto"/>
                <w:w w:val="97"/>
              </w:rPr>
              <w:t>2024</w:t>
            </w:r>
          </w:p>
        </w:tc>
        <w:tc>
          <w:tcPr>
            <w:tcW w:w="8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00" w:type="dxa"/>
            <w:vAlign w:val="bottom"/>
            <w:tcBorders>
              <w:top w:val="single" w:sz="8" w:color="1C6FA3"/>
              <w:bottom w:val="single" w:sz="8" w:color="5587A6"/>
            </w:tcBorders>
          </w:tcPr>
          <w:p>
            <w:pPr>
              <w:jc w:val="right"/>
              <w:ind w:right="146"/>
              <w:spacing w:after="0"/>
              <w:rPr>
                <w:sz w:val="20"/>
                <w:szCs w:val="20"/>
                <w:color w:val="auto"/>
              </w:rPr>
            </w:pPr>
            <w:r>
              <w:rPr>
                <w:rFonts w:ascii="Arial" w:cs="Arial" w:eastAsia="Arial" w:hAnsi="Arial"/>
                <w:sz w:val="11"/>
                <w:szCs w:val="11"/>
                <w:b w:val="1"/>
                <w:bCs w:val="1"/>
                <w:color w:val="auto"/>
              </w:rPr>
              <w:t>Variance</w:t>
            </w:r>
          </w:p>
        </w:tc>
        <w:tc>
          <w:tcPr>
            <w:tcW w:w="880" w:type="dxa"/>
            <w:vAlign w:val="bottom"/>
            <w:tcBorders>
              <w:top w:val="single" w:sz="8" w:color="1C6FA3"/>
            </w:tcBorders>
          </w:tcPr>
          <w:p>
            <w:pPr>
              <w:jc w:val="right"/>
              <w:ind w:right="6"/>
              <w:spacing w:after="0"/>
              <w:rPr>
                <w:sz w:val="20"/>
                <w:szCs w:val="20"/>
                <w:color w:val="auto"/>
              </w:rPr>
            </w:pPr>
            <w:r>
              <w:rPr>
                <w:rFonts w:ascii="Arial" w:cs="Arial" w:eastAsia="Arial" w:hAnsi="Arial"/>
                <w:sz w:val="11"/>
                <w:szCs w:val="11"/>
                <w:b w:val="1"/>
                <w:bCs w:val="1"/>
                <w:color w:val="auto"/>
              </w:rPr>
              <w:t>% Change</w:t>
            </w:r>
          </w:p>
        </w:tc>
        <w:tc>
          <w:tcPr>
            <w:tcW w:w="40" w:type="dxa"/>
            <w:vAlign w:val="bottom"/>
            <w:tcBorders>
              <w:top w:val="single" w:sz="8" w:color="1C6FA3"/>
            </w:tcBorders>
          </w:tcPr>
          <w:p>
            <w:pPr>
              <w:spacing w:after="0"/>
              <w:rPr>
                <w:sz w:val="13"/>
                <w:szCs w:val="13"/>
                <w:color w:val="auto"/>
              </w:rPr>
            </w:pPr>
          </w:p>
        </w:tc>
        <w:tc>
          <w:tcPr>
            <w:tcW w:w="140" w:type="dxa"/>
            <w:vAlign w:val="bottom"/>
            <w:tcBorders>
              <w:top w:val="single" w:sz="8" w:color="1C6FA3"/>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780" w:type="dxa"/>
            <w:vAlign w:val="bottom"/>
            <w:gridSpan w:val="2"/>
          </w:tcPr>
          <w:p>
            <w:pPr>
              <w:spacing w:after="0"/>
              <w:rPr>
                <w:sz w:val="20"/>
                <w:szCs w:val="20"/>
                <w:color w:val="auto"/>
              </w:rPr>
            </w:pPr>
            <w:r>
              <w:rPr>
                <w:rFonts w:ascii="Arial" w:cs="Arial" w:eastAsia="Arial" w:hAnsi="Arial"/>
                <w:sz w:val="11"/>
                <w:szCs w:val="11"/>
                <w:color w:val="auto"/>
              </w:rPr>
              <w:t>Net interest income</w:t>
            </w:r>
          </w:p>
        </w:tc>
        <w:tc>
          <w:tcPr>
            <w:tcW w:w="160" w:type="dxa"/>
            <w:vAlign w:val="bottom"/>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6,043</w:t>
            </w:r>
          </w:p>
        </w:tc>
        <w:tc>
          <w:tcPr>
            <w:tcW w:w="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5,992</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23,893</w:t>
            </w:r>
          </w:p>
        </w:tc>
        <w:tc>
          <w:tcPr>
            <w:tcW w:w="8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24,130</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(237)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72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Fee and other income</w:t>
            </w:r>
          </w:p>
        </w:tc>
        <w:tc>
          <w:tcPr>
            <w:tcW w:w="6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68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43</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104</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(61)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(59)</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281</w:t>
            </w:r>
          </w:p>
        </w:tc>
        <w:tc>
          <w:tcPr>
            <w:tcW w:w="80" w:type="dxa"/>
            <w:vAlign w:val="bottom"/>
          </w:tcPr>
          <w:p>
            <w:pPr>
              <w:spacing w:after="0"/>
              <w:rPr>
                <w:sz w:val="12"/>
                <w:szCs w:val="12"/>
                <w:color w:val="auto"/>
              </w:rPr>
            </w:pPr>
          </w:p>
        </w:tc>
        <w:tc>
          <w:tcPr>
            <w:tcW w:w="120" w:type="dxa"/>
            <w:vAlign w:val="bottom"/>
            <w:tcBorders>
              <w:bottom w:val="single" w:sz="8" w:color="5587A6"/>
            </w:tcBorders>
          </w:tcPr>
          <w:p>
            <w:pPr>
              <w:spacing w:after="0"/>
              <w:rPr>
                <w:sz w:val="12"/>
                <w:szCs w:val="12"/>
                <w:color w:val="auto"/>
              </w:rPr>
            </w:pPr>
          </w:p>
        </w:tc>
        <w:tc>
          <w:tcPr>
            <w:tcW w:w="68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245</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36</w:t>
            </w:r>
          </w:p>
        </w:tc>
        <w:tc>
          <w:tcPr>
            <w:tcW w:w="880" w:type="dxa"/>
            <w:vAlign w:val="bottom"/>
          </w:tcPr>
          <w:p>
            <w:pPr>
              <w:jc w:val="right"/>
              <w:spacing w:after="0"/>
              <w:rPr>
                <w:sz w:val="20"/>
                <w:szCs w:val="20"/>
                <w:color w:val="auto"/>
              </w:rPr>
            </w:pPr>
            <w:r>
              <w:rPr>
                <w:rFonts w:ascii="Arial" w:cs="Arial" w:eastAsia="Arial" w:hAnsi="Arial"/>
                <w:sz w:val="11"/>
                <w:szCs w:val="11"/>
                <w:color w:val="auto"/>
              </w:rPr>
              <w:t>15</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3780" w:type="dxa"/>
            <w:vAlign w:val="bottom"/>
            <w:gridSpan w:val="2"/>
          </w:tcPr>
          <w:p>
            <w:pPr>
              <w:spacing w:after="0"/>
              <w:rPr>
                <w:sz w:val="20"/>
                <w:szCs w:val="20"/>
                <w:color w:val="auto"/>
              </w:rPr>
            </w:pPr>
            <w:r>
              <w:rPr>
                <w:rFonts w:ascii="Arial" w:cs="Arial" w:eastAsia="Arial" w:hAnsi="Arial"/>
                <w:sz w:val="11"/>
                <w:szCs w:val="11"/>
                <w:b w:val="1"/>
                <w:bCs w:val="1"/>
                <w:color w:val="auto"/>
              </w:rPr>
              <w:t>Net revenues</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6,086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6,096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1"/>
                <w:szCs w:val="11"/>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1"/>
                <w:szCs w:val="11"/>
                <w:color w:val="auto"/>
              </w:rPr>
              <w:t>—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24,174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24,375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(201)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780" w:type="dxa"/>
            <w:vAlign w:val="bottom"/>
            <w:gridSpan w:val="2"/>
          </w:tcPr>
          <w:p>
            <w:pPr>
              <w:spacing w:after="0"/>
              <w:rPr>
                <w:sz w:val="20"/>
                <w:szCs w:val="20"/>
                <w:color w:val="auto"/>
              </w:rPr>
            </w:pPr>
            <w:r>
              <w:rPr>
                <w:rFonts w:ascii="Arial" w:cs="Arial" w:eastAsia="Arial" w:hAnsi="Arial"/>
                <w:sz w:val="11"/>
                <w:szCs w:val="11"/>
                <w:color w:val="auto"/>
              </w:rPr>
              <w:t>Fair value gains (losses), net</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(273)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(251)</w:t>
            </w:r>
          </w:p>
        </w:tc>
        <w:tc>
          <w:tcPr>
            <w:tcW w:w="80" w:type="dxa"/>
            <w:vAlign w:val="bottom"/>
          </w:tcPr>
          <w:p>
            <w:pPr>
              <w:spacing w:after="0"/>
              <w:rPr>
                <w:sz w:val="12"/>
                <w:szCs w:val="12"/>
                <w:color w:val="auto"/>
              </w:rPr>
            </w:pPr>
          </w:p>
        </w:tc>
        <w:tc>
          <w:tcPr>
            <w:tcW w:w="1060" w:type="dxa"/>
            <w:vAlign w:val="bottom"/>
            <w:gridSpan w:val="3"/>
          </w:tcPr>
          <w:p>
            <w:pPr>
              <w:ind w:left="800"/>
              <w:spacing w:after="0"/>
              <w:rPr>
                <w:sz w:val="20"/>
                <w:szCs w:val="20"/>
                <w:color w:val="auto"/>
              </w:rPr>
            </w:pPr>
            <w:r>
              <w:rPr>
                <w:rFonts w:ascii="Arial" w:cs="Arial" w:eastAsia="Arial" w:hAnsi="Arial"/>
                <w:sz w:val="11"/>
                <w:szCs w:val="11"/>
                <w:color w:val="auto"/>
              </w:rPr>
              <w:t>NM</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1,745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(1,761)</w:t>
            </w:r>
          </w:p>
        </w:tc>
        <w:tc>
          <w:tcPr>
            <w:tcW w:w="88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w w:val="81"/>
              </w:rPr>
              <w:t>NM</w:t>
            </w:r>
          </w:p>
        </w:tc>
        <w:tc>
          <w:tcPr>
            <w:tcW w:w="0" w:type="dxa"/>
            <w:vAlign w:val="bottom"/>
          </w:tcPr>
          <w:p>
            <w:pPr>
              <w:spacing w:after="0"/>
              <w:rPr>
                <w:sz w:val="1"/>
                <w:szCs w:val="1"/>
                <w:color w:val="auto"/>
              </w:rPr>
            </w:pPr>
          </w:p>
        </w:tc>
      </w:tr>
      <w:tr>
        <w:trPr>
          <w:trHeight w:val="144"/>
        </w:trPr>
        <w:tc>
          <w:tcPr>
            <w:tcW w:w="3720" w:type="dxa"/>
            <w:vAlign w:val="bottom"/>
            <w:tcBorders>
              <w:bottom w:val="single" w:sz="8" w:color="5587A6"/>
            </w:tcBorders>
          </w:tcPr>
          <w:p>
            <w:pPr>
              <w:spacing w:after="0" w:line="144" w:lineRule="exact"/>
              <w:rPr>
                <w:sz w:val="20"/>
                <w:szCs w:val="20"/>
                <w:color w:val="auto"/>
              </w:rPr>
            </w:pPr>
            <w:r>
              <w:rPr>
                <w:rFonts w:ascii="Arial" w:cs="Arial" w:eastAsia="Arial" w:hAnsi="Arial"/>
                <w:sz w:val="11"/>
                <w:szCs w:val="11"/>
                <w:color w:val="auto"/>
              </w:rPr>
              <w:t>Investment gains (losses), net</w:t>
            </w:r>
            <w:r>
              <w:rPr>
                <w:rFonts w:ascii="Arial" w:cs="Arial" w:eastAsia="Arial" w:hAnsi="Arial"/>
                <w:sz w:val="14"/>
                <w:szCs w:val="14"/>
                <w:color w:val="auto"/>
                <w:vertAlign w:val="superscript"/>
              </w:rPr>
              <w:t>(4)</w:t>
            </w:r>
          </w:p>
        </w:tc>
        <w:tc>
          <w:tcPr>
            <w:tcW w:w="6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68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(14)</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127</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(141)</w:t>
            </w:r>
          </w:p>
        </w:tc>
        <w:tc>
          <w:tcPr>
            <w:tcW w:w="80" w:type="dxa"/>
            <w:vAlign w:val="bottom"/>
          </w:tcPr>
          <w:p>
            <w:pPr>
              <w:spacing w:after="0"/>
              <w:rPr>
                <w:sz w:val="12"/>
                <w:szCs w:val="12"/>
                <w:color w:val="auto"/>
              </w:rPr>
            </w:pPr>
          </w:p>
        </w:tc>
        <w:tc>
          <w:tcPr>
            <w:tcW w:w="1060" w:type="dxa"/>
            <w:vAlign w:val="bottom"/>
            <w:gridSpan w:val="3"/>
          </w:tcPr>
          <w:p>
            <w:pPr>
              <w:ind w:left="800"/>
              <w:spacing w:after="0"/>
              <w:rPr>
                <w:sz w:val="20"/>
                <w:szCs w:val="20"/>
                <w:color w:val="auto"/>
              </w:rPr>
            </w:pPr>
            <w:r>
              <w:rPr>
                <w:rFonts w:ascii="Arial" w:cs="Arial" w:eastAsia="Arial" w:hAnsi="Arial"/>
                <w:sz w:val="11"/>
                <w:szCs w:val="11"/>
                <w:color w:val="auto"/>
              </w:rPr>
              <w:t>NM</w:t>
            </w: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94</w:t>
            </w:r>
          </w:p>
        </w:tc>
        <w:tc>
          <w:tcPr>
            <w:tcW w:w="80" w:type="dxa"/>
            <w:vAlign w:val="bottom"/>
          </w:tcPr>
          <w:p>
            <w:pPr>
              <w:spacing w:after="0"/>
              <w:rPr>
                <w:sz w:val="12"/>
                <w:szCs w:val="12"/>
                <w:color w:val="auto"/>
              </w:rPr>
            </w:pPr>
          </w:p>
        </w:tc>
        <w:tc>
          <w:tcPr>
            <w:tcW w:w="120" w:type="dxa"/>
            <w:vAlign w:val="bottom"/>
            <w:tcBorders>
              <w:bottom w:val="single" w:sz="8" w:color="5587A6"/>
            </w:tcBorders>
          </w:tcPr>
          <w:p>
            <w:pPr>
              <w:spacing w:after="0"/>
              <w:rPr>
                <w:sz w:val="12"/>
                <w:szCs w:val="12"/>
                <w:color w:val="auto"/>
              </w:rPr>
            </w:pPr>
          </w:p>
        </w:tc>
        <w:tc>
          <w:tcPr>
            <w:tcW w:w="68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(99)</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193</w:t>
            </w:r>
          </w:p>
        </w:tc>
        <w:tc>
          <w:tcPr>
            <w:tcW w:w="88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w w:val="81"/>
              </w:rPr>
              <w:t>NM</w:t>
            </w:r>
          </w:p>
        </w:tc>
        <w:tc>
          <w:tcPr>
            <w:tcW w:w="0" w:type="dxa"/>
            <w:vAlign w:val="bottom"/>
          </w:tcPr>
          <w:p>
            <w:pPr>
              <w:spacing w:after="0"/>
              <w:rPr>
                <w:sz w:val="1"/>
                <w:szCs w:val="1"/>
                <w:color w:val="auto"/>
              </w:rPr>
            </w:pPr>
          </w:p>
        </w:tc>
      </w:tr>
      <w:tr>
        <w:trPr>
          <w:trHeight w:val="133"/>
        </w:trPr>
        <w:tc>
          <w:tcPr>
            <w:tcW w:w="3780" w:type="dxa"/>
            <w:vAlign w:val="bottom"/>
            <w:gridSpan w:val="2"/>
          </w:tcPr>
          <w:p>
            <w:pPr>
              <w:spacing w:after="0"/>
              <w:rPr>
                <w:sz w:val="20"/>
                <w:szCs w:val="20"/>
                <w:color w:val="auto"/>
              </w:rPr>
            </w:pPr>
            <w:r>
              <w:rPr>
                <w:rFonts w:ascii="Arial" w:cs="Arial" w:eastAsia="Arial" w:hAnsi="Arial"/>
                <w:sz w:val="11"/>
                <w:szCs w:val="11"/>
                <w:b w:val="1"/>
                <w:bCs w:val="1"/>
                <w:color w:val="auto"/>
              </w:rPr>
              <w:t>Other gains (losses), net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(287)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(392)</w:t>
            </w:r>
          </w:p>
        </w:tc>
        <w:tc>
          <w:tcPr>
            <w:tcW w:w="80" w:type="dxa"/>
            <w:vAlign w:val="bottom"/>
          </w:tcPr>
          <w:p>
            <w:pPr>
              <w:spacing w:after="0"/>
              <w:rPr>
                <w:sz w:val="11"/>
                <w:szCs w:val="11"/>
                <w:color w:val="auto"/>
              </w:rPr>
            </w:pPr>
          </w:p>
        </w:tc>
        <w:tc>
          <w:tcPr>
            <w:tcW w:w="1060" w:type="dxa"/>
            <w:vAlign w:val="bottom"/>
            <w:gridSpan w:val="3"/>
          </w:tcPr>
          <w:p>
            <w:pPr>
              <w:ind w:left="800"/>
              <w:spacing w:after="0"/>
              <w:rPr>
                <w:sz w:val="20"/>
                <w:szCs w:val="20"/>
                <w:color w:val="auto"/>
              </w:rPr>
            </w:pPr>
            <w:r>
              <w:rPr>
                <w:rFonts w:ascii="Arial" w:cs="Arial" w:eastAsia="Arial" w:hAnsi="Arial"/>
                <w:sz w:val="11"/>
                <w:szCs w:val="11"/>
                <w:color w:val="auto"/>
              </w:rPr>
              <w:t>NM</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78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1,646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(1,568)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(95)</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780" w:type="dxa"/>
            <w:vAlign w:val="bottom"/>
            <w:gridSpan w:val="2"/>
          </w:tcPr>
          <w:p>
            <w:pPr>
              <w:spacing w:after="0"/>
              <w:rPr>
                <w:sz w:val="20"/>
                <w:szCs w:val="20"/>
                <w:color w:val="auto"/>
              </w:rPr>
            </w:pPr>
            <w:r>
              <w:rPr>
                <w:rFonts w:ascii="Arial" w:cs="Arial" w:eastAsia="Arial" w:hAnsi="Arial"/>
                <w:sz w:val="11"/>
                <w:szCs w:val="11"/>
                <w:color w:val="auto"/>
              </w:rPr>
              <w:t>(Provision) benefit for credit losses</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(293)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(269)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(1,323)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938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(2,261)</w:t>
            </w:r>
          </w:p>
        </w:tc>
        <w:tc>
          <w:tcPr>
            <w:tcW w:w="88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w w:val="81"/>
              </w:rPr>
              <w:t>NM</w:t>
            </w:r>
          </w:p>
        </w:tc>
        <w:tc>
          <w:tcPr>
            <w:tcW w:w="0" w:type="dxa"/>
            <w:vAlign w:val="bottom"/>
          </w:tcPr>
          <w:p>
            <w:pPr>
              <w:spacing w:after="0"/>
              <w:rPr>
                <w:sz w:val="1"/>
                <w:szCs w:val="1"/>
                <w:color w:val="auto"/>
              </w:rPr>
            </w:pPr>
          </w:p>
        </w:tc>
      </w:tr>
      <w:tr>
        <w:trPr>
          <w:trHeight w:val="142"/>
        </w:trPr>
        <w:tc>
          <w:tcPr>
            <w:tcW w:w="3780" w:type="dxa"/>
            <w:vAlign w:val="bottom"/>
            <w:gridSpan w:val="2"/>
          </w:tcPr>
          <w:p>
            <w:pPr>
              <w:spacing w:after="0"/>
              <w:rPr>
                <w:sz w:val="20"/>
                <w:szCs w:val="20"/>
                <w:color w:val="auto"/>
              </w:rPr>
            </w:pPr>
            <w:r>
              <w:rPr>
                <w:rFonts w:ascii="Arial" w:cs="Arial" w:eastAsia="Arial" w:hAnsi="Arial"/>
                <w:sz w:val="11"/>
                <w:szCs w:val="11"/>
                <w:color w:val="auto"/>
              </w:rPr>
              <w:t>Non-interest expense: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80" w:type="dxa"/>
            <w:vAlign w:val="bottom"/>
            <w:gridSpan w:val="2"/>
          </w:tcPr>
          <w:p>
            <w:pPr>
              <w:ind w:left="80"/>
              <w:spacing w:after="0" w:line="147" w:lineRule="exact"/>
              <w:rPr>
                <w:sz w:val="20"/>
                <w:szCs w:val="20"/>
                <w:color w:val="auto"/>
              </w:rPr>
            </w:pPr>
            <w:r>
              <w:rPr>
                <w:rFonts w:ascii="Arial" w:cs="Arial" w:eastAsia="Arial" w:hAnsi="Arial"/>
                <w:sz w:val="11"/>
                <w:szCs w:val="11"/>
                <w:color w:val="auto"/>
              </w:rPr>
              <w:t>Administrative expenses</w:t>
            </w:r>
            <w:r>
              <w:rPr>
                <w:rFonts w:ascii="Arial" w:cs="Arial" w:eastAsia="Arial" w:hAnsi="Arial"/>
                <w:sz w:val="14"/>
                <w:szCs w:val="14"/>
                <w:color w:val="auto"/>
                <w:vertAlign w:val="superscript"/>
              </w:rPr>
              <w:t>(5)</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(750)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(669)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(2,918)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82</w:t>
            </w:r>
          </w:p>
        </w:tc>
        <w:tc>
          <w:tcPr>
            <w:tcW w:w="880" w:type="dxa"/>
            <w:vAlign w:val="bottom"/>
          </w:tcPr>
          <w:p>
            <w:pPr>
              <w:jc w:val="right"/>
              <w:spacing w:after="0"/>
              <w:rPr>
                <w:sz w:val="20"/>
                <w:szCs w:val="20"/>
                <w:color w:val="auto"/>
              </w:rPr>
            </w:pPr>
            <w:r>
              <w:rPr>
                <w:rFonts w:ascii="Arial" w:cs="Arial" w:eastAsia="Arial" w:hAnsi="Arial"/>
                <w:sz w:val="11"/>
                <w:szCs w:val="11"/>
                <w:color w:val="auto"/>
              </w:rPr>
              <w:t>3</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780" w:type="dxa"/>
            <w:vAlign w:val="bottom"/>
            <w:gridSpan w:val="2"/>
          </w:tcPr>
          <w:p>
            <w:pPr>
              <w:ind w:left="80"/>
              <w:spacing w:after="0" w:line="144" w:lineRule="exact"/>
              <w:rPr>
                <w:sz w:val="20"/>
                <w:szCs w:val="20"/>
                <w:color w:val="auto"/>
              </w:rPr>
            </w:pPr>
            <w:r>
              <w:rPr>
                <w:rFonts w:ascii="Arial" w:cs="Arial" w:eastAsia="Arial" w:hAnsi="Arial"/>
                <w:sz w:val="11"/>
                <w:szCs w:val="11"/>
                <w:color w:val="auto"/>
              </w:rPr>
              <w:t>Legislative assessments</w:t>
            </w:r>
            <w:r>
              <w:rPr>
                <w:rFonts w:ascii="Arial" w:cs="Arial" w:eastAsia="Arial" w:hAnsi="Arial"/>
                <w:sz w:val="14"/>
                <w:szCs w:val="14"/>
                <w:color w:val="auto"/>
                <w:vertAlign w:val="superscript"/>
              </w:rPr>
              <w:t>(6)</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(921)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(929)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(3,688)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(3,719)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31</w:t>
            </w:r>
          </w:p>
        </w:tc>
        <w:tc>
          <w:tcPr>
            <w:tcW w:w="88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780" w:type="dxa"/>
            <w:vAlign w:val="bottom"/>
            <w:gridSpan w:val="2"/>
          </w:tcPr>
          <w:p>
            <w:pPr>
              <w:ind w:left="80"/>
              <w:spacing w:after="0" w:line="144" w:lineRule="exact"/>
              <w:rPr>
                <w:sz w:val="20"/>
                <w:szCs w:val="20"/>
                <w:color w:val="auto"/>
              </w:rPr>
            </w:pPr>
            <w:r>
              <w:rPr>
                <w:rFonts w:ascii="Arial" w:cs="Arial" w:eastAsia="Arial" w:hAnsi="Arial"/>
                <w:sz w:val="11"/>
                <w:szCs w:val="11"/>
                <w:color w:val="auto"/>
              </w:rPr>
              <w:t>Credit enhancement expense</w:t>
            </w:r>
            <w:r>
              <w:rPr>
                <w:rFonts w:ascii="Arial" w:cs="Arial" w:eastAsia="Arial" w:hAnsi="Arial"/>
                <w:sz w:val="14"/>
                <w:szCs w:val="14"/>
                <w:color w:val="auto"/>
                <w:vertAlign w:val="superscript"/>
              </w:rPr>
              <w:t>(7)</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(288)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(1,343)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(1,349)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w:t>
            </w:r>
          </w:p>
        </w:tc>
        <w:tc>
          <w:tcPr>
            <w:tcW w:w="1060" w:type="dxa"/>
            <w:vAlign w:val="bottom"/>
            <w:gridSpan w:val="3"/>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44"/>
        </w:trPr>
        <w:tc>
          <w:tcPr>
            <w:tcW w:w="3720" w:type="dxa"/>
            <w:vAlign w:val="bottom"/>
            <w:tcBorders>
              <w:bottom w:val="single" w:sz="8" w:color="5587A6"/>
            </w:tcBorders>
          </w:tcPr>
          <w:p>
            <w:pPr>
              <w:ind w:left="80"/>
              <w:spacing w:after="0" w:line="144" w:lineRule="exact"/>
              <w:rPr>
                <w:sz w:val="20"/>
                <w:szCs w:val="20"/>
                <w:color w:val="auto"/>
              </w:rPr>
            </w:pPr>
            <w:r>
              <w:rPr>
                <w:rFonts w:ascii="Arial" w:cs="Arial" w:eastAsia="Arial" w:hAnsi="Arial"/>
                <w:sz w:val="11"/>
                <w:szCs w:val="11"/>
                <w:color w:val="auto"/>
              </w:rPr>
              <w:t>Other income (expense), net</w:t>
            </w:r>
            <w:r>
              <w:rPr>
                <w:rFonts w:ascii="Arial" w:cs="Arial" w:eastAsia="Arial" w:hAnsi="Arial"/>
                <w:sz w:val="14"/>
                <w:szCs w:val="14"/>
                <w:color w:val="auto"/>
                <w:vertAlign w:val="superscript"/>
              </w:rPr>
              <w:t>(4)(8)</w:t>
            </w:r>
          </w:p>
        </w:tc>
        <w:tc>
          <w:tcPr>
            <w:tcW w:w="6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68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(173)</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(129)</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(44)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(34)</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(606)</w:t>
            </w:r>
          </w:p>
        </w:tc>
        <w:tc>
          <w:tcPr>
            <w:tcW w:w="80" w:type="dxa"/>
            <w:vAlign w:val="bottom"/>
          </w:tcPr>
          <w:p>
            <w:pPr>
              <w:spacing w:after="0"/>
              <w:rPr>
                <w:sz w:val="12"/>
                <w:szCs w:val="12"/>
                <w:color w:val="auto"/>
              </w:rPr>
            </w:pPr>
          </w:p>
        </w:tc>
        <w:tc>
          <w:tcPr>
            <w:tcW w:w="120" w:type="dxa"/>
            <w:vAlign w:val="bottom"/>
            <w:tcBorders>
              <w:bottom w:val="single" w:sz="8" w:color="5587A6"/>
            </w:tcBorders>
          </w:tcPr>
          <w:p>
            <w:pPr>
              <w:spacing w:after="0"/>
              <w:rPr>
                <w:sz w:val="12"/>
                <w:szCs w:val="12"/>
                <w:color w:val="auto"/>
              </w:rPr>
            </w:pPr>
          </w:p>
        </w:tc>
        <w:tc>
          <w:tcPr>
            <w:tcW w:w="68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(771)</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165</w:t>
            </w:r>
          </w:p>
        </w:tc>
        <w:tc>
          <w:tcPr>
            <w:tcW w:w="880" w:type="dxa"/>
            <w:vAlign w:val="bottom"/>
          </w:tcPr>
          <w:p>
            <w:pPr>
              <w:jc w:val="right"/>
              <w:spacing w:after="0"/>
              <w:rPr>
                <w:sz w:val="20"/>
                <w:szCs w:val="20"/>
                <w:color w:val="auto"/>
              </w:rPr>
            </w:pPr>
            <w:r>
              <w:rPr>
                <w:rFonts w:ascii="Arial" w:cs="Arial" w:eastAsia="Arial" w:hAnsi="Arial"/>
                <w:sz w:val="11"/>
                <w:szCs w:val="11"/>
                <w:color w:val="auto"/>
              </w:rPr>
              <w:t>21</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372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Total non-interest expense</w:t>
            </w:r>
          </w:p>
        </w:tc>
        <w:tc>
          <w:tcPr>
            <w:tcW w:w="60" w:type="dxa"/>
            <w:vAlign w:val="bottom"/>
          </w:tcPr>
          <w:p>
            <w:pPr>
              <w:spacing w:after="0"/>
              <w:rPr>
                <w:sz w:val="11"/>
                <w:szCs w:val="11"/>
                <w:color w:val="auto"/>
              </w:rPr>
            </w:pPr>
          </w:p>
        </w:tc>
        <w:tc>
          <w:tcPr>
            <w:tcW w:w="160" w:type="dxa"/>
            <w:vAlign w:val="bottom"/>
            <w:tcBorders>
              <w:bottom w:val="single" w:sz="8" w:color="5587A6"/>
            </w:tcBorders>
          </w:tcPr>
          <w:p>
            <w:pPr>
              <w:spacing w:after="0"/>
              <w:rPr>
                <w:sz w:val="11"/>
                <w:szCs w:val="11"/>
                <w:color w:val="auto"/>
              </w:rPr>
            </w:pPr>
          </w:p>
        </w:tc>
        <w:tc>
          <w:tcPr>
            <w:tcW w:w="68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(2,132)</w:t>
            </w:r>
          </w:p>
        </w:tc>
        <w:tc>
          <w:tcPr>
            <w:tcW w:w="8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(2,057)</w:t>
            </w:r>
          </w:p>
        </w:tc>
        <w:tc>
          <w:tcPr>
            <w:tcW w:w="8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(8,555)</w:t>
            </w:r>
          </w:p>
        </w:tc>
        <w:tc>
          <w:tcPr>
            <w:tcW w:w="80" w:type="dxa"/>
            <w:vAlign w:val="bottom"/>
          </w:tcPr>
          <w:p>
            <w:pPr>
              <w:spacing w:after="0"/>
              <w:rPr>
                <w:sz w:val="11"/>
                <w:szCs w:val="11"/>
                <w:color w:val="auto"/>
              </w:rPr>
            </w:pPr>
          </w:p>
        </w:tc>
        <w:tc>
          <w:tcPr>
            <w:tcW w:w="120" w:type="dxa"/>
            <w:vAlign w:val="bottom"/>
            <w:tcBorders>
              <w:bottom w:val="single" w:sz="8" w:color="5587A6"/>
            </w:tcBorders>
          </w:tcPr>
          <w:p>
            <w:pPr>
              <w:spacing w:after="0"/>
              <w:rPr>
                <w:sz w:val="11"/>
                <w:szCs w:val="11"/>
                <w:color w:val="auto"/>
              </w:rPr>
            </w:pPr>
          </w:p>
        </w:tc>
        <w:tc>
          <w:tcPr>
            <w:tcW w:w="68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(8,839)</w:t>
            </w:r>
          </w:p>
        </w:tc>
        <w:tc>
          <w:tcPr>
            <w:tcW w:w="8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284</w:t>
            </w:r>
          </w:p>
        </w:tc>
        <w:tc>
          <w:tcPr>
            <w:tcW w:w="880" w:type="dxa"/>
            <w:vAlign w:val="bottom"/>
          </w:tcPr>
          <w:p>
            <w:pPr>
              <w:jc w:val="right"/>
              <w:spacing w:after="0"/>
              <w:rPr>
                <w:sz w:val="20"/>
                <w:szCs w:val="20"/>
                <w:color w:val="auto"/>
              </w:rPr>
            </w:pPr>
            <w:r>
              <w:rPr>
                <w:rFonts w:ascii="Arial" w:cs="Arial" w:eastAsia="Arial" w:hAnsi="Arial"/>
                <w:sz w:val="11"/>
                <w:szCs w:val="11"/>
                <w:color w:val="auto"/>
              </w:rPr>
              <w:t>3</w:t>
            </w:r>
          </w:p>
        </w:tc>
        <w:tc>
          <w:tcPr>
            <w:tcW w:w="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3780" w:type="dxa"/>
            <w:vAlign w:val="bottom"/>
            <w:gridSpan w:val="2"/>
          </w:tcPr>
          <w:p>
            <w:pPr>
              <w:spacing w:after="0"/>
              <w:rPr>
                <w:sz w:val="20"/>
                <w:szCs w:val="20"/>
                <w:color w:val="auto"/>
              </w:rPr>
            </w:pPr>
            <w:r>
              <w:rPr>
                <w:rFonts w:ascii="Arial" w:cs="Arial" w:eastAsia="Arial" w:hAnsi="Arial"/>
                <w:sz w:val="11"/>
                <w:szCs w:val="11"/>
                <w:b w:val="1"/>
                <w:bCs w:val="1"/>
                <w:color w:val="auto"/>
              </w:rPr>
              <w:t>Income before federal income taxes</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3,374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3,875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(501)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14,374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18,120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(3,746)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72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Provision for federal income taxes</w:t>
            </w:r>
          </w:p>
        </w:tc>
        <w:tc>
          <w:tcPr>
            <w:tcW w:w="6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68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(697)</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(790)</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93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(2,958)</w:t>
            </w:r>
          </w:p>
        </w:tc>
        <w:tc>
          <w:tcPr>
            <w:tcW w:w="80" w:type="dxa"/>
            <w:vAlign w:val="bottom"/>
          </w:tcPr>
          <w:p>
            <w:pPr>
              <w:spacing w:after="0"/>
              <w:rPr>
                <w:sz w:val="12"/>
                <w:szCs w:val="12"/>
                <w:color w:val="auto"/>
              </w:rPr>
            </w:pPr>
          </w:p>
        </w:tc>
        <w:tc>
          <w:tcPr>
            <w:tcW w:w="120" w:type="dxa"/>
            <w:vAlign w:val="bottom"/>
            <w:tcBorders>
              <w:bottom w:val="single" w:sz="8" w:color="5587A6"/>
            </w:tcBorders>
          </w:tcPr>
          <w:p>
            <w:pPr>
              <w:spacing w:after="0"/>
              <w:rPr>
                <w:sz w:val="12"/>
                <w:szCs w:val="12"/>
                <w:color w:val="auto"/>
              </w:rPr>
            </w:pPr>
          </w:p>
        </w:tc>
        <w:tc>
          <w:tcPr>
            <w:tcW w:w="68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(3,690)</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732</w:t>
            </w:r>
          </w:p>
        </w:tc>
        <w:tc>
          <w:tcPr>
            <w:tcW w:w="880" w:type="dxa"/>
            <w:vAlign w:val="bottom"/>
          </w:tcPr>
          <w:p>
            <w:pPr>
              <w:jc w:val="right"/>
              <w:spacing w:after="0"/>
              <w:rPr>
                <w:sz w:val="20"/>
                <w:szCs w:val="20"/>
                <w:color w:val="auto"/>
              </w:rPr>
            </w:pPr>
            <w:r>
              <w:rPr>
                <w:rFonts w:ascii="Arial" w:cs="Arial" w:eastAsia="Arial" w:hAnsi="Arial"/>
                <w:sz w:val="11"/>
                <w:szCs w:val="11"/>
                <w:color w:val="auto"/>
              </w:rPr>
              <w:t>20</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3780" w:type="dxa"/>
            <w:vAlign w:val="bottom"/>
            <w:gridSpan w:val="2"/>
          </w:tcPr>
          <w:p>
            <w:pPr>
              <w:spacing w:after="0"/>
              <w:rPr>
                <w:sz w:val="20"/>
                <w:szCs w:val="20"/>
                <w:color w:val="auto"/>
              </w:rPr>
            </w:pPr>
            <w:r>
              <w:rPr>
                <w:rFonts w:ascii="Arial" w:cs="Arial" w:eastAsia="Arial" w:hAnsi="Arial"/>
                <w:sz w:val="11"/>
                <w:szCs w:val="11"/>
                <w:b w:val="1"/>
                <w:bCs w:val="1"/>
                <w:color w:val="auto"/>
              </w:rPr>
              <w:t>Net income</w:t>
            </w:r>
          </w:p>
        </w:tc>
        <w:tc>
          <w:tcPr>
            <w:tcW w:w="160" w:type="dxa"/>
            <w:vAlign w:val="bottom"/>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2,677</w:t>
            </w:r>
          </w:p>
        </w:tc>
        <w:tc>
          <w:tcPr>
            <w:tcW w:w="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3,085</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(408)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11,416</w:t>
            </w:r>
          </w:p>
        </w:tc>
        <w:tc>
          <w:tcPr>
            <w:tcW w:w="8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14,430</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(3,014)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372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5587A6"/>
              <w:bottom w:val="single" w:sz="8" w:color="5587A6"/>
            </w:tcBorders>
          </w:tcPr>
          <w:p>
            <w:pPr>
              <w:spacing w:after="0" w:line="20" w:lineRule="exact"/>
              <w:rPr>
                <w:sz w:val="1"/>
                <w:szCs w:val="1"/>
                <w:color w:val="auto"/>
              </w:rPr>
            </w:pPr>
          </w:p>
        </w:tc>
        <w:tc>
          <w:tcPr>
            <w:tcW w:w="68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5587A6"/>
              <w:bottom w:val="single" w:sz="8" w:color="5587A6"/>
            </w:tcBorders>
          </w:tcPr>
          <w:p>
            <w:pPr>
              <w:spacing w:after="0" w:line="20" w:lineRule="exact"/>
              <w:rPr>
                <w:sz w:val="1"/>
                <w:szCs w:val="1"/>
                <w:color w:val="auto"/>
              </w:rPr>
            </w:pPr>
          </w:p>
        </w:tc>
        <w:tc>
          <w:tcPr>
            <w:tcW w:w="68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80" w:type="dxa"/>
            <w:vAlign w:val="bottom"/>
            <w:gridSpan w:val="2"/>
          </w:tcPr>
          <w:p>
            <w:pPr>
              <w:spacing w:after="0"/>
              <w:rPr>
                <w:sz w:val="20"/>
                <w:szCs w:val="20"/>
                <w:color w:val="auto"/>
              </w:rPr>
            </w:pPr>
            <w:r>
              <w:rPr>
                <w:rFonts w:ascii="Arial" w:cs="Arial" w:eastAsia="Arial" w:hAnsi="Arial"/>
                <w:sz w:val="11"/>
                <w:szCs w:val="11"/>
                <w:color w:val="auto"/>
              </w:rPr>
              <w:t>Average charged guaranty fee on new conventional acquisitions, net of</w:t>
            </w:r>
          </w:p>
        </w:tc>
        <w:tc>
          <w:tcPr>
            <w:tcW w:w="160" w:type="dxa"/>
            <w:vAlign w:val="bottom"/>
          </w:tcPr>
          <w:p>
            <w:pPr>
              <w:spacing w:after="0"/>
              <w:rPr>
                <w:sz w:val="11"/>
                <w:szCs w:val="11"/>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1"/>
                <w:szCs w:val="11"/>
                <w:color w:val="auto"/>
                <w:w w:val="99"/>
              </w:rPr>
              <w:t>55.4 bps</w:t>
            </w:r>
          </w:p>
        </w:tc>
        <w:tc>
          <w:tcPr>
            <w:tcW w:w="14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1"/>
                <w:szCs w:val="11"/>
                <w:color w:val="auto"/>
                <w:w w:val="94"/>
              </w:rPr>
              <w:t>56.3 bps</w:t>
            </w:r>
          </w:p>
        </w:tc>
        <w:tc>
          <w:tcPr>
            <w:tcW w:w="140" w:type="dxa"/>
            <w:vAlign w:val="bottom"/>
          </w:tcPr>
          <w:p>
            <w:pPr>
              <w:spacing w:after="0"/>
              <w:rPr>
                <w:sz w:val="11"/>
                <w:szCs w:val="11"/>
                <w:color w:val="auto"/>
              </w:rPr>
            </w:pPr>
          </w:p>
        </w:tc>
        <w:tc>
          <w:tcPr>
            <w:tcW w:w="700" w:type="dxa"/>
            <w:vAlign w:val="bottom"/>
            <w:vMerge w:val="restart"/>
          </w:tcPr>
          <w:p>
            <w:pPr>
              <w:jc w:val="center"/>
              <w:ind w:right="86"/>
              <w:spacing w:after="0"/>
              <w:rPr>
                <w:sz w:val="20"/>
                <w:szCs w:val="20"/>
                <w:color w:val="auto"/>
              </w:rPr>
            </w:pPr>
            <w:r>
              <w:rPr>
                <w:rFonts w:ascii="Arial" w:cs="Arial" w:eastAsia="Arial" w:hAnsi="Arial"/>
                <w:sz w:val="11"/>
                <w:szCs w:val="11"/>
                <w:color w:val="auto"/>
              </w:rPr>
              <w:t>(0.9) bps</w:t>
            </w:r>
          </w:p>
        </w:tc>
        <w:tc>
          <w:tcPr>
            <w:tcW w:w="920" w:type="dxa"/>
            <w:vAlign w:val="bottom"/>
            <w:gridSpan w:val="2"/>
            <w:vMerge w:val="restart"/>
          </w:tcPr>
          <w:p>
            <w:pPr>
              <w:jc w:val="right"/>
              <w:spacing w:after="0"/>
              <w:rPr>
                <w:sz w:val="20"/>
                <w:szCs w:val="20"/>
                <w:color w:val="auto"/>
              </w:rPr>
            </w:pPr>
            <w:r>
              <w:rPr>
                <w:rFonts w:ascii="Arial" w:cs="Arial" w:eastAsia="Arial" w:hAnsi="Arial"/>
                <w:sz w:val="11"/>
                <w:szCs w:val="11"/>
                <w:color w:val="auto"/>
              </w:rPr>
              <w:t>(2)</w:t>
            </w: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1"/>
                <w:szCs w:val="11"/>
                <w:color w:val="auto"/>
                <w:w w:val="94"/>
              </w:rPr>
              <w:t>56.3 bps</w:t>
            </w:r>
          </w:p>
        </w:tc>
        <w:tc>
          <w:tcPr>
            <w:tcW w:w="120" w:type="dxa"/>
            <w:vAlign w:val="bottom"/>
          </w:tcPr>
          <w:p>
            <w:pPr>
              <w:spacing w:after="0"/>
              <w:rPr>
                <w:sz w:val="11"/>
                <w:szCs w:val="11"/>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1"/>
                <w:szCs w:val="11"/>
                <w:color w:val="auto"/>
                <w:w w:val="94"/>
              </w:rPr>
              <w:t>54.1 bps</w:t>
            </w:r>
          </w:p>
        </w:tc>
        <w:tc>
          <w:tcPr>
            <w:tcW w:w="140" w:type="dxa"/>
            <w:vAlign w:val="bottom"/>
          </w:tcPr>
          <w:p>
            <w:pPr>
              <w:spacing w:after="0"/>
              <w:rPr>
                <w:sz w:val="11"/>
                <w:szCs w:val="11"/>
                <w:color w:val="auto"/>
              </w:rPr>
            </w:pPr>
          </w:p>
        </w:tc>
        <w:tc>
          <w:tcPr>
            <w:tcW w:w="700" w:type="dxa"/>
            <w:vAlign w:val="bottom"/>
            <w:vMerge w:val="restart"/>
          </w:tcPr>
          <w:p>
            <w:pPr>
              <w:jc w:val="right"/>
              <w:ind w:right="186"/>
              <w:spacing w:after="0"/>
              <w:rPr>
                <w:sz w:val="20"/>
                <w:szCs w:val="20"/>
                <w:color w:val="auto"/>
              </w:rPr>
            </w:pPr>
            <w:r>
              <w:rPr>
                <w:rFonts w:ascii="Arial" w:cs="Arial" w:eastAsia="Arial" w:hAnsi="Arial"/>
                <w:sz w:val="11"/>
                <w:szCs w:val="11"/>
                <w:color w:val="auto"/>
              </w:rPr>
              <w:t>2.2 bps</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4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8"/>
        </w:trPr>
        <w:tc>
          <w:tcPr>
            <w:tcW w:w="3780" w:type="dxa"/>
            <w:vAlign w:val="bottom"/>
            <w:gridSpan w:val="2"/>
            <w:vMerge w:val="restart"/>
          </w:tcPr>
          <w:p>
            <w:pPr>
              <w:ind w:left="120"/>
              <w:spacing w:after="0"/>
              <w:rPr>
                <w:sz w:val="20"/>
                <w:szCs w:val="20"/>
                <w:color w:val="auto"/>
              </w:rPr>
            </w:pPr>
            <w:r>
              <w:rPr>
                <w:rFonts w:ascii="Arial" w:cs="Arial" w:eastAsia="Arial" w:hAnsi="Arial"/>
                <w:sz w:val="11"/>
                <w:szCs w:val="11"/>
                <w:color w:val="auto"/>
              </w:rPr>
              <w:t>TCCA fees</w:t>
            </w:r>
          </w:p>
        </w:tc>
        <w:tc>
          <w:tcPr>
            <w:tcW w:w="1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37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3780" w:type="dxa"/>
            <w:vAlign w:val="bottom"/>
            <w:gridSpan w:val="2"/>
          </w:tcPr>
          <w:p>
            <w:pPr>
              <w:spacing w:after="0" w:line="111" w:lineRule="exact"/>
              <w:rPr>
                <w:sz w:val="20"/>
                <w:szCs w:val="20"/>
                <w:color w:val="auto"/>
              </w:rPr>
            </w:pPr>
            <w:r>
              <w:rPr>
                <w:rFonts w:ascii="Arial" w:cs="Arial" w:eastAsia="Arial" w:hAnsi="Arial"/>
                <w:sz w:val="11"/>
                <w:szCs w:val="11"/>
                <w:color w:val="auto"/>
              </w:rPr>
              <w:t>Average charged guaranty fee on conventional guaranty book of business,</w:t>
            </w:r>
          </w:p>
        </w:tc>
        <w:tc>
          <w:tcPr>
            <w:tcW w:w="160" w:type="dxa"/>
            <w:vAlign w:val="bottom"/>
          </w:tcPr>
          <w:p>
            <w:pPr>
              <w:spacing w:after="0"/>
              <w:rPr>
                <w:sz w:val="9"/>
                <w:szCs w:val="9"/>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1"/>
                <w:szCs w:val="11"/>
                <w:color w:val="auto"/>
                <w:w w:val="99"/>
              </w:rPr>
              <w:t>48.7 bps</w:t>
            </w:r>
          </w:p>
        </w:tc>
        <w:tc>
          <w:tcPr>
            <w:tcW w:w="140" w:type="dxa"/>
            <w:vAlign w:val="bottom"/>
          </w:tcPr>
          <w:p>
            <w:pPr>
              <w:spacing w:after="0"/>
              <w:rPr>
                <w:sz w:val="9"/>
                <w:szCs w:val="9"/>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1"/>
                <w:szCs w:val="11"/>
                <w:color w:val="auto"/>
                <w:w w:val="94"/>
              </w:rPr>
              <w:t>48.5 bps</w:t>
            </w:r>
          </w:p>
        </w:tc>
        <w:tc>
          <w:tcPr>
            <w:tcW w:w="140" w:type="dxa"/>
            <w:vAlign w:val="bottom"/>
          </w:tcPr>
          <w:p>
            <w:pPr>
              <w:spacing w:after="0"/>
              <w:rPr>
                <w:sz w:val="9"/>
                <w:szCs w:val="9"/>
                <w:color w:val="auto"/>
              </w:rPr>
            </w:pPr>
          </w:p>
        </w:tc>
        <w:tc>
          <w:tcPr>
            <w:tcW w:w="700" w:type="dxa"/>
            <w:vAlign w:val="bottom"/>
            <w:vMerge w:val="restart"/>
          </w:tcPr>
          <w:p>
            <w:pPr>
              <w:jc w:val="center"/>
              <w:ind w:right="86"/>
              <w:spacing w:after="0"/>
              <w:rPr>
                <w:sz w:val="20"/>
                <w:szCs w:val="20"/>
                <w:color w:val="auto"/>
              </w:rPr>
            </w:pPr>
            <w:r>
              <w:rPr>
                <w:rFonts w:ascii="Arial" w:cs="Arial" w:eastAsia="Arial" w:hAnsi="Arial"/>
                <w:sz w:val="11"/>
                <w:szCs w:val="11"/>
                <w:color w:val="auto"/>
                <w:w w:val="99"/>
              </w:rPr>
              <w:t>0.2 bps</w:t>
            </w:r>
          </w:p>
        </w:tc>
        <w:tc>
          <w:tcPr>
            <w:tcW w:w="80" w:type="dxa"/>
            <w:vAlign w:val="bottom"/>
          </w:tcPr>
          <w:p>
            <w:pPr>
              <w:spacing w:after="0"/>
              <w:rPr>
                <w:sz w:val="9"/>
                <w:szCs w:val="9"/>
                <w:color w:val="auto"/>
              </w:rPr>
            </w:pPr>
          </w:p>
        </w:tc>
        <w:tc>
          <w:tcPr>
            <w:tcW w:w="1060" w:type="dxa"/>
            <w:vAlign w:val="bottom"/>
            <w:gridSpan w:val="3"/>
            <w:vMerge w:val="restart"/>
          </w:tcPr>
          <w:p>
            <w:pPr>
              <w:jc w:val="right"/>
              <w:ind w:right="100"/>
              <w:spacing w:after="0"/>
              <w:rPr>
                <w:sz w:val="20"/>
                <w:szCs w:val="20"/>
                <w:color w:val="auto"/>
              </w:rPr>
            </w:pPr>
            <w:r>
              <w:rPr>
                <w:rFonts w:ascii="Arial" w:cs="Arial" w:eastAsia="Arial" w:hAnsi="Arial"/>
                <w:sz w:val="11"/>
                <w:szCs w:val="11"/>
                <w:color w:val="auto"/>
              </w:rPr>
              <w:t>— %*</w:t>
            </w:r>
          </w:p>
        </w:tc>
        <w:tc>
          <w:tcPr>
            <w:tcW w:w="140" w:type="dxa"/>
            <w:vAlign w:val="bottom"/>
          </w:tcPr>
          <w:p>
            <w:pPr>
              <w:spacing w:after="0"/>
              <w:rPr>
                <w:sz w:val="9"/>
                <w:szCs w:val="9"/>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1"/>
                <w:szCs w:val="11"/>
                <w:color w:val="auto"/>
                <w:w w:val="94"/>
              </w:rPr>
              <w:t>48.4 bps</w:t>
            </w:r>
          </w:p>
        </w:tc>
        <w:tc>
          <w:tcPr>
            <w:tcW w:w="120" w:type="dxa"/>
            <w:vAlign w:val="bottom"/>
          </w:tcPr>
          <w:p>
            <w:pPr>
              <w:spacing w:after="0"/>
              <w:rPr>
                <w:sz w:val="9"/>
                <w:szCs w:val="9"/>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1"/>
                <w:szCs w:val="11"/>
                <w:color w:val="auto"/>
                <w:w w:val="94"/>
              </w:rPr>
              <w:t>47.6 bps</w:t>
            </w:r>
          </w:p>
        </w:tc>
        <w:tc>
          <w:tcPr>
            <w:tcW w:w="140" w:type="dxa"/>
            <w:vAlign w:val="bottom"/>
          </w:tcPr>
          <w:p>
            <w:pPr>
              <w:spacing w:after="0"/>
              <w:rPr>
                <w:sz w:val="9"/>
                <w:szCs w:val="9"/>
                <w:color w:val="auto"/>
              </w:rPr>
            </w:pPr>
          </w:p>
        </w:tc>
        <w:tc>
          <w:tcPr>
            <w:tcW w:w="700" w:type="dxa"/>
            <w:vAlign w:val="bottom"/>
            <w:vMerge w:val="restart"/>
          </w:tcPr>
          <w:p>
            <w:pPr>
              <w:jc w:val="right"/>
              <w:ind w:right="186"/>
              <w:spacing w:after="0"/>
              <w:rPr>
                <w:sz w:val="20"/>
                <w:szCs w:val="20"/>
                <w:color w:val="auto"/>
              </w:rPr>
            </w:pPr>
            <w:r>
              <w:rPr>
                <w:rFonts w:ascii="Arial" w:cs="Arial" w:eastAsia="Arial" w:hAnsi="Arial"/>
                <w:sz w:val="11"/>
                <w:szCs w:val="11"/>
                <w:color w:val="auto"/>
              </w:rPr>
              <w:t>0.8 bps</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8"/>
        </w:trPr>
        <w:tc>
          <w:tcPr>
            <w:tcW w:w="3780" w:type="dxa"/>
            <w:vAlign w:val="bottom"/>
            <w:gridSpan w:val="2"/>
            <w:vMerge w:val="restart"/>
          </w:tcPr>
          <w:p>
            <w:pPr>
              <w:ind w:left="120"/>
              <w:spacing w:after="0"/>
              <w:rPr>
                <w:sz w:val="20"/>
                <w:szCs w:val="20"/>
                <w:color w:val="auto"/>
              </w:rPr>
            </w:pPr>
            <w:r>
              <w:rPr>
                <w:rFonts w:ascii="Arial" w:cs="Arial" w:eastAsia="Arial" w:hAnsi="Arial"/>
                <w:sz w:val="11"/>
                <w:szCs w:val="11"/>
                <w:color w:val="auto"/>
              </w:rPr>
              <w:t>net of TCCA fees</w:t>
            </w:r>
          </w:p>
        </w:tc>
        <w:tc>
          <w:tcPr>
            <w:tcW w:w="1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37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3780" w:type="dxa"/>
            <w:vAlign w:val="bottom"/>
            <w:tcBorders>
              <w:bottom w:val="single" w:sz="8" w:color="05314D"/>
            </w:tcBorders>
            <w:gridSpan w:val="2"/>
          </w:tcPr>
          <w:p>
            <w:pPr>
              <w:spacing w:after="0"/>
              <w:rPr>
                <w:sz w:val="4"/>
                <w:szCs w:val="4"/>
                <w:color w:val="auto"/>
              </w:rPr>
            </w:pPr>
          </w:p>
        </w:tc>
        <w:tc>
          <w:tcPr>
            <w:tcW w:w="160" w:type="dxa"/>
            <w:vAlign w:val="bottom"/>
            <w:tcBorders>
              <w:bottom w:val="single" w:sz="8" w:color="05314D"/>
            </w:tcBorders>
          </w:tcPr>
          <w:p>
            <w:pPr>
              <w:spacing w:after="0"/>
              <w:rPr>
                <w:sz w:val="4"/>
                <w:szCs w:val="4"/>
                <w:color w:val="auto"/>
              </w:rPr>
            </w:pPr>
          </w:p>
        </w:tc>
        <w:tc>
          <w:tcPr>
            <w:tcW w:w="68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84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120" w:type="dxa"/>
            <w:vAlign w:val="bottom"/>
            <w:tcBorders>
              <w:bottom w:val="single" w:sz="8" w:color="05314D"/>
            </w:tcBorders>
          </w:tcPr>
          <w:p>
            <w:pPr>
              <w:spacing w:after="0"/>
              <w:rPr>
                <w:sz w:val="4"/>
                <w:szCs w:val="4"/>
                <w:color w:val="auto"/>
              </w:rPr>
            </w:pPr>
          </w:p>
        </w:tc>
        <w:tc>
          <w:tcPr>
            <w:tcW w:w="68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880" w:type="dxa"/>
            <w:vAlign w:val="bottom"/>
            <w:tcBorders>
              <w:bottom w:val="single" w:sz="8" w:color="05314D"/>
            </w:tcBorders>
          </w:tcPr>
          <w:p>
            <w:pPr>
              <w:spacing w:after="0"/>
              <w:rPr>
                <w:sz w:val="4"/>
                <w:szCs w:val="4"/>
                <w:color w:val="auto"/>
              </w:rPr>
            </w:pPr>
          </w:p>
        </w:tc>
        <w:tc>
          <w:tcPr>
            <w:tcW w:w="4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780" w:type="dxa"/>
            <w:vAlign w:val="bottom"/>
            <w:gridSpan w:val="2"/>
          </w:tcPr>
          <w:p>
            <w:pPr>
              <w:spacing w:after="0"/>
              <w:rPr>
                <w:sz w:val="20"/>
                <w:szCs w:val="20"/>
                <w:color w:val="auto"/>
              </w:rPr>
            </w:pPr>
            <w:r>
              <w:rPr>
                <w:rFonts w:ascii="Arial" w:cs="Arial" w:eastAsia="Arial" w:hAnsi="Arial"/>
                <w:sz w:val="11"/>
                <w:szCs w:val="11"/>
                <w:color w:val="auto"/>
              </w:rPr>
              <w:t>Fourth Quarter 2025</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bl>
    <w:p>
      <w:pPr>
        <w:sectPr>
          <w:pgSz w:w="11900" w:h="16838" w:orient="portrait"/>
          <w:cols w:equalWidth="0" w:num="1">
            <w:col w:w="11300"/>
          </w:cols>
          <w:pgMar w:left="300" w:top="808"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05314D"/>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Multifamily Business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Kelly Follain, EVP, Head of Multifamily, Fannie Mae</w:t>
      </w:r>
      <w:r>
        <w:rPr>
          <w:rFonts w:ascii="Arial" w:cs="Arial" w:eastAsia="Arial" w:hAnsi="Arial"/>
          <w:sz w:val="12"/>
          <w:szCs w:val="12"/>
          <w:color w:val="085280"/>
        </w:rPr>
        <w:t>:</w:t>
      </w:r>
    </w:p>
    <w:p>
      <w:pPr>
        <w:spacing w:after="0" w:line="9"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“The pace of acquisitions accelerated in the fourth quarter, capping a year of extraordinary growth in Multifamily. We're seeing strong demand for affordable rental housing, and we look forward to continuing to grow our book of business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78040" cy="1331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331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Multifamily Highlights — Fourth Quarter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70" w:lineRule="exact"/>
        <w:rPr>
          <w:sz w:val="20"/>
          <w:szCs w:val="20"/>
          <w:color w:val="auto"/>
        </w:rPr>
      </w:pPr>
    </w:p>
    <w:p>
      <w:pPr>
        <w:ind w:left="200" w:hanging="126"/>
        <w:spacing w:after="0"/>
        <w:tabs>
          <w:tab w:leader="none" w:pos="200" w:val="left"/>
        </w:tabs>
        <w:numPr>
          <w:ilvl w:val="0"/>
          <w:numId w:val="5"/>
        </w:numPr>
        <w:rPr>
          <w:rFonts w:ascii="Arial" w:cs="Arial" w:eastAsia="Arial" w:hAnsi="Arial"/>
          <w:sz w:val="10"/>
          <w:szCs w:val="10"/>
          <w:color w:val="auto"/>
        </w:rPr>
      </w:pPr>
      <w:r>
        <w:rPr>
          <w:rFonts w:ascii="Arial" w:cs="Arial" w:eastAsia="Arial" w:hAnsi="Arial"/>
          <w:sz w:val="11"/>
          <w:szCs w:val="11"/>
          <w:b w:val="1"/>
          <w:bCs w:val="1"/>
          <w:color w:val="auto"/>
        </w:rPr>
        <w:t xml:space="preserve">Multifamily acquisition volume rose </w:t>
      </w:r>
      <w:r>
        <w:rPr>
          <w:rFonts w:ascii="Arial" w:cs="Arial" w:eastAsia="Arial" w:hAnsi="Arial"/>
          <w:sz w:val="11"/>
          <w:szCs w:val="11"/>
          <w:color w:val="auto"/>
        </w:rPr>
        <w:t>to $25.8 billion in 4Q 2025, compared with $18.7 billion in 3Q 2025.</w:t>
      </w:r>
    </w:p>
    <w:p>
      <w:pPr>
        <w:spacing w:after="0" w:line="62" w:lineRule="exact"/>
        <w:rPr>
          <w:rFonts w:ascii="Arial" w:cs="Arial" w:eastAsia="Arial" w:hAnsi="Arial"/>
          <w:sz w:val="10"/>
          <w:szCs w:val="10"/>
          <w:color w:val="auto"/>
        </w:rPr>
      </w:pPr>
    </w:p>
    <w:p>
      <w:pPr>
        <w:ind w:left="200" w:hanging="126"/>
        <w:spacing w:after="0"/>
        <w:tabs>
          <w:tab w:leader="none" w:pos="200" w:val="left"/>
        </w:tabs>
        <w:numPr>
          <w:ilvl w:val="0"/>
          <w:numId w:val="5"/>
        </w:numPr>
        <w:rPr>
          <w:rFonts w:ascii="Arial" w:cs="Arial" w:eastAsia="Arial" w:hAnsi="Arial"/>
          <w:sz w:val="10"/>
          <w:szCs w:val="10"/>
          <w:color w:val="auto"/>
        </w:rPr>
      </w:pPr>
      <w:r>
        <w:rPr>
          <w:rFonts w:ascii="Arial" w:cs="Arial" w:eastAsia="Arial" w:hAnsi="Arial"/>
          <w:sz w:val="11"/>
          <w:szCs w:val="11"/>
          <w:b w:val="1"/>
          <w:bCs w:val="1"/>
          <w:color w:val="auto"/>
        </w:rPr>
        <w:t xml:space="preserve">Multifamily book of business grew </w:t>
      </w:r>
      <w:r>
        <w:rPr>
          <w:rFonts w:ascii="Arial" w:cs="Arial" w:eastAsia="Arial" w:hAnsi="Arial"/>
          <w:sz w:val="11"/>
          <w:szCs w:val="11"/>
          <w:color w:val="auto"/>
        </w:rPr>
        <w:t>to $534.7 billion as of Dec. 31, 2025, a $13.4 billion increase from Sep. 30, 2025.</w:t>
      </w:r>
    </w:p>
    <w:p>
      <w:pPr>
        <w:spacing w:after="0" w:line="62" w:lineRule="exact"/>
        <w:rPr>
          <w:rFonts w:ascii="Arial" w:cs="Arial" w:eastAsia="Arial" w:hAnsi="Arial"/>
          <w:sz w:val="10"/>
          <w:szCs w:val="10"/>
          <w:color w:val="auto"/>
        </w:rPr>
      </w:pPr>
    </w:p>
    <w:p>
      <w:pPr>
        <w:ind w:left="200" w:hanging="126"/>
        <w:spacing w:after="0"/>
        <w:tabs>
          <w:tab w:leader="none" w:pos="200" w:val="left"/>
        </w:tabs>
        <w:numPr>
          <w:ilvl w:val="0"/>
          <w:numId w:val="5"/>
        </w:numPr>
        <w:rPr>
          <w:rFonts w:ascii="Arial" w:cs="Arial" w:eastAsia="Arial" w:hAnsi="Arial"/>
          <w:sz w:val="10"/>
          <w:szCs w:val="10"/>
          <w:color w:val="auto"/>
        </w:rPr>
      </w:pPr>
      <w:r>
        <w:rPr>
          <w:rFonts w:ascii="Arial" w:cs="Arial" w:eastAsia="Arial" w:hAnsi="Arial"/>
          <w:sz w:val="11"/>
          <w:szCs w:val="11"/>
          <w:b w:val="1"/>
          <w:bCs w:val="1"/>
          <w:color w:val="auto"/>
        </w:rPr>
        <w:t xml:space="preserve">Average charged guaranty fees on overall multifamily book decreased </w:t>
      </w:r>
      <w:r>
        <w:rPr>
          <w:rFonts w:ascii="Arial" w:cs="Arial" w:eastAsia="Arial" w:hAnsi="Arial"/>
          <w:sz w:val="11"/>
          <w:szCs w:val="11"/>
          <w:color w:val="auto"/>
        </w:rPr>
        <w:t>by 0.8 basis points to 71.6 basis points as of 4Q 2025, compared with 72.4 basis points as of 3Q 2025.</w:t>
      </w:r>
    </w:p>
    <w:p>
      <w:pPr>
        <w:spacing w:after="0" w:line="71" w:lineRule="exact"/>
        <w:rPr>
          <w:rFonts w:ascii="Arial" w:cs="Arial" w:eastAsia="Arial" w:hAnsi="Arial"/>
          <w:sz w:val="10"/>
          <w:szCs w:val="10"/>
          <w:color w:val="auto"/>
        </w:rPr>
      </w:pPr>
    </w:p>
    <w:p>
      <w:pPr>
        <w:ind w:left="200" w:right="140" w:hanging="126"/>
        <w:spacing w:after="0" w:line="186" w:lineRule="auto"/>
        <w:tabs>
          <w:tab w:leader="none" w:pos="200" w:val="left"/>
        </w:tabs>
        <w:numPr>
          <w:ilvl w:val="0"/>
          <w:numId w:val="5"/>
        </w:numPr>
        <w:rPr>
          <w:rFonts w:ascii="Arial" w:cs="Arial" w:eastAsia="Arial" w:hAnsi="Arial"/>
          <w:sz w:val="19"/>
          <w:szCs w:val="19"/>
          <w:color w:val="auto"/>
          <w:vertAlign w:val="superscript"/>
        </w:rPr>
      </w:pPr>
      <w:r>
        <w:rPr>
          <w:rFonts w:ascii="Arial" w:cs="Arial" w:eastAsia="Arial" w:hAnsi="Arial"/>
          <w:sz w:val="11"/>
          <w:szCs w:val="11"/>
          <w:b w:val="1"/>
          <w:bCs w:val="1"/>
          <w:color w:val="auto"/>
        </w:rPr>
        <w:t>Multifamily guaranty book credit characteristics remained stable</w:t>
      </w:r>
      <w:r>
        <w:rPr>
          <w:rFonts w:ascii="Arial" w:cs="Arial" w:eastAsia="Arial" w:hAnsi="Arial"/>
          <w:sz w:val="11"/>
          <w:szCs w:val="11"/>
          <w:color w:val="auto"/>
        </w:rPr>
        <w:t>, with weighted-average original loan-to-value ratio of 63% and a weighted-average debt service coverage ratio of 1.9 as of Dec. 31, 2025, both unchanged from</w:t>
      </w:r>
      <w:r>
        <w:rPr>
          <w:rFonts w:ascii="Arial" w:cs="Arial" w:eastAsia="Arial" w:hAnsi="Arial"/>
          <w:sz w:val="11"/>
          <w:szCs w:val="11"/>
          <w:b w:val="1"/>
          <w:bCs w:val="1"/>
          <w:color w:val="auto"/>
        </w:rPr>
        <w:t xml:space="preserve"> </w:t>
      </w:r>
      <w:r>
        <w:rPr>
          <w:rFonts w:ascii="Arial" w:cs="Arial" w:eastAsia="Arial" w:hAnsi="Arial"/>
          <w:sz w:val="11"/>
          <w:szCs w:val="11"/>
          <w:color w:val="auto"/>
        </w:rPr>
        <w:t>Sep. 30, 2025.</w:t>
      </w:r>
    </w:p>
    <w:p>
      <w:pPr>
        <w:spacing w:after="0" w:line="56" w:lineRule="exact"/>
        <w:rPr>
          <w:rFonts w:ascii="Arial" w:cs="Arial" w:eastAsia="Arial" w:hAnsi="Arial"/>
          <w:sz w:val="19"/>
          <w:szCs w:val="19"/>
          <w:color w:val="auto"/>
          <w:vertAlign w:val="superscript"/>
        </w:rPr>
      </w:pPr>
    </w:p>
    <w:p>
      <w:pPr>
        <w:ind w:left="200" w:hanging="126"/>
        <w:spacing w:after="0"/>
        <w:tabs>
          <w:tab w:leader="none" w:pos="200" w:val="left"/>
        </w:tabs>
        <w:numPr>
          <w:ilvl w:val="0"/>
          <w:numId w:val="5"/>
        </w:numPr>
        <w:rPr>
          <w:rFonts w:ascii="Arial" w:cs="Arial" w:eastAsia="Arial" w:hAnsi="Arial"/>
          <w:sz w:val="10"/>
          <w:szCs w:val="10"/>
          <w:color w:val="auto"/>
        </w:rPr>
      </w:pPr>
      <w:r>
        <w:rPr>
          <w:rFonts w:ascii="Arial" w:cs="Arial" w:eastAsia="Arial" w:hAnsi="Arial"/>
          <w:sz w:val="11"/>
          <w:szCs w:val="11"/>
          <w:b w:val="1"/>
          <w:bCs w:val="1"/>
          <w:color w:val="auto"/>
        </w:rPr>
        <w:t xml:space="preserve">Multifamily serious delinquency rate increased </w:t>
      </w:r>
      <w:r>
        <w:rPr>
          <w:rFonts w:ascii="Arial" w:cs="Arial" w:eastAsia="Arial" w:hAnsi="Arial"/>
          <w:sz w:val="11"/>
          <w:szCs w:val="11"/>
          <w:color w:val="auto"/>
        </w:rPr>
        <w:t>to 0.74% as of Dec. 31, 2025, from 0.68% as of Sep. 30, 2025.</w:t>
      </w:r>
      <w:r>
        <w:rPr>
          <w:rFonts w:ascii="Arial" w:cs="Arial" w:eastAsia="Arial" w:hAnsi="Arial"/>
          <w:sz w:val="14"/>
          <w:szCs w:val="14"/>
          <w:color w:val="auto"/>
          <w:vertAlign w:val="superscript"/>
        </w:rPr>
        <w:t>(10)</w:t>
      </w:r>
    </w:p>
    <w:p>
      <w:pPr>
        <w:spacing w:after="0" w:line="28" w:lineRule="exact"/>
        <w:rPr>
          <w:rFonts w:ascii="Arial" w:cs="Arial" w:eastAsia="Arial" w:hAnsi="Arial"/>
          <w:sz w:val="10"/>
          <w:szCs w:val="10"/>
          <w:color w:val="auto"/>
        </w:rPr>
      </w:pPr>
    </w:p>
    <w:p>
      <w:pPr>
        <w:ind w:left="200" w:hanging="126"/>
        <w:spacing w:after="0"/>
        <w:tabs>
          <w:tab w:leader="none" w:pos="200" w:val="left"/>
        </w:tabs>
        <w:numPr>
          <w:ilvl w:val="0"/>
          <w:numId w:val="5"/>
        </w:numPr>
        <w:rPr>
          <w:rFonts w:ascii="Arial" w:cs="Arial" w:eastAsia="Arial" w:hAnsi="Arial"/>
          <w:sz w:val="10"/>
          <w:szCs w:val="10"/>
          <w:color w:val="auto"/>
        </w:rPr>
      </w:pPr>
      <w:r>
        <w:rPr>
          <w:rFonts w:ascii="Arial" w:cs="Arial" w:eastAsia="Arial" w:hAnsi="Arial"/>
          <w:sz w:val="11"/>
          <w:szCs w:val="11"/>
          <w:b w:val="1"/>
          <w:bCs w:val="1"/>
          <w:color w:val="auto"/>
        </w:rPr>
        <w:t xml:space="preserve">Provision for multifamily credit losses </w:t>
      </w:r>
      <w:r>
        <w:rPr>
          <w:rFonts w:ascii="Arial" w:cs="Arial" w:eastAsia="Arial" w:hAnsi="Arial"/>
          <w:sz w:val="11"/>
          <w:szCs w:val="11"/>
          <w:color w:val="auto"/>
        </w:rPr>
        <w:t>of $5 million was recorded for 4Q 2025, primarily driven by increased delinquencies. This compares to a multifamily provision for credit losses of $69 million for 3Q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78040" cy="142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4287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Multifamily Business Financial Results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740" w:type="dxa"/>
            <w:vAlign w:val="bottom"/>
            <w:tcBorders>
              <w:top w:val="single" w:sz="8" w:color="1C6FA3"/>
              <w:bottom w:val="single" w:sz="8" w:color="5587A6"/>
            </w:tcBorders>
          </w:tcPr>
          <w:p>
            <w:pPr>
              <w:spacing w:after="0"/>
              <w:rPr>
                <w:sz w:val="20"/>
                <w:szCs w:val="20"/>
                <w:color w:val="auto"/>
              </w:rPr>
            </w:pPr>
            <w:r>
              <w:rPr>
                <w:rFonts w:ascii="Arial" w:cs="Arial" w:eastAsia="Arial" w:hAnsi="Arial"/>
                <w:sz w:val="11"/>
                <w:szCs w:val="11"/>
                <w:b w:val="1"/>
                <w:bCs w:val="1"/>
                <w:color w:val="auto"/>
              </w:rPr>
              <w:t>(Dollars in millions)</w:t>
            </w:r>
          </w:p>
        </w:tc>
        <w:tc>
          <w:tcPr>
            <w:tcW w:w="8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00" w:type="dxa"/>
            <w:vAlign w:val="bottom"/>
            <w:tcBorders>
              <w:top w:val="single" w:sz="8" w:color="1C6FA3"/>
              <w:bottom w:val="single" w:sz="8" w:color="5587A6"/>
            </w:tcBorders>
          </w:tcPr>
          <w:p>
            <w:pPr>
              <w:jc w:val="right"/>
              <w:ind w:right="226"/>
              <w:spacing w:after="0"/>
              <w:rPr>
                <w:sz w:val="20"/>
                <w:szCs w:val="20"/>
                <w:color w:val="auto"/>
              </w:rPr>
            </w:pPr>
            <w:r>
              <w:rPr>
                <w:rFonts w:ascii="Arial" w:cs="Arial" w:eastAsia="Arial" w:hAnsi="Arial"/>
                <w:sz w:val="11"/>
                <w:szCs w:val="11"/>
                <w:b w:val="1"/>
                <w:bCs w:val="1"/>
                <w:color w:val="auto"/>
              </w:rPr>
              <w:t>4Q25</w:t>
            </w:r>
          </w:p>
        </w:tc>
        <w:tc>
          <w:tcPr>
            <w:tcW w:w="8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00" w:type="dxa"/>
            <w:vAlign w:val="bottom"/>
            <w:tcBorders>
              <w:top w:val="single" w:sz="8" w:color="1C6FA3"/>
              <w:bottom w:val="single" w:sz="8" w:color="5587A6"/>
            </w:tcBorders>
          </w:tcPr>
          <w:p>
            <w:pPr>
              <w:jc w:val="right"/>
              <w:ind w:right="226"/>
              <w:spacing w:after="0"/>
              <w:rPr>
                <w:sz w:val="20"/>
                <w:szCs w:val="20"/>
                <w:color w:val="auto"/>
              </w:rPr>
            </w:pPr>
            <w:r>
              <w:rPr>
                <w:rFonts w:ascii="Arial" w:cs="Arial" w:eastAsia="Arial" w:hAnsi="Arial"/>
                <w:sz w:val="11"/>
                <w:szCs w:val="11"/>
                <w:b w:val="1"/>
                <w:bCs w:val="1"/>
                <w:color w:val="auto"/>
              </w:rPr>
              <w:t>3Q25</w:t>
            </w:r>
          </w:p>
        </w:tc>
        <w:tc>
          <w:tcPr>
            <w:tcW w:w="8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00" w:type="dxa"/>
            <w:vAlign w:val="bottom"/>
            <w:tcBorders>
              <w:top w:val="single" w:sz="8" w:color="1C6FA3"/>
              <w:bottom w:val="single" w:sz="8" w:color="5587A6"/>
            </w:tcBorders>
          </w:tcPr>
          <w:p>
            <w:pPr>
              <w:jc w:val="right"/>
              <w:ind w:right="146"/>
              <w:spacing w:after="0"/>
              <w:rPr>
                <w:sz w:val="20"/>
                <w:szCs w:val="20"/>
                <w:color w:val="auto"/>
              </w:rPr>
            </w:pPr>
            <w:r>
              <w:rPr>
                <w:rFonts w:ascii="Arial" w:cs="Arial" w:eastAsia="Arial" w:hAnsi="Arial"/>
                <w:sz w:val="11"/>
                <w:szCs w:val="11"/>
                <w:b w:val="1"/>
                <w:bCs w:val="1"/>
                <w:color w:val="auto"/>
              </w:rPr>
              <w:t>Variance</w:t>
            </w:r>
          </w:p>
        </w:tc>
        <w:tc>
          <w:tcPr>
            <w:tcW w:w="80" w:type="dxa"/>
            <w:vAlign w:val="bottom"/>
            <w:tcBorders>
              <w:top w:val="single" w:sz="8" w:color="1C6FA3"/>
            </w:tcBorders>
          </w:tcPr>
          <w:p>
            <w:pPr>
              <w:spacing w:after="0"/>
              <w:rPr>
                <w:sz w:val="13"/>
                <w:szCs w:val="13"/>
                <w:color w:val="auto"/>
              </w:rPr>
            </w:pPr>
          </w:p>
        </w:tc>
        <w:tc>
          <w:tcPr>
            <w:tcW w:w="800" w:type="dxa"/>
            <w:vAlign w:val="bottom"/>
            <w:tcBorders>
              <w:top w:val="single" w:sz="8" w:color="1C6FA3"/>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 Change</w:t>
            </w:r>
          </w:p>
        </w:tc>
        <w:tc>
          <w:tcPr>
            <w:tcW w:w="60" w:type="dxa"/>
            <w:vAlign w:val="bottom"/>
            <w:tcBorders>
              <w:top w:val="single" w:sz="8" w:color="1C6FA3"/>
              <w:bottom w:val="single" w:sz="8" w:color="5587A6"/>
            </w:tcBorders>
          </w:tcPr>
          <w:p>
            <w:pPr>
              <w:spacing w:after="0"/>
              <w:rPr>
                <w:sz w:val="13"/>
                <w:szCs w:val="13"/>
                <w:color w:val="auto"/>
              </w:rPr>
            </w:pPr>
          </w:p>
        </w:tc>
        <w:tc>
          <w:tcPr>
            <w:tcW w:w="120" w:type="dxa"/>
            <w:vAlign w:val="bottom"/>
            <w:tcBorders>
              <w:top w:val="single" w:sz="8" w:color="1C6FA3"/>
              <w:bottom w:val="single" w:sz="8" w:color="5587A6"/>
            </w:tcBorders>
          </w:tcPr>
          <w:p>
            <w:pPr>
              <w:spacing w:after="0"/>
              <w:rPr>
                <w:sz w:val="13"/>
                <w:szCs w:val="13"/>
                <w:color w:val="auto"/>
              </w:rPr>
            </w:pPr>
          </w:p>
        </w:tc>
        <w:tc>
          <w:tcPr>
            <w:tcW w:w="8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00" w:type="dxa"/>
            <w:vAlign w:val="bottom"/>
            <w:tcBorders>
              <w:top w:val="single" w:sz="8" w:color="1C6FA3"/>
              <w:bottom w:val="single" w:sz="8" w:color="5587A6"/>
            </w:tcBorders>
          </w:tcPr>
          <w:p>
            <w:pPr>
              <w:jc w:val="right"/>
              <w:ind w:right="246"/>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1C6FA3"/>
            </w:tcBorders>
          </w:tcPr>
          <w:p>
            <w:pPr>
              <w:spacing w:after="0"/>
              <w:rPr>
                <w:sz w:val="13"/>
                <w:szCs w:val="13"/>
                <w:color w:val="auto"/>
              </w:rPr>
            </w:pPr>
          </w:p>
        </w:tc>
        <w:tc>
          <w:tcPr>
            <w:tcW w:w="120" w:type="dxa"/>
            <w:vAlign w:val="bottom"/>
            <w:tcBorders>
              <w:top w:val="single" w:sz="8" w:color="1C6FA3"/>
              <w:bottom w:val="single" w:sz="8" w:color="5587A6"/>
            </w:tcBorders>
          </w:tcPr>
          <w:p>
            <w:pPr>
              <w:spacing w:after="0"/>
              <w:rPr>
                <w:sz w:val="13"/>
                <w:szCs w:val="13"/>
                <w:color w:val="auto"/>
              </w:rPr>
            </w:pPr>
          </w:p>
        </w:tc>
        <w:tc>
          <w:tcPr>
            <w:tcW w:w="680" w:type="dxa"/>
            <w:vAlign w:val="bottom"/>
            <w:tcBorders>
              <w:top w:val="single" w:sz="8" w:color="1C6FA3"/>
              <w:bottom w:val="single" w:sz="8" w:color="5587A6"/>
            </w:tcBorders>
          </w:tcPr>
          <w:p>
            <w:pPr>
              <w:jc w:val="right"/>
              <w:ind w:right="226"/>
              <w:spacing w:after="0"/>
              <w:rPr>
                <w:sz w:val="20"/>
                <w:szCs w:val="20"/>
                <w:color w:val="auto"/>
              </w:rPr>
            </w:pPr>
            <w:r>
              <w:rPr>
                <w:rFonts w:ascii="Arial" w:cs="Arial" w:eastAsia="Arial" w:hAnsi="Arial"/>
                <w:sz w:val="11"/>
                <w:szCs w:val="11"/>
                <w:b w:val="1"/>
                <w:bCs w:val="1"/>
                <w:color w:val="auto"/>
              </w:rPr>
              <w:t>2024</w:t>
            </w:r>
          </w:p>
        </w:tc>
        <w:tc>
          <w:tcPr>
            <w:tcW w:w="6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20" w:type="dxa"/>
            <w:vAlign w:val="bottom"/>
            <w:tcBorders>
              <w:top w:val="single" w:sz="8" w:color="1C6FA3"/>
              <w:bottom w:val="single" w:sz="8" w:color="5587A6"/>
            </w:tcBorders>
          </w:tcPr>
          <w:p>
            <w:pPr>
              <w:jc w:val="right"/>
              <w:ind w:right="146"/>
              <w:spacing w:after="0"/>
              <w:rPr>
                <w:sz w:val="20"/>
                <w:szCs w:val="20"/>
                <w:color w:val="auto"/>
              </w:rPr>
            </w:pPr>
            <w:r>
              <w:rPr>
                <w:rFonts w:ascii="Arial" w:cs="Arial" w:eastAsia="Arial" w:hAnsi="Arial"/>
                <w:sz w:val="11"/>
                <w:szCs w:val="11"/>
                <w:b w:val="1"/>
                <w:bCs w:val="1"/>
                <w:color w:val="auto"/>
              </w:rPr>
              <w:t>Variance</w:t>
            </w:r>
          </w:p>
        </w:tc>
        <w:tc>
          <w:tcPr>
            <w:tcW w:w="80" w:type="dxa"/>
            <w:vAlign w:val="bottom"/>
            <w:tcBorders>
              <w:top w:val="single" w:sz="8" w:color="1C6FA3"/>
            </w:tcBorders>
          </w:tcPr>
          <w:p>
            <w:pPr>
              <w:spacing w:after="0"/>
              <w:rPr>
                <w:sz w:val="13"/>
                <w:szCs w:val="13"/>
                <w:color w:val="auto"/>
              </w:rPr>
            </w:pPr>
          </w:p>
        </w:tc>
        <w:tc>
          <w:tcPr>
            <w:tcW w:w="940" w:type="dxa"/>
            <w:vAlign w:val="bottom"/>
            <w:tcBorders>
              <w:top w:val="single" w:sz="8" w:color="1C6FA3"/>
              <w:bottom w:val="single" w:sz="8" w:color="5587A6"/>
            </w:tcBorders>
          </w:tcPr>
          <w:p>
            <w:pPr>
              <w:jc w:val="right"/>
              <w:ind w:right="166"/>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33"/>
        </w:trPr>
        <w:tc>
          <w:tcPr>
            <w:tcW w:w="3820" w:type="dxa"/>
            <w:vAlign w:val="bottom"/>
            <w:gridSpan w:val="2"/>
          </w:tcPr>
          <w:p>
            <w:pPr>
              <w:spacing w:after="0"/>
              <w:rPr>
                <w:sz w:val="20"/>
                <w:szCs w:val="20"/>
                <w:color w:val="auto"/>
              </w:rPr>
            </w:pPr>
            <w:r>
              <w:rPr>
                <w:rFonts w:ascii="Arial" w:cs="Arial" w:eastAsia="Arial" w:hAnsi="Arial"/>
                <w:sz w:val="11"/>
                <w:szCs w:val="11"/>
                <w:color w:val="auto"/>
              </w:rPr>
              <w:t>Net interest income</w:t>
            </w: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1,225</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1,192</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33</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4,715</w:t>
            </w:r>
          </w:p>
        </w:tc>
        <w:tc>
          <w:tcPr>
            <w:tcW w:w="8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4,618</w:t>
            </w:r>
          </w:p>
        </w:tc>
        <w:tc>
          <w:tcPr>
            <w:tcW w:w="6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97</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2 %</w:t>
            </w:r>
          </w:p>
        </w:tc>
        <w:tc>
          <w:tcPr>
            <w:tcW w:w="0" w:type="dxa"/>
            <w:vAlign w:val="bottom"/>
          </w:tcPr>
          <w:p>
            <w:pPr>
              <w:spacing w:after="0"/>
              <w:rPr>
                <w:sz w:val="1"/>
                <w:szCs w:val="1"/>
                <w:color w:val="auto"/>
              </w:rPr>
            </w:pPr>
          </w:p>
        </w:tc>
      </w:tr>
      <w:tr>
        <w:trPr>
          <w:trHeight w:val="144"/>
        </w:trPr>
        <w:tc>
          <w:tcPr>
            <w:tcW w:w="374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Fee and other income</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20</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19</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75</w:t>
            </w:r>
          </w:p>
        </w:tc>
        <w:tc>
          <w:tcPr>
            <w:tcW w:w="80" w:type="dxa"/>
            <w:vAlign w:val="bottom"/>
          </w:tcPr>
          <w:p>
            <w:pPr>
              <w:spacing w:after="0"/>
              <w:rPr>
                <w:sz w:val="12"/>
                <w:szCs w:val="12"/>
                <w:color w:val="auto"/>
              </w:rPr>
            </w:pPr>
          </w:p>
        </w:tc>
        <w:tc>
          <w:tcPr>
            <w:tcW w:w="120" w:type="dxa"/>
            <w:vAlign w:val="bottom"/>
            <w:tcBorders>
              <w:bottom w:val="single" w:sz="8" w:color="5587A6"/>
            </w:tcBorders>
          </w:tcPr>
          <w:p>
            <w:pPr>
              <w:spacing w:after="0"/>
              <w:rPr>
                <w:sz w:val="12"/>
                <w:szCs w:val="12"/>
                <w:color w:val="auto"/>
              </w:rPr>
            </w:pPr>
          </w:p>
        </w:tc>
        <w:tc>
          <w:tcPr>
            <w:tcW w:w="68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76</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3"/>
        </w:trPr>
        <w:tc>
          <w:tcPr>
            <w:tcW w:w="3820" w:type="dxa"/>
            <w:vAlign w:val="bottom"/>
            <w:gridSpan w:val="2"/>
          </w:tcPr>
          <w:p>
            <w:pPr>
              <w:spacing w:after="0"/>
              <w:rPr>
                <w:sz w:val="20"/>
                <w:szCs w:val="20"/>
                <w:color w:val="auto"/>
              </w:rPr>
            </w:pPr>
            <w:r>
              <w:rPr>
                <w:rFonts w:ascii="Arial" w:cs="Arial" w:eastAsia="Arial" w:hAnsi="Arial"/>
                <w:sz w:val="11"/>
                <w:szCs w:val="11"/>
                <w:b w:val="1"/>
                <w:bCs w:val="1"/>
                <w:color w:val="auto"/>
              </w:rPr>
              <w:t>Net revenues</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1,245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1,211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34</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4,790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4,694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96</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2 %</w:t>
            </w:r>
          </w:p>
        </w:tc>
        <w:tc>
          <w:tcPr>
            <w:tcW w:w="0" w:type="dxa"/>
            <w:vAlign w:val="bottom"/>
          </w:tcPr>
          <w:p>
            <w:pPr>
              <w:spacing w:after="0"/>
              <w:rPr>
                <w:sz w:val="1"/>
                <w:szCs w:val="1"/>
                <w:color w:val="auto"/>
              </w:rPr>
            </w:pPr>
          </w:p>
        </w:tc>
      </w:tr>
      <w:tr>
        <w:trPr>
          <w:trHeight w:val="144"/>
        </w:trPr>
        <w:tc>
          <w:tcPr>
            <w:tcW w:w="3820" w:type="dxa"/>
            <w:vAlign w:val="bottom"/>
            <w:gridSpan w:val="2"/>
          </w:tcPr>
          <w:p>
            <w:pPr>
              <w:spacing w:after="0"/>
              <w:rPr>
                <w:sz w:val="20"/>
                <w:szCs w:val="20"/>
                <w:color w:val="auto"/>
              </w:rPr>
            </w:pPr>
            <w:r>
              <w:rPr>
                <w:rFonts w:ascii="Arial" w:cs="Arial" w:eastAsia="Arial" w:hAnsi="Arial"/>
                <w:sz w:val="11"/>
                <w:szCs w:val="11"/>
                <w:color w:val="auto"/>
              </w:rPr>
              <w:t>Fair value gains (losses), net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(54)</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106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76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39 %</w:t>
            </w:r>
          </w:p>
        </w:tc>
        <w:tc>
          <w:tcPr>
            <w:tcW w:w="0" w:type="dxa"/>
            <w:vAlign w:val="bottom"/>
          </w:tcPr>
          <w:p>
            <w:pPr>
              <w:spacing w:after="0"/>
              <w:rPr>
                <w:sz w:val="1"/>
                <w:szCs w:val="1"/>
                <w:color w:val="auto"/>
              </w:rPr>
            </w:pPr>
          </w:p>
        </w:tc>
      </w:tr>
      <w:tr>
        <w:trPr>
          <w:trHeight w:val="144"/>
        </w:trPr>
        <w:tc>
          <w:tcPr>
            <w:tcW w:w="3740" w:type="dxa"/>
            <w:vAlign w:val="bottom"/>
            <w:tcBorders>
              <w:bottom w:val="single" w:sz="8" w:color="5587A6"/>
            </w:tcBorders>
          </w:tcPr>
          <w:p>
            <w:pPr>
              <w:spacing w:after="0" w:line="144" w:lineRule="exact"/>
              <w:rPr>
                <w:sz w:val="20"/>
                <w:szCs w:val="20"/>
                <w:color w:val="auto"/>
              </w:rPr>
            </w:pPr>
            <w:r>
              <w:rPr>
                <w:rFonts w:ascii="Arial" w:cs="Arial" w:eastAsia="Arial" w:hAnsi="Arial"/>
                <w:sz w:val="11"/>
                <w:szCs w:val="11"/>
                <w:color w:val="auto"/>
              </w:rPr>
              <w:t>Investment gains (losses), net</w:t>
            </w:r>
            <w:r>
              <w:rPr>
                <w:rFonts w:ascii="Arial" w:cs="Arial" w:eastAsia="Arial" w:hAnsi="Arial"/>
                <w:sz w:val="14"/>
                <w:szCs w:val="14"/>
                <w:color w:val="auto"/>
                <w:vertAlign w:val="superscript"/>
              </w:rPr>
              <w:t>(4)</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19</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gridSpan w:val="3"/>
          </w:tcPr>
          <w:p>
            <w:pPr>
              <w:spacing w:after="0"/>
              <w:rPr>
                <w:sz w:val="20"/>
                <w:szCs w:val="20"/>
                <w:color w:val="auto"/>
              </w:rPr>
            </w:pPr>
            <w:r>
              <w:rPr>
                <w:rFonts w:ascii="Arial" w:cs="Arial" w:eastAsia="Arial" w:hAnsi="Arial"/>
                <w:sz w:val="11"/>
                <w:szCs w:val="11"/>
                <w:color w:val="auto"/>
              </w:rPr>
              <w:t>NM</w:t>
            </w: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11</w:t>
            </w:r>
          </w:p>
        </w:tc>
        <w:tc>
          <w:tcPr>
            <w:tcW w:w="80" w:type="dxa"/>
            <w:vAlign w:val="bottom"/>
          </w:tcPr>
          <w:p>
            <w:pPr>
              <w:spacing w:after="0"/>
              <w:rPr>
                <w:sz w:val="12"/>
                <w:szCs w:val="12"/>
                <w:color w:val="auto"/>
              </w:rPr>
            </w:pPr>
          </w:p>
        </w:tc>
        <w:tc>
          <w:tcPr>
            <w:tcW w:w="120" w:type="dxa"/>
            <w:vAlign w:val="bottom"/>
            <w:tcBorders>
              <w:bottom w:val="single" w:sz="8" w:color="5587A6"/>
            </w:tcBorders>
          </w:tcPr>
          <w:p>
            <w:pPr>
              <w:spacing w:after="0"/>
              <w:rPr>
                <w:sz w:val="12"/>
                <w:szCs w:val="12"/>
                <w:color w:val="auto"/>
              </w:rPr>
            </w:pPr>
          </w:p>
        </w:tc>
        <w:tc>
          <w:tcPr>
            <w:tcW w:w="68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33"/>
        </w:trPr>
        <w:tc>
          <w:tcPr>
            <w:tcW w:w="3820" w:type="dxa"/>
            <w:vAlign w:val="bottom"/>
            <w:gridSpan w:val="2"/>
          </w:tcPr>
          <w:p>
            <w:pPr>
              <w:spacing w:after="0"/>
              <w:rPr>
                <w:sz w:val="20"/>
                <w:szCs w:val="20"/>
                <w:color w:val="auto"/>
              </w:rPr>
            </w:pPr>
            <w:r>
              <w:rPr>
                <w:rFonts w:ascii="Arial" w:cs="Arial" w:eastAsia="Arial" w:hAnsi="Arial"/>
                <w:sz w:val="11"/>
                <w:szCs w:val="11"/>
                <w:b w:val="1"/>
                <w:bCs w:val="1"/>
                <w:color w:val="auto"/>
              </w:rPr>
              <w:t>Other gains (losses), net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35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25</w:t>
            </w:r>
          </w:p>
        </w:tc>
        <w:tc>
          <w:tcPr>
            <w:tcW w:w="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79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38</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48 %</w:t>
            </w:r>
          </w:p>
        </w:tc>
        <w:tc>
          <w:tcPr>
            <w:tcW w:w="0" w:type="dxa"/>
            <w:vAlign w:val="bottom"/>
          </w:tcPr>
          <w:p>
            <w:pPr>
              <w:spacing w:after="0"/>
              <w:rPr>
                <w:sz w:val="1"/>
                <w:szCs w:val="1"/>
                <w:color w:val="auto"/>
              </w:rPr>
            </w:pPr>
          </w:p>
        </w:tc>
      </w:tr>
      <w:tr>
        <w:trPr>
          <w:trHeight w:val="144"/>
        </w:trPr>
        <w:tc>
          <w:tcPr>
            <w:tcW w:w="3820" w:type="dxa"/>
            <w:vAlign w:val="bottom"/>
            <w:gridSpan w:val="2"/>
          </w:tcPr>
          <w:p>
            <w:pPr>
              <w:spacing w:after="0"/>
              <w:rPr>
                <w:sz w:val="20"/>
                <w:szCs w:val="20"/>
                <w:color w:val="auto"/>
              </w:rPr>
            </w:pPr>
            <w:r>
              <w:rPr>
                <w:rFonts w:ascii="Arial" w:cs="Arial" w:eastAsia="Arial" w:hAnsi="Arial"/>
                <w:sz w:val="11"/>
                <w:szCs w:val="11"/>
                <w:color w:val="auto"/>
              </w:rPr>
              <w:t>(Provision) benefit for credit losses</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64</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93</w:t>
            </w:r>
          </w:p>
        </w:tc>
        <w:tc>
          <w:tcPr>
            <w:tcW w:w="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(283)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(752)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469</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62 %</w:t>
            </w:r>
          </w:p>
        </w:tc>
        <w:tc>
          <w:tcPr>
            <w:tcW w:w="0" w:type="dxa"/>
            <w:vAlign w:val="bottom"/>
          </w:tcPr>
          <w:p>
            <w:pPr>
              <w:spacing w:after="0"/>
              <w:rPr>
                <w:sz w:val="1"/>
                <w:szCs w:val="1"/>
                <w:color w:val="auto"/>
              </w:rPr>
            </w:pPr>
          </w:p>
        </w:tc>
      </w:tr>
      <w:tr>
        <w:trPr>
          <w:trHeight w:val="142"/>
        </w:trPr>
        <w:tc>
          <w:tcPr>
            <w:tcW w:w="3820" w:type="dxa"/>
            <w:vAlign w:val="bottom"/>
            <w:gridSpan w:val="2"/>
          </w:tcPr>
          <w:p>
            <w:pPr>
              <w:spacing w:after="0"/>
              <w:rPr>
                <w:sz w:val="20"/>
                <w:szCs w:val="20"/>
                <w:color w:val="auto"/>
              </w:rPr>
            </w:pPr>
            <w:r>
              <w:rPr>
                <w:rFonts w:ascii="Arial" w:cs="Arial" w:eastAsia="Arial" w:hAnsi="Arial"/>
                <w:sz w:val="11"/>
                <w:szCs w:val="11"/>
                <w:color w:val="auto"/>
              </w:rPr>
              <w:t>Non-interest expense:</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820" w:type="dxa"/>
            <w:vAlign w:val="bottom"/>
            <w:gridSpan w:val="2"/>
          </w:tcPr>
          <w:p>
            <w:pPr>
              <w:ind w:left="80"/>
              <w:spacing w:after="0" w:line="147" w:lineRule="exact"/>
              <w:rPr>
                <w:sz w:val="20"/>
                <w:szCs w:val="20"/>
                <w:color w:val="auto"/>
              </w:rPr>
            </w:pPr>
            <w:r>
              <w:rPr>
                <w:rFonts w:ascii="Arial" w:cs="Arial" w:eastAsia="Arial" w:hAnsi="Arial"/>
                <w:sz w:val="11"/>
                <w:szCs w:val="11"/>
                <w:color w:val="auto"/>
              </w:rPr>
              <w:t>Administrative expenses</w:t>
            </w:r>
            <w:r>
              <w:rPr>
                <w:rFonts w:ascii="Arial" w:cs="Arial" w:eastAsia="Arial" w:hAnsi="Arial"/>
                <w:sz w:val="14"/>
                <w:szCs w:val="14"/>
                <w:color w:val="auto"/>
                <w:vertAlign w:val="superscript"/>
              </w:rPr>
              <w:t>(5)</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(171)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(14)</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(661)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(619)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4"/>
        </w:trPr>
        <w:tc>
          <w:tcPr>
            <w:tcW w:w="3820" w:type="dxa"/>
            <w:vAlign w:val="bottom"/>
            <w:gridSpan w:val="2"/>
          </w:tcPr>
          <w:p>
            <w:pPr>
              <w:ind w:left="80"/>
              <w:spacing w:after="0" w:line="144" w:lineRule="exact"/>
              <w:rPr>
                <w:sz w:val="20"/>
                <w:szCs w:val="20"/>
                <w:color w:val="auto"/>
              </w:rPr>
            </w:pPr>
            <w:r>
              <w:rPr>
                <w:rFonts w:ascii="Arial" w:cs="Arial" w:eastAsia="Arial" w:hAnsi="Arial"/>
                <w:sz w:val="11"/>
                <w:szCs w:val="11"/>
                <w:color w:val="auto"/>
              </w:rPr>
              <w:t>Legislative assessments</w:t>
            </w:r>
            <w:r>
              <w:rPr>
                <w:rFonts w:ascii="Arial" w:cs="Arial" w:eastAsia="Arial" w:hAnsi="Arial"/>
                <w:sz w:val="14"/>
                <w:szCs w:val="14"/>
                <w:color w:val="auto"/>
                <w:vertAlign w:val="superscript"/>
              </w:rPr>
              <w:t>(6)</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(7)</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(61)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44"/>
        </w:trPr>
        <w:tc>
          <w:tcPr>
            <w:tcW w:w="3820" w:type="dxa"/>
            <w:vAlign w:val="bottom"/>
            <w:gridSpan w:val="2"/>
          </w:tcPr>
          <w:p>
            <w:pPr>
              <w:ind w:left="80"/>
              <w:spacing w:after="0" w:line="144" w:lineRule="exact"/>
              <w:rPr>
                <w:sz w:val="20"/>
                <w:szCs w:val="20"/>
                <w:color w:val="auto"/>
              </w:rPr>
            </w:pPr>
            <w:r>
              <w:rPr>
                <w:rFonts w:ascii="Arial" w:cs="Arial" w:eastAsia="Arial" w:hAnsi="Arial"/>
                <w:sz w:val="11"/>
                <w:szCs w:val="11"/>
                <w:color w:val="auto"/>
              </w:rPr>
              <w:t>Credit enhancement expense</w:t>
            </w:r>
            <w:r>
              <w:rPr>
                <w:rFonts w:ascii="Arial" w:cs="Arial" w:eastAsia="Arial" w:hAnsi="Arial"/>
                <w:sz w:val="14"/>
                <w:szCs w:val="14"/>
                <w:color w:val="auto"/>
                <w:vertAlign w:val="superscript"/>
              </w:rPr>
              <w:t>(7)</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(80)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(313)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(292)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4"/>
        </w:trPr>
        <w:tc>
          <w:tcPr>
            <w:tcW w:w="3740" w:type="dxa"/>
            <w:vAlign w:val="bottom"/>
            <w:tcBorders>
              <w:bottom w:val="single" w:sz="8" w:color="5587A6"/>
            </w:tcBorders>
          </w:tcPr>
          <w:p>
            <w:pPr>
              <w:ind w:left="80"/>
              <w:spacing w:after="0" w:line="144" w:lineRule="exact"/>
              <w:rPr>
                <w:sz w:val="20"/>
                <w:szCs w:val="20"/>
                <w:color w:val="auto"/>
              </w:rPr>
            </w:pPr>
            <w:r>
              <w:rPr>
                <w:rFonts w:ascii="Arial" w:cs="Arial" w:eastAsia="Arial" w:hAnsi="Arial"/>
                <w:sz w:val="11"/>
                <w:szCs w:val="11"/>
                <w:color w:val="auto"/>
              </w:rPr>
              <w:t>Other income (expense), net</w:t>
            </w:r>
            <w:r>
              <w:rPr>
                <w:rFonts w:ascii="Arial" w:cs="Arial" w:eastAsia="Arial" w:hAnsi="Arial"/>
                <w:sz w:val="14"/>
                <w:szCs w:val="14"/>
                <w:color w:val="auto"/>
                <w:vertAlign w:val="superscript"/>
              </w:rPr>
              <w:t>(4)(8)</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27</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(6)</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(18)</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20</w:t>
            </w:r>
          </w:p>
        </w:tc>
        <w:tc>
          <w:tcPr>
            <w:tcW w:w="80" w:type="dxa"/>
            <w:vAlign w:val="bottom"/>
          </w:tcPr>
          <w:p>
            <w:pPr>
              <w:spacing w:after="0"/>
              <w:rPr>
                <w:sz w:val="12"/>
                <w:szCs w:val="12"/>
                <w:color w:val="auto"/>
              </w:rPr>
            </w:pPr>
          </w:p>
        </w:tc>
        <w:tc>
          <w:tcPr>
            <w:tcW w:w="120" w:type="dxa"/>
            <w:vAlign w:val="bottom"/>
            <w:tcBorders>
              <w:bottom w:val="single" w:sz="8" w:color="5587A6"/>
            </w:tcBorders>
          </w:tcPr>
          <w:p>
            <w:pPr>
              <w:spacing w:after="0"/>
              <w:rPr>
                <w:sz w:val="12"/>
                <w:szCs w:val="12"/>
                <w:color w:val="auto"/>
              </w:rPr>
            </w:pPr>
          </w:p>
        </w:tc>
        <w:tc>
          <w:tcPr>
            <w:tcW w:w="68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86</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(66)</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(77)%</w:t>
            </w:r>
          </w:p>
        </w:tc>
        <w:tc>
          <w:tcPr>
            <w:tcW w:w="0" w:type="dxa"/>
            <w:vAlign w:val="bottom"/>
          </w:tcPr>
          <w:p>
            <w:pPr>
              <w:spacing w:after="0"/>
              <w:rPr>
                <w:sz w:val="1"/>
                <w:szCs w:val="1"/>
                <w:color w:val="auto"/>
              </w:rPr>
            </w:pPr>
          </w:p>
        </w:tc>
      </w:tr>
      <w:tr>
        <w:trPr>
          <w:trHeight w:val="133"/>
        </w:trPr>
        <w:tc>
          <w:tcPr>
            <w:tcW w:w="374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Total non-interest expense</w:t>
            </w:r>
          </w:p>
        </w:tc>
        <w:tc>
          <w:tcPr>
            <w:tcW w:w="8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(239)</w:t>
            </w:r>
          </w:p>
        </w:tc>
        <w:tc>
          <w:tcPr>
            <w:tcW w:w="8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(210)</w:t>
            </w:r>
          </w:p>
        </w:tc>
        <w:tc>
          <w:tcPr>
            <w:tcW w:w="8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(29)</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(14)</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(1,015)</w:t>
            </w:r>
          </w:p>
        </w:tc>
        <w:tc>
          <w:tcPr>
            <w:tcW w:w="80" w:type="dxa"/>
            <w:vAlign w:val="bottom"/>
          </w:tcPr>
          <w:p>
            <w:pPr>
              <w:spacing w:after="0"/>
              <w:rPr>
                <w:sz w:val="11"/>
                <w:szCs w:val="11"/>
                <w:color w:val="auto"/>
              </w:rPr>
            </w:pPr>
          </w:p>
        </w:tc>
        <w:tc>
          <w:tcPr>
            <w:tcW w:w="120" w:type="dxa"/>
            <w:vAlign w:val="bottom"/>
            <w:tcBorders>
              <w:bottom w:val="single" w:sz="8" w:color="5587A6"/>
            </w:tcBorders>
          </w:tcPr>
          <w:p>
            <w:pPr>
              <w:spacing w:after="0"/>
              <w:rPr>
                <w:sz w:val="11"/>
                <w:szCs w:val="11"/>
                <w:color w:val="auto"/>
              </w:rPr>
            </w:pPr>
          </w:p>
        </w:tc>
        <w:tc>
          <w:tcPr>
            <w:tcW w:w="68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(872)</w:t>
            </w:r>
          </w:p>
        </w:tc>
        <w:tc>
          <w:tcPr>
            <w:tcW w:w="6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(143)</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33"/>
        </w:trPr>
        <w:tc>
          <w:tcPr>
            <w:tcW w:w="3820" w:type="dxa"/>
            <w:vAlign w:val="bottom"/>
            <w:gridSpan w:val="2"/>
          </w:tcPr>
          <w:p>
            <w:pPr>
              <w:spacing w:after="0"/>
              <w:rPr>
                <w:sz w:val="20"/>
                <w:szCs w:val="20"/>
                <w:color w:val="auto"/>
              </w:rPr>
            </w:pPr>
            <w:r>
              <w:rPr>
                <w:rFonts w:ascii="Arial" w:cs="Arial" w:eastAsia="Arial" w:hAnsi="Arial"/>
                <w:sz w:val="11"/>
                <w:szCs w:val="11"/>
                <w:b w:val="1"/>
                <w:bCs w:val="1"/>
                <w:color w:val="auto"/>
              </w:rPr>
              <w:t>Income before federal income taxes</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1,036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960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76</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3,609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3,149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460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15 %</w:t>
            </w:r>
          </w:p>
        </w:tc>
        <w:tc>
          <w:tcPr>
            <w:tcW w:w="0" w:type="dxa"/>
            <w:vAlign w:val="bottom"/>
          </w:tcPr>
          <w:p>
            <w:pPr>
              <w:spacing w:after="0"/>
              <w:rPr>
                <w:sz w:val="1"/>
                <w:szCs w:val="1"/>
                <w:color w:val="auto"/>
              </w:rPr>
            </w:pPr>
          </w:p>
        </w:tc>
      </w:tr>
      <w:tr>
        <w:trPr>
          <w:trHeight w:val="144"/>
        </w:trPr>
        <w:tc>
          <w:tcPr>
            <w:tcW w:w="374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Provision for federal income taxes</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(186)</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(186)</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60" w:type="dxa"/>
            <w:vAlign w:val="bottom"/>
            <w:gridSpan w:val="4"/>
          </w:tcPr>
          <w:p>
            <w:pPr>
              <w:jc w:val="right"/>
              <w:ind w:right="100"/>
              <w:spacing w:after="0"/>
              <w:rPr>
                <w:sz w:val="20"/>
                <w:szCs w:val="20"/>
                <w:color w:val="auto"/>
              </w:rPr>
            </w:pPr>
            <w:r>
              <w:rPr>
                <w:rFonts w:ascii="Arial" w:cs="Arial" w:eastAsia="Arial" w:hAnsi="Arial"/>
                <w:sz w:val="11"/>
                <w:szCs w:val="11"/>
                <w:color w:val="auto"/>
              </w:rPr>
              <w:t>— %*</w:t>
            </w: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(661)</w:t>
            </w:r>
          </w:p>
        </w:tc>
        <w:tc>
          <w:tcPr>
            <w:tcW w:w="80" w:type="dxa"/>
            <w:vAlign w:val="bottom"/>
          </w:tcPr>
          <w:p>
            <w:pPr>
              <w:spacing w:after="0"/>
              <w:rPr>
                <w:sz w:val="12"/>
                <w:szCs w:val="12"/>
                <w:color w:val="auto"/>
              </w:rPr>
            </w:pPr>
          </w:p>
        </w:tc>
        <w:tc>
          <w:tcPr>
            <w:tcW w:w="120" w:type="dxa"/>
            <w:vAlign w:val="bottom"/>
            <w:tcBorders>
              <w:bottom w:val="single" w:sz="8" w:color="5587A6"/>
            </w:tcBorders>
          </w:tcPr>
          <w:p>
            <w:pPr>
              <w:spacing w:after="0"/>
              <w:rPr>
                <w:sz w:val="12"/>
                <w:szCs w:val="12"/>
                <w:color w:val="auto"/>
              </w:rPr>
            </w:pPr>
          </w:p>
        </w:tc>
        <w:tc>
          <w:tcPr>
            <w:tcW w:w="68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(601)</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(60)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33"/>
        </w:trPr>
        <w:tc>
          <w:tcPr>
            <w:tcW w:w="3820" w:type="dxa"/>
            <w:vAlign w:val="bottom"/>
            <w:gridSpan w:val="2"/>
          </w:tcPr>
          <w:p>
            <w:pPr>
              <w:spacing w:after="0"/>
              <w:rPr>
                <w:sz w:val="20"/>
                <w:szCs w:val="20"/>
                <w:color w:val="auto"/>
              </w:rPr>
            </w:pPr>
            <w:r>
              <w:rPr>
                <w:rFonts w:ascii="Arial" w:cs="Arial" w:eastAsia="Arial" w:hAnsi="Arial"/>
                <w:sz w:val="11"/>
                <w:szCs w:val="11"/>
                <w:b w:val="1"/>
                <w:bCs w:val="1"/>
                <w:color w:val="auto"/>
              </w:rPr>
              <w:t>Net income</w:t>
            </w: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850</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774</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76</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10</w:t>
            </w:r>
          </w:p>
        </w:tc>
        <w:tc>
          <w:tcPr>
            <w:tcW w:w="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2,948</w:t>
            </w:r>
          </w:p>
        </w:tc>
        <w:tc>
          <w:tcPr>
            <w:tcW w:w="8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2,548</w:t>
            </w:r>
          </w:p>
        </w:tc>
        <w:tc>
          <w:tcPr>
            <w:tcW w:w="6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400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20"/>
        </w:trPr>
        <w:tc>
          <w:tcPr>
            <w:tcW w:w="374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5587A6"/>
              <w:bottom w:val="single" w:sz="8" w:color="5587A6"/>
            </w:tcBorders>
          </w:tcPr>
          <w:p>
            <w:pPr>
              <w:spacing w:after="0" w:line="20" w:lineRule="exact"/>
              <w:rPr>
                <w:sz w:val="1"/>
                <w:szCs w:val="1"/>
                <w:color w:val="auto"/>
              </w:rPr>
            </w:pPr>
          </w:p>
        </w:tc>
        <w:tc>
          <w:tcPr>
            <w:tcW w:w="68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2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20" w:type="dxa"/>
            <w:vAlign w:val="bottom"/>
            <w:gridSpan w:val="2"/>
          </w:tcPr>
          <w:p>
            <w:pPr>
              <w:spacing w:after="0"/>
              <w:rPr>
                <w:sz w:val="20"/>
                <w:szCs w:val="20"/>
                <w:color w:val="auto"/>
              </w:rPr>
            </w:pPr>
            <w:r>
              <w:rPr>
                <w:rFonts w:ascii="Arial" w:cs="Arial" w:eastAsia="Arial" w:hAnsi="Arial"/>
                <w:sz w:val="11"/>
                <w:szCs w:val="11"/>
                <w:color w:val="auto"/>
              </w:rPr>
              <w:t>Average charged guaranty fee rate on multifamily guaranty book of business,</w:t>
            </w:r>
          </w:p>
        </w:tc>
        <w:tc>
          <w:tcPr>
            <w:tcW w:w="14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color w:val="auto"/>
              </w:rPr>
              <w:t>71.6 bps</w:t>
            </w:r>
          </w:p>
        </w:tc>
        <w:tc>
          <w:tcPr>
            <w:tcW w:w="14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color w:val="auto"/>
              </w:rPr>
              <w:t>72.4 bps</w:t>
            </w:r>
          </w:p>
        </w:tc>
        <w:tc>
          <w:tcPr>
            <w:tcW w:w="140" w:type="dxa"/>
            <w:vAlign w:val="bottom"/>
          </w:tcPr>
          <w:p>
            <w:pPr>
              <w:spacing w:after="0"/>
              <w:rPr>
                <w:sz w:val="11"/>
                <w:szCs w:val="11"/>
                <w:color w:val="auto"/>
              </w:rPr>
            </w:pPr>
          </w:p>
        </w:tc>
        <w:tc>
          <w:tcPr>
            <w:tcW w:w="700" w:type="dxa"/>
            <w:vAlign w:val="bottom"/>
            <w:vMerge w:val="restart"/>
          </w:tcPr>
          <w:p>
            <w:pPr>
              <w:jc w:val="right"/>
              <w:ind w:right="146"/>
              <w:spacing w:after="0"/>
              <w:rPr>
                <w:sz w:val="20"/>
                <w:szCs w:val="20"/>
                <w:color w:val="auto"/>
              </w:rPr>
            </w:pPr>
            <w:r>
              <w:rPr>
                <w:rFonts w:ascii="Arial" w:cs="Arial" w:eastAsia="Arial" w:hAnsi="Arial"/>
                <w:sz w:val="11"/>
                <w:szCs w:val="11"/>
                <w:color w:val="auto"/>
              </w:rPr>
              <w:t>(0.8) bps</w:t>
            </w:r>
          </w:p>
        </w:tc>
        <w:tc>
          <w:tcPr>
            <w:tcW w:w="940" w:type="dxa"/>
            <w:vAlign w:val="bottom"/>
            <w:gridSpan w:val="3"/>
            <w:vMerge w:val="restart"/>
          </w:tcPr>
          <w:p>
            <w:pPr>
              <w:jc w:val="right"/>
              <w:spacing w:after="0"/>
              <w:rPr>
                <w:sz w:val="20"/>
                <w:szCs w:val="20"/>
                <w:color w:val="auto"/>
              </w:rPr>
            </w:pPr>
            <w:r>
              <w:rPr>
                <w:rFonts w:ascii="Arial" w:cs="Arial" w:eastAsia="Arial" w:hAnsi="Arial"/>
                <w:sz w:val="11"/>
                <w:szCs w:val="11"/>
                <w:color w:val="auto"/>
              </w:rPr>
              <w:t>(1)</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color w:val="auto"/>
              </w:rPr>
              <w:t>71.6 bps</w:t>
            </w:r>
          </w:p>
        </w:tc>
        <w:tc>
          <w:tcPr>
            <w:tcW w:w="1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color w:val="auto"/>
              </w:rPr>
              <w:t>74.4 bps</w:t>
            </w:r>
          </w:p>
        </w:tc>
        <w:tc>
          <w:tcPr>
            <w:tcW w:w="140" w:type="dxa"/>
            <w:vAlign w:val="bottom"/>
          </w:tcPr>
          <w:p>
            <w:pPr>
              <w:spacing w:after="0"/>
              <w:rPr>
                <w:sz w:val="11"/>
                <w:szCs w:val="11"/>
                <w:color w:val="auto"/>
              </w:rPr>
            </w:pPr>
          </w:p>
        </w:tc>
        <w:tc>
          <w:tcPr>
            <w:tcW w:w="720" w:type="dxa"/>
            <w:vAlign w:val="bottom"/>
            <w:vMerge w:val="restart"/>
          </w:tcPr>
          <w:p>
            <w:pPr>
              <w:jc w:val="right"/>
              <w:ind w:right="166"/>
              <w:spacing w:after="0"/>
              <w:rPr>
                <w:sz w:val="20"/>
                <w:szCs w:val="20"/>
                <w:color w:val="auto"/>
              </w:rPr>
            </w:pPr>
            <w:r>
              <w:rPr>
                <w:rFonts w:ascii="Arial" w:cs="Arial" w:eastAsia="Arial" w:hAnsi="Arial"/>
                <w:sz w:val="11"/>
                <w:szCs w:val="11"/>
                <w:color w:val="auto"/>
              </w:rPr>
              <w:t>(2.8) bps</w:t>
            </w:r>
          </w:p>
        </w:tc>
        <w:tc>
          <w:tcPr>
            <w:tcW w:w="1020" w:type="dxa"/>
            <w:vAlign w:val="bottom"/>
            <w:gridSpan w:val="2"/>
            <w:vMerge w:val="restart"/>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88"/>
        </w:trPr>
        <w:tc>
          <w:tcPr>
            <w:tcW w:w="3820" w:type="dxa"/>
            <w:vAlign w:val="bottom"/>
            <w:gridSpan w:val="2"/>
            <w:vMerge w:val="restart"/>
          </w:tcPr>
          <w:p>
            <w:pPr>
              <w:ind w:left="120"/>
              <w:spacing w:after="0"/>
              <w:rPr>
                <w:sz w:val="20"/>
                <w:szCs w:val="20"/>
                <w:color w:val="auto"/>
              </w:rPr>
            </w:pPr>
            <w:r>
              <w:rPr>
                <w:rFonts w:ascii="Arial" w:cs="Arial" w:eastAsia="Arial" w:hAnsi="Arial"/>
                <w:sz w:val="11"/>
                <w:szCs w:val="11"/>
                <w:color w:val="auto"/>
              </w:rPr>
              <w:t>at period end</w:t>
            </w: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38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3820" w:type="dxa"/>
            <w:vAlign w:val="bottom"/>
            <w:tcBorders>
              <w:bottom w:val="single" w:sz="8" w:color="05314D"/>
            </w:tcBorders>
            <w:gridSpan w:val="2"/>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800" w:type="dxa"/>
            <w:vAlign w:val="bottom"/>
            <w:tcBorders>
              <w:bottom w:val="single" w:sz="8" w:color="05314D"/>
            </w:tcBorders>
          </w:tcPr>
          <w:p>
            <w:pPr>
              <w:spacing w:after="0"/>
              <w:rPr>
                <w:sz w:val="4"/>
                <w:szCs w:val="4"/>
                <w:color w:val="auto"/>
              </w:rPr>
            </w:pPr>
          </w:p>
        </w:tc>
        <w:tc>
          <w:tcPr>
            <w:tcW w:w="60" w:type="dxa"/>
            <w:vAlign w:val="bottom"/>
            <w:tcBorders>
              <w:bottom w:val="single" w:sz="8" w:color="05314D"/>
            </w:tcBorders>
          </w:tcPr>
          <w:p>
            <w:pPr>
              <w:spacing w:after="0"/>
              <w:rPr>
                <w:sz w:val="4"/>
                <w:szCs w:val="4"/>
                <w:color w:val="auto"/>
              </w:rPr>
            </w:pPr>
          </w:p>
        </w:tc>
        <w:tc>
          <w:tcPr>
            <w:tcW w:w="12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120" w:type="dxa"/>
            <w:vAlign w:val="bottom"/>
            <w:tcBorders>
              <w:bottom w:val="single" w:sz="8" w:color="05314D"/>
            </w:tcBorders>
          </w:tcPr>
          <w:p>
            <w:pPr>
              <w:spacing w:after="0"/>
              <w:rPr>
                <w:sz w:val="4"/>
                <w:szCs w:val="4"/>
                <w:color w:val="auto"/>
              </w:rPr>
            </w:pPr>
          </w:p>
        </w:tc>
        <w:tc>
          <w:tcPr>
            <w:tcW w:w="680" w:type="dxa"/>
            <w:vAlign w:val="bottom"/>
            <w:tcBorders>
              <w:bottom w:val="single" w:sz="8" w:color="05314D"/>
            </w:tcBorders>
          </w:tcPr>
          <w:p>
            <w:pPr>
              <w:spacing w:after="0"/>
              <w:rPr>
                <w:sz w:val="4"/>
                <w:szCs w:val="4"/>
                <w:color w:val="auto"/>
              </w:rPr>
            </w:pPr>
          </w:p>
        </w:tc>
        <w:tc>
          <w:tcPr>
            <w:tcW w:w="6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20" w:type="dxa"/>
            <w:vAlign w:val="bottom"/>
            <w:tcBorders>
              <w:bottom w:val="single" w:sz="8" w:color="05314D"/>
            </w:tcBorders>
          </w:tcPr>
          <w:p>
            <w:pPr>
              <w:spacing w:after="0"/>
              <w:rPr>
                <w:sz w:val="4"/>
                <w:szCs w:val="4"/>
                <w:color w:val="auto"/>
              </w:rPr>
            </w:pPr>
          </w:p>
        </w:tc>
        <w:tc>
          <w:tcPr>
            <w:tcW w:w="1020" w:type="dxa"/>
            <w:vAlign w:val="bottom"/>
            <w:tcBorders>
              <w:bottom w:val="single" w:sz="8" w:color="05314D"/>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820" w:type="dxa"/>
            <w:vAlign w:val="bottom"/>
            <w:gridSpan w:val="2"/>
          </w:tcPr>
          <w:p>
            <w:pPr>
              <w:spacing w:after="0"/>
              <w:rPr>
                <w:sz w:val="20"/>
                <w:szCs w:val="20"/>
                <w:color w:val="auto"/>
              </w:rPr>
            </w:pPr>
            <w:r>
              <w:rPr>
                <w:rFonts w:ascii="Arial" w:cs="Arial" w:eastAsia="Arial" w:hAnsi="Arial"/>
                <w:sz w:val="11"/>
                <w:szCs w:val="11"/>
                <w:color w:val="auto"/>
              </w:rPr>
              <w:t>Fourth Quarter 2025</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bl>
    <w:p>
      <w:pPr>
        <w:sectPr>
          <w:pgSz w:w="11900" w:h="16838" w:orient="portrait"/>
          <w:cols w:equalWidth="0" w:num="1">
            <w:col w:w="11300"/>
          </w:cols>
          <w:pgMar w:left="300" w:top="970" w:right="299" w:bottom="1440" w:gutter="0" w:footer="0" w:header="0"/>
        </w:sectPr>
      </w:pPr>
    </w:p>
    <w:bookmarkStart w:id="7" w:name="page8"/>
    <w:bookmarkEnd w:id="7"/>
    <w:p>
      <w:pPr>
        <w:ind w:left="2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Additional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-90805</wp:posOffset>
            </wp:positionV>
            <wp:extent cx="7155180" cy="131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5180" cy="131445"/>
                    </a:xfrm>
                    <a:prstGeom prst="rect">
                      <a:avLst/>
                    </a:prstGeom>
                    <a:noFill/>
                  </pic:spPr>
                </pic:pic>
              </a:graphicData>
            </a:graphic>
          </wp:anchor>
        </w:drawing>
      </w:r>
    </w:p>
    <w:p>
      <w:pPr>
        <w:spacing w:after="0" w:line="75" w:lineRule="exact"/>
        <w:rPr>
          <w:sz w:val="20"/>
          <w:szCs w:val="20"/>
          <w:color w:val="auto"/>
        </w:rPr>
      </w:pPr>
    </w:p>
    <w:p>
      <w:pPr>
        <w:ind w:right="200"/>
        <w:spacing w:after="0" w:line="243" w:lineRule="auto"/>
        <w:rPr>
          <w:sz w:val="20"/>
          <w:szCs w:val="20"/>
          <w:color w:val="auto"/>
        </w:rPr>
      </w:pPr>
      <w:r>
        <w:rPr>
          <w:rFonts w:ascii="Arial" w:cs="Arial" w:eastAsia="Arial" w:hAnsi="Arial"/>
          <w:sz w:val="12"/>
          <w:szCs w:val="12"/>
          <w:color w:val="auto"/>
        </w:rPr>
        <w:t>Fannie Mae’s Consolidated Balance Sheets and Consolidated Statements of Operations and Comprehensive Income for the full year of 2025 are available in the accompanying Annex; however, investors and interested parties should read the company’s annual report on Form 10-K for the year ended December 31, 2025 (“2025 Form 10-K”), which was filed today with the Securities and Exchange Commission and is available on Fannie Mae’s website, www.fanniemae.com. The company provides further discussion of its financial results and condition, credit performance, and other matters in its 2025 Form 10-K. Additional information about the company’s financial and credit performance is contained in Fannie Mae’s “4Q and Full Year 2025 Earnings Presentation” and “Fourth Quarter 2025 Financial Supplement” at www.fanniemae.com.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 #</w:t>
      </w:r>
    </w:p>
    <w:p>
      <w:pPr>
        <w:spacing w:after="0" w:line="170" w:lineRule="exact"/>
        <w:rPr>
          <w:sz w:val="20"/>
          <w:szCs w:val="20"/>
          <w:color w:val="auto"/>
        </w:rPr>
      </w:pPr>
    </w:p>
    <w:p>
      <w:pPr>
        <w:ind w:right="120"/>
        <w:spacing w:after="0" w:line="258" w:lineRule="auto"/>
        <w:rPr>
          <w:sz w:val="20"/>
          <w:szCs w:val="20"/>
          <w:color w:val="auto"/>
        </w:rPr>
      </w:pPr>
      <w:r>
        <w:rPr>
          <w:rFonts w:ascii="Arial" w:cs="Arial" w:eastAsia="Arial" w:hAnsi="Arial"/>
          <w:sz w:val="12"/>
          <w:szCs w:val="12"/>
          <w:i w:val="1"/>
          <w:iCs w:val="1"/>
          <w:color w:val="auto"/>
        </w:rPr>
        <w:t>This release includes forward-looking statements regarding the company's future financial and mission performance and business volume, as well as the company’s future plans and their impact. Actual outcomes could be materially different from what is set forth in these forward-looking statements due to a variety of factors, including those described in “Forward-Looking Statements” and “Risk Factors” in the company’s 2025 Form 10-K.</w:t>
      </w:r>
    </w:p>
    <w:p>
      <w:pPr>
        <w:spacing w:after="0" w:line="131" w:lineRule="exact"/>
        <w:rPr>
          <w:sz w:val="20"/>
          <w:szCs w:val="20"/>
          <w:color w:val="auto"/>
        </w:rPr>
      </w:pPr>
    </w:p>
    <w:p>
      <w:pPr>
        <w:ind w:right="260"/>
        <w:spacing w:after="0" w:line="267" w:lineRule="auto"/>
        <w:rPr>
          <w:sz w:val="20"/>
          <w:szCs w:val="20"/>
          <w:color w:val="auto"/>
        </w:rPr>
      </w:pPr>
      <w:r>
        <w:rPr>
          <w:rFonts w:ascii="Arial" w:cs="Arial" w:eastAsia="Arial" w:hAnsi="Arial"/>
          <w:sz w:val="12"/>
          <w:szCs w:val="12"/>
          <w:i w:val="1"/>
          <w:iCs w:val="1"/>
          <w:color w:val="auto"/>
        </w:rPr>
        <w:t>Fannie Mae provides website addresses in its news releases solely for readers’ information. Information contained on or accessible through our website is not incorporated into, and does not form a part of, this release or any other report or document we file with or furnish to the Securities and Exchange Commission, and any references to our website are intended to be inactive textual references only.</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To learn more, visit fanniemae.com.</w:t>
      </w:r>
    </w:p>
    <w:p>
      <w:pPr>
        <w:spacing w:after="0" w:line="19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Endnotes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0" w:lineRule="exact"/>
        <w:rPr>
          <w:sz w:val="20"/>
          <w:szCs w:val="20"/>
          <w:color w:val="auto"/>
        </w:rPr>
      </w:pPr>
    </w:p>
    <w:p>
      <w:pPr>
        <w:spacing w:after="0"/>
        <w:tabs>
          <w:tab w:leader="none" w:pos="320" w:val="left"/>
        </w:tabs>
        <w:rPr>
          <w:sz w:val="20"/>
          <w:szCs w:val="20"/>
          <w:color w:val="auto"/>
        </w:rPr>
      </w:pPr>
      <w:r>
        <w:rPr>
          <w:rFonts w:ascii="Arial" w:cs="Arial" w:eastAsia="Arial" w:hAnsi="Arial"/>
          <w:sz w:val="10"/>
          <w:szCs w:val="10"/>
          <w:color w:val="auto"/>
        </w:rPr>
        <w:t>NM</w:t>
      </w:r>
      <w:r>
        <w:rPr>
          <w:sz w:val="20"/>
          <w:szCs w:val="20"/>
          <w:color w:val="auto"/>
        </w:rPr>
        <w:tab/>
      </w:r>
      <w:r>
        <w:rPr>
          <w:rFonts w:ascii="Arial" w:cs="Arial" w:eastAsia="Arial" w:hAnsi="Arial"/>
          <w:sz w:val="10"/>
          <w:szCs w:val="10"/>
          <w:color w:val="auto"/>
        </w:rPr>
        <w:t>Not meaningful</w:t>
      </w:r>
    </w:p>
    <w:p>
      <w:pPr>
        <w:spacing w:after="0" w:line="20" w:lineRule="exact"/>
        <w:rPr>
          <w:sz w:val="20"/>
          <w:szCs w:val="20"/>
          <w:color w:val="auto"/>
        </w:rPr>
      </w:pPr>
    </w:p>
    <w:p>
      <w:pPr>
        <w:ind w:left="340" w:hanging="336"/>
        <w:spacing w:after="0"/>
        <w:tabs>
          <w:tab w:leader="none" w:pos="340" w:val="left"/>
        </w:tabs>
        <w:numPr>
          <w:ilvl w:val="0"/>
          <w:numId w:val="6"/>
        </w:numPr>
        <w:rPr>
          <w:rFonts w:ascii="Arial" w:cs="Arial" w:eastAsia="Arial" w:hAnsi="Arial"/>
          <w:sz w:val="10"/>
          <w:szCs w:val="10"/>
          <w:color w:val="auto"/>
        </w:rPr>
      </w:pPr>
      <w:r>
        <w:rPr>
          <w:rFonts w:ascii="Arial" w:cs="Arial" w:eastAsia="Arial" w:hAnsi="Arial"/>
          <w:sz w:val="10"/>
          <w:szCs w:val="10"/>
          <w:color w:val="auto"/>
        </w:rPr>
        <w:t>Represents less than 0.5%</w:t>
      </w:r>
    </w:p>
    <w:p>
      <w:pPr>
        <w:spacing w:after="0" w:line="29" w:lineRule="exact"/>
        <w:rPr>
          <w:sz w:val="20"/>
          <w:szCs w:val="20"/>
          <w:color w:val="auto"/>
        </w:rPr>
      </w:pPr>
    </w:p>
    <w:p>
      <w:pPr>
        <w:ind w:left="340" w:hanging="336"/>
        <w:spacing w:after="0"/>
        <w:tabs>
          <w:tab w:leader="none" w:pos="340" w:val="left"/>
        </w:tabs>
        <w:numPr>
          <w:ilvl w:val="0"/>
          <w:numId w:val="7"/>
        </w:numPr>
        <w:rPr>
          <w:rFonts w:ascii="Arial" w:cs="Arial" w:eastAsia="Arial" w:hAnsi="Arial"/>
          <w:sz w:val="10"/>
          <w:szCs w:val="10"/>
          <w:color w:val="auto"/>
        </w:rPr>
      </w:pPr>
      <w:r>
        <w:rPr>
          <w:rFonts w:ascii="Arial" w:cs="Arial" w:eastAsia="Arial" w:hAnsi="Arial"/>
          <w:sz w:val="10"/>
          <w:szCs w:val="10"/>
          <w:color w:val="auto"/>
        </w:rPr>
        <w:t>As presented in our Form 10-K, net revenues consists of net interest income, and fee and other income.</w:t>
      </w:r>
    </w:p>
    <w:p>
      <w:pPr>
        <w:spacing w:after="0" w:line="38" w:lineRule="exact"/>
        <w:rPr>
          <w:rFonts w:ascii="Arial" w:cs="Arial" w:eastAsia="Arial" w:hAnsi="Arial"/>
          <w:sz w:val="10"/>
          <w:szCs w:val="10"/>
          <w:color w:val="auto"/>
        </w:rPr>
      </w:pPr>
    </w:p>
    <w:p>
      <w:pPr>
        <w:ind w:left="340" w:hanging="336"/>
        <w:spacing w:after="0"/>
        <w:tabs>
          <w:tab w:leader="none" w:pos="340" w:val="left"/>
        </w:tabs>
        <w:numPr>
          <w:ilvl w:val="0"/>
          <w:numId w:val="7"/>
        </w:numPr>
        <w:rPr>
          <w:rFonts w:ascii="Arial" w:cs="Arial" w:eastAsia="Arial" w:hAnsi="Arial"/>
          <w:sz w:val="10"/>
          <w:szCs w:val="10"/>
          <w:color w:val="auto"/>
        </w:rPr>
      </w:pPr>
      <w:r>
        <w:rPr>
          <w:rFonts w:ascii="Arial" w:cs="Arial" w:eastAsia="Arial" w:hAnsi="Arial"/>
          <w:sz w:val="10"/>
          <w:szCs w:val="10"/>
          <w:color w:val="auto"/>
        </w:rPr>
        <w:t>Administrative expense ratio is calculated as administrative expenses divided by net revenues during the period. Administrative expense consists of salaries and employee benefits and professional services, technology and occupancy expenses.</w:t>
      </w:r>
    </w:p>
    <w:p>
      <w:pPr>
        <w:spacing w:after="0" w:line="29" w:lineRule="exact"/>
        <w:rPr>
          <w:rFonts w:ascii="Arial" w:cs="Arial" w:eastAsia="Arial" w:hAnsi="Arial"/>
          <w:sz w:val="10"/>
          <w:szCs w:val="10"/>
          <w:color w:val="auto"/>
        </w:rPr>
      </w:pPr>
    </w:p>
    <w:p>
      <w:pPr>
        <w:ind w:left="340" w:right="300" w:hanging="336"/>
        <w:spacing w:after="0" w:line="213" w:lineRule="auto"/>
        <w:tabs>
          <w:tab w:leader="none" w:pos="340" w:val="left"/>
        </w:tabs>
        <w:numPr>
          <w:ilvl w:val="0"/>
          <w:numId w:val="7"/>
        </w:numPr>
        <w:rPr>
          <w:rFonts w:ascii="Arial" w:cs="Arial" w:eastAsia="Arial" w:hAnsi="Arial"/>
          <w:sz w:val="10"/>
          <w:szCs w:val="10"/>
          <w:color w:val="auto"/>
        </w:rPr>
      </w:pPr>
      <w:r>
        <w:rPr>
          <w:rFonts w:ascii="Arial" w:cs="Arial" w:eastAsia="Arial" w:hAnsi="Arial"/>
          <w:sz w:val="10"/>
          <w:szCs w:val="10"/>
          <w:color w:val="auto"/>
        </w:rPr>
        <w:t>Illustrative return on average required Common Equity Tier 1 (CET1) is designed to show what our return on capital would have been if our actual CET1 available capital had been equal to the CET1 capital requirement for the applicable periods. CET1 requirement as presented represents the company's average CET1 capital requirement including prescribed capital conservation buffer amount under the enterprise regulatory capital framework (which is not currently in effect while the company is in conservatorship) for the period as described below and not the amount of the company's actual available CET1 capital. As of December 31, 2025, the company's actual available CET1 capital was a deficit of $41 billion. For each applicable period, the illustrative return on average required CET1 ratio is calculated based on annualized year-to-date net income for the period divided by the average CET1 capital requirement for each quarter to date during the applicable year plus the fourth quarter of the previous year.</w:t>
      </w:r>
    </w:p>
    <w:p>
      <w:pPr>
        <w:spacing w:after="0" w:line="38" w:lineRule="exact"/>
        <w:rPr>
          <w:rFonts w:ascii="Arial" w:cs="Arial" w:eastAsia="Arial" w:hAnsi="Arial"/>
          <w:sz w:val="10"/>
          <w:szCs w:val="10"/>
          <w:color w:val="auto"/>
        </w:rPr>
      </w:pPr>
    </w:p>
    <w:p>
      <w:pPr>
        <w:ind w:left="340" w:right="60" w:hanging="336"/>
        <w:spacing w:after="0"/>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9"/>
          <w:szCs w:val="9"/>
          <w:color w:val="auto"/>
        </w:rPr>
        <w:t>Beginning in the fourth quarter of 2025, the company changed the presentation of debt extinguishment gains and losses from “Other income (expense), net” to “Investment gains (losses), net.” Prior periods have been recast to conform with the current period presentation.</w:t>
      </w:r>
    </w:p>
    <w:p>
      <w:pPr>
        <w:spacing w:after="0" w:line="34" w:lineRule="exact"/>
        <w:rPr>
          <w:rFonts w:ascii="Arial" w:cs="Arial" w:eastAsia="Arial" w:hAnsi="Arial"/>
          <w:sz w:val="18"/>
          <w:szCs w:val="18"/>
          <w:color w:val="auto"/>
          <w:vertAlign w:val="superscript"/>
        </w:rPr>
      </w:pPr>
    </w:p>
    <w:p>
      <w:pPr>
        <w:ind w:left="340" w:hanging="336"/>
        <w:spacing w:after="0" w:line="197" w:lineRule="auto"/>
        <w:tabs>
          <w:tab w:leader="none" w:pos="340" w:val="left"/>
        </w:tabs>
        <w:numPr>
          <w:ilvl w:val="0"/>
          <w:numId w:val="7"/>
        </w:numPr>
        <w:rPr>
          <w:rFonts w:ascii="Arial" w:cs="Arial" w:eastAsia="Arial" w:hAnsi="Arial"/>
          <w:sz w:val="19"/>
          <w:szCs w:val="19"/>
          <w:color w:val="auto"/>
          <w:vertAlign w:val="superscript"/>
        </w:rPr>
      </w:pPr>
      <w:r>
        <w:rPr>
          <w:rFonts w:ascii="Arial" w:cs="Arial" w:eastAsia="Arial" w:hAnsi="Arial"/>
          <w:sz w:val="10"/>
          <w:szCs w:val="10"/>
          <w:color w:val="auto"/>
        </w:rPr>
        <w:t>Consists of salaries and employee benefits and professional services, technology and occupancy expenses.</w:t>
      </w:r>
    </w:p>
    <w:p>
      <w:pPr>
        <w:spacing w:after="0" w:line="63" w:lineRule="exact"/>
        <w:rPr>
          <w:rFonts w:ascii="Arial" w:cs="Arial" w:eastAsia="Arial" w:hAnsi="Arial"/>
          <w:sz w:val="19"/>
          <w:szCs w:val="19"/>
          <w:color w:val="auto"/>
          <w:vertAlign w:val="superscript"/>
        </w:rPr>
      </w:pPr>
    </w:p>
    <w:p>
      <w:pPr>
        <w:ind w:left="340" w:right="580" w:hanging="336"/>
        <w:spacing w:after="0"/>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9"/>
          <w:szCs w:val="9"/>
          <w:color w:val="auto"/>
        </w:rPr>
        <w:t>For single-family, consists of the portion of our single-family guaranty fees that is paid to Treasury pursuant to the TCCA, affordable housing allocations and FHFA assessments. For multifamily, consists of affordable housing allocations and FHFA assessments.</w:t>
      </w:r>
    </w:p>
    <w:p>
      <w:pPr>
        <w:spacing w:after="0" w:line="82" w:lineRule="exact"/>
        <w:rPr>
          <w:rFonts w:ascii="Arial" w:cs="Arial" w:eastAsia="Arial" w:hAnsi="Arial"/>
          <w:sz w:val="18"/>
          <w:szCs w:val="18"/>
          <w:color w:val="auto"/>
          <w:vertAlign w:val="superscript"/>
        </w:rPr>
      </w:pPr>
    </w:p>
    <w:p>
      <w:pPr>
        <w:ind w:left="340" w:right="40" w:hanging="336"/>
        <w:spacing w:after="0" w:line="186"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9"/>
          <w:szCs w:val="9"/>
          <w:color w:val="auto"/>
        </w:rPr>
        <w:t>Consists of costs associated with freestanding credit enhancements, which primarily include the company’s Connecticut Avenue Securities® (“CAS”) and Credit Insurance Risk Transfer</w:t>
      </w:r>
      <w:r>
        <w:rPr>
          <w:rFonts w:ascii="Arial" w:cs="Arial" w:eastAsia="Arial" w:hAnsi="Arial"/>
          <w:sz w:val="6"/>
          <w:szCs w:val="6"/>
          <w:color w:val="auto"/>
        </w:rPr>
        <w:t>TM</w:t>
      </w:r>
      <w:r>
        <w:rPr>
          <w:rFonts w:ascii="Arial" w:cs="Arial" w:eastAsia="Arial" w:hAnsi="Arial"/>
          <w:sz w:val="9"/>
          <w:szCs w:val="9"/>
          <w:color w:val="auto"/>
        </w:rPr>
        <w:t xml:space="preserve"> programs, enterprise-paid mortgage insurance, and certain lender risk-sharing programs.</w:t>
      </w:r>
    </w:p>
    <w:p>
      <w:pPr>
        <w:spacing w:after="0" w:line="1" w:lineRule="exact"/>
        <w:rPr>
          <w:rFonts w:ascii="Arial" w:cs="Arial" w:eastAsia="Arial" w:hAnsi="Arial"/>
          <w:sz w:val="18"/>
          <w:szCs w:val="18"/>
          <w:color w:val="auto"/>
          <w:vertAlign w:val="superscript"/>
        </w:rPr>
      </w:pPr>
    </w:p>
    <w:p>
      <w:pPr>
        <w:ind w:left="340" w:hanging="336"/>
        <w:spacing w:after="0" w:line="197" w:lineRule="auto"/>
        <w:tabs>
          <w:tab w:leader="none" w:pos="340" w:val="left"/>
        </w:tabs>
        <w:numPr>
          <w:ilvl w:val="0"/>
          <w:numId w:val="7"/>
        </w:numPr>
        <w:rPr>
          <w:rFonts w:ascii="Arial" w:cs="Arial" w:eastAsia="Arial" w:hAnsi="Arial"/>
          <w:sz w:val="19"/>
          <w:szCs w:val="19"/>
          <w:color w:val="auto"/>
          <w:vertAlign w:val="superscript"/>
        </w:rPr>
      </w:pPr>
      <w:r>
        <w:rPr>
          <w:rFonts w:ascii="Arial" w:cs="Arial" w:eastAsia="Arial" w:hAnsi="Arial"/>
          <w:sz w:val="10"/>
          <w:szCs w:val="10"/>
          <w:color w:val="auto"/>
        </w:rPr>
        <w:t>Primarily consists of foreclosed property income (expense), change in the expected benefits from our freestanding credit enhancements, and gains (losses) from partnership investments.</w:t>
      </w:r>
    </w:p>
    <w:p>
      <w:pPr>
        <w:spacing w:after="0" w:line="36" w:lineRule="exact"/>
        <w:rPr>
          <w:rFonts w:ascii="Arial" w:cs="Arial" w:eastAsia="Arial" w:hAnsi="Arial"/>
          <w:sz w:val="19"/>
          <w:szCs w:val="19"/>
          <w:color w:val="auto"/>
          <w:vertAlign w:val="superscript"/>
        </w:rPr>
      </w:pPr>
    </w:p>
    <w:p>
      <w:pPr>
        <w:ind w:left="340" w:right="60" w:hanging="336"/>
        <w:spacing w:after="0" w:line="248" w:lineRule="auto"/>
        <w:tabs>
          <w:tab w:leader="none" w:pos="340" w:val="left"/>
        </w:tabs>
        <w:numPr>
          <w:ilvl w:val="0"/>
          <w:numId w:val="7"/>
        </w:numPr>
        <w:rPr>
          <w:rFonts w:ascii="Arial" w:cs="Arial" w:eastAsia="Arial" w:hAnsi="Arial"/>
          <w:sz w:val="10"/>
          <w:szCs w:val="10"/>
          <w:color w:val="auto"/>
        </w:rPr>
      </w:pPr>
      <w:r>
        <w:rPr>
          <w:rFonts w:ascii="Arial" w:cs="Arial" w:eastAsia="Arial" w:hAnsi="Arial"/>
          <w:sz w:val="10"/>
          <w:szCs w:val="10"/>
          <w:color w:val="auto"/>
        </w:rPr>
        <w:t>Single-family seriously delinquent loans are loans that are 90 days or more past due or in the foreclosure process. Our single-family serious delinquency rate is expressed as a percentage of our single-family conventional guaranty book of business based on loan count.</w:t>
      </w:r>
    </w:p>
    <w:p>
      <w:pPr>
        <w:spacing w:after="0" w:line="15" w:lineRule="exact"/>
        <w:rPr>
          <w:rFonts w:ascii="Arial" w:cs="Arial" w:eastAsia="Arial" w:hAnsi="Arial"/>
          <w:sz w:val="10"/>
          <w:szCs w:val="10"/>
          <w:color w:val="auto"/>
        </w:rPr>
      </w:pPr>
    </w:p>
    <w:p>
      <w:pPr>
        <w:ind w:left="340" w:hanging="336"/>
        <w:spacing w:after="0"/>
        <w:tabs>
          <w:tab w:leader="none" w:pos="340" w:val="left"/>
        </w:tabs>
        <w:numPr>
          <w:ilvl w:val="0"/>
          <w:numId w:val="7"/>
        </w:numPr>
        <w:rPr>
          <w:rFonts w:ascii="Arial" w:cs="Arial" w:eastAsia="Arial" w:hAnsi="Arial"/>
          <w:sz w:val="10"/>
          <w:szCs w:val="10"/>
          <w:color w:val="auto"/>
        </w:rPr>
      </w:pPr>
      <w:r>
        <w:rPr>
          <w:rFonts w:ascii="Arial" w:cs="Arial" w:eastAsia="Arial" w:hAnsi="Arial"/>
          <w:sz w:val="10"/>
          <w:szCs w:val="10"/>
          <w:color w:val="auto"/>
        </w:rPr>
        <w:t>Multifamily serious delinquency rate consists of multifamily loans that were 60 days or more past due based on unpaid principal balance, expressed as a percentage of our multifamily guaranty book of business.</w:t>
      </w:r>
    </w:p>
    <w:p>
      <w:pPr>
        <w:spacing w:after="0" w:line="381"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 xml:space="preserve">Investor Contact: </w:t>
      </w:r>
      <w:r>
        <w:rPr>
          <w:rFonts w:ascii="Arial" w:cs="Arial" w:eastAsia="Arial" w:hAnsi="Arial"/>
          <w:sz w:val="12"/>
          <w:szCs w:val="12"/>
          <w:color w:val="000000"/>
        </w:rPr>
        <w:t>Yasaman Hekmat (yasaman_hekmat@fanniemae.com)</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 xml:space="preserve">Media Contact: </w:t>
      </w:r>
      <w:r>
        <w:rPr>
          <w:rFonts w:ascii="Arial" w:cs="Arial" w:eastAsia="Arial" w:hAnsi="Arial"/>
          <w:sz w:val="12"/>
          <w:szCs w:val="12"/>
          <w:color w:val="000000"/>
        </w:rPr>
        <w:t>Matthew Classick (matthew_t_classick@fanniemae.com)</w:t>
      </w:r>
      <w:r>
        <w:rPr>
          <w:rFonts w:ascii="Arial" w:cs="Arial" w:eastAsia="Arial" w:hAnsi="Arial"/>
          <w:sz w:val="9"/>
          <w:szCs w:val="9"/>
          <w:color w:val="000000"/>
        </w:rPr>
        <w:t>.</w:t>
      </w:r>
    </w:p>
    <w:tbl>
      <w:tblPr>
        <w:tblLayout w:type="fixed"/>
        <w:tblInd w:w="0" w:type="dxa"/>
        <w:tblCellMar>
          <w:top w:w="0" w:type="dxa"/>
          <w:left w:w="0" w:type="dxa"/>
          <w:bottom w:w="0" w:type="dxa"/>
          <w:right w:w="0" w:type="dxa"/>
        </w:tblCellMar>
      </w:tblPr>
      <w:tr>
        <w:trPr>
          <w:trHeight w:val="142"/>
        </w:trPr>
        <w:tc>
          <w:tcPr>
            <w:tcW w:w="6100" w:type="dxa"/>
            <w:vAlign w:val="bottom"/>
            <w:tcBorders>
              <w:top w:val="single" w:sz="8" w:color="05314D"/>
            </w:tcBorders>
          </w:tcPr>
          <w:p>
            <w:pPr>
              <w:spacing w:after="0"/>
              <w:rPr>
                <w:sz w:val="20"/>
                <w:szCs w:val="20"/>
                <w:color w:val="auto"/>
              </w:rPr>
            </w:pPr>
            <w:r>
              <w:rPr>
                <w:rFonts w:ascii="Arial" w:cs="Arial" w:eastAsia="Arial" w:hAnsi="Arial"/>
                <w:sz w:val="11"/>
                <w:szCs w:val="11"/>
                <w:color w:val="auto"/>
              </w:rPr>
              <w:t>Fourth Quarter 2025</w:t>
            </w:r>
          </w:p>
        </w:tc>
        <w:tc>
          <w:tcPr>
            <w:tcW w:w="5200" w:type="dxa"/>
            <w:vAlign w:val="bottom"/>
            <w:tcBorders>
              <w:top w:val="single" w:sz="8" w:color="05314D"/>
            </w:tcBorders>
          </w:tcPr>
          <w:p>
            <w:pPr>
              <w:jc w:val="right"/>
              <w:spacing w:after="0"/>
              <w:rPr>
                <w:sz w:val="20"/>
                <w:szCs w:val="20"/>
                <w:color w:val="auto"/>
              </w:rPr>
            </w:pPr>
            <w:r>
              <w:rPr>
                <w:rFonts w:ascii="Arial" w:cs="Arial" w:eastAsia="Arial" w:hAnsi="Arial"/>
                <w:sz w:val="11"/>
                <w:szCs w:val="11"/>
                <w:color w:val="auto"/>
              </w:rPr>
              <w:t>5</w:t>
            </w:r>
          </w:p>
        </w:tc>
      </w:tr>
    </w:tbl>
    <w:p>
      <w:pPr>
        <w:sectPr>
          <w:pgSz w:w="11900" w:h="16838" w:orient="portrait"/>
          <w:cols w:equalWidth="0" w:num="1">
            <w:col w:w="11300"/>
          </w:cols>
          <w:pgMar w:left="300" w:top="1214" w:right="2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4"/>
          <w:szCs w:val="14"/>
          <w:b w:val="1"/>
          <w:bCs w:val="1"/>
          <w:color w:val="05314D"/>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ANNEX</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5314D"/>
        </w:rPr>
        <w:t>FANNIE MAE</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05314D"/>
        </w:rPr>
        <w:t>(In conservatorship)</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05314D"/>
        </w:rPr>
        <w:t>Consolidated Statements of Operations and Comprehensive Income</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05314D"/>
        </w:rPr>
        <w:t>(Dollars and shares in millions, except per share amounts)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132"/>
        </w:trPr>
        <w:tc>
          <w:tcPr>
            <w:tcW w:w="33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80" w:type="dxa"/>
            <w:vAlign w:val="bottom"/>
            <w:tcBorders>
              <w:bottom w:val="single" w:sz="8" w:color="5587A6"/>
            </w:tcBorders>
          </w:tcPr>
          <w:p>
            <w:pPr>
              <w:spacing w:after="0"/>
              <w:rPr>
                <w:sz w:val="11"/>
                <w:szCs w:val="11"/>
                <w:color w:val="auto"/>
              </w:rPr>
            </w:pPr>
          </w:p>
        </w:tc>
        <w:tc>
          <w:tcPr>
            <w:tcW w:w="220" w:type="dxa"/>
            <w:vAlign w:val="bottom"/>
            <w:tcBorders>
              <w:bottom w:val="single" w:sz="8" w:color="5587A6"/>
            </w:tcBorders>
          </w:tcPr>
          <w:p>
            <w:pPr>
              <w:spacing w:after="0"/>
              <w:rPr>
                <w:sz w:val="11"/>
                <w:szCs w:val="11"/>
                <w:color w:val="auto"/>
              </w:rPr>
            </w:pPr>
          </w:p>
        </w:tc>
        <w:tc>
          <w:tcPr>
            <w:tcW w:w="2240" w:type="dxa"/>
            <w:vAlign w:val="bottom"/>
            <w:tcBorders>
              <w:bottom w:val="single" w:sz="8" w:color="5587A6"/>
            </w:tcBorders>
            <w:gridSpan w:val="10"/>
          </w:tcPr>
          <w:p>
            <w:pPr>
              <w:jc w:val="right"/>
              <w:ind w:right="92"/>
              <w:spacing w:after="0"/>
              <w:rPr>
                <w:sz w:val="20"/>
                <w:szCs w:val="20"/>
                <w:color w:val="auto"/>
              </w:rPr>
            </w:pPr>
            <w:r>
              <w:rPr>
                <w:rFonts w:ascii="Arial" w:cs="Arial" w:eastAsia="Arial" w:hAnsi="Arial"/>
                <w:sz w:val="10"/>
                <w:szCs w:val="10"/>
                <w:b w:val="1"/>
                <w:bCs w:val="1"/>
                <w:color w:val="auto"/>
              </w:rPr>
              <w:t>For the Year Ended December 31,</w:t>
            </w:r>
          </w:p>
        </w:tc>
        <w:tc>
          <w:tcPr>
            <w:tcW w:w="640" w:type="dxa"/>
            <w:vAlign w:val="bottom"/>
            <w:tcBorders>
              <w:bottom w:val="single" w:sz="8" w:color="5587A6"/>
            </w:tcBorders>
          </w:tcPr>
          <w:p>
            <w:pPr>
              <w:spacing w:after="0"/>
              <w:rPr>
                <w:sz w:val="11"/>
                <w:szCs w:val="11"/>
                <w:color w:val="auto"/>
              </w:rPr>
            </w:pPr>
          </w:p>
        </w:tc>
        <w:tc>
          <w:tcPr>
            <w:tcW w:w="80" w:type="dxa"/>
            <w:vAlign w:val="bottom"/>
            <w:tcBorders>
              <w:bottom w:val="single" w:sz="8" w:color="5587A6"/>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38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80" w:type="dxa"/>
            <w:vAlign w:val="bottom"/>
            <w:tcBorders>
              <w:bottom w:val="single" w:sz="8" w:color="5587A6"/>
            </w:tcBorders>
          </w:tcPr>
          <w:p>
            <w:pPr>
              <w:spacing w:after="0"/>
              <w:rPr>
                <w:sz w:val="10"/>
                <w:szCs w:val="10"/>
                <w:color w:val="auto"/>
              </w:rPr>
            </w:pPr>
          </w:p>
        </w:tc>
        <w:tc>
          <w:tcPr>
            <w:tcW w:w="220" w:type="dxa"/>
            <w:vAlign w:val="bottom"/>
            <w:tcBorders>
              <w:bottom w:val="single" w:sz="8" w:color="5587A6"/>
            </w:tcBorders>
          </w:tcPr>
          <w:p>
            <w:pPr>
              <w:spacing w:after="0"/>
              <w:rPr>
                <w:sz w:val="10"/>
                <w:szCs w:val="10"/>
                <w:color w:val="auto"/>
              </w:rPr>
            </w:pPr>
          </w:p>
        </w:tc>
        <w:tc>
          <w:tcPr>
            <w:tcW w:w="700" w:type="dxa"/>
            <w:vAlign w:val="bottom"/>
            <w:tcBorders>
              <w:bottom w:val="single" w:sz="8" w:color="5587A6"/>
            </w:tcBorders>
          </w:tcPr>
          <w:p>
            <w:pPr>
              <w:jc w:val="right"/>
              <w:ind w:right="31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5587A6"/>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5587A6"/>
            </w:tcBorders>
          </w:tcPr>
          <w:p>
            <w:pPr>
              <w:spacing w:after="0"/>
              <w:rPr>
                <w:sz w:val="10"/>
                <w:szCs w:val="10"/>
                <w:color w:val="auto"/>
              </w:rPr>
            </w:pPr>
          </w:p>
        </w:tc>
        <w:tc>
          <w:tcPr>
            <w:tcW w:w="200" w:type="dxa"/>
            <w:vAlign w:val="bottom"/>
            <w:tcBorders>
              <w:bottom w:val="single" w:sz="8" w:color="5587A6"/>
            </w:tcBorders>
          </w:tcPr>
          <w:p>
            <w:pPr>
              <w:spacing w:after="0"/>
              <w:rPr>
                <w:sz w:val="10"/>
                <w:szCs w:val="10"/>
                <w:color w:val="auto"/>
              </w:rPr>
            </w:pPr>
          </w:p>
        </w:tc>
        <w:tc>
          <w:tcPr>
            <w:tcW w:w="720" w:type="dxa"/>
            <w:vAlign w:val="bottom"/>
            <w:tcBorders>
              <w:bottom w:val="single" w:sz="8" w:color="5587A6"/>
            </w:tcBorders>
          </w:tcPr>
          <w:p>
            <w:pPr>
              <w:jc w:val="right"/>
              <w:ind w:right="312"/>
              <w:spacing w:after="0"/>
              <w:rPr>
                <w:sz w:val="20"/>
                <w:szCs w:val="20"/>
                <w:color w:val="auto"/>
              </w:rPr>
            </w:pPr>
            <w:r>
              <w:rPr>
                <w:rFonts w:ascii="Arial" w:cs="Arial" w:eastAsia="Arial" w:hAnsi="Arial"/>
                <w:sz w:val="10"/>
                <w:szCs w:val="10"/>
                <w:b w:val="1"/>
                <w:bCs w:val="1"/>
                <w:color w:val="auto"/>
              </w:rPr>
              <w:t>2024</w:t>
            </w:r>
          </w:p>
        </w:tc>
        <w:tc>
          <w:tcPr>
            <w:tcW w:w="60" w:type="dxa"/>
            <w:vAlign w:val="bottom"/>
            <w:tcBorders>
              <w:bottom w:val="single" w:sz="8" w:color="5587A6"/>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5587A6"/>
            </w:tcBorders>
          </w:tcPr>
          <w:p>
            <w:pPr>
              <w:spacing w:after="0"/>
              <w:rPr>
                <w:sz w:val="10"/>
                <w:szCs w:val="10"/>
                <w:color w:val="auto"/>
              </w:rPr>
            </w:pPr>
          </w:p>
        </w:tc>
        <w:tc>
          <w:tcPr>
            <w:tcW w:w="180" w:type="dxa"/>
            <w:vAlign w:val="bottom"/>
            <w:tcBorders>
              <w:bottom w:val="single" w:sz="8" w:color="5587A6"/>
            </w:tcBorders>
          </w:tcPr>
          <w:p>
            <w:pPr>
              <w:spacing w:after="0"/>
              <w:rPr>
                <w:sz w:val="10"/>
                <w:szCs w:val="10"/>
                <w:color w:val="auto"/>
              </w:rPr>
            </w:pPr>
          </w:p>
        </w:tc>
        <w:tc>
          <w:tcPr>
            <w:tcW w:w="640" w:type="dxa"/>
            <w:vAlign w:val="bottom"/>
            <w:tcBorders>
              <w:bottom w:val="single" w:sz="8" w:color="5587A6"/>
            </w:tcBorders>
          </w:tcPr>
          <w:p>
            <w:pPr>
              <w:jc w:val="right"/>
              <w:ind w:right="252"/>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bottom w:val="single" w:sz="8" w:color="5587A6"/>
            </w:tcBorders>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3380" w:type="dxa"/>
            <w:vAlign w:val="bottom"/>
          </w:tcPr>
          <w:p>
            <w:pPr>
              <w:spacing w:after="0" w:line="111" w:lineRule="exact"/>
              <w:rPr>
                <w:sz w:val="20"/>
                <w:szCs w:val="20"/>
                <w:color w:val="auto"/>
              </w:rPr>
            </w:pPr>
            <w:r>
              <w:rPr>
                <w:rFonts w:ascii="Arial" w:cs="Arial" w:eastAsia="Arial" w:hAnsi="Arial"/>
                <w:sz w:val="10"/>
                <w:szCs w:val="10"/>
                <w:color w:val="auto"/>
              </w:rPr>
              <w:t>Interest income:</w:t>
            </w:r>
          </w:p>
        </w:tc>
        <w:tc>
          <w:tcPr>
            <w:tcW w:w="4280" w:type="dxa"/>
            <w:vAlign w:val="bottom"/>
            <w:gridSpan w:val="3"/>
            <w:vMerge w:val="restart"/>
          </w:tcPr>
          <w:p>
            <w:pPr>
              <w:jc w:val="right"/>
              <w:ind w:right="92"/>
              <w:spacing w:after="0"/>
              <w:rPr>
                <w:sz w:val="20"/>
                <w:szCs w:val="20"/>
                <w:color w:val="auto"/>
              </w:rPr>
            </w:pPr>
            <w:r>
              <w:rPr>
                <w:rFonts w:ascii="Arial" w:cs="Arial" w:eastAsia="Arial" w:hAnsi="Arial"/>
                <w:sz w:val="10"/>
                <w:szCs w:val="10"/>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152,149</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380" w:type="dxa"/>
            <w:vAlign w:val="bottom"/>
          </w:tcPr>
          <w:p>
            <w:pPr>
              <w:ind w:left="120"/>
              <w:spacing w:after="0"/>
              <w:rPr>
                <w:sz w:val="20"/>
                <w:szCs w:val="20"/>
                <w:color w:val="auto"/>
              </w:rPr>
            </w:pPr>
            <w:r>
              <w:rPr>
                <w:rFonts w:ascii="Arial" w:cs="Arial" w:eastAsia="Arial" w:hAnsi="Arial"/>
                <w:sz w:val="10"/>
                <w:szCs w:val="10"/>
                <w:color w:val="auto"/>
              </w:rPr>
              <w:t>Mortgage loans</w:t>
            </w:r>
          </w:p>
        </w:tc>
        <w:tc>
          <w:tcPr>
            <w:tcW w:w="428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144,152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133,234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80" w:type="dxa"/>
            <w:vAlign w:val="bottom"/>
          </w:tcPr>
          <w:p>
            <w:pPr>
              <w:ind w:left="120"/>
              <w:spacing w:after="0"/>
              <w:rPr>
                <w:sz w:val="20"/>
                <w:szCs w:val="20"/>
                <w:color w:val="auto"/>
              </w:rPr>
            </w:pPr>
            <w:r>
              <w:rPr>
                <w:rFonts w:ascii="Arial" w:cs="Arial" w:eastAsia="Arial" w:hAnsi="Arial"/>
                <w:sz w:val="10"/>
                <w:szCs w:val="10"/>
                <w:color w:val="auto"/>
              </w:rPr>
              <w:t>Securities purchased under agreements to resell</w:t>
            </w:r>
          </w:p>
        </w:tc>
        <w:tc>
          <w:tcPr>
            <w:tcW w:w="3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3,354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4,170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4,427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8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Investments in securities and other</w:t>
            </w:r>
          </w:p>
        </w:tc>
        <w:tc>
          <w:tcPr>
            <w:tcW w:w="3980" w:type="dxa"/>
            <w:vAlign w:val="bottom"/>
            <w:tcBorders>
              <w:bottom w:val="single" w:sz="8" w:color="5587A6"/>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3,115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5587A6"/>
            </w:tcBorders>
          </w:tcPr>
          <w:p>
            <w:pPr>
              <w:spacing w:after="0"/>
              <w:rPr>
                <w:sz w:val="11"/>
                <w:szCs w:val="11"/>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2,244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color w:val="auto"/>
              </w:rPr>
              <w:t>2,053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380" w:type="dxa"/>
            <w:vAlign w:val="bottom"/>
            <w:tcBorders>
              <w:bottom w:val="single" w:sz="8" w:color="5587A6"/>
            </w:tcBorders>
          </w:tcPr>
          <w:p>
            <w:pPr>
              <w:ind w:left="220"/>
              <w:spacing w:after="0"/>
              <w:rPr>
                <w:sz w:val="20"/>
                <w:szCs w:val="20"/>
                <w:color w:val="auto"/>
              </w:rPr>
            </w:pPr>
            <w:r>
              <w:rPr>
                <w:rFonts w:ascii="Arial" w:cs="Arial" w:eastAsia="Arial" w:hAnsi="Arial"/>
                <w:sz w:val="10"/>
                <w:szCs w:val="10"/>
                <w:color w:val="auto"/>
              </w:rPr>
              <w:t>Total interest income</w:t>
            </w:r>
          </w:p>
        </w:tc>
        <w:tc>
          <w:tcPr>
            <w:tcW w:w="3980" w:type="dxa"/>
            <w:vAlign w:val="bottom"/>
            <w:tcBorders>
              <w:bottom w:val="single" w:sz="8" w:color="5587A6"/>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5587A6"/>
            </w:tcBorders>
          </w:tcPr>
          <w:p>
            <w:pPr>
              <w:spacing w:after="0"/>
              <w:rPr>
                <w:sz w:val="10"/>
                <w:szCs w:val="10"/>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158,618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5587A6"/>
            </w:tcBorders>
          </w:tcPr>
          <w:p>
            <w:pPr>
              <w:spacing w:after="0"/>
              <w:rPr>
                <w:sz w:val="10"/>
                <w:szCs w:val="10"/>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150,566</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5587A6"/>
            </w:tcBorders>
          </w:tcPr>
          <w:p>
            <w:pPr>
              <w:spacing w:after="0"/>
              <w:rPr>
                <w:sz w:val="10"/>
                <w:szCs w:val="10"/>
                <w:color w:val="auto"/>
              </w:rPr>
            </w:pPr>
          </w:p>
        </w:tc>
        <w:tc>
          <w:tcPr>
            <w:tcW w:w="64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color w:val="auto"/>
              </w:rPr>
              <w:t>139,714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380" w:type="dxa"/>
            <w:vAlign w:val="bottom"/>
          </w:tcPr>
          <w:p>
            <w:pPr>
              <w:spacing w:after="0"/>
              <w:rPr>
                <w:sz w:val="20"/>
                <w:szCs w:val="20"/>
                <w:color w:val="auto"/>
              </w:rPr>
            </w:pPr>
            <w:r>
              <w:rPr>
                <w:rFonts w:ascii="Arial" w:cs="Arial" w:eastAsia="Arial" w:hAnsi="Arial"/>
                <w:sz w:val="10"/>
                <w:szCs w:val="10"/>
                <w:color w:val="auto"/>
              </w:rPr>
              <w:t>Interest expense:</w:t>
            </w:r>
          </w:p>
        </w:tc>
        <w:tc>
          <w:tcPr>
            <w:tcW w:w="3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380" w:type="dxa"/>
            <w:vAlign w:val="bottom"/>
          </w:tcPr>
          <w:p>
            <w:pPr>
              <w:ind w:left="120"/>
              <w:spacing w:after="0"/>
              <w:rPr>
                <w:sz w:val="20"/>
                <w:szCs w:val="20"/>
                <w:color w:val="auto"/>
              </w:rPr>
            </w:pPr>
            <w:r>
              <w:rPr>
                <w:rFonts w:ascii="Arial" w:cs="Arial" w:eastAsia="Arial" w:hAnsi="Arial"/>
                <w:sz w:val="10"/>
                <w:szCs w:val="10"/>
                <w:color w:val="auto"/>
              </w:rPr>
              <w:t>Short-term debt</w:t>
            </w:r>
          </w:p>
        </w:tc>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(585)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(595)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(672)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38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Long-term debt</w:t>
            </w:r>
          </w:p>
        </w:tc>
        <w:tc>
          <w:tcPr>
            <w:tcW w:w="3980" w:type="dxa"/>
            <w:vAlign w:val="bottom"/>
            <w:tcBorders>
              <w:bottom w:val="single" w:sz="8" w:color="5587A6"/>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(129,425)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5587A6"/>
            </w:tcBorders>
          </w:tcPr>
          <w:p>
            <w:pPr>
              <w:spacing w:after="0"/>
              <w:rPr>
                <w:sz w:val="11"/>
                <w:szCs w:val="11"/>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(121,223)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(110,269)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380" w:type="dxa"/>
            <w:vAlign w:val="bottom"/>
            <w:tcBorders>
              <w:bottom w:val="single" w:sz="8" w:color="5587A6"/>
            </w:tcBorders>
          </w:tcPr>
          <w:p>
            <w:pPr>
              <w:ind w:left="220"/>
              <w:spacing w:after="0"/>
              <w:rPr>
                <w:sz w:val="20"/>
                <w:szCs w:val="20"/>
                <w:color w:val="auto"/>
              </w:rPr>
            </w:pPr>
            <w:r>
              <w:rPr>
                <w:rFonts w:ascii="Arial" w:cs="Arial" w:eastAsia="Arial" w:hAnsi="Arial"/>
                <w:sz w:val="10"/>
                <w:szCs w:val="10"/>
                <w:color w:val="auto"/>
              </w:rPr>
              <w:t>Total interest expense</w:t>
            </w:r>
          </w:p>
        </w:tc>
        <w:tc>
          <w:tcPr>
            <w:tcW w:w="3980" w:type="dxa"/>
            <w:vAlign w:val="bottom"/>
            <w:tcBorders>
              <w:bottom w:val="single" w:sz="8" w:color="5587A6"/>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5587A6"/>
            </w:tcBorders>
          </w:tcPr>
          <w:p>
            <w:pPr>
              <w:spacing w:after="0"/>
              <w:rPr>
                <w:sz w:val="10"/>
                <w:szCs w:val="10"/>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(130,010)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5587A6"/>
            </w:tcBorders>
          </w:tcPr>
          <w:p>
            <w:pPr>
              <w:spacing w:after="0"/>
              <w:rPr>
                <w:sz w:val="10"/>
                <w:szCs w:val="10"/>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(121,818)</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5587A6"/>
            </w:tcBorders>
          </w:tcPr>
          <w:p>
            <w:pPr>
              <w:spacing w:after="0"/>
              <w:rPr>
                <w:sz w:val="10"/>
                <w:szCs w:val="10"/>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(110,941)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380" w:type="dxa"/>
            <w:vAlign w:val="bottom"/>
            <w:tcBorders>
              <w:bottom w:val="single" w:sz="8" w:color="5587A6"/>
            </w:tcBorders>
          </w:tcPr>
          <w:p>
            <w:pPr>
              <w:ind w:left="220"/>
              <w:spacing w:after="0"/>
              <w:rPr>
                <w:sz w:val="20"/>
                <w:szCs w:val="20"/>
                <w:color w:val="auto"/>
              </w:rPr>
            </w:pPr>
            <w:r>
              <w:rPr>
                <w:rFonts w:ascii="Arial" w:cs="Arial" w:eastAsia="Arial" w:hAnsi="Arial"/>
                <w:sz w:val="10"/>
                <w:szCs w:val="10"/>
                <w:color w:val="auto"/>
              </w:rPr>
              <w:t>Net interest income</w:t>
            </w:r>
          </w:p>
        </w:tc>
        <w:tc>
          <w:tcPr>
            <w:tcW w:w="3980" w:type="dxa"/>
            <w:vAlign w:val="bottom"/>
            <w:tcBorders>
              <w:bottom w:val="single" w:sz="8" w:color="5587A6"/>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5587A6"/>
            </w:tcBorders>
          </w:tcPr>
          <w:p>
            <w:pPr>
              <w:spacing w:after="0"/>
              <w:rPr>
                <w:sz w:val="10"/>
                <w:szCs w:val="10"/>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28,608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5587A6"/>
            </w:tcBorders>
          </w:tcPr>
          <w:p>
            <w:pPr>
              <w:spacing w:after="0"/>
              <w:rPr>
                <w:sz w:val="10"/>
                <w:szCs w:val="10"/>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28,748</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5587A6"/>
            </w:tcBorders>
          </w:tcPr>
          <w:p>
            <w:pPr>
              <w:spacing w:after="0"/>
              <w:rPr>
                <w:sz w:val="10"/>
                <w:szCs w:val="10"/>
                <w:color w:val="auto"/>
              </w:rPr>
            </w:pPr>
          </w:p>
        </w:tc>
        <w:tc>
          <w:tcPr>
            <w:tcW w:w="64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color w:val="auto"/>
              </w:rPr>
              <w:t>28,773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380" w:type="dxa"/>
            <w:vAlign w:val="bottom"/>
          </w:tcPr>
          <w:p>
            <w:pPr>
              <w:spacing w:after="0"/>
              <w:rPr>
                <w:sz w:val="20"/>
                <w:szCs w:val="20"/>
                <w:color w:val="auto"/>
              </w:rPr>
            </w:pPr>
            <w:r>
              <w:rPr>
                <w:rFonts w:ascii="Arial" w:cs="Arial" w:eastAsia="Arial" w:hAnsi="Arial"/>
                <w:sz w:val="10"/>
                <w:szCs w:val="10"/>
                <w:color w:val="auto"/>
              </w:rPr>
              <w:t>Non-interest Income:</w:t>
            </w:r>
          </w:p>
        </w:tc>
        <w:tc>
          <w:tcPr>
            <w:tcW w:w="3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380" w:type="dxa"/>
            <w:vAlign w:val="bottom"/>
          </w:tcPr>
          <w:p>
            <w:pPr>
              <w:spacing w:after="0"/>
              <w:rPr>
                <w:sz w:val="20"/>
                <w:szCs w:val="20"/>
                <w:color w:val="auto"/>
              </w:rPr>
            </w:pPr>
            <w:r>
              <w:rPr>
                <w:rFonts w:ascii="Arial" w:cs="Arial" w:eastAsia="Arial" w:hAnsi="Arial"/>
                <w:sz w:val="10"/>
                <w:szCs w:val="10"/>
                <w:color w:val="auto"/>
              </w:rPr>
              <w:t>Fair value gains (losses), net</w:t>
            </w:r>
          </w:p>
        </w:tc>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90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1,821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1,304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0"/>
                <w:szCs w:val="10"/>
                <w:color w:val="auto"/>
              </w:rPr>
              <w:t>Fee and other income</w:t>
            </w:r>
          </w:p>
        </w:tc>
        <w:tc>
          <w:tcPr>
            <w:tcW w:w="3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356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321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275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80" w:type="dxa"/>
            <w:vAlign w:val="bottom"/>
            <w:tcBorders>
              <w:bottom w:val="single" w:sz="8" w:color="5587A6"/>
            </w:tcBorders>
          </w:tcPr>
          <w:p>
            <w:pPr>
              <w:spacing w:after="0"/>
              <w:rPr>
                <w:sz w:val="20"/>
                <w:szCs w:val="20"/>
                <w:color w:val="auto"/>
              </w:rPr>
            </w:pPr>
            <w:r>
              <w:rPr>
                <w:rFonts w:ascii="Arial" w:cs="Arial" w:eastAsia="Arial" w:hAnsi="Arial"/>
                <w:sz w:val="10"/>
                <w:szCs w:val="10"/>
                <w:color w:val="auto"/>
              </w:rPr>
              <w:t>Investment gains (losses), net</w:t>
            </w:r>
          </w:p>
        </w:tc>
        <w:tc>
          <w:tcPr>
            <w:tcW w:w="3980" w:type="dxa"/>
            <w:vAlign w:val="bottom"/>
            <w:tcBorders>
              <w:bottom w:val="single" w:sz="8" w:color="5587A6"/>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105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5587A6"/>
            </w:tcBorders>
          </w:tcPr>
          <w:p>
            <w:pPr>
              <w:spacing w:after="0"/>
              <w:rPr>
                <w:sz w:val="11"/>
                <w:szCs w:val="11"/>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(96)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(265)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380" w:type="dxa"/>
            <w:vAlign w:val="bottom"/>
            <w:tcBorders>
              <w:bottom w:val="single" w:sz="8" w:color="5587A6"/>
            </w:tcBorders>
          </w:tcPr>
          <w:p>
            <w:pPr>
              <w:ind w:left="220"/>
              <w:spacing w:after="0"/>
              <w:rPr>
                <w:sz w:val="20"/>
                <w:szCs w:val="20"/>
                <w:color w:val="auto"/>
              </w:rPr>
            </w:pPr>
            <w:r>
              <w:rPr>
                <w:rFonts w:ascii="Arial" w:cs="Arial" w:eastAsia="Arial" w:hAnsi="Arial"/>
                <w:sz w:val="10"/>
                <w:szCs w:val="10"/>
                <w:color w:val="auto"/>
              </w:rPr>
              <w:t>Non-interest income</w:t>
            </w:r>
          </w:p>
        </w:tc>
        <w:tc>
          <w:tcPr>
            <w:tcW w:w="3980" w:type="dxa"/>
            <w:vAlign w:val="bottom"/>
            <w:tcBorders>
              <w:bottom w:val="single" w:sz="8" w:color="5587A6"/>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5587A6"/>
            </w:tcBorders>
          </w:tcPr>
          <w:p>
            <w:pPr>
              <w:spacing w:after="0"/>
              <w:rPr>
                <w:sz w:val="10"/>
                <w:szCs w:val="10"/>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551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5587A6"/>
            </w:tcBorders>
          </w:tcPr>
          <w:p>
            <w:pPr>
              <w:spacing w:after="0"/>
              <w:rPr>
                <w:sz w:val="10"/>
                <w:szCs w:val="10"/>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2,046</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5587A6"/>
            </w:tcBorders>
          </w:tcPr>
          <w:p>
            <w:pPr>
              <w:spacing w:after="0"/>
              <w:rPr>
                <w:sz w:val="10"/>
                <w:szCs w:val="10"/>
                <w:color w:val="auto"/>
              </w:rPr>
            </w:pPr>
          </w:p>
        </w:tc>
        <w:tc>
          <w:tcPr>
            <w:tcW w:w="64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color w:val="auto"/>
              </w:rPr>
              <w:t>1,314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380" w:type="dxa"/>
            <w:vAlign w:val="bottom"/>
          </w:tcPr>
          <w:p>
            <w:pPr>
              <w:spacing w:after="0"/>
              <w:rPr>
                <w:sz w:val="20"/>
                <w:szCs w:val="20"/>
                <w:color w:val="auto"/>
              </w:rPr>
            </w:pPr>
            <w:r>
              <w:rPr>
                <w:rFonts w:ascii="Arial" w:cs="Arial" w:eastAsia="Arial" w:hAnsi="Arial"/>
                <w:sz w:val="10"/>
                <w:szCs w:val="10"/>
                <w:color w:val="auto"/>
              </w:rPr>
              <w:t>(Provision) benefit for credit losses</w:t>
            </w:r>
          </w:p>
        </w:tc>
        <w:tc>
          <w:tcPr>
            <w:tcW w:w="3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(1,606)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186</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1,670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380" w:type="dxa"/>
            <w:vAlign w:val="bottom"/>
          </w:tcPr>
          <w:p>
            <w:pPr>
              <w:spacing w:after="0"/>
              <w:rPr>
                <w:sz w:val="20"/>
                <w:szCs w:val="20"/>
                <w:color w:val="auto"/>
              </w:rPr>
            </w:pPr>
            <w:r>
              <w:rPr>
                <w:rFonts w:ascii="Arial" w:cs="Arial" w:eastAsia="Arial" w:hAnsi="Arial"/>
                <w:sz w:val="10"/>
                <w:szCs w:val="10"/>
                <w:color w:val="auto"/>
              </w:rPr>
              <w:t>Non-interest expense:</w:t>
            </w:r>
          </w:p>
        </w:tc>
        <w:tc>
          <w:tcPr>
            <w:tcW w:w="3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380" w:type="dxa"/>
            <w:vAlign w:val="bottom"/>
          </w:tcPr>
          <w:p>
            <w:pPr>
              <w:ind w:left="120"/>
              <w:spacing w:after="0"/>
              <w:rPr>
                <w:sz w:val="20"/>
                <w:szCs w:val="20"/>
                <w:color w:val="auto"/>
              </w:rPr>
            </w:pPr>
            <w:r>
              <w:rPr>
                <w:rFonts w:ascii="Arial" w:cs="Arial" w:eastAsia="Arial" w:hAnsi="Arial"/>
                <w:sz w:val="10"/>
                <w:szCs w:val="10"/>
                <w:color w:val="auto"/>
              </w:rPr>
              <w:t>Salaries and employee benefits</w:t>
            </w:r>
          </w:p>
        </w:tc>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(2,094)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(2,004)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(1,906)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80" w:type="dxa"/>
            <w:vAlign w:val="bottom"/>
          </w:tcPr>
          <w:p>
            <w:pPr>
              <w:ind w:left="120"/>
              <w:spacing w:after="0"/>
              <w:rPr>
                <w:sz w:val="20"/>
                <w:szCs w:val="20"/>
                <w:color w:val="auto"/>
              </w:rPr>
            </w:pPr>
            <w:r>
              <w:rPr>
                <w:rFonts w:ascii="Arial" w:cs="Arial" w:eastAsia="Arial" w:hAnsi="Arial"/>
                <w:sz w:val="10"/>
                <w:szCs w:val="10"/>
                <w:color w:val="auto"/>
              </w:rPr>
              <w:t>Professional services, technology, and occupancy</w:t>
            </w:r>
          </w:p>
        </w:tc>
        <w:tc>
          <w:tcPr>
            <w:tcW w:w="3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(1,485)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(1,615)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(1,539)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tcPr>
          <w:p>
            <w:pPr>
              <w:ind w:left="120"/>
              <w:spacing w:after="0"/>
              <w:rPr>
                <w:sz w:val="20"/>
                <w:szCs w:val="20"/>
                <w:color w:val="auto"/>
              </w:rPr>
            </w:pPr>
            <w:r>
              <w:rPr>
                <w:rFonts w:ascii="Arial" w:cs="Arial" w:eastAsia="Arial" w:hAnsi="Arial"/>
                <w:sz w:val="10"/>
                <w:szCs w:val="10"/>
                <w:color w:val="auto"/>
              </w:rPr>
              <w:t>Legislative assessments</w:t>
            </w:r>
          </w:p>
        </w:tc>
        <w:tc>
          <w:tcPr>
            <w:tcW w:w="3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(3,749)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(3,766)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(3,745)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tcPr>
          <w:p>
            <w:pPr>
              <w:ind w:left="120"/>
              <w:spacing w:after="0"/>
              <w:rPr>
                <w:sz w:val="20"/>
                <w:szCs w:val="20"/>
                <w:color w:val="auto"/>
              </w:rPr>
            </w:pPr>
            <w:r>
              <w:rPr>
                <w:rFonts w:ascii="Arial" w:cs="Arial" w:eastAsia="Arial" w:hAnsi="Arial"/>
                <w:sz w:val="10"/>
                <w:szCs w:val="10"/>
                <w:color w:val="auto"/>
              </w:rPr>
              <w:t>Credit enhancement expense</w:t>
            </w:r>
          </w:p>
        </w:tc>
        <w:tc>
          <w:tcPr>
            <w:tcW w:w="3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(1,656)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(1,641)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(1,512)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8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Other income (expense), net</w:t>
            </w:r>
          </w:p>
        </w:tc>
        <w:tc>
          <w:tcPr>
            <w:tcW w:w="3980" w:type="dxa"/>
            <w:vAlign w:val="bottom"/>
            <w:tcBorders>
              <w:bottom w:val="single" w:sz="8" w:color="5587A6"/>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(586)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5587A6"/>
            </w:tcBorders>
          </w:tcPr>
          <w:p>
            <w:pPr>
              <w:spacing w:after="0"/>
              <w:rPr>
                <w:sz w:val="11"/>
                <w:szCs w:val="11"/>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(685)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(1,099)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380" w:type="dxa"/>
            <w:vAlign w:val="bottom"/>
            <w:tcBorders>
              <w:bottom w:val="single" w:sz="8" w:color="5587A6"/>
            </w:tcBorders>
          </w:tcPr>
          <w:p>
            <w:pPr>
              <w:ind w:left="220"/>
              <w:spacing w:after="0"/>
              <w:rPr>
                <w:sz w:val="20"/>
                <w:szCs w:val="20"/>
                <w:color w:val="auto"/>
              </w:rPr>
            </w:pPr>
            <w:r>
              <w:rPr>
                <w:rFonts w:ascii="Arial" w:cs="Arial" w:eastAsia="Arial" w:hAnsi="Arial"/>
                <w:sz w:val="10"/>
                <w:szCs w:val="10"/>
                <w:color w:val="auto"/>
              </w:rPr>
              <w:t>Total non-interest expense</w:t>
            </w:r>
          </w:p>
        </w:tc>
        <w:tc>
          <w:tcPr>
            <w:tcW w:w="3980" w:type="dxa"/>
            <w:vAlign w:val="bottom"/>
            <w:tcBorders>
              <w:bottom w:val="single" w:sz="8" w:color="5587A6"/>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5587A6"/>
            </w:tcBorders>
          </w:tcPr>
          <w:p>
            <w:pPr>
              <w:spacing w:after="0"/>
              <w:rPr>
                <w:sz w:val="10"/>
                <w:szCs w:val="10"/>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(9,570)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5587A6"/>
            </w:tcBorders>
          </w:tcPr>
          <w:p>
            <w:pPr>
              <w:spacing w:after="0"/>
              <w:rPr>
                <w:sz w:val="10"/>
                <w:szCs w:val="10"/>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(9,711)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5587A6"/>
            </w:tcBorders>
          </w:tcPr>
          <w:p>
            <w:pPr>
              <w:spacing w:after="0"/>
              <w:rPr>
                <w:sz w:val="10"/>
                <w:szCs w:val="10"/>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(9,801)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380" w:type="dxa"/>
            <w:vAlign w:val="bottom"/>
          </w:tcPr>
          <w:p>
            <w:pPr>
              <w:spacing w:after="0"/>
              <w:rPr>
                <w:sz w:val="20"/>
                <w:szCs w:val="20"/>
                <w:color w:val="auto"/>
              </w:rPr>
            </w:pPr>
            <w:r>
              <w:rPr>
                <w:rFonts w:ascii="Arial" w:cs="Arial" w:eastAsia="Arial" w:hAnsi="Arial"/>
                <w:sz w:val="10"/>
                <w:szCs w:val="10"/>
                <w:color w:val="auto"/>
              </w:rPr>
              <w:t>Income before federal income taxes</w:t>
            </w:r>
          </w:p>
        </w:tc>
        <w:tc>
          <w:tcPr>
            <w:tcW w:w="3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17,983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21,269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21,956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380" w:type="dxa"/>
            <w:vAlign w:val="bottom"/>
            <w:tcBorders>
              <w:bottom w:val="single" w:sz="8" w:color="5587A6"/>
            </w:tcBorders>
          </w:tcPr>
          <w:p>
            <w:pPr>
              <w:spacing w:after="0"/>
              <w:rPr>
                <w:sz w:val="20"/>
                <w:szCs w:val="20"/>
                <w:color w:val="auto"/>
              </w:rPr>
            </w:pPr>
            <w:r>
              <w:rPr>
                <w:rFonts w:ascii="Arial" w:cs="Arial" w:eastAsia="Arial" w:hAnsi="Arial"/>
                <w:sz w:val="10"/>
                <w:szCs w:val="10"/>
                <w:color w:val="auto"/>
              </w:rPr>
              <w:t>Provision for federal income taxes</w:t>
            </w:r>
          </w:p>
        </w:tc>
        <w:tc>
          <w:tcPr>
            <w:tcW w:w="3980" w:type="dxa"/>
            <w:vAlign w:val="bottom"/>
            <w:tcBorders>
              <w:bottom w:val="single" w:sz="8" w:color="5587A6"/>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(3,619)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5587A6"/>
            </w:tcBorders>
          </w:tcPr>
          <w:p>
            <w:pPr>
              <w:spacing w:after="0"/>
              <w:rPr>
                <w:sz w:val="11"/>
                <w:szCs w:val="11"/>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(4,291)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(4,548)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380" w:type="dxa"/>
            <w:vAlign w:val="bottom"/>
          </w:tcPr>
          <w:p>
            <w:pPr>
              <w:spacing w:after="0"/>
              <w:rPr>
                <w:sz w:val="20"/>
                <w:szCs w:val="20"/>
                <w:color w:val="auto"/>
              </w:rPr>
            </w:pPr>
            <w:r>
              <w:rPr>
                <w:rFonts w:ascii="Arial" w:cs="Arial" w:eastAsia="Arial" w:hAnsi="Arial"/>
                <w:sz w:val="10"/>
                <w:szCs w:val="10"/>
                <w:color w:val="auto"/>
              </w:rPr>
              <w:t>Net income</w:t>
            </w:r>
          </w:p>
        </w:tc>
        <w:tc>
          <w:tcPr>
            <w:tcW w:w="3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14,364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16,978</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17,408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380" w:type="dxa"/>
            <w:vAlign w:val="bottom"/>
            <w:tcBorders>
              <w:bottom w:val="single" w:sz="8" w:color="5587A6"/>
            </w:tcBorders>
          </w:tcPr>
          <w:p>
            <w:pPr>
              <w:spacing w:after="0"/>
              <w:rPr>
                <w:sz w:val="20"/>
                <w:szCs w:val="20"/>
                <w:color w:val="auto"/>
              </w:rPr>
            </w:pPr>
            <w:r>
              <w:rPr>
                <w:rFonts w:ascii="Arial" w:cs="Arial" w:eastAsia="Arial" w:hAnsi="Arial"/>
                <w:sz w:val="10"/>
                <w:szCs w:val="10"/>
                <w:color w:val="auto"/>
              </w:rPr>
              <w:t>Other comprehensive income (loss)</w:t>
            </w:r>
          </w:p>
        </w:tc>
        <w:tc>
          <w:tcPr>
            <w:tcW w:w="3980" w:type="dxa"/>
            <w:vAlign w:val="bottom"/>
            <w:tcBorders>
              <w:bottom w:val="single" w:sz="8" w:color="5587A6"/>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5587A6"/>
            </w:tcBorders>
          </w:tcPr>
          <w:p>
            <w:pPr>
              <w:spacing w:after="0"/>
              <w:rPr>
                <w:sz w:val="11"/>
                <w:szCs w:val="11"/>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380" w:type="dxa"/>
            <w:vAlign w:val="bottom"/>
            <w:tcBorders>
              <w:bottom w:val="single" w:sz="8" w:color="5587A6"/>
            </w:tcBorders>
          </w:tcPr>
          <w:p>
            <w:pPr>
              <w:spacing w:after="0"/>
              <w:rPr>
                <w:sz w:val="20"/>
                <w:szCs w:val="20"/>
                <w:color w:val="auto"/>
              </w:rPr>
            </w:pPr>
            <w:r>
              <w:rPr>
                <w:rFonts w:ascii="Arial" w:cs="Arial" w:eastAsia="Arial" w:hAnsi="Arial"/>
                <w:sz w:val="10"/>
                <w:szCs w:val="10"/>
                <w:color w:val="auto"/>
              </w:rPr>
              <w:t>Total comprehensive income</w:t>
            </w:r>
          </w:p>
        </w:tc>
        <w:tc>
          <w:tcPr>
            <w:tcW w:w="3980" w:type="dxa"/>
            <w:vAlign w:val="bottom"/>
            <w:tcBorders>
              <w:bottom w:val="single" w:sz="8" w:color="5587A6"/>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5587A6"/>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14,355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5587A6"/>
            </w:tcBorders>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16,975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5587A6"/>
            </w:tcBorders>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color w:val="auto"/>
              </w:rPr>
              <w:t>17,405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80" w:type="dxa"/>
            <w:vAlign w:val="bottom"/>
            <w:tcBorders>
              <w:bottom w:val="single" w:sz="8" w:color="5587A6"/>
            </w:tcBorders>
          </w:tcPr>
          <w:p>
            <w:pPr>
              <w:spacing w:after="0" w:line="20" w:lineRule="exact"/>
              <w:rPr>
                <w:sz w:val="1"/>
                <w:szCs w:val="1"/>
                <w:color w:val="auto"/>
              </w:rPr>
            </w:pPr>
          </w:p>
        </w:tc>
        <w:tc>
          <w:tcPr>
            <w:tcW w:w="3980" w:type="dxa"/>
            <w:vAlign w:val="bottom"/>
            <w:tcBorders>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5587A6"/>
            </w:tcBorders>
          </w:tcPr>
          <w:p>
            <w:pPr>
              <w:spacing w:after="0" w:line="20" w:lineRule="exact"/>
              <w:rPr>
                <w:sz w:val="1"/>
                <w:szCs w:val="1"/>
                <w:color w:val="auto"/>
              </w:rPr>
            </w:pPr>
          </w:p>
        </w:tc>
        <w:tc>
          <w:tcPr>
            <w:tcW w:w="700" w:type="dxa"/>
            <w:vAlign w:val="bottom"/>
            <w:tcBorders>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5587A6"/>
            </w:tcBorders>
          </w:tcPr>
          <w:p>
            <w:pPr>
              <w:spacing w:after="0" w:line="20" w:lineRule="exact"/>
              <w:rPr>
                <w:sz w:val="1"/>
                <w:szCs w:val="1"/>
                <w:color w:val="auto"/>
              </w:rPr>
            </w:pPr>
          </w:p>
        </w:tc>
        <w:tc>
          <w:tcPr>
            <w:tcW w:w="720" w:type="dxa"/>
            <w:vAlign w:val="bottom"/>
            <w:tcBorders>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5587A6"/>
            </w:tcBorders>
          </w:tcPr>
          <w:p>
            <w:pPr>
              <w:spacing w:after="0" w:line="20" w:lineRule="exact"/>
              <w:rPr>
                <w:sz w:val="1"/>
                <w:szCs w:val="1"/>
                <w:color w:val="auto"/>
              </w:rPr>
            </w:pPr>
          </w:p>
        </w:tc>
        <w:tc>
          <w:tcPr>
            <w:tcW w:w="640" w:type="dxa"/>
            <w:vAlign w:val="bottom"/>
            <w:tcBorders>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380" w:type="dxa"/>
            <w:vAlign w:val="bottom"/>
          </w:tcPr>
          <w:p>
            <w:pPr>
              <w:spacing w:after="0" w:line="110" w:lineRule="exact"/>
              <w:rPr>
                <w:sz w:val="20"/>
                <w:szCs w:val="20"/>
                <w:color w:val="auto"/>
              </w:rPr>
            </w:pPr>
            <w:r>
              <w:rPr>
                <w:rFonts w:ascii="Arial" w:cs="Arial" w:eastAsia="Arial" w:hAnsi="Arial"/>
                <w:sz w:val="10"/>
                <w:szCs w:val="10"/>
                <w:color w:val="auto"/>
              </w:rPr>
              <w:t>Net income</w:t>
            </w:r>
          </w:p>
        </w:tc>
        <w:tc>
          <w:tcPr>
            <w:tcW w:w="4280" w:type="dxa"/>
            <w:vAlign w:val="bottom"/>
            <w:gridSpan w:val="3"/>
          </w:tcPr>
          <w:p>
            <w:pPr>
              <w:jc w:val="right"/>
              <w:ind w:right="92"/>
              <w:spacing w:after="0" w:line="110" w:lineRule="exact"/>
              <w:rPr>
                <w:sz w:val="20"/>
                <w:szCs w:val="20"/>
                <w:color w:val="auto"/>
              </w:rPr>
            </w:pPr>
            <w:r>
              <w:rPr>
                <w:rFonts w:ascii="Arial" w:cs="Arial" w:eastAsia="Arial" w:hAnsi="Arial"/>
                <w:sz w:val="10"/>
                <w:szCs w:val="10"/>
                <w:b w:val="1"/>
                <w:bCs w:val="1"/>
                <w:color w:val="auto"/>
              </w:rPr>
              <w:t>$</w:t>
            </w:r>
          </w:p>
        </w:tc>
        <w:tc>
          <w:tcPr>
            <w:tcW w:w="700" w:type="dxa"/>
            <w:vAlign w:val="bottom"/>
          </w:tcPr>
          <w:p>
            <w:pPr>
              <w:jc w:val="right"/>
              <w:spacing w:after="0" w:line="110" w:lineRule="exact"/>
              <w:rPr>
                <w:sz w:val="20"/>
                <w:szCs w:val="20"/>
                <w:color w:val="auto"/>
              </w:rPr>
            </w:pPr>
            <w:r>
              <w:rPr>
                <w:rFonts w:ascii="Arial" w:cs="Arial" w:eastAsia="Arial" w:hAnsi="Arial"/>
                <w:sz w:val="10"/>
                <w:szCs w:val="10"/>
                <w:b w:val="1"/>
                <w:bCs w:val="1"/>
                <w:color w:val="auto"/>
              </w:rPr>
              <w:t>14,364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jc w:val="right"/>
              <w:ind w:right="92"/>
              <w:spacing w:after="0" w:line="110"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10" w:lineRule="exact"/>
              <w:rPr>
                <w:sz w:val="20"/>
                <w:szCs w:val="20"/>
                <w:color w:val="auto"/>
              </w:rPr>
            </w:pPr>
            <w:r>
              <w:rPr>
                <w:rFonts w:ascii="Arial" w:cs="Arial" w:eastAsia="Arial" w:hAnsi="Arial"/>
                <w:sz w:val="10"/>
                <w:szCs w:val="10"/>
                <w:color w:val="auto"/>
              </w:rPr>
              <w:t>16,978</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jc w:val="right"/>
              <w:ind w:right="72"/>
              <w:spacing w:after="0" w:line="110" w:lineRule="exact"/>
              <w:rPr>
                <w:sz w:val="20"/>
                <w:szCs w:val="20"/>
                <w:color w:val="auto"/>
              </w:rPr>
            </w:pPr>
            <w:r>
              <w:rPr>
                <w:rFonts w:ascii="Arial" w:cs="Arial" w:eastAsia="Arial" w:hAnsi="Arial"/>
                <w:sz w:val="10"/>
                <w:szCs w:val="10"/>
                <w:color w:val="auto"/>
                <w:w w:val="71"/>
              </w:rPr>
              <w:t>$</w:t>
            </w:r>
          </w:p>
        </w:tc>
        <w:tc>
          <w:tcPr>
            <w:tcW w:w="640" w:type="dxa"/>
            <w:vAlign w:val="bottom"/>
          </w:tcPr>
          <w:p>
            <w:pPr>
              <w:jc w:val="right"/>
              <w:ind w:right="12"/>
              <w:spacing w:after="0" w:line="110" w:lineRule="exact"/>
              <w:rPr>
                <w:sz w:val="20"/>
                <w:szCs w:val="20"/>
                <w:color w:val="auto"/>
              </w:rPr>
            </w:pPr>
            <w:r>
              <w:rPr>
                <w:rFonts w:ascii="Arial" w:cs="Arial" w:eastAsia="Arial" w:hAnsi="Arial"/>
                <w:sz w:val="10"/>
                <w:szCs w:val="10"/>
                <w:color w:val="auto"/>
              </w:rPr>
              <w:t>17,408</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380" w:type="dxa"/>
            <w:vAlign w:val="bottom"/>
            <w:tcBorders>
              <w:bottom w:val="single" w:sz="8" w:color="5587A6"/>
            </w:tcBorders>
          </w:tcPr>
          <w:p>
            <w:pPr>
              <w:spacing w:after="0"/>
              <w:rPr>
                <w:sz w:val="20"/>
                <w:szCs w:val="20"/>
                <w:color w:val="auto"/>
              </w:rPr>
            </w:pPr>
            <w:r>
              <w:rPr>
                <w:rFonts w:ascii="Arial" w:cs="Arial" w:eastAsia="Arial" w:hAnsi="Arial"/>
                <w:sz w:val="10"/>
                <w:szCs w:val="10"/>
                <w:color w:val="auto"/>
              </w:rPr>
              <w:t>Dividends distributed or amounts attributable to senior preferred stock</w:t>
            </w:r>
          </w:p>
        </w:tc>
        <w:tc>
          <w:tcPr>
            <w:tcW w:w="3980" w:type="dxa"/>
            <w:vAlign w:val="bottom"/>
            <w:tcBorders>
              <w:bottom w:val="single" w:sz="8" w:color="5587A6"/>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(14,355)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5587A6"/>
            </w:tcBorders>
          </w:tcPr>
          <w:p>
            <w:pPr>
              <w:spacing w:after="0"/>
              <w:rPr>
                <w:sz w:val="11"/>
                <w:szCs w:val="11"/>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(16,975)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(17,405)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380" w:type="dxa"/>
            <w:vAlign w:val="bottom"/>
          </w:tcPr>
          <w:p>
            <w:pPr>
              <w:spacing w:after="0"/>
              <w:rPr>
                <w:sz w:val="20"/>
                <w:szCs w:val="20"/>
                <w:color w:val="auto"/>
              </w:rPr>
            </w:pPr>
            <w:r>
              <w:rPr>
                <w:rFonts w:ascii="Arial" w:cs="Arial" w:eastAsia="Arial" w:hAnsi="Arial"/>
                <w:sz w:val="10"/>
                <w:szCs w:val="10"/>
                <w:color w:val="auto"/>
              </w:rPr>
              <w:t>Net income attributable to common stockholders</w:t>
            </w:r>
          </w:p>
        </w:tc>
        <w:tc>
          <w:tcPr>
            <w:tcW w:w="4280" w:type="dxa"/>
            <w:vAlign w:val="bottom"/>
            <w:gridSpan w:val="3"/>
          </w:tcPr>
          <w:p>
            <w:pPr>
              <w:jc w:val="right"/>
              <w:ind w:right="92"/>
              <w:spacing w:after="0"/>
              <w:rPr>
                <w:sz w:val="20"/>
                <w:szCs w:val="20"/>
                <w:color w:val="auto"/>
              </w:rPr>
            </w:pPr>
            <w:r>
              <w:rPr>
                <w:rFonts w:ascii="Arial" w:cs="Arial" w:eastAsia="Arial" w:hAnsi="Arial"/>
                <w:sz w:val="10"/>
                <w:szCs w:val="10"/>
                <w:b w:val="1"/>
                <w:bCs w:val="1"/>
                <w:color w:val="auto"/>
              </w:rPr>
              <w:t>$</w:t>
            </w: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3</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5587A6"/>
              <w:bottom w:val="single" w:sz="8" w:color="5587A6"/>
            </w:tcBorders>
          </w:tcPr>
          <w:p>
            <w:pPr>
              <w:spacing w:after="0" w:line="20" w:lineRule="exact"/>
              <w:rPr>
                <w:sz w:val="1"/>
                <w:szCs w:val="1"/>
                <w:color w:val="auto"/>
              </w:rPr>
            </w:pPr>
          </w:p>
        </w:tc>
        <w:tc>
          <w:tcPr>
            <w:tcW w:w="398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5587A6"/>
              <w:bottom w:val="single" w:sz="8" w:color="5587A6"/>
            </w:tcBorders>
          </w:tcPr>
          <w:p>
            <w:pPr>
              <w:spacing w:after="0" w:line="20" w:lineRule="exact"/>
              <w:rPr>
                <w:sz w:val="1"/>
                <w:szCs w:val="1"/>
                <w:color w:val="auto"/>
              </w:rPr>
            </w:pPr>
          </w:p>
        </w:tc>
        <w:tc>
          <w:tcPr>
            <w:tcW w:w="72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5587A6"/>
              <w:bottom w:val="single" w:sz="8" w:color="5587A6"/>
            </w:tcBorders>
          </w:tcPr>
          <w:p>
            <w:pPr>
              <w:spacing w:after="0" w:line="20" w:lineRule="exact"/>
              <w:rPr>
                <w:sz w:val="1"/>
                <w:szCs w:val="1"/>
                <w:color w:val="auto"/>
              </w:rPr>
            </w:pPr>
          </w:p>
        </w:tc>
        <w:tc>
          <w:tcPr>
            <w:tcW w:w="64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380" w:type="dxa"/>
            <w:vAlign w:val="bottom"/>
          </w:tcPr>
          <w:p>
            <w:pPr>
              <w:spacing w:after="0" w:line="106" w:lineRule="exact"/>
              <w:rPr>
                <w:sz w:val="20"/>
                <w:szCs w:val="20"/>
                <w:color w:val="auto"/>
              </w:rPr>
            </w:pPr>
            <w:r>
              <w:rPr>
                <w:rFonts w:ascii="Arial" w:cs="Arial" w:eastAsia="Arial" w:hAnsi="Arial"/>
                <w:sz w:val="10"/>
                <w:szCs w:val="10"/>
                <w:color w:val="auto"/>
              </w:rPr>
              <w:t>Earnings per share:</w:t>
            </w:r>
          </w:p>
        </w:tc>
        <w:tc>
          <w:tcPr>
            <w:tcW w:w="3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380" w:type="dxa"/>
            <w:vAlign w:val="bottom"/>
          </w:tcPr>
          <w:p>
            <w:pPr>
              <w:ind w:left="120"/>
              <w:spacing w:after="0"/>
              <w:rPr>
                <w:sz w:val="20"/>
                <w:szCs w:val="20"/>
                <w:color w:val="auto"/>
              </w:rPr>
            </w:pPr>
            <w:r>
              <w:rPr>
                <w:rFonts w:ascii="Arial" w:cs="Arial" w:eastAsia="Arial" w:hAnsi="Arial"/>
                <w:sz w:val="10"/>
                <w:szCs w:val="10"/>
                <w:color w:val="auto"/>
              </w:rPr>
              <w:t>Basic</w:t>
            </w:r>
          </w:p>
        </w:tc>
        <w:tc>
          <w:tcPr>
            <w:tcW w:w="4280" w:type="dxa"/>
            <w:vAlign w:val="bottom"/>
            <w:gridSpan w:val="3"/>
          </w:tcPr>
          <w:p>
            <w:pPr>
              <w:jc w:val="right"/>
              <w:ind w:right="92"/>
              <w:spacing w:after="0"/>
              <w:rPr>
                <w:sz w:val="20"/>
                <w:szCs w:val="20"/>
                <w:color w:val="auto"/>
              </w:rPr>
            </w:pPr>
            <w:r>
              <w:rPr>
                <w:rFonts w:ascii="Arial" w:cs="Arial" w:eastAsia="Arial" w:hAnsi="Arial"/>
                <w:sz w:val="10"/>
                <w:szCs w:val="10"/>
                <w:b w:val="1"/>
                <w:bCs w:val="1"/>
                <w:color w:val="auto"/>
              </w:rPr>
              <w:t>$</w:t>
            </w: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80" w:type="dxa"/>
            <w:vAlign w:val="bottom"/>
          </w:tcPr>
          <w:p>
            <w:pPr>
              <w:ind w:left="120"/>
              <w:spacing w:after="0"/>
              <w:rPr>
                <w:sz w:val="20"/>
                <w:szCs w:val="20"/>
                <w:color w:val="auto"/>
              </w:rPr>
            </w:pPr>
            <w:r>
              <w:rPr>
                <w:rFonts w:ascii="Arial" w:cs="Arial" w:eastAsia="Arial" w:hAnsi="Arial"/>
                <w:sz w:val="10"/>
                <w:szCs w:val="10"/>
                <w:color w:val="auto"/>
              </w:rPr>
              <w:t>Diluted</w:t>
            </w:r>
          </w:p>
        </w:tc>
        <w:tc>
          <w:tcPr>
            <w:tcW w:w="3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0.00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380" w:type="dxa"/>
            <w:vAlign w:val="bottom"/>
          </w:tcPr>
          <w:p>
            <w:pPr>
              <w:spacing w:after="0"/>
              <w:rPr>
                <w:sz w:val="20"/>
                <w:szCs w:val="20"/>
                <w:color w:val="auto"/>
              </w:rPr>
            </w:pPr>
            <w:r>
              <w:rPr>
                <w:rFonts w:ascii="Arial" w:cs="Arial" w:eastAsia="Arial" w:hAnsi="Arial"/>
                <w:sz w:val="10"/>
                <w:szCs w:val="10"/>
                <w:color w:val="auto"/>
              </w:rPr>
              <w:t>Weighted-average common shares outstanding:</w:t>
            </w:r>
          </w:p>
        </w:tc>
        <w:tc>
          <w:tcPr>
            <w:tcW w:w="3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380" w:type="dxa"/>
            <w:vAlign w:val="bottom"/>
          </w:tcPr>
          <w:p>
            <w:pPr>
              <w:ind w:left="120"/>
              <w:spacing w:after="0"/>
              <w:rPr>
                <w:sz w:val="20"/>
                <w:szCs w:val="20"/>
                <w:color w:val="auto"/>
              </w:rPr>
            </w:pPr>
            <w:r>
              <w:rPr>
                <w:rFonts w:ascii="Arial" w:cs="Arial" w:eastAsia="Arial" w:hAnsi="Arial"/>
                <w:sz w:val="10"/>
                <w:szCs w:val="10"/>
                <w:color w:val="auto"/>
              </w:rPr>
              <w:t>Basic</w:t>
            </w:r>
          </w:p>
        </w:tc>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5,867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5,867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5,867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80" w:type="dxa"/>
            <w:vAlign w:val="bottom"/>
          </w:tcPr>
          <w:p>
            <w:pPr>
              <w:ind w:left="120"/>
              <w:spacing w:after="0"/>
              <w:rPr>
                <w:sz w:val="20"/>
                <w:szCs w:val="20"/>
                <w:color w:val="auto"/>
              </w:rPr>
            </w:pPr>
            <w:r>
              <w:rPr>
                <w:rFonts w:ascii="Arial" w:cs="Arial" w:eastAsia="Arial" w:hAnsi="Arial"/>
                <w:sz w:val="10"/>
                <w:szCs w:val="10"/>
                <w:color w:val="auto"/>
              </w:rPr>
              <w:t>Diluted</w:t>
            </w:r>
          </w:p>
        </w:tc>
        <w:tc>
          <w:tcPr>
            <w:tcW w:w="3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5,893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5,893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5,893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3380" w:type="dxa"/>
            <w:vAlign w:val="bottom"/>
          </w:tcPr>
          <w:p>
            <w:pPr>
              <w:spacing w:after="0"/>
              <w:rPr>
                <w:sz w:val="24"/>
                <w:szCs w:val="24"/>
                <w:color w:val="auto"/>
              </w:rPr>
            </w:pPr>
          </w:p>
        </w:tc>
        <w:tc>
          <w:tcPr>
            <w:tcW w:w="4280" w:type="dxa"/>
            <w:vAlign w:val="bottom"/>
            <w:gridSpan w:val="3"/>
          </w:tcPr>
          <w:p>
            <w:pPr>
              <w:jc w:val="right"/>
              <w:ind w:right="792"/>
              <w:spacing w:after="0"/>
              <w:rPr>
                <w:sz w:val="20"/>
                <w:szCs w:val="20"/>
                <w:color w:val="auto"/>
              </w:rPr>
            </w:pPr>
            <w:r>
              <w:rPr>
                <w:rFonts w:ascii="Arial" w:cs="Arial" w:eastAsia="Arial" w:hAnsi="Arial"/>
                <w:sz w:val="10"/>
                <w:szCs w:val="10"/>
                <w:color w:val="auto"/>
              </w:rPr>
              <w:t>See Notes to Consolidated Financial Statements in the 2025 Form 10-K</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100" w:type="dxa"/>
            <w:vAlign w:val="bottom"/>
            <w:tcBorders>
              <w:top w:val="single" w:sz="8" w:color="05314D"/>
            </w:tcBorders>
          </w:tcPr>
          <w:p>
            <w:pPr>
              <w:spacing w:after="0"/>
              <w:rPr>
                <w:sz w:val="20"/>
                <w:szCs w:val="20"/>
                <w:color w:val="auto"/>
              </w:rPr>
            </w:pPr>
            <w:r>
              <w:rPr>
                <w:rFonts w:ascii="Arial" w:cs="Arial" w:eastAsia="Arial" w:hAnsi="Arial"/>
                <w:sz w:val="11"/>
                <w:szCs w:val="11"/>
                <w:color w:val="auto"/>
              </w:rPr>
              <w:t>Fourth Quarter 2025</w:t>
            </w:r>
          </w:p>
        </w:tc>
        <w:tc>
          <w:tcPr>
            <w:tcW w:w="5200" w:type="dxa"/>
            <w:vAlign w:val="bottom"/>
            <w:tcBorders>
              <w:top w:val="single" w:sz="8" w:color="05314D"/>
            </w:tcBorders>
          </w:tcPr>
          <w:p>
            <w:pPr>
              <w:jc w:val="right"/>
              <w:spacing w:after="0"/>
              <w:rPr>
                <w:sz w:val="20"/>
                <w:szCs w:val="20"/>
                <w:color w:val="auto"/>
              </w:rPr>
            </w:pPr>
            <w:r>
              <w:rPr>
                <w:rFonts w:ascii="Arial" w:cs="Arial" w:eastAsia="Arial" w:hAnsi="Arial"/>
                <w:sz w:val="11"/>
                <w:szCs w:val="11"/>
                <w:color w:val="auto"/>
              </w:rPr>
              <w:t>6</w:t>
            </w:r>
          </w:p>
        </w:tc>
      </w:tr>
    </w:tbl>
    <w:p>
      <w:pPr>
        <w:sectPr>
          <w:pgSz w:w="11900" w:h="16838" w:orient="portrait"/>
          <w:cols w:equalWidth="0" w:num="1">
            <w:col w:w="11300"/>
          </w:cols>
          <w:pgMar w:left="300" w:top="814" w:right="2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4"/>
          <w:szCs w:val="14"/>
          <w:b w:val="1"/>
          <w:bCs w:val="1"/>
          <w:color w:val="05314D"/>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FANNIE MAE</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05314D"/>
        </w:rPr>
        <w:t>(In conservatorship)</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05314D"/>
        </w:rPr>
        <w:t>Consolidated Balance Sheets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05314D"/>
        </w:rPr>
        <w:t>(Dollars in 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0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80" w:type="dxa"/>
            <w:vAlign w:val="bottom"/>
            <w:tcBorders>
              <w:bottom w:val="single" w:sz="8" w:color="5587A6"/>
            </w:tcBorders>
          </w:tcPr>
          <w:p>
            <w:pPr>
              <w:spacing w:after="0"/>
              <w:rPr>
                <w:sz w:val="11"/>
                <w:szCs w:val="11"/>
                <w:color w:val="auto"/>
              </w:rPr>
            </w:pPr>
          </w:p>
        </w:tc>
        <w:tc>
          <w:tcPr>
            <w:tcW w:w="240" w:type="dxa"/>
            <w:vAlign w:val="bottom"/>
            <w:tcBorders>
              <w:bottom w:val="single" w:sz="8" w:color="5587A6"/>
            </w:tcBorders>
          </w:tcPr>
          <w:p>
            <w:pPr>
              <w:spacing w:after="0"/>
              <w:rPr>
                <w:sz w:val="11"/>
                <w:szCs w:val="11"/>
                <w:color w:val="auto"/>
              </w:rPr>
            </w:pPr>
          </w:p>
        </w:tc>
        <w:tc>
          <w:tcPr>
            <w:tcW w:w="1420" w:type="dxa"/>
            <w:vAlign w:val="bottom"/>
            <w:tcBorders>
              <w:bottom w:val="single" w:sz="8" w:color="5587A6"/>
            </w:tcBorders>
            <w:gridSpan w:val="5"/>
          </w:tcPr>
          <w:p>
            <w:pPr>
              <w:jc w:val="right"/>
              <w:spacing w:after="0"/>
              <w:rPr>
                <w:sz w:val="20"/>
                <w:szCs w:val="20"/>
                <w:color w:val="auto"/>
              </w:rPr>
            </w:pPr>
            <w:r>
              <w:rPr>
                <w:rFonts w:ascii="Arial" w:cs="Arial" w:eastAsia="Arial" w:hAnsi="Arial"/>
                <w:sz w:val="10"/>
                <w:szCs w:val="10"/>
                <w:b w:val="1"/>
                <w:bCs w:val="1"/>
                <w:color w:val="auto"/>
              </w:rPr>
              <w:t>As of December 31,</w:t>
            </w:r>
          </w:p>
        </w:tc>
        <w:tc>
          <w:tcPr>
            <w:tcW w:w="680" w:type="dxa"/>
            <w:vAlign w:val="bottom"/>
            <w:tcBorders>
              <w:bottom w:val="single" w:sz="8" w:color="5587A6"/>
            </w:tcBorders>
          </w:tcPr>
          <w:p>
            <w:pPr>
              <w:spacing w:after="0"/>
              <w:rPr>
                <w:sz w:val="11"/>
                <w:szCs w:val="11"/>
                <w:color w:val="auto"/>
              </w:rPr>
            </w:pPr>
          </w:p>
        </w:tc>
        <w:tc>
          <w:tcPr>
            <w:tcW w:w="80" w:type="dxa"/>
            <w:vAlign w:val="bottom"/>
            <w:tcBorders>
              <w:bottom w:val="single" w:sz="8" w:color="5587A6"/>
            </w:tcBorders>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00" w:type="dxa"/>
            <w:vAlign w:val="bottom"/>
          </w:tcPr>
          <w:p>
            <w:pPr>
              <w:spacing w:after="0"/>
              <w:rPr>
                <w:sz w:val="10"/>
                <w:szCs w:val="10"/>
                <w:color w:val="auto"/>
              </w:rPr>
            </w:pPr>
          </w:p>
        </w:tc>
        <w:tc>
          <w:tcPr>
            <w:tcW w:w="8100" w:type="dxa"/>
            <w:vAlign w:val="bottom"/>
            <w:vMerge w:val="restart"/>
          </w:tcPr>
          <w:p>
            <w:pPr>
              <w:ind w:left="5060"/>
              <w:spacing w:after="0"/>
              <w:rPr>
                <w:sz w:val="20"/>
                <w:szCs w:val="20"/>
                <w:color w:val="auto"/>
              </w:rPr>
            </w:pPr>
            <w:r>
              <w:rPr>
                <w:rFonts w:ascii="Arial" w:cs="Arial" w:eastAsia="Arial" w:hAnsi="Arial"/>
                <w:sz w:val="12"/>
                <w:szCs w:val="12"/>
                <w:b w:val="1"/>
                <w:bCs w:val="1"/>
                <w:color w:val="auto"/>
              </w:rPr>
              <w:t>ASSETS</w:t>
            </w:r>
          </w:p>
        </w:tc>
        <w:tc>
          <w:tcPr>
            <w:tcW w:w="80" w:type="dxa"/>
            <w:vAlign w:val="bottom"/>
            <w:tcBorders>
              <w:bottom w:val="single" w:sz="8" w:color="5587A6"/>
            </w:tcBorders>
          </w:tcPr>
          <w:p>
            <w:pPr>
              <w:spacing w:after="0"/>
              <w:rPr>
                <w:sz w:val="10"/>
                <w:szCs w:val="10"/>
                <w:color w:val="auto"/>
              </w:rPr>
            </w:pPr>
          </w:p>
        </w:tc>
        <w:tc>
          <w:tcPr>
            <w:tcW w:w="240" w:type="dxa"/>
            <w:vAlign w:val="bottom"/>
            <w:tcBorders>
              <w:bottom w:val="single" w:sz="8" w:color="5587A6"/>
            </w:tcBorders>
          </w:tcPr>
          <w:p>
            <w:pPr>
              <w:spacing w:after="0"/>
              <w:rPr>
                <w:sz w:val="10"/>
                <w:szCs w:val="10"/>
                <w:color w:val="auto"/>
              </w:rPr>
            </w:pPr>
          </w:p>
        </w:tc>
        <w:tc>
          <w:tcPr>
            <w:tcW w:w="820" w:type="dxa"/>
            <w:vAlign w:val="bottom"/>
            <w:tcBorders>
              <w:bottom w:val="single" w:sz="8" w:color="5587A6"/>
            </w:tcBorders>
          </w:tcPr>
          <w:p>
            <w:pPr>
              <w:jc w:val="right"/>
              <w:ind w:right="37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5587A6"/>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5587A6"/>
            </w:tcBorders>
          </w:tcPr>
          <w:p>
            <w:pPr>
              <w:spacing w:after="0"/>
              <w:rPr>
                <w:sz w:val="10"/>
                <w:szCs w:val="10"/>
                <w:color w:val="auto"/>
              </w:rPr>
            </w:pPr>
          </w:p>
        </w:tc>
        <w:tc>
          <w:tcPr>
            <w:tcW w:w="360" w:type="dxa"/>
            <w:vAlign w:val="bottom"/>
            <w:tcBorders>
              <w:bottom w:val="single" w:sz="8" w:color="5587A6"/>
            </w:tcBorders>
          </w:tcPr>
          <w:p>
            <w:pPr>
              <w:spacing w:after="0"/>
              <w:rPr>
                <w:sz w:val="10"/>
                <w:szCs w:val="10"/>
                <w:color w:val="auto"/>
              </w:rPr>
            </w:pPr>
          </w:p>
        </w:tc>
        <w:tc>
          <w:tcPr>
            <w:tcW w:w="680" w:type="dxa"/>
            <w:vAlign w:val="bottom"/>
            <w:tcBorders>
              <w:bottom w:val="single" w:sz="8" w:color="5587A6"/>
            </w:tcBorders>
          </w:tcPr>
          <w:p>
            <w:pPr>
              <w:jc w:val="right"/>
              <w:ind w:right="372"/>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5587A6"/>
            </w:tcBorders>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00" w:type="dxa"/>
            <w:vAlign w:val="bottom"/>
          </w:tcPr>
          <w:p>
            <w:pPr>
              <w:spacing w:after="0"/>
              <w:rPr>
                <w:sz w:val="12"/>
                <w:szCs w:val="12"/>
                <w:color w:val="auto"/>
              </w:rPr>
            </w:pPr>
          </w:p>
        </w:tc>
        <w:tc>
          <w:tcPr>
            <w:tcW w:w="8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vMerge w:val="restart"/>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11,452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8180" w:type="dxa"/>
            <w:vAlign w:val="bottom"/>
            <w:gridSpan w:val="2"/>
          </w:tcPr>
          <w:p>
            <w:pPr>
              <w:spacing w:after="0"/>
              <w:rPr>
                <w:sz w:val="20"/>
                <w:szCs w:val="20"/>
                <w:color w:val="auto"/>
              </w:rPr>
            </w:pPr>
            <w:r>
              <w:rPr>
                <w:rFonts w:ascii="Arial" w:cs="Arial" w:eastAsia="Arial" w:hAnsi="Arial"/>
                <w:sz w:val="10"/>
                <w:szCs w:val="10"/>
                <w:color w:val="auto"/>
              </w:rPr>
              <w:t>Cash</w:t>
            </w:r>
          </w:p>
        </w:tc>
        <w:tc>
          <w:tcPr>
            <w:tcW w:w="2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13,477</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8180" w:type="dxa"/>
            <w:vAlign w:val="bottom"/>
            <w:gridSpan w:val="2"/>
          </w:tcPr>
          <w:p>
            <w:pPr>
              <w:spacing w:after="0"/>
              <w:rPr>
                <w:sz w:val="20"/>
                <w:szCs w:val="20"/>
                <w:color w:val="auto"/>
              </w:rPr>
            </w:pPr>
            <w:r>
              <w:rPr>
                <w:rFonts w:ascii="Arial" w:cs="Arial" w:eastAsia="Arial" w:hAnsi="Arial"/>
                <w:sz w:val="10"/>
                <w:szCs w:val="10"/>
                <w:color w:val="auto"/>
              </w:rPr>
              <w:t>Restricted cash (includes $22,848 and $16,994, respectively, related to consolidated trusts)</w:t>
            </w: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31,131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25,059</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8180" w:type="dxa"/>
            <w:vAlign w:val="bottom"/>
            <w:gridSpan w:val="2"/>
          </w:tcPr>
          <w:p>
            <w:pPr>
              <w:spacing w:after="0"/>
              <w:rPr>
                <w:sz w:val="20"/>
                <w:szCs w:val="20"/>
                <w:color w:val="auto"/>
              </w:rPr>
            </w:pPr>
            <w:r>
              <w:rPr>
                <w:rFonts w:ascii="Arial" w:cs="Arial" w:eastAsia="Arial" w:hAnsi="Arial"/>
                <w:sz w:val="10"/>
                <w:szCs w:val="10"/>
                <w:color w:val="auto"/>
              </w:rPr>
              <w:t>Securities purchased under agreements to resell (includes $18,425 and $14,899, respectively, related to consolidated trusts)</w:t>
            </w: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45,650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56,250</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8180" w:type="dxa"/>
            <w:vAlign w:val="bottom"/>
            <w:gridSpan w:val="2"/>
          </w:tcPr>
          <w:p>
            <w:pPr>
              <w:spacing w:after="0"/>
              <w:rPr>
                <w:sz w:val="20"/>
                <w:szCs w:val="20"/>
                <w:color w:val="auto"/>
              </w:rPr>
            </w:pPr>
            <w:r>
              <w:rPr>
                <w:rFonts w:ascii="Arial" w:cs="Arial" w:eastAsia="Arial" w:hAnsi="Arial"/>
                <w:sz w:val="10"/>
                <w:szCs w:val="10"/>
                <w:color w:val="auto"/>
              </w:rPr>
              <w:t>Investments in securities, at fair value</w:t>
            </w: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69,889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79,197</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8180" w:type="dxa"/>
            <w:vAlign w:val="bottom"/>
            <w:gridSpan w:val="2"/>
          </w:tcPr>
          <w:p>
            <w:pPr>
              <w:spacing w:after="0"/>
              <w:rPr>
                <w:sz w:val="20"/>
                <w:szCs w:val="20"/>
                <w:color w:val="auto"/>
              </w:rPr>
            </w:pPr>
            <w:r>
              <w:rPr>
                <w:rFonts w:ascii="Arial" w:cs="Arial" w:eastAsia="Arial" w:hAnsi="Arial"/>
                <w:sz w:val="10"/>
                <w:szCs w:val="10"/>
                <w:color w:val="auto"/>
              </w:rPr>
              <w:t>Mortgage loans:</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0" w:type="dxa"/>
            <w:vAlign w:val="bottom"/>
          </w:tcPr>
          <w:p>
            <w:pPr>
              <w:spacing w:after="0"/>
              <w:rPr>
                <w:sz w:val="12"/>
                <w:szCs w:val="12"/>
                <w:color w:val="auto"/>
              </w:rPr>
            </w:pPr>
          </w:p>
        </w:tc>
        <w:tc>
          <w:tcPr>
            <w:tcW w:w="8180" w:type="dxa"/>
            <w:vAlign w:val="bottom"/>
            <w:gridSpan w:val="2"/>
          </w:tcPr>
          <w:p>
            <w:pPr>
              <w:ind w:left="120"/>
              <w:spacing w:after="0"/>
              <w:rPr>
                <w:sz w:val="20"/>
                <w:szCs w:val="20"/>
                <w:color w:val="auto"/>
              </w:rPr>
            </w:pPr>
            <w:r>
              <w:rPr>
                <w:rFonts w:ascii="Arial" w:cs="Arial" w:eastAsia="Arial" w:hAnsi="Arial"/>
                <w:sz w:val="10"/>
                <w:szCs w:val="10"/>
                <w:color w:val="auto"/>
              </w:rPr>
              <w:t>Loans held for sale, at lower of cost or fair value</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209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373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8180" w:type="dxa"/>
            <w:vAlign w:val="bottom"/>
            <w:gridSpan w:val="2"/>
          </w:tcPr>
          <w:p>
            <w:pPr>
              <w:ind w:left="120"/>
              <w:spacing w:after="0"/>
              <w:rPr>
                <w:sz w:val="20"/>
                <w:szCs w:val="20"/>
                <w:color w:val="auto"/>
              </w:rPr>
            </w:pPr>
            <w:r>
              <w:rPr>
                <w:rFonts w:ascii="Arial" w:cs="Arial" w:eastAsia="Arial" w:hAnsi="Arial"/>
                <w:sz w:val="10"/>
                <w:szCs w:val="10"/>
                <w:color w:val="auto"/>
              </w:rPr>
              <w:t>Loans held for investment, at amortized cost:</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0" w:type="dxa"/>
            <w:vAlign w:val="bottom"/>
          </w:tcPr>
          <w:p>
            <w:pPr>
              <w:spacing w:after="0"/>
              <w:rPr>
                <w:sz w:val="12"/>
                <w:szCs w:val="12"/>
                <w:color w:val="auto"/>
              </w:rPr>
            </w:pPr>
          </w:p>
        </w:tc>
        <w:tc>
          <w:tcPr>
            <w:tcW w:w="8180" w:type="dxa"/>
            <w:vAlign w:val="bottom"/>
            <w:gridSpan w:val="2"/>
          </w:tcPr>
          <w:p>
            <w:pPr>
              <w:ind w:left="220"/>
              <w:spacing w:after="0"/>
              <w:rPr>
                <w:sz w:val="20"/>
                <w:szCs w:val="20"/>
                <w:color w:val="auto"/>
              </w:rPr>
            </w:pPr>
            <w:r>
              <w:rPr>
                <w:rFonts w:ascii="Arial" w:cs="Arial" w:eastAsia="Arial" w:hAnsi="Arial"/>
                <w:sz w:val="10"/>
                <w:szCs w:val="10"/>
                <w:color w:val="auto"/>
              </w:rPr>
              <w:t>Of Fannie Mae</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57,970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50,053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00" w:type="dxa"/>
            <w:vAlign w:val="bottom"/>
          </w:tcPr>
          <w:p>
            <w:pPr>
              <w:spacing w:after="0"/>
              <w:rPr>
                <w:sz w:val="11"/>
                <w:szCs w:val="11"/>
                <w:color w:val="auto"/>
              </w:rPr>
            </w:pPr>
          </w:p>
        </w:tc>
        <w:tc>
          <w:tcPr>
            <w:tcW w:w="8100" w:type="dxa"/>
            <w:vAlign w:val="bottom"/>
            <w:tcBorders>
              <w:bottom w:val="single" w:sz="8" w:color="5587A6"/>
            </w:tcBorders>
          </w:tcPr>
          <w:p>
            <w:pPr>
              <w:ind w:left="220"/>
              <w:spacing w:after="0"/>
              <w:rPr>
                <w:sz w:val="20"/>
                <w:szCs w:val="20"/>
                <w:color w:val="auto"/>
              </w:rPr>
            </w:pPr>
            <w:r>
              <w:rPr>
                <w:rFonts w:ascii="Arial" w:cs="Arial" w:eastAsia="Arial" w:hAnsi="Arial"/>
                <w:sz w:val="10"/>
                <w:szCs w:val="10"/>
                <w:color w:val="auto"/>
              </w:rPr>
              <w:t>Of consolidated trusts</w:t>
            </w:r>
          </w:p>
        </w:tc>
        <w:tc>
          <w:tcPr>
            <w:tcW w:w="80" w:type="dxa"/>
            <w:vAlign w:val="bottom"/>
          </w:tcPr>
          <w:p>
            <w:pPr>
              <w:spacing w:after="0"/>
              <w:rPr>
                <w:sz w:val="11"/>
                <w:szCs w:val="11"/>
                <w:color w:val="auto"/>
              </w:rPr>
            </w:pPr>
          </w:p>
        </w:tc>
        <w:tc>
          <w:tcPr>
            <w:tcW w:w="240" w:type="dxa"/>
            <w:vAlign w:val="bottom"/>
            <w:tcBorders>
              <w:bottom w:val="single" w:sz="8" w:color="5587A6"/>
            </w:tcBorders>
          </w:tcPr>
          <w:p>
            <w:pPr>
              <w:spacing w:after="0"/>
              <w:rPr>
                <w:sz w:val="11"/>
                <w:szCs w:val="11"/>
                <w:color w:val="auto"/>
              </w:rPr>
            </w:pPr>
          </w:p>
        </w:tc>
        <w:tc>
          <w:tcPr>
            <w:tcW w:w="8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4,069,498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5587A6"/>
            </w:tcBorders>
          </w:tcPr>
          <w:p>
            <w:pPr>
              <w:spacing w:after="0"/>
              <w:rPr>
                <w:sz w:val="11"/>
                <w:szCs w:val="11"/>
                <w:color w:val="auto"/>
              </w:rPr>
            </w:pPr>
          </w:p>
        </w:tc>
        <w:tc>
          <w:tcPr>
            <w:tcW w:w="6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4,095,287</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00" w:type="dxa"/>
            <w:vAlign w:val="bottom"/>
          </w:tcPr>
          <w:p>
            <w:pPr>
              <w:spacing w:after="0"/>
              <w:rPr>
                <w:sz w:val="10"/>
                <w:szCs w:val="10"/>
                <w:color w:val="auto"/>
              </w:rPr>
            </w:pPr>
          </w:p>
        </w:tc>
        <w:tc>
          <w:tcPr>
            <w:tcW w:w="8180" w:type="dxa"/>
            <w:vAlign w:val="bottom"/>
            <w:gridSpan w:val="2"/>
          </w:tcPr>
          <w:p>
            <w:pPr>
              <w:ind w:left="120"/>
              <w:spacing w:after="0"/>
              <w:rPr>
                <w:sz w:val="20"/>
                <w:szCs w:val="20"/>
                <w:color w:val="auto"/>
              </w:rPr>
            </w:pPr>
            <w:r>
              <w:rPr>
                <w:rFonts w:ascii="Arial" w:cs="Arial" w:eastAsia="Arial" w:hAnsi="Arial"/>
                <w:sz w:val="10"/>
                <w:szCs w:val="10"/>
                <w:color w:val="auto"/>
              </w:rPr>
              <w:t>Total loans held for investment (includes $5,464 and $3,744, respectively, at fair value)</w:t>
            </w:r>
          </w:p>
        </w:tc>
        <w:tc>
          <w:tcPr>
            <w:tcW w:w="2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4,127,468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4,145,340</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00" w:type="dxa"/>
            <w:vAlign w:val="bottom"/>
          </w:tcPr>
          <w:p>
            <w:pPr>
              <w:spacing w:after="0"/>
              <w:rPr>
                <w:sz w:val="11"/>
                <w:szCs w:val="11"/>
                <w:color w:val="auto"/>
              </w:rPr>
            </w:pPr>
          </w:p>
        </w:tc>
        <w:tc>
          <w:tcPr>
            <w:tcW w:w="810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Allowance for loan losses</w:t>
            </w:r>
          </w:p>
        </w:tc>
        <w:tc>
          <w:tcPr>
            <w:tcW w:w="80" w:type="dxa"/>
            <w:vAlign w:val="bottom"/>
          </w:tcPr>
          <w:p>
            <w:pPr>
              <w:spacing w:after="0"/>
              <w:rPr>
                <w:sz w:val="11"/>
                <w:szCs w:val="11"/>
                <w:color w:val="auto"/>
              </w:rPr>
            </w:pPr>
          </w:p>
        </w:tc>
        <w:tc>
          <w:tcPr>
            <w:tcW w:w="240" w:type="dxa"/>
            <w:vAlign w:val="bottom"/>
            <w:tcBorders>
              <w:bottom w:val="single" w:sz="8" w:color="5587A6"/>
            </w:tcBorders>
          </w:tcPr>
          <w:p>
            <w:pPr>
              <w:spacing w:after="0"/>
              <w:rPr>
                <w:sz w:val="11"/>
                <w:szCs w:val="11"/>
                <w:color w:val="auto"/>
              </w:rPr>
            </w:pPr>
          </w:p>
        </w:tc>
        <w:tc>
          <w:tcPr>
            <w:tcW w:w="8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(8,364)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5587A6"/>
            </w:tcBorders>
          </w:tcPr>
          <w:p>
            <w:pPr>
              <w:spacing w:after="0"/>
              <w:rPr>
                <w:sz w:val="11"/>
                <w:szCs w:val="11"/>
                <w:color w:val="auto"/>
              </w:rPr>
            </w:pPr>
          </w:p>
        </w:tc>
        <w:tc>
          <w:tcPr>
            <w:tcW w:w="6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(7,707)</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8100" w:type="dxa"/>
            <w:vAlign w:val="bottom"/>
            <w:tcBorders>
              <w:bottom w:val="single" w:sz="8" w:color="5587A6"/>
            </w:tcBorders>
          </w:tcPr>
          <w:p>
            <w:pPr>
              <w:ind w:left="200"/>
              <w:spacing w:after="0"/>
              <w:rPr>
                <w:sz w:val="20"/>
                <w:szCs w:val="20"/>
                <w:color w:val="auto"/>
              </w:rPr>
            </w:pPr>
            <w:r>
              <w:rPr>
                <w:rFonts w:ascii="Arial" w:cs="Arial" w:eastAsia="Arial" w:hAnsi="Arial"/>
                <w:sz w:val="10"/>
                <w:szCs w:val="10"/>
                <w:color w:val="auto"/>
              </w:rPr>
              <w:t>Total loans held for investment, net of allowance</w:t>
            </w:r>
          </w:p>
        </w:tc>
        <w:tc>
          <w:tcPr>
            <w:tcW w:w="80" w:type="dxa"/>
            <w:vAlign w:val="bottom"/>
          </w:tcPr>
          <w:p>
            <w:pPr>
              <w:spacing w:after="0"/>
              <w:rPr>
                <w:sz w:val="12"/>
                <w:szCs w:val="12"/>
                <w:color w:val="auto"/>
              </w:rPr>
            </w:pPr>
          </w:p>
        </w:tc>
        <w:tc>
          <w:tcPr>
            <w:tcW w:w="240" w:type="dxa"/>
            <w:vAlign w:val="bottom"/>
            <w:tcBorders>
              <w:bottom w:val="single" w:sz="8" w:color="5587A6"/>
            </w:tcBorders>
          </w:tcPr>
          <w:p>
            <w:pPr>
              <w:spacing w:after="0"/>
              <w:rPr>
                <w:sz w:val="12"/>
                <w:szCs w:val="12"/>
                <w:color w:val="auto"/>
              </w:rPr>
            </w:pPr>
          </w:p>
        </w:tc>
        <w:tc>
          <w:tcPr>
            <w:tcW w:w="8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4,119,104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5587A6"/>
            </w:tcBorders>
          </w:tcPr>
          <w:p>
            <w:pPr>
              <w:spacing w:after="0"/>
              <w:rPr>
                <w:sz w:val="12"/>
                <w:szCs w:val="12"/>
                <w:color w:val="auto"/>
              </w:rPr>
            </w:pPr>
          </w:p>
        </w:tc>
        <w:tc>
          <w:tcPr>
            <w:tcW w:w="6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4,137,633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00" w:type="dxa"/>
            <w:vAlign w:val="bottom"/>
          </w:tcPr>
          <w:p>
            <w:pPr>
              <w:spacing w:after="0"/>
              <w:rPr>
                <w:sz w:val="10"/>
                <w:szCs w:val="10"/>
                <w:color w:val="auto"/>
              </w:rPr>
            </w:pPr>
          </w:p>
        </w:tc>
        <w:tc>
          <w:tcPr>
            <w:tcW w:w="8180" w:type="dxa"/>
            <w:vAlign w:val="bottom"/>
            <w:gridSpan w:val="2"/>
          </w:tcPr>
          <w:p>
            <w:pPr>
              <w:ind w:left="240"/>
              <w:spacing w:after="0"/>
              <w:rPr>
                <w:sz w:val="20"/>
                <w:szCs w:val="20"/>
                <w:color w:val="auto"/>
              </w:rPr>
            </w:pPr>
            <w:r>
              <w:rPr>
                <w:rFonts w:ascii="Arial" w:cs="Arial" w:eastAsia="Arial" w:hAnsi="Arial"/>
                <w:sz w:val="10"/>
                <w:szCs w:val="10"/>
                <w:color w:val="auto"/>
              </w:rPr>
              <w:t>Total mortgage loans</w:t>
            </w:r>
          </w:p>
        </w:tc>
        <w:tc>
          <w:tcPr>
            <w:tcW w:w="2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4,119,313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4,138,006</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8180" w:type="dxa"/>
            <w:vAlign w:val="bottom"/>
            <w:gridSpan w:val="2"/>
          </w:tcPr>
          <w:p>
            <w:pPr>
              <w:spacing w:after="0"/>
              <w:rPr>
                <w:sz w:val="20"/>
                <w:szCs w:val="20"/>
                <w:color w:val="auto"/>
              </w:rPr>
            </w:pPr>
            <w:r>
              <w:rPr>
                <w:rFonts w:ascii="Arial" w:cs="Arial" w:eastAsia="Arial" w:hAnsi="Arial"/>
                <w:sz w:val="10"/>
                <w:szCs w:val="10"/>
                <w:color w:val="auto"/>
              </w:rPr>
              <w:t>Advances to lenders</w:t>
            </w: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3,595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1,825</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8180" w:type="dxa"/>
            <w:vAlign w:val="bottom"/>
            <w:gridSpan w:val="2"/>
          </w:tcPr>
          <w:p>
            <w:pPr>
              <w:spacing w:after="0"/>
              <w:rPr>
                <w:sz w:val="20"/>
                <w:szCs w:val="20"/>
                <w:color w:val="auto"/>
              </w:rPr>
            </w:pPr>
            <w:r>
              <w:rPr>
                <w:rFonts w:ascii="Arial" w:cs="Arial" w:eastAsia="Arial" w:hAnsi="Arial"/>
                <w:sz w:val="10"/>
                <w:szCs w:val="10"/>
                <w:color w:val="auto"/>
              </w:rPr>
              <w:t>Deferred tax assets, net</w:t>
            </w: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9,828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10,545</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8180" w:type="dxa"/>
            <w:vAlign w:val="bottom"/>
            <w:gridSpan w:val="2"/>
          </w:tcPr>
          <w:p>
            <w:pPr>
              <w:spacing w:after="0"/>
              <w:rPr>
                <w:sz w:val="20"/>
                <w:szCs w:val="20"/>
                <w:color w:val="auto"/>
              </w:rPr>
            </w:pPr>
            <w:r>
              <w:rPr>
                <w:rFonts w:ascii="Arial" w:cs="Arial" w:eastAsia="Arial" w:hAnsi="Arial"/>
                <w:sz w:val="10"/>
                <w:szCs w:val="10"/>
                <w:color w:val="auto"/>
              </w:rPr>
              <w:t>Accrued interest receivable (includes $11,129 and $10,666, respectively, related to consolidated trusts)</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11,689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11,364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400" w:type="dxa"/>
            <w:vAlign w:val="bottom"/>
          </w:tcPr>
          <w:p>
            <w:pPr>
              <w:spacing w:after="0"/>
              <w:rPr>
                <w:sz w:val="11"/>
                <w:szCs w:val="11"/>
                <w:color w:val="auto"/>
              </w:rPr>
            </w:pPr>
          </w:p>
        </w:tc>
        <w:tc>
          <w:tcPr>
            <w:tcW w:w="8100" w:type="dxa"/>
            <w:vAlign w:val="bottom"/>
            <w:tcBorders>
              <w:bottom w:val="single" w:sz="8" w:color="5587A6"/>
            </w:tcBorders>
          </w:tcPr>
          <w:p>
            <w:pPr>
              <w:spacing w:after="0"/>
              <w:rPr>
                <w:sz w:val="20"/>
                <w:szCs w:val="20"/>
                <w:color w:val="auto"/>
              </w:rPr>
            </w:pPr>
            <w:r>
              <w:rPr>
                <w:rFonts w:ascii="Arial" w:cs="Arial" w:eastAsia="Arial" w:hAnsi="Arial"/>
                <w:sz w:val="10"/>
                <w:szCs w:val="10"/>
                <w:color w:val="auto"/>
              </w:rPr>
              <w:t>Other assets</w:t>
            </w:r>
          </w:p>
        </w:tc>
        <w:tc>
          <w:tcPr>
            <w:tcW w:w="80" w:type="dxa"/>
            <w:vAlign w:val="bottom"/>
          </w:tcPr>
          <w:p>
            <w:pPr>
              <w:spacing w:after="0"/>
              <w:rPr>
                <w:sz w:val="11"/>
                <w:szCs w:val="11"/>
                <w:color w:val="auto"/>
              </w:rPr>
            </w:pPr>
          </w:p>
        </w:tc>
        <w:tc>
          <w:tcPr>
            <w:tcW w:w="240" w:type="dxa"/>
            <w:vAlign w:val="bottom"/>
            <w:tcBorders>
              <w:bottom w:val="single" w:sz="8" w:color="5587A6"/>
            </w:tcBorders>
          </w:tcPr>
          <w:p>
            <w:pPr>
              <w:spacing w:after="0"/>
              <w:rPr>
                <w:sz w:val="11"/>
                <w:szCs w:val="11"/>
                <w:color w:val="auto"/>
              </w:rPr>
            </w:pPr>
          </w:p>
        </w:tc>
        <w:tc>
          <w:tcPr>
            <w:tcW w:w="8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14,991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5587A6"/>
            </w:tcBorders>
          </w:tcPr>
          <w:p>
            <w:pPr>
              <w:spacing w:after="0"/>
              <w:rPr>
                <w:sz w:val="11"/>
                <w:szCs w:val="11"/>
                <w:color w:val="auto"/>
              </w:rPr>
            </w:pPr>
          </w:p>
        </w:tc>
        <w:tc>
          <w:tcPr>
            <w:tcW w:w="6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14,008</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00" w:type="dxa"/>
            <w:vAlign w:val="bottom"/>
          </w:tcPr>
          <w:p>
            <w:pPr>
              <w:spacing w:after="0"/>
              <w:rPr>
                <w:sz w:val="10"/>
                <w:szCs w:val="10"/>
                <w:color w:val="auto"/>
              </w:rPr>
            </w:pPr>
          </w:p>
        </w:tc>
        <w:tc>
          <w:tcPr>
            <w:tcW w:w="8180" w:type="dxa"/>
            <w:vAlign w:val="bottom"/>
            <w:tcBorders>
              <w:bottom w:val="single" w:sz="8" w:color="5587A6"/>
            </w:tcBorders>
            <w:gridSpan w:val="2"/>
          </w:tcPr>
          <w:p>
            <w:pPr>
              <w:spacing w:after="0"/>
              <w:rPr>
                <w:sz w:val="20"/>
                <w:szCs w:val="20"/>
                <w:color w:val="auto"/>
              </w:rPr>
            </w:pPr>
            <w:r>
              <w:rPr>
                <w:rFonts w:ascii="Arial" w:cs="Arial" w:eastAsia="Arial" w:hAnsi="Arial"/>
                <w:sz w:val="10"/>
                <w:szCs w:val="10"/>
                <w:color w:val="auto"/>
              </w:rPr>
              <w:t>Total assets</w:t>
            </w:r>
          </w:p>
        </w:tc>
        <w:tc>
          <w:tcPr>
            <w:tcW w:w="240" w:type="dxa"/>
            <w:vAlign w:val="bottom"/>
            <w:tcBorders>
              <w:bottom w:val="single" w:sz="8" w:color="5587A6"/>
            </w:tcBorders>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4,317,538</w:t>
            </w:r>
          </w:p>
        </w:tc>
        <w:tc>
          <w:tcPr>
            <w:tcW w:w="80" w:type="dxa"/>
            <w:vAlign w:val="bottom"/>
            <w:tcBorders>
              <w:bottom w:val="single" w:sz="8" w:color="5587A6"/>
            </w:tcBorders>
          </w:tcPr>
          <w:p>
            <w:pPr>
              <w:spacing w:after="0"/>
              <w:rPr>
                <w:sz w:val="10"/>
                <w:szCs w:val="10"/>
                <w:color w:val="auto"/>
              </w:rPr>
            </w:pPr>
          </w:p>
        </w:tc>
        <w:tc>
          <w:tcPr>
            <w:tcW w:w="80" w:type="dxa"/>
            <w:vAlign w:val="bottom"/>
            <w:tcBorders>
              <w:bottom w:val="single" w:sz="8" w:color="5587A6"/>
            </w:tcBorders>
          </w:tcPr>
          <w:p>
            <w:pPr>
              <w:spacing w:after="0"/>
              <w:rPr>
                <w:sz w:val="10"/>
                <w:szCs w:val="10"/>
                <w:color w:val="auto"/>
              </w:rPr>
            </w:pPr>
          </w:p>
        </w:tc>
        <w:tc>
          <w:tcPr>
            <w:tcW w:w="80" w:type="dxa"/>
            <w:vAlign w:val="bottom"/>
            <w:tcBorders>
              <w:bottom w:val="single" w:sz="8" w:color="5587A6"/>
            </w:tcBorders>
          </w:tcPr>
          <w:p>
            <w:pPr>
              <w:spacing w:after="0"/>
              <w:rPr>
                <w:sz w:val="10"/>
                <w:szCs w:val="10"/>
                <w:color w:val="auto"/>
              </w:rPr>
            </w:pPr>
          </w:p>
        </w:tc>
        <w:tc>
          <w:tcPr>
            <w:tcW w:w="360" w:type="dxa"/>
            <w:vAlign w:val="bottom"/>
            <w:tcBorders>
              <w:bottom w:val="single" w:sz="8" w:color="5587A6"/>
            </w:tcBorders>
          </w:tcPr>
          <w:p>
            <w:pPr>
              <w:jc w:val="right"/>
              <w:ind w:right="25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4,349,731</w:t>
            </w:r>
          </w:p>
        </w:tc>
        <w:tc>
          <w:tcPr>
            <w:tcW w:w="80" w:type="dxa"/>
            <w:vAlign w:val="bottom"/>
            <w:tcBorders>
              <w:bottom w:val="single" w:sz="8" w:color="5587A6"/>
            </w:tcBorders>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8180" w:type="dxa"/>
            <w:vAlign w:val="bottom"/>
            <w:tcBorders>
              <w:bottom w:val="single" w:sz="8" w:color="5587A6"/>
            </w:tcBorders>
            <w:gridSpan w:val="2"/>
          </w:tcPr>
          <w:p>
            <w:pPr>
              <w:spacing w:after="0" w:line="20" w:lineRule="exact"/>
              <w:rPr>
                <w:sz w:val="1"/>
                <w:szCs w:val="1"/>
                <w:color w:val="auto"/>
              </w:rPr>
            </w:pPr>
          </w:p>
        </w:tc>
        <w:tc>
          <w:tcPr>
            <w:tcW w:w="240" w:type="dxa"/>
            <w:vAlign w:val="bottom"/>
            <w:tcBorders>
              <w:bottom w:val="single" w:sz="8" w:color="5587A6"/>
            </w:tcBorders>
          </w:tcPr>
          <w:p>
            <w:pPr>
              <w:spacing w:after="0" w:line="20" w:lineRule="exact"/>
              <w:rPr>
                <w:sz w:val="1"/>
                <w:szCs w:val="1"/>
                <w:color w:val="auto"/>
              </w:rPr>
            </w:pPr>
          </w:p>
        </w:tc>
        <w:tc>
          <w:tcPr>
            <w:tcW w:w="820" w:type="dxa"/>
            <w:vAlign w:val="bottom"/>
            <w:tcBorders>
              <w:bottom w:val="single" w:sz="8" w:color="5587A6"/>
            </w:tcBorders>
          </w:tcPr>
          <w:p>
            <w:pPr>
              <w:spacing w:after="0" w:line="20" w:lineRule="exact"/>
              <w:rPr>
                <w:sz w:val="1"/>
                <w:szCs w:val="1"/>
                <w:color w:val="auto"/>
              </w:rPr>
            </w:pPr>
          </w:p>
        </w:tc>
        <w:tc>
          <w:tcPr>
            <w:tcW w:w="80" w:type="dxa"/>
            <w:vAlign w:val="bottom"/>
            <w:tcBorders>
              <w:bottom w:val="single" w:sz="8" w:color="5587A6"/>
            </w:tcBorders>
          </w:tcPr>
          <w:p>
            <w:pPr>
              <w:spacing w:after="0" w:line="20" w:lineRule="exact"/>
              <w:rPr>
                <w:sz w:val="1"/>
                <w:szCs w:val="1"/>
                <w:color w:val="auto"/>
              </w:rPr>
            </w:pPr>
          </w:p>
        </w:tc>
        <w:tc>
          <w:tcPr>
            <w:tcW w:w="80" w:type="dxa"/>
            <w:vAlign w:val="bottom"/>
            <w:tcBorders>
              <w:bottom w:val="single" w:sz="8" w:color="5587A6"/>
            </w:tcBorders>
          </w:tcPr>
          <w:p>
            <w:pPr>
              <w:spacing w:after="0" w:line="20" w:lineRule="exact"/>
              <w:rPr>
                <w:sz w:val="1"/>
                <w:szCs w:val="1"/>
                <w:color w:val="auto"/>
              </w:rPr>
            </w:pPr>
          </w:p>
        </w:tc>
        <w:tc>
          <w:tcPr>
            <w:tcW w:w="80" w:type="dxa"/>
            <w:vAlign w:val="bottom"/>
            <w:tcBorders>
              <w:bottom w:val="single" w:sz="8" w:color="5587A6"/>
            </w:tcBorders>
          </w:tcPr>
          <w:p>
            <w:pPr>
              <w:spacing w:after="0" w:line="20" w:lineRule="exact"/>
              <w:rPr>
                <w:sz w:val="1"/>
                <w:szCs w:val="1"/>
                <w:color w:val="auto"/>
              </w:rPr>
            </w:pPr>
          </w:p>
        </w:tc>
        <w:tc>
          <w:tcPr>
            <w:tcW w:w="360" w:type="dxa"/>
            <w:vAlign w:val="bottom"/>
            <w:tcBorders>
              <w:bottom w:val="single" w:sz="8" w:color="5587A6"/>
            </w:tcBorders>
          </w:tcPr>
          <w:p>
            <w:pPr>
              <w:spacing w:after="0" w:line="20" w:lineRule="exact"/>
              <w:rPr>
                <w:sz w:val="1"/>
                <w:szCs w:val="1"/>
                <w:color w:val="auto"/>
              </w:rPr>
            </w:pPr>
          </w:p>
        </w:tc>
        <w:tc>
          <w:tcPr>
            <w:tcW w:w="680" w:type="dxa"/>
            <w:vAlign w:val="bottom"/>
            <w:tcBorders>
              <w:bottom w:val="single" w:sz="8" w:color="5587A6"/>
            </w:tcBorders>
          </w:tcPr>
          <w:p>
            <w:pPr>
              <w:spacing w:after="0" w:line="20" w:lineRule="exact"/>
              <w:rPr>
                <w:sz w:val="1"/>
                <w:szCs w:val="1"/>
                <w:color w:val="auto"/>
              </w:rPr>
            </w:pPr>
          </w:p>
        </w:tc>
        <w:tc>
          <w:tcPr>
            <w:tcW w:w="80" w:type="dxa"/>
            <w:vAlign w:val="bottom"/>
            <w:tcBorders>
              <w:bottom w:val="single" w:sz="8" w:color="5587A6"/>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00" w:type="dxa"/>
            <w:vAlign w:val="bottom"/>
          </w:tcPr>
          <w:p>
            <w:pPr>
              <w:spacing w:after="0"/>
              <w:rPr>
                <w:sz w:val="11"/>
                <w:szCs w:val="11"/>
                <w:color w:val="auto"/>
              </w:rPr>
            </w:pPr>
          </w:p>
        </w:tc>
        <w:tc>
          <w:tcPr>
            <w:tcW w:w="8180" w:type="dxa"/>
            <w:vAlign w:val="bottom"/>
            <w:gridSpan w:val="2"/>
          </w:tcPr>
          <w:p>
            <w:pPr>
              <w:ind w:left="4560"/>
              <w:spacing w:after="0" w:line="134" w:lineRule="exact"/>
              <w:rPr>
                <w:sz w:val="20"/>
                <w:szCs w:val="20"/>
                <w:color w:val="auto"/>
              </w:rPr>
            </w:pPr>
            <w:r>
              <w:rPr>
                <w:rFonts w:ascii="Arial" w:cs="Arial" w:eastAsia="Arial" w:hAnsi="Arial"/>
                <w:sz w:val="12"/>
                <w:szCs w:val="12"/>
                <w:b w:val="1"/>
                <w:bCs w:val="1"/>
                <w:color w:val="auto"/>
              </w:rPr>
              <w:t>LIABILITIES AND EQUITY</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400" w:type="dxa"/>
            <w:vAlign w:val="bottom"/>
          </w:tcPr>
          <w:p>
            <w:pPr>
              <w:spacing w:after="0"/>
              <w:rPr>
                <w:sz w:val="10"/>
                <w:szCs w:val="10"/>
                <w:color w:val="auto"/>
              </w:rPr>
            </w:pPr>
          </w:p>
        </w:tc>
        <w:tc>
          <w:tcPr>
            <w:tcW w:w="8180" w:type="dxa"/>
            <w:vAlign w:val="bottom"/>
            <w:gridSpan w:val="2"/>
          </w:tcPr>
          <w:p>
            <w:pPr>
              <w:spacing w:after="0"/>
              <w:rPr>
                <w:sz w:val="20"/>
                <w:szCs w:val="20"/>
                <w:color w:val="auto"/>
              </w:rPr>
            </w:pPr>
            <w:r>
              <w:rPr>
                <w:rFonts w:ascii="Arial" w:cs="Arial" w:eastAsia="Arial" w:hAnsi="Arial"/>
                <w:sz w:val="10"/>
                <w:szCs w:val="10"/>
                <w:color w:val="auto"/>
              </w:rPr>
              <w:t>Liabilities:</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00" w:type="dxa"/>
            <w:vAlign w:val="bottom"/>
          </w:tcPr>
          <w:p>
            <w:pPr>
              <w:spacing w:after="0"/>
              <w:rPr>
                <w:sz w:val="12"/>
                <w:szCs w:val="12"/>
                <w:color w:val="auto"/>
              </w:rPr>
            </w:pPr>
          </w:p>
        </w:tc>
        <w:tc>
          <w:tcPr>
            <w:tcW w:w="8180" w:type="dxa"/>
            <w:vAlign w:val="bottom"/>
            <w:gridSpan w:val="2"/>
          </w:tcPr>
          <w:p>
            <w:pPr>
              <w:ind w:left="120"/>
              <w:spacing w:after="0"/>
              <w:rPr>
                <w:sz w:val="20"/>
                <w:szCs w:val="20"/>
                <w:color w:val="auto"/>
              </w:rPr>
            </w:pPr>
            <w:r>
              <w:rPr>
                <w:rFonts w:ascii="Arial" w:cs="Arial" w:eastAsia="Arial" w:hAnsi="Arial"/>
                <w:sz w:val="10"/>
                <w:szCs w:val="10"/>
                <w:color w:val="auto"/>
              </w:rPr>
              <w:t>Accrued interest payable (includes $11,320 and $10,858, respectively, related to consolidated trusts)</w:t>
            </w:r>
          </w:p>
        </w:tc>
        <w:tc>
          <w:tcPr>
            <w:tcW w:w="240" w:type="dxa"/>
            <w:vAlign w:val="bottom"/>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12,035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11,585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8180" w:type="dxa"/>
            <w:vAlign w:val="bottom"/>
            <w:gridSpan w:val="2"/>
          </w:tcPr>
          <w:p>
            <w:pPr>
              <w:ind w:left="120"/>
              <w:spacing w:after="0"/>
              <w:rPr>
                <w:sz w:val="20"/>
                <w:szCs w:val="20"/>
                <w:color w:val="auto"/>
              </w:rPr>
            </w:pPr>
            <w:r>
              <w:rPr>
                <w:rFonts w:ascii="Arial" w:cs="Arial" w:eastAsia="Arial" w:hAnsi="Arial"/>
                <w:sz w:val="10"/>
                <w:szCs w:val="10"/>
                <w:color w:val="auto"/>
              </w:rPr>
              <w:t>Debt:</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0" w:type="dxa"/>
            <w:vAlign w:val="bottom"/>
          </w:tcPr>
          <w:p>
            <w:pPr>
              <w:spacing w:after="0"/>
              <w:rPr>
                <w:sz w:val="12"/>
                <w:szCs w:val="12"/>
                <w:color w:val="auto"/>
              </w:rPr>
            </w:pPr>
          </w:p>
        </w:tc>
        <w:tc>
          <w:tcPr>
            <w:tcW w:w="8180" w:type="dxa"/>
            <w:vAlign w:val="bottom"/>
            <w:gridSpan w:val="2"/>
          </w:tcPr>
          <w:p>
            <w:pPr>
              <w:ind w:left="220"/>
              <w:spacing w:after="0"/>
              <w:rPr>
                <w:sz w:val="20"/>
                <w:szCs w:val="20"/>
                <w:color w:val="auto"/>
              </w:rPr>
            </w:pPr>
            <w:r>
              <w:rPr>
                <w:rFonts w:ascii="Arial" w:cs="Arial" w:eastAsia="Arial" w:hAnsi="Arial"/>
                <w:sz w:val="10"/>
                <w:szCs w:val="10"/>
                <w:color w:val="auto"/>
              </w:rPr>
              <w:t>Of Fannie Mae (includes $256 and $385, respectively, at fair value)</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127,289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139,422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8180" w:type="dxa"/>
            <w:vAlign w:val="bottom"/>
            <w:gridSpan w:val="2"/>
          </w:tcPr>
          <w:p>
            <w:pPr>
              <w:ind w:left="220"/>
              <w:spacing w:after="0"/>
              <w:rPr>
                <w:sz w:val="20"/>
                <w:szCs w:val="20"/>
                <w:color w:val="auto"/>
              </w:rPr>
            </w:pPr>
            <w:r>
              <w:rPr>
                <w:rFonts w:ascii="Arial" w:cs="Arial" w:eastAsia="Arial" w:hAnsi="Arial"/>
                <w:sz w:val="10"/>
                <w:szCs w:val="10"/>
                <w:color w:val="auto"/>
              </w:rPr>
              <w:t>Of consolidated trusts (includes $15,060 and $13,292, respectively, at fair value)</w:t>
            </w: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4,053,140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4,088,675</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0" w:type="dxa"/>
            <w:vAlign w:val="bottom"/>
          </w:tcPr>
          <w:p>
            <w:pPr>
              <w:spacing w:after="0"/>
              <w:rPr>
                <w:sz w:val="11"/>
                <w:szCs w:val="11"/>
                <w:color w:val="auto"/>
              </w:rPr>
            </w:pPr>
          </w:p>
        </w:tc>
        <w:tc>
          <w:tcPr>
            <w:tcW w:w="810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Other liabilities (includes $1,719 and $1,699, respectively, related to consolidated trusts)</w:t>
            </w:r>
          </w:p>
        </w:tc>
        <w:tc>
          <w:tcPr>
            <w:tcW w:w="80" w:type="dxa"/>
            <w:vAlign w:val="bottom"/>
          </w:tcPr>
          <w:p>
            <w:pPr>
              <w:spacing w:after="0"/>
              <w:rPr>
                <w:sz w:val="11"/>
                <w:szCs w:val="11"/>
                <w:color w:val="auto"/>
              </w:rPr>
            </w:pPr>
          </w:p>
        </w:tc>
        <w:tc>
          <w:tcPr>
            <w:tcW w:w="240" w:type="dxa"/>
            <w:vAlign w:val="bottom"/>
            <w:tcBorders>
              <w:bottom w:val="single" w:sz="8" w:color="5587A6"/>
            </w:tcBorders>
          </w:tcPr>
          <w:p>
            <w:pPr>
              <w:spacing w:after="0"/>
              <w:rPr>
                <w:sz w:val="11"/>
                <w:szCs w:val="11"/>
                <w:color w:val="auto"/>
              </w:rPr>
            </w:pPr>
          </w:p>
        </w:tc>
        <w:tc>
          <w:tcPr>
            <w:tcW w:w="8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16,062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5587A6"/>
            </w:tcBorders>
          </w:tcPr>
          <w:p>
            <w:pPr>
              <w:spacing w:after="0"/>
              <w:rPr>
                <w:sz w:val="11"/>
                <w:szCs w:val="11"/>
                <w:color w:val="auto"/>
              </w:rPr>
            </w:pPr>
          </w:p>
        </w:tc>
        <w:tc>
          <w:tcPr>
            <w:tcW w:w="6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15,392</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00" w:type="dxa"/>
            <w:vAlign w:val="bottom"/>
          </w:tcPr>
          <w:p>
            <w:pPr>
              <w:spacing w:after="0"/>
              <w:rPr>
                <w:sz w:val="10"/>
                <w:szCs w:val="10"/>
                <w:color w:val="auto"/>
              </w:rPr>
            </w:pPr>
          </w:p>
        </w:tc>
        <w:tc>
          <w:tcPr>
            <w:tcW w:w="8100" w:type="dxa"/>
            <w:vAlign w:val="bottom"/>
            <w:tcBorders>
              <w:bottom w:val="single" w:sz="8" w:color="5587A6"/>
            </w:tcBorders>
          </w:tcPr>
          <w:p>
            <w:pPr>
              <w:spacing w:after="0"/>
              <w:rPr>
                <w:sz w:val="20"/>
                <w:szCs w:val="20"/>
                <w:color w:val="auto"/>
              </w:rPr>
            </w:pPr>
            <w:r>
              <w:rPr>
                <w:rFonts w:ascii="Arial" w:cs="Arial" w:eastAsia="Arial" w:hAnsi="Arial"/>
                <w:sz w:val="10"/>
                <w:szCs w:val="10"/>
                <w:color w:val="auto"/>
              </w:rPr>
              <w:t>Total liabilities</w:t>
            </w:r>
          </w:p>
        </w:tc>
        <w:tc>
          <w:tcPr>
            <w:tcW w:w="80" w:type="dxa"/>
            <w:vAlign w:val="bottom"/>
          </w:tcPr>
          <w:p>
            <w:pPr>
              <w:spacing w:after="0"/>
              <w:rPr>
                <w:sz w:val="10"/>
                <w:szCs w:val="10"/>
                <w:color w:val="auto"/>
              </w:rPr>
            </w:pPr>
          </w:p>
        </w:tc>
        <w:tc>
          <w:tcPr>
            <w:tcW w:w="240" w:type="dxa"/>
            <w:vAlign w:val="bottom"/>
            <w:tcBorders>
              <w:bottom w:val="single" w:sz="8" w:color="5587A6"/>
            </w:tcBorders>
          </w:tcPr>
          <w:p>
            <w:pPr>
              <w:spacing w:after="0"/>
              <w:rPr>
                <w:sz w:val="10"/>
                <w:szCs w:val="10"/>
                <w:color w:val="auto"/>
              </w:rPr>
            </w:pPr>
          </w:p>
        </w:tc>
        <w:tc>
          <w:tcPr>
            <w:tcW w:w="8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4,208,526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bottom w:val="single" w:sz="8" w:color="5587A6"/>
            </w:tcBorders>
          </w:tcPr>
          <w:p>
            <w:pPr>
              <w:spacing w:after="0"/>
              <w:rPr>
                <w:sz w:val="10"/>
                <w:szCs w:val="10"/>
                <w:color w:val="auto"/>
              </w:rPr>
            </w:pPr>
          </w:p>
        </w:tc>
        <w:tc>
          <w:tcPr>
            <w:tcW w:w="6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4,255,074</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00" w:type="dxa"/>
            <w:vAlign w:val="bottom"/>
          </w:tcPr>
          <w:p>
            <w:pPr>
              <w:spacing w:after="0"/>
              <w:rPr>
                <w:sz w:val="10"/>
                <w:szCs w:val="10"/>
                <w:color w:val="auto"/>
              </w:rPr>
            </w:pPr>
          </w:p>
        </w:tc>
        <w:tc>
          <w:tcPr>
            <w:tcW w:w="8180" w:type="dxa"/>
            <w:vAlign w:val="bottom"/>
            <w:gridSpan w:val="2"/>
          </w:tcPr>
          <w:p>
            <w:pPr>
              <w:spacing w:after="0"/>
              <w:rPr>
                <w:sz w:val="20"/>
                <w:szCs w:val="20"/>
                <w:color w:val="auto"/>
              </w:rPr>
            </w:pPr>
            <w:r>
              <w:rPr>
                <w:rFonts w:ascii="Arial" w:cs="Arial" w:eastAsia="Arial" w:hAnsi="Arial"/>
                <w:sz w:val="10"/>
                <w:szCs w:val="10"/>
                <w:color w:val="auto"/>
              </w:rPr>
              <w:t>Commitments and contingencies (Note 17)</w:t>
            </w:r>
          </w:p>
        </w:tc>
        <w:tc>
          <w:tcPr>
            <w:tcW w:w="240" w:type="dxa"/>
            <w:vAlign w:val="bottom"/>
          </w:tcPr>
          <w:p>
            <w:pPr>
              <w:spacing w:after="0"/>
              <w:rPr>
                <w:sz w:val="10"/>
                <w:szCs w:val="10"/>
                <w:color w:val="auto"/>
              </w:rPr>
            </w:pPr>
          </w:p>
        </w:tc>
        <w:tc>
          <w:tcPr>
            <w:tcW w:w="1060" w:type="dxa"/>
            <w:vAlign w:val="bottom"/>
            <w:gridSpan w:val="4"/>
          </w:tcPr>
          <w:p>
            <w:pPr>
              <w:jc w:val="right"/>
              <w:ind w:right="280"/>
              <w:spacing w:after="0"/>
              <w:rPr>
                <w:sz w:val="20"/>
                <w:szCs w:val="20"/>
                <w:color w:val="auto"/>
              </w:rPr>
            </w:pPr>
            <w:r>
              <w:rPr>
                <w:rFonts w:ascii="Arial" w:cs="Arial" w:eastAsia="Arial" w:hAnsi="Arial"/>
                <w:sz w:val="10"/>
                <w:szCs w:val="10"/>
                <w:b w:val="1"/>
                <w:bCs w:val="1"/>
                <w:color w:val="auto"/>
              </w:rPr>
              <w:t>—</w:t>
            </w:r>
          </w:p>
        </w:tc>
        <w:tc>
          <w:tcPr>
            <w:tcW w:w="360" w:type="dxa"/>
            <w:vAlign w:val="bottom"/>
          </w:tcPr>
          <w:p>
            <w:pPr>
              <w:spacing w:after="0"/>
              <w:rPr>
                <w:sz w:val="10"/>
                <w:szCs w:val="10"/>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8180" w:type="dxa"/>
            <w:vAlign w:val="bottom"/>
            <w:gridSpan w:val="2"/>
          </w:tcPr>
          <w:p>
            <w:pPr>
              <w:spacing w:after="0"/>
              <w:rPr>
                <w:sz w:val="20"/>
                <w:szCs w:val="20"/>
                <w:color w:val="auto"/>
              </w:rPr>
            </w:pPr>
            <w:r>
              <w:rPr>
                <w:rFonts w:ascii="Arial" w:cs="Arial" w:eastAsia="Arial" w:hAnsi="Arial"/>
                <w:sz w:val="10"/>
                <w:szCs w:val="10"/>
                <w:color w:val="auto"/>
              </w:rPr>
              <w:t>Fannie Mae stockholders’ equity:</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0" w:type="dxa"/>
            <w:vAlign w:val="bottom"/>
          </w:tcPr>
          <w:p>
            <w:pPr>
              <w:spacing w:after="0"/>
              <w:rPr>
                <w:sz w:val="12"/>
                <w:szCs w:val="12"/>
                <w:color w:val="auto"/>
              </w:rPr>
            </w:pPr>
          </w:p>
        </w:tc>
        <w:tc>
          <w:tcPr>
            <w:tcW w:w="8180" w:type="dxa"/>
            <w:vAlign w:val="bottom"/>
            <w:gridSpan w:val="2"/>
          </w:tcPr>
          <w:p>
            <w:pPr>
              <w:ind w:left="120"/>
              <w:spacing w:after="0"/>
              <w:rPr>
                <w:sz w:val="20"/>
                <w:szCs w:val="20"/>
                <w:color w:val="auto"/>
              </w:rPr>
            </w:pPr>
            <w:r>
              <w:rPr>
                <w:rFonts w:ascii="Arial" w:cs="Arial" w:eastAsia="Arial" w:hAnsi="Arial"/>
                <w:sz w:val="10"/>
                <w:szCs w:val="10"/>
                <w:color w:val="auto"/>
              </w:rPr>
              <w:t>Senior preferred stock (liquidation preference of $226,984 and $212,029, respectively)</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120,836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120,836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8180" w:type="dxa"/>
            <w:vAlign w:val="bottom"/>
            <w:gridSpan w:val="2"/>
          </w:tcPr>
          <w:p>
            <w:pPr>
              <w:ind w:left="120"/>
              <w:spacing w:after="0"/>
              <w:rPr>
                <w:sz w:val="20"/>
                <w:szCs w:val="20"/>
                <w:color w:val="auto"/>
              </w:rPr>
            </w:pPr>
            <w:r>
              <w:rPr>
                <w:rFonts w:ascii="Arial" w:cs="Arial" w:eastAsia="Arial" w:hAnsi="Arial"/>
                <w:sz w:val="10"/>
                <w:szCs w:val="10"/>
                <w:color w:val="auto"/>
              </w:rPr>
              <w:t>Preferred stock, 700,000,000 shares are authorized—555,374,922 shares issued and outstanding</w:t>
            </w: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19,130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19,130</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8180" w:type="dxa"/>
            <w:vAlign w:val="bottom"/>
            <w:gridSpan w:val="2"/>
          </w:tcPr>
          <w:p>
            <w:pPr>
              <w:ind w:left="120"/>
              <w:spacing w:after="0"/>
              <w:rPr>
                <w:sz w:val="20"/>
                <w:szCs w:val="20"/>
                <w:color w:val="auto"/>
              </w:rPr>
            </w:pPr>
            <w:r>
              <w:rPr>
                <w:rFonts w:ascii="Arial" w:cs="Arial" w:eastAsia="Arial" w:hAnsi="Arial"/>
                <w:sz w:val="10"/>
                <w:szCs w:val="10"/>
                <w:color w:val="auto"/>
              </w:rPr>
              <w:t>Common stock, no par value, no maximum authorization—1,308,762,703 shares issued and 1,158,087,567 shares outstanding</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687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687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8180" w:type="dxa"/>
            <w:vAlign w:val="bottom"/>
            <w:gridSpan w:val="2"/>
          </w:tcPr>
          <w:p>
            <w:pPr>
              <w:ind w:left="120"/>
              <w:spacing w:after="0"/>
              <w:rPr>
                <w:sz w:val="20"/>
                <w:szCs w:val="20"/>
                <w:color w:val="auto"/>
              </w:rPr>
            </w:pPr>
            <w:r>
              <w:rPr>
                <w:rFonts w:ascii="Arial" w:cs="Arial" w:eastAsia="Arial" w:hAnsi="Arial"/>
                <w:sz w:val="10"/>
                <w:szCs w:val="10"/>
                <w:color w:val="auto"/>
              </w:rPr>
              <w:t>Accumulated deficit</w:t>
            </w: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(24,261)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(38,625)</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8180" w:type="dxa"/>
            <w:vAlign w:val="bottom"/>
            <w:gridSpan w:val="2"/>
          </w:tcPr>
          <w:p>
            <w:pPr>
              <w:ind w:left="120"/>
              <w:spacing w:after="0"/>
              <w:rPr>
                <w:sz w:val="20"/>
                <w:szCs w:val="20"/>
                <w:color w:val="auto"/>
              </w:rPr>
            </w:pPr>
            <w:r>
              <w:rPr>
                <w:rFonts w:ascii="Arial" w:cs="Arial" w:eastAsia="Arial" w:hAnsi="Arial"/>
                <w:sz w:val="10"/>
                <w:szCs w:val="10"/>
                <w:color w:val="auto"/>
              </w:rPr>
              <w:t>Accumulated other comprehensive income</w:t>
            </w: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20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29</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0" w:type="dxa"/>
            <w:vAlign w:val="bottom"/>
          </w:tcPr>
          <w:p>
            <w:pPr>
              <w:spacing w:after="0"/>
              <w:rPr>
                <w:sz w:val="11"/>
                <w:szCs w:val="11"/>
                <w:color w:val="auto"/>
              </w:rPr>
            </w:pPr>
          </w:p>
        </w:tc>
        <w:tc>
          <w:tcPr>
            <w:tcW w:w="810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Treasury stock, at cost, 150,675,136 shares</w:t>
            </w:r>
          </w:p>
        </w:tc>
        <w:tc>
          <w:tcPr>
            <w:tcW w:w="80" w:type="dxa"/>
            <w:vAlign w:val="bottom"/>
          </w:tcPr>
          <w:p>
            <w:pPr>
              <w:spacing w:after="0"/>
              <w:rPr>
                <w:sz w:val="11"/>
                <w:szCs w:val="11"/>
                <w:color w:val="auto"/>
              </w:rPr>
            </w:pPr>
          </w:p>
        </w:tc>
        <w:tc>
          <w:tcPr>
            <w:tcW w:w="240" w:type="dxa"/>
            <w:vAlign w:val="bottom"/>
            <w:tcBorders>
              <w:bottom w:val="single" w:sz="8" w:color="5587A6"/>
            </w:tcBorders>
          </w:tcPr>
          <w:p>
            <w:pPr>
              <w:spacing w:after="0"/>
              <w:rPr>
                <w:sz w:val="11"/>
                <w:szCs w:val="11"/>
                <w:color w:val="auto"/>
              </w:rPr>
            </w:pPr>
          </w:p>
        </w:tc>
        <w:tc>
          <w:tcPr>
            <w:tcW w:w="8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(7,400)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5587A6"/>
            </w:tcBorders>
          </w:tcPr>
          <w:p>
            <w:pPr>
              <w:spacing w:after="0"/>
              <w:rPr>
                <w:sz w:val="11"/>
                <w:szCs w:val="11"/>
                <w:color w:val="auto"/>
              </w:rPr>
            </w:pPr>
          </w:p>
        </w:tc>
        <w:tc>
          <w:tcPr>
            <w:tcW w:w="6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(7,400)</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8100" w:type="dxa"/>
            <w:vAlign w:val="bottom"/>
            <w:tcBorders>
              <w:bottom w:val="single" w:sz="8" w:color="5587A6"/>
            </w:tcBorders>
          </w:tcPr>
          <w:p>
            <w:pPr>
              <w:spacing w:after="0"/>
              <w:rPr>
                <w:sz w:val="20"/>
                <w:szCs w:val="20"/>
                <w:color w:val="auto"/>
              </w:rPr>
            </w:pPr>
            <w:r>
              <w:rPr>
                <w:rFonts w:ascii="Arial" w:cs="Arial" w:eastAsia="Arial" w:hAnsi="Arial"/>
                <w:sz w:val="10"/>
                <w:szCs w:val="10"/>
                <w:color w:val="auto"/>
              </w:rPr>
              <w:t>Total stockholders’ equity</w:t>
            </w:r>
          </w:p>
        </w:tc>
        <w:tc>
          <w:tcPr>
            <w:tcW w:w="80" w:type="dxa"/>
            <w:vAlign w:val="bottom"/>
          </w:tcPr>
          <w:p>
            <w:pPr>
              <w:spacing w:after="0"/>
              <w:rPr>
                <w:sz w:val="17"/>
                <w:szCs w:val="17"/>
                <w:color w:val="auto"/>
              </w:rPr>
            </w:pPr>
          </w:p>
        </w:tc>
        <w:tc>
          <w:tcPr>
            <w:tcW w:w="240" w:type="dxa"/>
            <w:vAlign w:val="bottom"/>
            <w:tcBorders>
              <w:bottom w:val="single" w:sz="8" w:color="5587A6"/>
            </w:tcBorders>
          </w:tcPr>
          <w:p>
            <w:pPr>
              <w:spacing w:after="0"/>
              <w:rPr>
                <w:sz w:val="17"/>
                <w:szCs w:val="17"/>
                <w:color w:val="auto"/>
              </w:rPr>
            </w:pPr>
          </w:p>
        </w:tc>
        <w:tc>
          <w:tcPr>
            <w:tcW w:w="8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109,012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5587A6"/>
            </w:tcBorders>
          </w:tcPr>
          <w:p>
            <w:pPr>
              <w:spacing w:after="0"/>
              <w:rPr>
                <w:sz w:val="17"/>
                <w:szCs w:val="17"/>
                <w:color w:val="auto"/>
              </w:rPr>
            </w:pPr>
          </w:p>
        </w:tc>
        <w:tc>
          <w:tcPr>
            <w:tcW w:w="6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94,657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400" w:type="dxa"/>
            <w:vAlign w:val="bottom"/>
          </w:tcPr>
          <w:p>
            <w:pPr>
              <w:spacing w:after="0"/>
              <w:rPr>
                <w:sz w:val="10"/>
                <w:szCs w:val="10"/>
                <w:color w:val="auto"/>
              </w:rPr>
            </w:pPr>
          </w:p>
        </w:tc>
        <w:tc>
          <w:tcPr>
            <w:tcW w:w="8180" w:type="dxa"/>
            <w:vAlign w:val="bottom"/>
            <w:gridSpan w:val="2"/>
          </w:tcPr>
          <w:p>
            <w:pPr>
              <w:spacing w:after="0"/>
              <w:rPr>
                <w:sz w:val="20"/>
                <w:szCs w:val="20"/>
                <w:color w:val="auto"/>
              </w:rPr>
            </w:pPr>
            <w:r>
              <w:rPr>
                <w:rFonts w:ascii="Arial" w:cs="Arial" w:eastAsia="Arial" w:hAnsi="Arial"/>
                <w:sz w:val="10"/>
                <w:szCs w:val="10"/>
                <w:color w:val="auto"/>
              </w:rPr>
              <w:t>Total liabilities and equity</w:t>
            </w:r>
          </w:p>
        </w:tc>
        <w:tc>
          <w:tcPr>
            <w:tcW w:w="240" w:type="dxa"/>
            <w:vAlign w:val="bottom"/>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4,317,538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4,349,731</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81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5587A6"/>
              <w:bottom w:val="single" w:sz="8" w:color="5587A6"/>
            </w:tcBorders>
          </w:tcPr>
          <w:p>
            <w:pPr>
              <w:spacing w:after="0" w:line="20" w:lineRule="exact"/>
              <w:rPr>
                <w:sz w:val="1"/>
                <w:szCs w:val="1"/>
                <w:color w:val="auto"/>
              </w:rPr>
            </w:pPr>
          </w:p>
        </w:tc>
        <w:tc>
          <w:tcPr>
            <w:tcW w:w="82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5587A6"/>
              <w:bottom w:val="single" w:sz="8" w:color="5587A6"/>
            </w:tcBorders>
          </w:tcPr>
          <w:p>
            <w:pPr>
              <w:spacing w:after="0" w:line="20" w:lineRule="exact"/>
              <w:rPr>
                <w:sz w:val="1"/>
                <w:szCs w:val="1"/>
                <w:color w:val="auto"/>
              </w:rPr>
            </w:pPr>
          </w:p>
        </w:tc>
        <w:tc>
          <w:tcPr>
            <w:tcW w:w="68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400" w:type="dxa"/>
            <w:vAlign w:val="bottom"/>
            <w:tcBorders>
              <w:bottom w:val="single" w:sz="8" w:color="05314D"/>
            </w:tcBorders>
          </w:tcPr>
          <w:p>
            <w:pPr>
              <w:spacing w:after="0"/>
              <w:rPr>
                <w:sz w:val="24"/>
                <w:szCs w:val="24"/>
                <w:color w:val="auto"/>
              </w:rPr>
            </w:pPr>
          </w:p>
        </w:tc>
        <w:tc>
          <w:tcPr>
            <w:tcW w:w="8180" w:type="dxa"/>
            <w:vAlign w:val="bottom"/>
            <w:tcBorders>
              <w:bottom w:val="single" w:sz="8" w:color="05314D"/>
            </w:tcBorders>
            <w:gridSpan w:val="2"/>
          </w:tcPr>
          <w:p>
            <w:pPr>
              <w:ind w:left="3720"/>
              <w:spacing w:after="0"/>
              <w:rPr>
                <w:sz w:val="20"/>
                <w:szCs w:val="20"/>
                <w:color w:val="auto"/>
              </w:rPr>
            </w:pPr>
            <w:r>
              <w:rPr>
                <w:rFonts w:ascii="Arial" w:cs="Arial" w:eastAsia="Arial" w:hAnsi="Arial"/>
                <w:sz w:val="10"/>
                <w:szCs w:val="10"/>
                <w:color w:val="auto"/>
              </w:rPr>
              <w:t>See Notes to Consolidated Financial Statements in the 2025 Form 10-K</w:t>
            </w:r>
          </w:p>
        </w:tc>
        <w:tc>
          <w:tcPr>
            <w:tcW w:w="240" w:type="dxa"/>
            <w:vAlign w:val="bottom"/>
            <w:tcBorders>
              <w:bottom w:val="single" w:sz="8" w:color="05314D"/>
            </w:tcBorders>
          </w:tcPr>
          <w:p>
            <w:pPr>
              <w:spacing w:after="0"/>
              <w:rPr>
                <w:sz w:val="24"/>
                <w:szCs w:val="24"/>
                <w:color w:val="auto"/>
              </w:rPr>
            </w:pPr>
          </w:p>
        </w:tc>
        <w:tc>
          <w:tcPr>
            <w:tcW w:w="82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360" w:type="dxa"/>
            <w:vAlign w:val="bottom"/>
            <w:tcBorders>
              <w:bottom w:val="single" w:sz="8" w:color="05314D"/>
            </w:tcBorders>
          </w:tcPr>
          <w:p>
            <w:pPr>
              <w:spacing w:after="0"/>
              <w:rPr>
                <w:sz w:val="24"/>
                <w:szCs w:val="24"/>
                <w:color w:val="auto"/>
              </w:rPr>
            </w:pPr>
          </w:p>
        </w:tc>
        <w:tc>
          <w:tcPr>
            <w:tcW w:w="68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300" w:type="dxa"/>
            <w:vAlign w:val="bottom"/>
            <w:tcBorders>
              <w:bottom w:val="single" w:sz="8" w:color="05314D"/>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8580" w:type="dxa"/>
            <w:vAlign w:val="bottom"/>
            <w:gridSpan w:val="3"/>
          </w:tcPr>
          <w:p>
            <w:pPr>
              <w:spacing w:after="0"/>
              <w:rPr>
                <w:sz w:val="20"/>
                <w:szCs w:val="20"/>
                <w:color w:val="auto"/>
              </w:rPr>
            </w:pPr>
            <w:r>
              <w:rPr>
                <w:rFonts w:ascii="Arial" w:cs="Arial" w:eastAsia="Arial" w:hAnsi="Arial"/>
                <w:sz w:val="11"/>
                <w:szCs w:val="11"/>
                <w:color w:val="auto"/>
              </w:rPr>
              <w:t>Fourth Quarter 2025</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bl>
    <w:p>
      <w:pPr>
        <w:sectPr>
          <w:pgSz w:w="11900" w:h="16838" w:orient="portrait"/>
          <w:cols w:equalWidth="0" w:num="1">
            <w:col w:w="11300"/>
          </w:cols>
          <w:pgMar w:left="300" w:top="1030" w:right="299" w:bottom="1440"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2026-02-11T06:19:00Z</dcterms:created>
  <dcterms:modified xsi:type="dcterms:W3CDTF">2026-02-11T06:19:00Z</dcterms:modified>
</cp:coreProperties>
</file>