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205105</wp:posOffset>
            </wp:positionH>
            <wp:positionV relativeFrom="page">
              <wp:posOffset>727710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686435</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 SECURITIES AND EXCHANGE COMMISSION</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0" w:lineRule="exact"/>
        <w:rPr>
          <w:sz w:val="24"/>
          <w:szCs w:val="24"/>
          <w:color w:val="auto"/>
        </w:rPr>
      </w:pPr>
    </w:p>
    <w:p>
      <w:pPr>
        <w:spacing w:after="0" w:line="219"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72" w:lineRule="exact"/>
        <w:rPr>
          <w:sz w:val="24"/>
          <w:szCs w:val="24"/>
          <w:color w:val="auto"/>
        </w:rPr>
      </w:pPr>
    </w:p>
    <w:p>
      <w:pPr>
        <w:ind w:left="620"/>
        <w:spacing w:after="0"/>
        <w:rPr>
          <w:sz w:val="20"/>
          <w:szCs w:val="20"/>
          <w:color w:val="auto"/>
        </w:rPr>
      </w:pPr>
      <w:r>
        <w:rPr>
          <w:rFonts w:ascii="Arial" w:cs="Arial" w:eastAsia="Arial" w:hAnsi="Arial"/>
          <w:sz w:val="16"/>
          <w:szCs w:val="16"/>
          <w:b w:val="1"/>
          <w:bCs w:val="1"/>
          <w:color w:val="auto"/>
        </w:rPr>
        <w:t>For the quarterly period ended September 30, 2025</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95" w:lineRule="exact"/>
        <w:rPr>
          <w:sz w:val="24"/>
          <w:szCs w:val="24"/>
          <w:color w:val="auto"/>
        </w:rPr>
      </w:pPr>
    </w:p>
    <w:p>
      <w:pPr>
        <w:ind w:left="340" w:hanging="337"/>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72" w:lineRule="exact"/>
        <w:rPr>
          <w:sz w:val="24"/>
          <w:szCs w:val="24"/>
          <w:color w:val="auto"/>
        </w:rPr>
      </w:pPr>
    </w:p>
    <w:p>
      <w:pPr>
        <w:ind w:left="620"/>
        <w:spacing w:after="0"/>
        <w:tabs>
          <w:tab w:leader="none" w:pos="3160" w:val="left"/>
        </w:tabs>
        <w:rPr>
          <w:sz w:val="20"/>
          <w:szCs w:val="20"/>
          <w:color w:val="auto"/>
        </w:rPr>
      </w:pPr>
      <w:r>
        <w:rPr>
          <w:rFonts w:ascii="Arial" w:cs="Arial" w:eastAsia="Arial" w:hAnsi="Arial"/>
          <w:sz w:val="16"/>
          <w:szCs w:val="16"/>
          <w:b w:val="1"/>
          <w:bCs w:val="1"/>
          <w:color w:val="auto"/>
        </w:rPr>
        <w:t>For the transition period from</w:t>
        <w:tab/>
        <w:t>to</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0-50231</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Federal National Mortgage Association</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Fannie Mae</w:t>
      </w:r>
    </w:p>
    <w:p>
      <w:pPr>
        <w:spacing w:after="0" w:line="129" w:lineRule="exact"/>
        <w:rPr>
          <w:sz w:val="24"/>
          <w:szCs w:val="24"/>
          <w:color w:val="auto"/>
        </w:rPr>
      </w:pPr>
    </w:p>
    <w:tbl>
      <w:tblPr>
        <w:tblLayout w:type="fixed"/>
        <w:tblInd w:w="320" w:type="dxa"/>
        <w:tblCellMar>
          <w:top w:w="0" w:type="dxa"/>
          <w:left w:w="0" w:type="dxa"/>
          <w:bottom w:w="0" w:type="dxa"/>
          <w:right w:w="0" w:type="dxa"/>
        </w:tblCellMar>
      </w:tblPr>
      <w:tr>
        <w:trPr>
          <w:trHeight w:val="218"/>
        </w:trPr>
        <w:tc>
          <w:tcPr>
            <w:tcW w:w="29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Federally chartered corporation</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52-0883107</w:t>
            </w: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1100 15th Street, NW</w:t>
            </w:r>
          </w:p>
        </w:tc>
        <w:tc>
          <w:tcPr>
            <w:tcW w:w="2960" w:type="dxa"/>
            <w:vAlign w:val="bottom"/>
            <w:tcBorders>
              <w:top w:val="single" w:sz="8" w:color="auto"/>
            </w:tcBorders>
          </w:tcPr>
          <w:p>
            <w:pPr>
              <w:jc w:val="right"/>
              <w:ind w:right="848"/>
              <w:spacing w:after="0"/>
              <w:rPr>
                <w:sz w:val="20"/>
                <w:szCs w:val="20"/>
                <w:color w:val="auto"/>
              </w:rPr>
            </w:pPr>
            <w:r>
              <w:rPr>
                <w:rFonts w:ascii="Arial" w:cs="Arial" w:eastAsia="Arial" w:hAnsi="Arial"/>
                <w:sz w:val="15"/>
                <w:szCs w:val="15"/>
                <w:b w:val="1"/>
                <w:bCs w:val="1"/>
                <w:color w:val="auto"/>
              </w:rPr>
              <w:t>800  232-6643</w:t>
            </w:r>
          </w:p>
        </w:tc>
      </w:tr>
      <w:tr>
        <w:trPr>
          <w:trHeight w:val="213"/>
        </w:trPr>
        <w:tc>
          <w:tcPr>
            <w:tcW w:w="2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5"/>
                <w:szCs w:val="15"/>
                <w:b w:val="1"/>
                <w:bCs w:val="1"/>
                <w:color w:val="auto"/>
              </w:rPr>
              <w:t>Washington,  DC  20005</w:t>
            </w:r>
          </w:p>
        </w:tc>
        <w:tc>
          <w:tcPr>
            <w:tcW w:w="2960" w:type="dxa"/>
            <w:vAlign w:val="bottom"/>
          </w:tcPr>
          <w:p>
            <w:pPr>
              <w:spacing w:after="0"/>
              <w:rPr>
                <w:sz w:val="18"/>
                <w:szCs w:val="18"/>
                <w:color w:val="auto"/>
              </w:rPr>
            </w:pPr>
          </w:p>
        </w:tc>
      </w:tr>
      <w:tr>
        <w:trPr>
          <w:trHeight w:val="142"/>
        </w:trPr>
        <w:tc>
          <w:tcPr>
            <w:tcW w:w="298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8"/>
              </w:rPr>
              <w:t>(State or other jurisdiction of</w:t>
            </w:r>
          </w:p>
        </w:tc>
        <w:tc>
          <w:tcPr>
            <w:tcW w:w="172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7"/>
              </w:rPr>
              <w:t>(I.R.S. Employer</w:t>
            </w:r>
          </w:p>
        </w:tc>
        <w:tc>
          <w:tcPr>
            <w:tcW w:w="296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7"/>
              </w:rPr>
              <w:t>(Address of principal executive offices,</w:t>
            </w:r>
          </w:p>
        </w:tc>
        <w:tc>
          <w:tcPr>
            <w:tcW w:w="2960" w:type="dxa"/>
            <w:vAlign w:val="bottom"/>
          </w:tcPr>
          <w:p>
            <w:pPr>
              <w:jc w:val="center"/>
              <w:ind w:left="88"/>
              <w:spacing w:after="0" w:line="142" w:lineRule="exact"/>
              <w:rPr>
                <w:sz w:val="20"/>
                <w:szCs w:val="20"/>
                <w:color w:val="auto"/>
              </w:rPr>
            </w:pPr>
            <w:r>
              <w:rPr>
                <w:rFonts w:ascii="Arial" w:cs="Arial" w:eastAsia="Arial" w:hAnsi="Arial"/>
                <w:sz w:val="14"/>
                <w:szCs w:val="14"/>
                <w:i w:val="1"/>
                <w:iCs w:val="1"/>
                <w:color w:val="auto"/>
                <w:w w:val="97"/>
              </w:rPr>
              <w:t>(Registrant’s telephone number, including</w:t>
            </w:r>
          </w:p>
        </w:tc>
      </w:tr>
      <w:tr>
        <w:trPr>
          <w:trHeight w:val="175"/>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incorporation or organization)</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9"/>
              </w:rPr>
              <w:t>Identification No.)</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8"/>
              </w:rPr>
              <w:t>including zip code)</w:t>
            </w:r>
          </w:p>
        </w:tc>
        <w:tc>
          <w:tcPr>
            <w:tcW w:w="296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i w:val="1"/>
                <w:iCs w:val="1"/>
                <w:color w:val="auto"/>
                <w:w w:val="98"/>
              </w:rPr>
              <w:t>area code)</w:t>
            </w:r>
          </w:p>
        </w:tc>
      </w:tr>
    </w:tbl>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3" w:lineRule="exact"/>
        <w:rPr>
          <w:sz w:val="24"/>
          <w:szCs w:val="24"/>
          <w:color w:val="auto"/>
        </w:rPr>
      </w:pPr>
    </w:p>
    <w:tbl>
      <w:tblPr>
        <w:tblLayout w:type="fixed"/>
        <w:tblInd w:w="10" w:type="dxa"/>
        <w:tblCellMar>
          <w:top w:w="0" w:type="dxa"/>
          <w:left w:w="0" w:type="dxa"/>
          <w:bottom w:w="0" w:type="dxa"/>
          <w:right w:w="0" w:type="dxa"/>
        </w:tblCellMar>
      </w:tblPr>
      <w:tr>
        <w:trPr>
          <w:trHeight w:val="219"/>
        </w:trPr>
        <w:tc>
          <w:tcPr>
            <w:tcW w:w="2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6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198"/>
        </w:trPr>
        <w:tc>
          <w:tcPr>
            <w:tcW w:w="2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None</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w:t>
            </w:r>
          </w:p>
        </w:tc>
        <w:tc>
          <w:tcPr>
            <w:tcW w:w="6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w:t>
            </w:r>
          </w:p>
        </w:tc>
      </w:tr>
    </w:tbl>
    <w:p>
      <w:pPr>
        <w:spacing w:after="0" w:line="133" w:lineRule="exact"/>
        <w:rPr>
          <w:sz w:val="24"/>
          <w:szCs w:val="24"/>
          <w:color w:val="auto"/>
        </w:rPr>
      </w:pPr>
    </w:p>
    <w:p>
      <w:pPr>
        <w:jc w:val="both"/>
        <w:ind w:right="40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2"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ind w:right="140"/>
        <w:spacing w:after="0" w:line="27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00" w:type="dxa"/>
        <w:tblCellMar>
          <w:top w:w="0" w:type="dxa"/>
          <w:left w:w="0" w:type="dxa"/>
          <w:bottom w:w="0" w:type="dxa"/>
          <w:right w:w="0" w:type="dxa"/>
        </w:tblCellMar>
      </w:tblPr>
      <w:tr>
        <w:trPr>
          <w:trHeight w:val="229"/>
        </w:trPr>
        <w:tc>
          <w:tcPr>
            <w:tcW w:w="20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620"/>
              <w:spacing w:after="0"/>
              <w:rPr>
                <w:sz w:val="20"/>
                <w:szCs w:val="20"/>
                <w:color w:val="auto"/>
              </w:rPr>
            </w:pPr>
            <w:r>
              <w:rPr>
                <w:rFonts w:ascii="Arial" w:cs="Arial" w:eastAsia="Arial" w:hAnsi="Arial"/>
                <w:sz w:val="15"/>
                <w:szCs w:val="15"/>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6"/>
        </w:trPr>
        <w:tc>
          <w:tcPr>
            <w:tcW w:w="2040" w:type="dxa"/>
            <w:vAlign w:val="bottom"/>
          </w:tcPr>
          <w:p>
            <w:pPr>
              <w:spacing w:after="0"/>
              <w:rPr>
                <w:sz w:val="20"/>
                <w:szCs w:val="20"/>
                <w:color w:val="auto"/>
              </w:rPr>
            </w:pPr>
            <w:r>
              <w:rPr>
                <w:rFonts w:ascii="Arial" w:cs="Arial" w:eastAsia="Arial" w:hAnsi="Arial"/>
                <w:sz w:val="15"/>
                <w:szCs w:val="15"/>
                <w:color w:val="auto"/>
              </w:rPr>
              <w:t>Non-accelerated filer</w:t>
            </w:r>
          </w:p>
        </w:tc>
        <w:tc>
          <w:tcPr>
            <w:tcW w:w="328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4860" w:type="dxa"/>
            <w:vAlign w:val="bottom"/>
          </w:tcPr>
          <w:p>
            <w:pPr>
              <w:ind w:left="2620"/>
              <w:spacing w:after="0"/>
              <w:rPr>
                <w:sz w:val="20"/>
                <w:szCs w:val="20"/>
                <w:color w:val="auto"/>
              </w:rPr>
            </w:pPr>
            <w:r>
              <w:rPr>
                <w:rFonts w:ascii="Arial" w:cs="Arial" w:eastAsia="Arial" w:hAnsi="Arial"/>
                <w:sz w:val="15"/>
                <w:szCs w:val="15"/>
                <w:color w:val="auto"/>
              </w:rPr>
              <w:t>Smaller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20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860" w:type="dxa"/>
            <w:vAlign w:val="bottom"/>
          </w:tcPr>
          <w:p>
            <w:pPr>
              <w:ind w:left="2620"/>
              <w:spacing w:after="0"/>
              <w:rPr>
                <w:sz w:val="20"/>
                <w:szCs w:val="20"/>
                <w:color w:val="auto"/>
              </w:rPr>
            </w:pPr>
            <w:r>
              <w:rPr>
                <w:rFonts w:ascii="Arial" w:cs="Arial" w:eastAsia="Arial" w:hAnsi="Arial"/>
                <w:sz w:val="15"/>
                <w:szCs w:val="15"/>
                <w:color w:val="auto"/>
              </w:rPr>
              <w:t>Emerging growth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14" w:lineRule="exact"/>
        <w:rPr>
          <w:sz w:val="24"/>
          <w:szCs w:val="24"/>
          <w:color w:val="auto"/>
        </w:rPr>
      </w:pPr>
    </w:p>
    <w:p>
      <w:pPr>
        <w:ind w:right="80"/>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200"/>
        <w:spacing w:after="0" w:line="300" w:lineRule="exact"/>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10, 2025, there were 1,158,087,567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707390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106045</wp:posOffset>
            </wp:positionV>
            <wp:extent cx="71139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390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81915</wp:posOffset>
            </wp:positionV>
            <wp:extent cx="7113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ectPr>
          <w:pgSz w:w="11900" w:h="16838" w:orient="portrait"/>
          <w:cols w:equalWidth="0" w:num="1">
            <w:col w:w="11260"/>
          </w:cols>
          <w:pgMar w:left="320" w:top="1285"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4"/>
          <w:szCs w:val="24"/>
          <w:b w:val="1"/>
          <w:bCs w:val="1"/>
          <w:color w:val="05314D"/>
        </w:rPr>
        <w:t>TABLE OF CONTENTS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tcBorders>
              <w:top w:val="single" w:sz="8" w:color="2C6937"/>
              <w:bottom w:val="single" w:sz="8" w:color="2C6937"/>
            </w:tcBorders>
            <w:gridSpan w:val="2"/>
            <w:vMerge w:val="restart"/>
          </w:tcPr>
          <w:p>
            <w:pPr>
              <w:ind w:left="20"/>
              <w:spacing w:after="0"/>
              <w:rPr>
                <w:sz w:val="20"/>
                <w:szCs w:val="20"/>
                <w:color w:val="auto"/>
              </w:rPr>
            </w:pPr>
            <w:r>
              <w:rPr>
                <w:rFonts w:ascii="Arial" w:cs="Arial" w:eastAsia="Arial" w:hAnsi="Arial"/>
                <w:sz w:val="15"/>
                <w:szCs w:val="15"/>
                <w:b w:val="1"/>
                <w:bCs w:val="1"/>
                <w:color w:val="auto"/>
              </w:rPr>
              <w:t>PART I—Financial Information</w:t>
            </w:r>
          </w:p>
        </w:tc>
        <w:tc>
          <w:tcPr>
            <w:tcW w:w="1580" w:type="dxa"/>
            <w:vAlign w:val="bottom"/>
            <w:tcBorders>
              <w:top w:val="single" w:sz="8" w:color="2C6937"/>
            </w:tcBorders>
          </w:tcPr>
          <w:p>
            <w:pPr>
              <w:spacing w:after="0"/>
              <w:rPr>
                <w:sz w:val="15"/>
                <w:szCs w:val="15"/>
                <w:color w:val="auto"/>
              </w:rPr>
            </w:pPr>
          </w:p>
        </w:tc>
        <w:tc>
          <w:tcPr>
            <w:tcW w:w="420" w:type="dxa"/>
            <w:vAlign w:val="bottom"/>
            <w:tcBorders>
              <w:top w:val="single" w:sz="8" w:color="2C6937"/>
              <w:bottom w:val="single" w:sz="8" w:color="auto"/>
            </w:tcBorders>
          </w:tcPr>
          <w:p>
            <w:pPr>
              <w:spacing w:after="0"/>
              <w:rPr>
                <w:sz w:val="20"/>
                <w:szCs w:val="20"/>
                <w:color w:val="auto"/>
              </w:rPr>
            </w:pPr>
            <w:r>
              <w:rPr>
                <w:rFonts w:ascii="Arial" w:cs="Arial" w:eastAsia="Arial" w:hAnsi="Arial"/>
                <w:sz w:val="15"/>
                <w:szCs w:val="15"/>
                <w:b w:val="1"/>
                <w:bCs w:val="1"/>
                <w:color w:val="auto"/>
              </w:rPr>
              <w:t>Page</w:t>
            </w:r>
          </w:p>
        </w:tc>
        <w:tc>
          <w:tcPr>
            <w:tcW w:w="120" w:type="dxa"/>
            <w:vAlign w:val="bottom"/>
            <w:tcBorders>
              <w:top w:val="single" w:sz="8" w:color="2C6937"/>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100" w:type="dxa"/>
            <w:vAlign w:val="bottom"/>
            <w:gridSpan w:val="2"/>
            <w:vMerge w:val="continue"/>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0" w:type="dxa"/>
            <w:vAlign w:val="bottom"/>
          </w:tcPr>
          <w:p>
            <w:pPr>
              <w:ind w:left="20"/>
              <w:spacing w:after="0"/>
              <w:rPr>
                <w:sz w:val="20"/>
                <w:szCs w:val="20"/>
                <w:color w:val="auto"/>
              </w:rPr>
            </w:pPr>
            <w:r>
              <w:rPr>
                <w:rFonts w:ascii="Arial" w:cs="Arial" w:eastAsia="Arial" w:hAnsi="Arial"/>
                <w:sz w:val="15"/>
                <w:szCs w:val="15"/>
                <w:color w:val="auto"/>
              </w:rPr>
              <w:t>Item 1.</w:t>
            </w:r>
          </w:p>
        </w:tc>
        <w:tc>
          <w:tcPr>
            <w:tcW w:w="8340" w:type="dxa"/>
            <w:vAlign w:val="bottom"/>
          </w:tcPr>
          <w:p>
            <w:pPr>
              <w:ind w:left="280"/>
              <w:spacing w:after="0"/>
              <w:rPr>
                <w:sz w:val="20"/>
                <w:szCs w:val="20"/>
                <w:color w:val="auto"/>
              </w:rPr>
            </w:pPr>
            <w:r>
              <w:rPr>
                <w:rFonts w:ascii="Arial" w:cs="Arial" w:eastAsia="Arial" w:hAnsi="Arial"/>
                <w:sz w:val="15"/>
                <w:szCs w:val="15"/>
                <w:color w:val="auto"/>
              </w:rPr>
              <w:t>Financial Statements</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8340" w:type="dxa"/>
            <w:vAlign w:val="bottom"/>
          </w:tcPr>
          <w:p>
            <w:pPr>
              <w:ind w:left="280"/>
              <w:spacing w:after="0" w:line="169" w:lineRule="exact"/>
              <w:rPr>
                <w:sz w:val="20"/>
                <w:szCs w:val="20"/>
                <w:color w:val="auto"/>
              </w:rPr>
            </w:pPr>
            <w:r>
              <w:rPr>
                <w:rFonts w:ascii="Arial" w:cs="Arial" w:eastAsia="Arial" w:hAnsi="Arial"/>
                <w:sz w:val="15"/>
                <w:szCs w:val="15"/>
                <w:color w:val="auto"/>
              </w:rPr>
              <w:t>Condensed Consolidated Balance Sheets</w:t>
            </w:r>
          </w:p>
        </w:tc>
        <w:tc>
          <w:tcPr>
            <w:tcW w:w="2000" w:type="dxa"/>
            <w:vAlign w:val="bottom"/>
            <w:gridSpan w:val="2"/>
          </w:tcPr>
          <w:p>
            <w:pPr>
              <w:spacing w:after="0"/>
              <w:rPr>
                <w:sz w:val="14"/>
                <w:szCs w:val="1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Operations and Comprehensive Income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Cash Flows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Condensed Consolidated Statements of Changes in Equity</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1—Summary of Significant Accounting Policies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2—Conservatorship, Senior Preferred Stock Purchase Agreement and Related Matters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3—Consolidations and Transfers of Financial Assets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4—Mortgage Loans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5—Allowance for Loan Losses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6—Investments in Securities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7—Financial Guarantees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8—Short-Term and Long-Term Debt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9—Derivative Instruments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10—Segment Reporting</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11—Concentrations of Credit Risk</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12—Netting Arrangements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13—Fair Value</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14—Commitments and Contingencies</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Note 15—Regulatory Capital Requirements</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2.</w:t>
            </w:r>
          </w:p>
        </w:tc>
        <w:tc>
          <w:tcPr>
            <w:tcW w:w="8340" w:type="dxa"/>
            <w:vAlign w:val="bottom"/>
          </w:tcPr>
          <w:p>
            <w:pPr>
              <w:ind w:left="28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2000" w:type="dxa"/>
            <w:vAlign w:val="bottom"/>
            <w:gridSpan w:val="2"/>
          </w:tcPr>
          <w:p>
            <w:pPr>
              <w:spacing w:after="0"/>
              <w:rPr>
                <w:sz w:val="16"/>
                <w:szCs w:val="16"/>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About Fannie Mae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Financial Results Summary</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Legislation and Regulation</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Key Market Economic Indicators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Results of Operations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Balance Sheet Analysis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Retained Mortgage Portfolio</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Guaranty Book of Business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Business Segment Financial Results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Single-Family Business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 Market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Mortgage-Related Securities Issuances Share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Business Metrics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Single-Family Mortgage Credit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Multifamily Business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Mortgage Market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Business Metrics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Multifamily Mortgage Credit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Consolidated Credit Ratios and Select Credit Information</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Liquidity and Capital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Institutional Counterparty Credit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420"/>
              <w:spacing w:after="0"/>
              <w:rPr>
                <w:sz w:val="20"/>
                <w:szCs w:val="20"/>
                <w:color w:val="auto"/>
              </w:rPr>
            </w:pPr>
            <w:r>
              <w:rPr>
                <w:rFonts w:ascii="Arial" w:cs="Arial" w:eastAsia="Arial" w:hAnsi="Arial"/>
                <w:sz w:val="15"/>
                <w:szCs w:val="15"/>
                <w:color w:val="auto"/>
              </w:rPr>
              <w:t>Market Risk Management, including Interest-Rate Risk Management</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Critical Accounting Estimates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Impact of Future Adoption of New Accounting Guidance</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340" w:type="dxa"/>
            <w:vAlign w:val="bottom"/>
          </w:tcPr>
          <w:p>
            <w:pPr>
              <w:ind w:left="280"/>
              <w:spacing w:after="0"/>
              <w:rPr>
                <w:sz w:val="20"/>
                <w:szCs w:val="20"/>
                <w:color w:val="auto"/>
              </w:rPr>
            </w:pPr>
            <w:r>
              <w:rPr>
                <w:rFonts w:ascii="Arial" w:cs="Arial" w:eastAsia="Arial" w:hAnsi="Arial"/>
                <w:sz w:val="15"/>
                <w:szCs w:val="15"/>
                <w:color w:val="auto"/>
              </w:rPr>
              <w:t>Forward-Looking Statements</w:t>
            </w:r>
          </w:p>
        </w:tc>
        <w:tc>
          <w:tcPr>
            <w:tcW w:w="20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3.</w:t>
            </w:r>
          </w:p>
        </w:tc>
        <w:tc>
          <w:tcPr>
            <w:tcW w:w="8340" w:type="dxa"/>
            <w:vAlign w:val="bottom"/>
          </w:tcPr>
          <w:p>
            <w:pPr>
              <w:ind w:left="280"/>
              <w:spacing w:after="0"/>
              <w:rPr>
                <w:sz w:val="20"/>
                <w:szCs w:val="20"/>
                <w:color w:val="auto"/>
              </w:rPr>
            </w:pPr>
            <w:r>
              <w:rPr>
                <w:rFonts w:ascii="Arial" w:cs="Arial" w:eastAsia="Arial" w:hAnsi="Arial"/>
                <w:sz w:val="15"/>
                <w:szCs w:val="15"/>
                <w:color w:val="auto"/>
              </w:rPr>
              <w:t>Quantitative and Qualitative Disclosures about Market Risk</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0" w:type="dxa"/>
            <w:vAlign w:val="bottom"/>
          </w:tcPr>
          <w:p>
            <w:pPr>
              <w:ind w:left="20"/>
              <w:spacing w:after="0"/>
              <w:rPr>
                <w:sz w:val="20"/>
                <w:szCs w:val="20"/>
                <w:color w:val="auto"/>
              </w:rPr>
            </w:pPr>
            <w:r>
              <w:rPr>
                <w:rFonts w:ascii="Arial" w:cs="Arial" w:eastAsia="Arial" w:hAnsi="Arial"/>
                <w:sz w:val="15"/>
                <w:szCs w:val="15"/>
                <w:color w:val="auto"/>
              </w:rPr>
              <w:t>Item 4.</w:t>
            </w:r>
          </w:p>
        </w:tc>
        <w:tc>
          <w:tcPr>
            <w:tcW w:w="8340" w:type="dxa"/>
            <w:vAlign w:val="bottom"/>
          </w:tcPr>
          <w:p>
            <w:pPr>
              <w:ind w:left="280"/>
              <w:spacing w:after="0"/>
              <w:rPr>
                <w:sz w:val="20"/>
                <w:szCs w:val="20"/>
                <w:color w:val="auto"/>
              </w:rPr>
            </w:pPr>
            <w:r>
              <w:rPr>
                <w:rFonts w:ascii="Arial" w:cs="Arial" w:eastAsia="Arial" w:hAnsi="Arial"/>
                <w:sz w:val="15"/>
                <w:szCs w:val="15"/>
                <w:color w:val="auto"/>
              </w:rPr>
              <w:t>Controls and Procedures</w:t>
            </w:r>
          </w:p>
        </w:tc>
        <w:tc>
          <w:tcPr>
            <w:tcW w:w="2100" w:type="dxa"/>
            <w:vAlign w:val="bottom"/>
            <w:gridSpan w:val="3"/>
          </w:tcPr>
          <w:p>
            <w:pPr>
              <w:jc w:val="right"/>
              <w:spacing w:after="0"/>
              <w:rPr>
                <w:sz w:val="20"/>
                <w:szCs w:val="20"/>
                <w:color w:val="auto"/>
              </w:rPr>
            </w:pPr>
            <w:r>
              <w:rPr>
                <w:rFonts w:ascii="Arial" w:cs="Arial" w:eastAsia="Arial" w:hAnsi="Arial"/>
                <w:sz w:val="15"/>
                <w:szCs w:val="15"/>
                <w:color w:val="0000FF"/>
              </w:rPr>
              <w:t>110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474980</wp:posOffset>
            </wp:positionV>
            <wp:extent cx="7007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0"/>
        <w:spacing w:after="0"/>
        <w:tabs>
          <w:tab w:leader="none" w:pos="11060" w:val="left"/>
        </w:tabs>
        <w:rPr>
          <w:sz w:val="20"/>
          <w:szCs w:val="20"/>
          <w:color w:val="auto"/>
        </w:rPr>
      </w:pPr>
      <w:r>
        <w:rPr>
          <w:rFonts w:ascii="Arial" w:cs="Arial" w:eastAsia="Arial" w:hAnsi="Arial"/>
          <w:sz w:val="14"/>
          <w:szCs w:val="14"/>
          <w:color w:val="05314D"/>
        </w:rPr>
        <w:t>Fannie Mae Third Quarter 2025 Form 10-Q</w:t>
      </w:r>
      <w:r>
        <w:rPr>
          <w:sz w:val="20"/>
          <w:szCs w:val="20"/>
          <w:color w:val="auto"/>
        </w:rPr>
        <w:tab/>
      </w:r>
      <w:r>
        <w:rPr>
          <w:rFonts w:ascii="Arial" w:cs="Arial" w:eastAsia="Arial" w:hAnsi="Arial"/>
          <w:sz w:val="9"/>
          <w:szCs w:val="9"/>
          <w:color w:val="05314D"/>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127000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3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10920" w:type="dxa"/>
            <w:vAlign w:val="bottom"/>
            <w:gridSpan w:val="2"/>
          </w:tcPr>
          <w:p>
            <w:pPr>
              <w:spacing w:after="0"/>
              <w:rPr>
                <w:sz w:val="20"/>
                <w:szCs w:val="20"/>
                <w:color w:val="auto"/>
              </w:rPr>
            </w:pPr>
            <w:r>
              <w:rPr>
                <w:rFonts w:ascii="Arial" w:cs="Arial" w:eastAsia="Arial" w:hAnsi="Arial"/>
                <w:sz w:val="15"/>
                <w:szCs w:val="15"/>
                <w:b w:val="1"/>
                <w:bCs w:val="1"/>
                <w:color w:val="auto"/>
              </w:rPr>
              <w:t>PART II—Other Information</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112</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1.</w:t>
            </w:r>
          </w:p>
        </w:tc>
        <w:tc>
          <w:tcPr>
            <w:tcW w:w="10120" w:type="dxa"/>
            <w:vAlign w:val="bottom"/>
          </w:tcPr>
          <w:p>
            <w:pPr>
              <w:ind w:left="220"/>
              <w:spacing w:after="0"/>
              <w:rPr>
                <w:sz w:val="20"/>
                <w:szCs w:val="20"/>
                <w:color w:val="auto"/>
              </w:rPr>
            </w:pPr>
            <w:r>
              <w:rPr>
                <w:rFonts w:ascii="Arial" w:cs="Arial" w:eastAsia="Arial" w:hAnsi="Arial"/>
                <w:sz w:val="15"/>
                <w:szCs w:val="15"/>
                <w:color w:val="auto"/>
              </w:rPr>
              <w:t>Legal Proceedings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112</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1A.</w:t>
            </w:r>
          </w:p>
        </w:tc>
        <w:tc>
          <w:tcPr>
            <w:tcW w:w="10120" w:type="dxa"/>
            <w:vAlign w:val="bottom"/>
          </w:tcPr>
          <w:p>
            <w:pPr>
              <w:ind w:left="220"/>
              <w:spacing w:after="0"/>
              <w:rPr>
                <w:sz w:val="20"/>
                <w:szCs w:val="20"/>
                <w:color w:val="auto"/>
              </w:rPr>
            </w:pPr>
            <w:r>
              <w:rPr>
                <w:rFonts w:ascii="Arial" w:cs="Arial" w:eastAsia="Arial" w:hAnsi="Arial"/>
                <w:sz w:val="15"/>
                <w:szCs w:val="15"/>
                <w:color w:val="auto"/>
              </w:rPr>
              <w:t>Risk Factors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113</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2.</w:t>
            </w:r>
          </w:p>
        </w:tc>
        <w:tc>
          <w:tcPr>
            <w:tcW w:w="10120" w:type="dxa"/>
            <w:vAlign w:val="bottom"/>
          </w:tcPr>
          <w:p>
            <w:pPr>
              <w:ind w:left="220"/>
              <w:spacing w:after="0"/>
              <w:rPr>
                <w:sz w:val="20"/>
                <w:szCs w:val="20"/>
                <w:color w:val="auto"/>
              </w:rPr>
            </w:pPr>
            <w:r>
              <w:rPr>
                <w:rFonts w:ascii="Arial" w:cs="Arial" w:eastAsia="Arial" w:hAnsi="Arial"/>
                <w:sz w:val="15"/>
                <w:szCs w:val="15"/>
                <w:color w:val="auto"/>
              </w:rPr>
              <w:t>Unregistered Sales of Equity Securities and Use of Proceeds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113</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3.</w:t>
            </w:r>
          </w:p>
        </w:tc>
        <w:tc>
          <w:tcPr>
            <w:tcW w:w="10120" w:type="dxa"/>
            <w:vAlign w:val="bottom"/>
          </w:tcPr>
          <w:p>
            <w:pPr>
              <w:ind w:left="220"/>
              <w:spacing w:after="0"/>
              <w:rPr>
                <w:sz w:val="20"/>
                <w:szCs w:val="20"/>
                <w:color w:val="auto"/>
              </w:rPr>
            </w:pPr>
            <w:r>
              <w:rPr>
                <w:rFonts w:ascii="Arial" w:cs="Arial" w:eastAsia="Arial" w:hAnsi="Arial"/>
                <w:sz w:val="15"/>
                <w:szCs w:val="15"/>
                <w:color w:val="auto"/>
              </w:rPr>
              <w:t>Defaults Upon Senior Securities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115</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4.</w:t>
            </w:r>
          </w:p>
        </w:tc>
        <w:tc>
          <w:tcPr>
            <w:tcW w:w="10120" w:type="dxa"/>
            <w:vAlign w:val="bottom"/>
          </w:tcPr>
          <w:p>
            <w:pPr>
              <w:ind w:left="220"/>
              <w:spacing w:after="0"/>
              <w:rPr>
                <w:sz w:val="20"/>
                <w:szCs w:val="20"/>
                <w:color w:val="auto"/>
              </w:rPr>
            </w:pPr>
            <w:r>
              <w:rPr>
                <w:rFonts w:ascii="Arial" w:cs="Arial" w:eastAsia="Arial" w:hAnsi="Arial"/>
                <w:sz w:val="15"/>
                <w:szCs w:val="15"/>
                <w:color w:val="auto"/>
              </w:rPr>
              <w:t>Mine Safety Disclosures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115</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5.</w:t>
            </w:r>
          </w:p>
        </w:tc>
        <w:tc>
          <w:tcPr>
            <w:tcW w:w="10120" w:type="dxa"/>
            <w:vAlign w:val="bottom"/>
          </w:tcPr>
          <w:p>
            <w:pPr>
              <w:ind w:left="220"/>
              <w:spacing w:after="0"/>
              <w:rPr>
                <w:sz w:val="20"/>
                <w:szCs w:val="20"/>
                <w:color w:val="auto"/>
              </w:rPr>
            </w:pPr>
            <w:r>
              <w:rPr>
                <w:rFonts w:ascii="Arial" w:cs="Arial" w:eastAsia="Arial" w:hAnsi="Arial"/>
                <w:sz w:val="15"/>
                <w:szCs w:val="15"/>
                <w:color w:val="auto"/>
              </w:rPr>
              <w:t>Other Information</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115</w:t>
            </w: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Item 6.</w:t>
            </w:r>
          </w:p>
        </w:tc>
        <w:tc>
          <w:tcPr>
            <w:tcW w:w="10120" w:type="dxa"/>
            <w:vAlign w:val="bottom"/>
          </w:tcPr>
          <w:p>
            <w:pPr>
              <w:ind w:left="220"/>
              <w:spacing w:after="0"/>
              <w:rPr>
                <w:sz w:val="20"/>
                <w:szCs w:val="20"/>
                <w:color w:val="auto"/>
              </w:rPr>
            </w:pPr>
            <w:r>
              <w:rPr>
                <w:rFonts w:ascii="Arial" w:cs="Arial" w:eastAsia="Arial" w:hAnsi="Arial"/>
                <w:sz w:val="15"/>
                <w:szCs w:val="15"/>
                <w:color w:val="auto"/>
              </w:rPr>
              <w:t>Exhibits</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95"/>
              </w:rPr>
              <w:t>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474980</wp:posOffset>
            </wp:positionV>
            <wp:extent cx="7007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tabs>
          <w:tab w:leader="none" w:pos="11000" w:val="left"/>
        </w:tabs>
        <w:rPr>
          <w:sz w:val="20"/>
          <w:szCs w:val="20"/>
          <w:color w:val="auto"/>
        </w:rPr>
      </w:pPr>
      <w:r>
        <w:rPr>
          <w:rFonts w:ascii="Arial" w:cs="Arial" w:eastAsia="Arial" w:hAnsi="Arial"/>
          <w:sz w:val="14"/>
          <w:szCs w:val="14"/>
          <w:color w:val="05314D"/>
        </w:rPr>
        <w:t>Fannie Mae Third Quarter 2025 Form 10-Q</w:t>
      </w:r>
      <w:r>
        <w:rPr>
          <w:sz w:val="20"/>
          <w:szCs w:val="20"/>
          <w:color w:val="auto"/>
        </w:rPr>
        <w:tab/>
      </w:r>
      <w:r>
        <w:rPr>
          <w:rFonts w:ascii="Arial" w:cs="Arial" w:eastAsia="Arial" w:hAnsi="Arial"/>
          <w:sz w:val="13"/>
          <w:szCs w:val="13"/>
          <w:color w:val="05314D"/>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127000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60" w:top="1398" w:right="359" w:bottom="1440" w:gutter="0" w:footer="0" w:header="0"/>
        </w:sectPr>
      </w:pPr>
    </w:p>
    <w:bookmarkStart w:id="3" w:name="page4"/>
    <w:bookmarkEnd w:id="3"/>
    <w:p>
      <w:pPr>
        <w:ind w:left="9480"/>
        <w:spacing w:after="0"/>
        <w:rPr>
          <w:sz w:val="20"/>
          <w:szCs w:val="20"/>
          <w:color w:val="auto"/>
        </w:rPr>
      </w:pPr>
      <w:r>
        <w:rPr>
          <w:rFonts w:ascii="Arial" w:cs="Arial" w:eastAsia="Arial" w:hAnsi="Arial"/>
          <w:sz w:val="14"/>
          <w:szCs w:val="14"/>
          <w:color w:val="001543"/>
        </w:rPr>
        <w:t>MD&amp;A | About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PART I—FINANCIAL INFORMATION</w:t>
      </w:r>
    </w:p>
    <w:p>
      <w:pPr>
        <w:spacing w:after="0" w:line="185" w:lineRule="exact"/>
        <w:rPr>
          <w:sz w:val="20"/>
          <w:szCs w:val="20"/>
          <w:color w:val="auto"/>
        </w:rPr>
      </w:pPr>
    </w:p>
    <w:p>
      <w:pPr>
        <w:ind w:right="720"/>
        <w:spacing w:after="0" w:line="254" w:lineRule="auto"/>
        <w:rPr>
          <w:sz w:val="20"/>
          <w:szCs w:val="20"/>
          <w:color w:val="auto"/>
        </w:rPr>
      </w:pPr>
      <w:r>
        <w:rPr>
          <w:rFonts w:ascii="Georgia" w:cs="Georgia" w:eastAsia="Georgia" w:hAnsi="Georgia"/>
          <w:sz w:val="27"/>
          <w:szCs w:val="27"/>
          <w:b w:val="1"/>
          <w:bCs w:val="1"/>
          <w:color w:val="05314D"/>
        </w:rPr>
        <w:t>Item 2. Management’s Discussion and Analysis of Financial Condition and Results of Operations</w:t>
      </w:r>
    </w:p>
    <w:p>
      <w:pPr>
        <w:spacing w:after="0" w:line="60"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i w:val="1"/>
          <w:iCs w:val="1"/>
          <w:color w:val="auto"/>
        </w:rPr>
        <w:t>You should read this Management’s Discussion and Analysis of Financial Condition and Results of Operations (“MD&amp;A”) in conjunction with our unaudited condensed consolidated financial statements and related notes in this report and the more detailed information in our annual report on Form 10-K for the year ended December 31, 2024 (“2024 Form 10-K”). You can find a “Glossary of Terms Used in This Report” in MD&amp;A in our 2024 Form 10-K.</w:t>
      </w:r>
    </w:p>
    <w:p>
      <w:pPr>
        <w:spacing w:after="0" w:line="47"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i w:val="1"/>
          <w:iCs w:val="1"/>
          <w:color w:val="auto"/>
        </w:rPr>
        <w:t>This report includes forward-looking statements based on management’s current expectations that are subject to significant uncertainties. Future events and our results may differ materially from those reflected in our forward-looking statements due to a variety of factors, including those discussed in “Forward-Looking Statements” and elsewhere in this report and in “Risk Factors” and elsewhere in our 2024 Form 10-K.</w:t>
      </w:r>
    </w:p>
    <w:p>
      <w:pPr>
        <w:spacing w:after="0" w:line="10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About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Fannie Mae is a leading source of financing for residential mortgages in the United States. We provided $286.7 billion in liquidity to the mortgage market in the first nine months of 2025, which enabled the financing of approximately 1.1 million home purchases, refinancings, and rental units.</w:t>
      </w:r>
    </w:p>
    <w:p>
      <w:pPr>
        <w:spacing w:after="0" w:line="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or “Fannie Mae MBS”) that global investors buy from us. We do not originate mortgage loans or lend money directly to borrowers.</w:t>
      </w:r>
    </w:p>
    <w:p>
      <w:pPr>
        <w:spacing w:after="0" w:line="4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provide a guaranty on the MBS that we issue. If a borrower fails to make a payment on a mortgage loan that is included in a Fannie Mae MBS, we pay the shortfall amount to the MBS investor. In exchange for providing this guaranty, we receive a guaranty fee. Guaranty fees are the primary source of our revenues.</w:t>
      </w:r>
    </w:p>
    <w:p>
      <w:pPr>
        <w:spacing w:after="0" w:line="3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Because we assume the credit risk for mortgage loans in our MBS, our earnings are affected by the credit performance of these loans. Credit risk management is therefore key to our business and financial results. To help manage our mortgage credit risk exposure, and in response to capital and other requirements, we transfer some of our credit risk exposure to third parties through credit risk transfer and mortgage insurance. For a discussion of how we manage credit risk, see “MD&amp;A—Single-Family Business—Single-Family Mortgage Credit Risk Management” and “MD&amp;A—Multifamily Business— Multifamily Mortgage Credit Risk Management” in this report and in our 2024 Form 10-K.</w:t>
      </w:r>
    </w:p>
    <w:p>
      <w:pPr>
        <w:spacing w:after="0" w:line="3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We support both single-family and multifamily housing. Our Single-Family business provides financing for properties that have four or fewer residential units. Our Multifamily business provides financing for residential buildings with five or more units. As of June 30, 2025 (the latest date for which information is available), Fannie Mae owned or guaranteed an estimated 25% of single-family mortgage debt outstanding and an estimated 21% of multifamily mortgage debt outstanding in the United States.</w:t>
      </w:r>
    </w:p>
    <w:p>
      <w:pPr>
        <w:spacing w:after="0" w:line="3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We have been in conservatorship since 2008. The Federal Housing Finance Agency (“FHFA”) is our conservator. During conservatorship, our Board has no fiduciary duties to the company or its stockholders, as they owe their fiduciary duties of care and loyalty solely to FHFA as conservator. Since March 17, 2025, the FHFA Director has served as the Chairman of our Board, and FHFA’s General Counsel has also served as a member of our Board. Conservatorship and our agreements with the U.S. Department of the Treasury (“Treasury”) significantly restrict our business activities and stockholder rights. For more information about the impact of conservatorship and these agreements on our business, stockholders, and our uncertain future, see “Business—Conservatorship and Treasury Agreements” and “Risk Factors—GSE and Conservatorship Risk” in our 2024 Form 10-K and “Legislation and Regulation” in this report.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00" w:type="dxa"/>
            <w:vAlign w:val="bottom"/>
            <w:tcBorders>
              <w:bottom w:val="single" w:sz="8" w:color="9A9A9A"/>
            </w:tcBorders>
          </w:tcPr>
          <w:p>
            <w:pPr>
              <w:spacing w:after="0"/>
              <w:rPr>
                <w:sz w:val="17"/>
                <w:szCs w:val="17"/>
                <w:color w:val="auto"/>
              </w:rPr>
            </w:pPr>
          </w:p>
        </w:tc>
        <w:tc>
          <w:tcPr>
            <w:tcW w:w="4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 w:name="page5"/>
    <w:bookmarkEnd w:id="4"/>
    <w:p>
      <w:pPr>
        <w:ind w:left="8940"/>
        <w:spacing w:after="0"/>
        <w:rPr>
          <w:sz w:val="20"/>
          <w:szCs w:val="20"/>
          <w:color w:val="auto"/>
        </w:rPr>
      </w:pPr>
      <w:r>
        <w:rPr>
          <w:rFonts w:ascii="Arial" w:cs="Arial" w:eastAsia="Arial" w:hAnsi="Arial"/>
          <w:sz w:val="14"/>
          <w:szCs w:val="14"/>
          <w:color w:val="001543"/>
        </w:rPr>
        <w:t>MD&amp;A | Financial Results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Financial Results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53"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i w:val="1"/>
          <w:iCs w:val="1"/>
          <w:color w:val="auto"/>
        </w:rPr>
        <w:t>Please read this summary together with our MD&amp;A, our condensed consolidated financial statements as of September 30, 2025 and the accompanying notes.</w:t>
      </w:r>
    </w:p>
    <w:p>
      <w:pPr>
        <w:spacing w:after="0" w:line="49"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Overview of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53975</wp:posOffset>
            </wp:positionV>
            <wp:extent cx="5419090" cy="2357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1909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Summary of Financial Results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Quarterly Results</w:t>
      </w:r>
    </w:p>
    <w:p>
      <w:pPr>
        <w:spacing w:after="0" w:line="80" w:lineRule="exact"/>
        <w:rPr>
          <w:sz w:val="20"/>
          <w:szCs w:val="20"/>
          <w:color w:val="auto"/>
        </w:rPr>
      </w:pPr>
    </w:p>
    <w:p>
      <w:pPr>
        <w:ind w:left="620" w:right="380" w:hanging="307"/>
        <w:spacing w:after="0" w:line="293" w:lineRule="auto"/>
        <w:tabs>
          <w:tab w:leader="none" w:pos="612"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of $7.3 billion in the third quarter of 2025 were relatively flat compared with the third quarter of 2024. Net revenues consist of net</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income and fee and other income.</w:t>
      </w:r>
    </w:p>
    <w:p>
      <w:pPr>
        <w:spacing w:after="0" w:line="14" w:lineRule="exact"/>
        <w:rPr>
          <w:rFonts w:ascii="Arial" w:cs="Arial" w:eastAsia="Arial" w:hAnsi="Arial"/>
          <w:sz w:val="16"/>
          <w:szCs w:val="16"/>
          <w:color w:val="auto"/>
        </w:rPr>
      </w:pPr>
    </w:p>
    <w:p>
      <w:pPr>
        <w:ind w:left="620" w:right="20" w:hanging="307"/>
        <w:spacing w:after="0" w:line="271" w:lineRule="auto"/>
        <w:tabs>
          <w:tab w:leader="none" w:pos="612"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Provision for credit losses </w:t>
      </w:r>
      <w:r>
        <w:rPr>
          <w:rFonts w:ascii="Arial" w:cs="Arial" w:eastAsia="Arial" w:hAnsi="Arial"/>
          <w:sz w:val="16"/>
          <w:szCs w:val="16"/>
          <w:color w:val="auto"/>
        </w:rPr>
        <w:t>was $338 million in the third quarter of 2025, which consists of a $269 million single-family provision for credit losses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a $69 million multifamily provision for credit losses. Our single-family provision for credit losses was primarily driven by provision associated with loans that we acquired during the period, which primarily consisted of purchase loans. Our multifamily provision for credit losses was primarily driven by increased delinquencies.</w:t>
      </w:r>
    </w:p>
    <w:p>
      <w:pPr>
        <w:spacing w:after="0" w:line="32" w:lineRule="exact"/>
        <w:rPr>
          <w:rFonts w:ascii="Arial" w:cs="Arial" w:eastAsia="Arial" w:hAnsi="Arial"/>
          <w:sz w:val="16"/>
          <w:szCs w:val="16"/>
          <w:color w:val="auto"/>
        </w:rPr>
      </w:pPr>
    </w:p>
    <w:p>
      <w:pPr>
        <w:ind w:left="620" w:right="40" w:hanging="307"/>
        <w:spacing w:after="0" w:line="272" w:lineRule="auto"/>
        <w:tabs>
          <w:tab w:leader="none" w:pos="612"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of $3.9 billion in the third quarter of 2025 decreased by $185 million compared with the third quarter of 2024, primarily driven by a $365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shift from a benefit for credit losses to a provision for credit losses, partially offset by a $161 million shift from other expense in the third quarter of 2024 to other income in the third quarter of 2025.</w:t>
      </w:r>
    </w:p>
    <w:p>
      <w:pPr>
        <w:spacing w:after="0" w:line="71"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Year-to-Date Results</w:t>
      </w:r>
    </w:p>
    <w:p>
      <w:pPr>
        <w:spacing w:after="0" w:line="80"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of $21.6 billion in the first nine months of 2025 decreased by $139 million compared with the first nine months of 2024.</w:t>
      </w:r>
    </w:p>
    <w:p>
      <w:pPr>
        <w:spacing w:after="0" w:line="86" w:lineRule="exact"/>
        <w:rPr>
          <w:rFonts w:ascii="Arial" w:cs="Arial" w:eastAsia="Arial" w:hAnsi="Arial"/>
          <w:sz w:val="16"/>
          <w:szCs w:val="16"/>
          <w:color w:val="auto"/>
        </w:rPr>
      </w:pPr>
    </w:p>
    <w:p>
      <w:pPr>
        <w:jc w:val="both"/>
        <w:ind w:left="620" w:right="160" w:hanging="307"/>
        <w:spacing w:after="0" w:line="271" w:lineRule="auto"/>
        <w:tabs>
          <w:tab w:leader="none" w:pos="612"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Provision for credit losses </w:t>
      </w:r>
      <w:r>
        <w:rPr>
          <w:rFonts w:ascii="Arial" w:cs="Arial" w:eastAsia="Arial" w:hAnsi="Arial"/>
          <w:sz w:val="16"/>
          <w:szCs w:val="16"/>
          <w:color w:val="auto"/>
        </w:rPr>
        <w:t>was $1.3 billion in the first nine months of 2025, which consists of a $1.0 billion single-family provision for credit losses</w:t>
      </w:r>
      <w:r>
        <w:rPr>
          <w:rFonts w:ascii="Arial" w:cs="Arial" w:eastAsia="Arial" w:hAnsi="Arial"/>
          <w:sz w:val="16"/>
          <w:szCs w:val="16"/>
          <w:i w:val="1"/>
          <w:iCs w:val="1"/>
          <w:color w:val="auto"/>
        </w:rPr>
        <w:t xml:space="preserve"> </w:t>
      </w:r>
      <w:r>
        <w:rPr>
          <w:rFonts w:ascii="Arial" w:cs="Arial" w:eastAsia="Arial" w:hAnsi="Arial"/>
          <w:sz w:val="16"/>
          <w:szCs w:val="16"/>
          <w:color w:val="auto"/>
        </w:rPr>
        <w:t>and a $278 million multifamily provision for credit losses. Our single-family provision for credit losses was primarily driven by provision associated with loans that we acquired during the period, which primarily consisted of purchase loans, and by weaker-than-expected home price growth. Our multifamily provision for credit losses was primarily driven by increased delinquencies.</w:t>
      </w:r>
    </w:p>
    <w:p>
      <w:pPr>
        <w:spacing w:after="0" w:line="32" w:lineRule="exact"/>
        <w:rPr>
          <w:rFonts w:ascii="Arial" w:cs="Arial" w:eastAsia="Arial" w:hAnsi="Arial"/>
          <w:sz w:val="16"/>
          <w:szCs w:val="16"/>
          <w:color w:val="auto"/>
        </w:rPr>
      </w:pPr>
    </w:p>
    <w:p>
      <w:pPr>
        <w:ind w:left="620" w:right="160" w:hanging="307"/>
        <w:spacing w:after="0" w:line="293" w:lineRule="auto"/>
        <w:tabs>
          <w:tab w:leader="none" w:pos="612"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of $10.8 billion in the first nine months of 2025 decreased by $2.0 billion compared with the first nine months of 2024, primarily driven</w:t>
      </w:r>
      <w:r>
        <w:rPr>
          <w:rFonts w:ascii="Arial" w:cs="Arial" w:eastAsia="Arial" w:hAnsi="Arial"/>
          <w:sz w:val="16"/>
          <w:szCs w:val="16"/>
          <w:i w:val="1"/>
          <w:iCs w:val="1"/>
          <w:color w:val="auto"/>
        </w:rPr>
        <w:t xml:space="preserve"> </w:t>
      </w:r>
      <w:r>
        <w:rPr>
          <w:rFonts w:ascii="Arial" w:cs="Arial" w:eastAsia="Arial" w:hAnsi="Arial"/>
          <w:sz w:val="16"/>
          <w:szCs w:val="16"/>
          <w:color w:val="auto"/>
        </w:rPr>
        <w:t>by a $1.8 billion shift from a benefit for credit losses to a provision for credit losses and a $632 million decrease in fair value gains.</w:t>
      </w:r>
    </w:p>
    <w:p>
      <w:pPr>
        <w:spacing w:after="0" w:line="14" w:lineRule="exact"/>
        <w:rPr>
          <w:rFonts w:ascii="Arial" w:cs="Arial" w:eastAsia="Arial" w:hAnsi="Arial"/>
          <w:sz w:val="16"/>
          <w:szCs w:val="16"/>
          <w:i w:val="1"/>
          <w:iCs w:val="1"/>
          <w:color w:val="auto"/>
        </w:rPr>
      </w:pPr>
    </w:p>
    <w:p>
      <w:pPr>
        <w:ind w:left="620" w:right="420" w:hanging="307"/>
        <w:spacing w:after="0" w:line="310" w:lineRule="auto"/>
        <w:tabs>
          <w:tab w:leader="none" w:pos="612"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Net worth </w:t>
      </w:r>
      <w:r>
        <w:rPr>
          <w:rFonts w:ascii="Arial" w:cs="Arial" w:eastAsia="Arial" w:hAnsi="Arial"/>
          <w:sz w:val="16"/>
          <w:szCs w:val="16"/>
          <w:color w:val="auto"/>
        </w:rPr>
        <w:t>increased by $10.8 billion in the first nine months of 2025 to $105.5 billion as of September 30, 2025. The increase is attributable to</w:t>
      </w:r>
      <w:r>
        <w:rPr>
          <w:rFonts w:ascii="Arial" w:cs="Arial" w:eastAsia="Arial" w:hAnsi="Arial"/>
          <w:sz w:val="16"/>
          <w:szCs w:val="16"/>
          <w:i w:val="1"/>
          <w:iCs w:val="1"/>
          <w:color w:val="auto"/>
        </w:rPr>
        <w:t xml:space="preserve"> </w:t>
      </w:r>
      <w:r>
        <w:rPr>
          <w:rFonts w:ascii="Arial" w:cs="Arial" w:eastAsia="Arial" w:hAnsi="Arial"/>
          <w:sz w:val="16"/>
          <w:szCs w:val="16"/>
          <w:color w:val="auto"/>
        </w:rPr>
        <w:t>$10.8 billion of comprehensive income for the first nine months of 2025.</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on the drivers of our financial results, see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00" w:type="dxa"/>
            <w:vAlign w:val="bottom"/>
            <w:tcBorders>
              <w:bottom w:val="single" w:sz="8" w:color="9A9A9A"/>
            </w:tcBorders>
          </w:tcPr>
          <w:p>
            <w:pPr>
              <w:spacing w:after="0"/>
              <w:rPr>
                <w:sz w:val="17"/>
                <w:szCs w:val="17"/>
                <w:color w:val="auto"/>
              </w:rPr>
            </w:pPr>
          </w:p>
        </w:tc>
        <w:tc>
          <w:tcPr>
            <w:tcW w:w="4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 w:name="page6"/>
    <w:bookmarkEnd w:id="5"/>
    <w:p>
      <w:pPr>
        <w:ind w:left="9000"/>
        <w:spacing w:after="0"/>
        <w:rPr>
          <w:sz w:val="20"/>
          <w:szCs w:val="20"/>
          <w:color w:val="auto"/>
        </w:rPr>
      </w:pPr>
      <w:r>
        <w:rPr>
          <w:rFonts w:ascii="Arial" w:cs="Arial" w:eastAsia="Arial" w:hAnsi="Arial"/>
          <w:sz w:val="14"/>
          <w:szCs w:val="14"/>
          <w:color w:val="001543"/>
        </w:rPr>
        <w:t>MD&amp;A | 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Legislation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This section updates and supplements information regarding legislative, regulatory, conservatorship and other related matters affecting our business set forth in “Business—Conservatorship and Treasury Agreements” and “Business—Legislation and Regulation” in our 2024 Form 10-K, as well as in “MD&amp;A— Legislation and Regulation” in our Form 10-Q for the quarter ended March 31, 2025 (“First Quarter 2025 Form 10-Q”) and in our Form 10-Q for the quarter ended June 30, 2025 (“Second Quarter 2025 Form 10-Q”). Also see “Risk Factors” in our 2024 Form 10-K for discussions of risks relating to legislative and regulatory matters.</w:t>
      </w:r>
    </w:p>
    <w:p>
      <w:pPr>
        <w:spacing w:after="0" w:line="84"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Administration Comments Regarding Our Future</w:t>
      </w:r>
    </w:p>
    <w:p>
      <w:pPr>
        <w:spacing w:after="0" w:line="6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recent months, the Administration has made public comments suggesting it is considering various options for the future of Fannie Mae and Freddie Mac. We cannot predict the likelihood, timing or nature of administrative or legislative actions relating to our future. See “Risk Factors—GSE and Conservatorship Risk” in our 2024 Form 10-K for a discussion of risks relating to our uncertain future.</w:t>
      </w:r>
    </w:p>
    <w:p>
      <w:pPr>
        <w:spacing w:after="0" w:line="7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Proposed 2026–2028 Housing Goals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are subject to housing goals, which require that a specified amount of the mortgage loans we acquire meet requirements relating to affordability or location. Our housing goals are set by FHFA in accordance with the Federal Housing Enterprises Financial Safety and Soundness Act of 1992, as amended (the “GSE Act”). In October 2025, FHFA published a proposed rule that would establish housing goals for Fannie Mae and Freddie Mac for 2026 through 2028, replacing goals previously established for 2026 and 2027. For single-family loans, the proposed rule would reduce our requirements for low-income home purchase loans and very low-income home purchase loans, maintain our requirement for low-income refinance loans, and establish one subgoal for single-family low-income areas home purchase loans to replace the two current area-based subgoals. For multifamily loans, FHFA’s proposed goals for 2026 through 2028 are unchanged from the multifamily housing goals previously approved for 2025 through 2027. Comments on the proposed rule are due in November 2025. See “Business—Legislation and Regulation—Housing Goals” and “Risk Factors—GSE and Conservatorship Risk” in our 2024 Form 10-K for more information on our housing goals and how pursuing them may affect our business, results of operations and financial condition.</w:t>
      </w:r>
    </w:p>
    <w:p>
      <w:pPr>
        <w:spacing w:after="0" w:line="10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2024 Housing Goals Performance</w:t>
      </w:r>
    </w:p>
    <w:p>
      <w:pPr>
        <w:spacing w:after="0" w:line="6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October 2025, FHFA notified us that it had determined that we met five of our six 2024 single-family housing goals and subgoals, and all of our 2024 multifamily housing goals and subgoals. FHFA determined that we missed the single-family very low-income home purchase goal. FHFA also determined not to require us to submit a housing plan because we missed the goal by a narrow margin. See “Business—Legislation and Regulation—Housing Goals” in our 2024 Form 10-K for more information regarding our 2024 housing goals requirements.</w:t>
      </w:r>
    </w:p>
    <w:p>
      <w:pPr>
        <w:spacing w:after="0" w:line="95"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Stress Testing</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Dodd-Frank Wall Street Reform and Consumer Protection Act (the “Dodd-Frank Act”) requires certain financial companies to conduct annual stress tests. Under FHFA regulations, each year we are required to conduct a stress test using two different scenarios of financial conditions provided by FHFA— baseline and severely adverse—and to publish a summary of our stress test results for the severely adverse scenario by August 15. In August 2024, FHFA temporarily waived the requirement that we publish our 2024 stress test results by August 15, 2024. On August 15, 2025, we published on our website the results of the severely adverse scenarios for 2024 and 2025.</w:t>
      </w:r>
    </w:p>
    <w:p>
      <w:pPr>
        <w:spacing w:after="0" w:line="151"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64"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In “MD&amp;A—Key Market Economic Indicators” in our 2024 Form 10-K, we discuss how varying macroeconomic conditions can influence our financial results across different business and economic environments, and we provide forecasts and expectations with respect to some of these macroeconomic conditions. Below we provide an update to these forecasts and expectations, as well as updates to certain macroeconomic information. Our forecasts and expectations are based on many assumptions, subject to many uncertainties and may change, perhaps substantially, from our current forecasts and expectations. See “Risk Factors” in our 2024 Form 10-K and “Forward-Looking Statements” in this report for a discussion of factors that could cause actual results to differ materially from our current forecasts and expectations.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00" w:type="dxa"/>
            <w:vAlign w:val="bottom"/>
            <w:tcBorders>
              <w:bottom w:val="single" w:sz="8" w:color="9A9A9A"/>
            </w:tcBorders>
          </w:tcPr>
          <w:p>
            <w:pPr>
              <w:spacing w:after="0"/>
              <w:rPr>
                <w:sz w:val="17"/>
                <w:szCs w:val="17"/>
                <w:color w:val="auto"/>
              </w:rPr>
            </w:pPr>
          </w:p>
        </w:tc>
        <w:tc>
          <w:tcPr>
            <w:tcW w:w="4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 w:name="page7"/>
    <w:bookmarkEnd w:id="6"/>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Market Interest Rates</w:t>
      </w:r>
    </w:p>
    <w:p>
      <w:pPr>
        <w:spacing w:after="0" w:line="102"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Selected Market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15240</wp:posOffset>
            </wp:positionV>
            <wp:extent cx="5501005" cy="2160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0100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40" w:right="180" w:hanging="237"/>
        <w:spacing w:after="0" w:line="275" w:lineRule="auto"/>
        <w:tabs>
          <w:tab w:leader="none" w:pos="233" w:val="left"/>
        </w:tabs>
        <w:numPr>
          <w:ilvl w:val="0"/>
          <w:numId w:val="5"/>
        </w:numPr>
        <w:rPr>
          <w:rFonts w:ascii="Arial" w:cs="Arial" w:eastAsia="Arial" w:hAnsi="Arial"/>
          <w:sz w:val="9"/>
          <w:szCs w:val="9"/>
          <w:color w:val="auto"/>
        </w:rPr>
      </w:pPr>
      <w:r>
        <w:rPr>
          <w:rFonts w:ascii="Arial" w:cs="Arial" w:eastAsia="Arial" w:hAnsi="Arial"/>
          <w:sz w:val="14"/>
          <w:szCs w:val="14"/>
          <w:color w:val="auto"/>
        </w:rPr>
        <w:t>Refers to the U.S. weekly average fixed-rate mortgage rate according to Freddie Mac’s Primary Mortgage Market Survey</w:t>
      </w:r>
      <w:r>
        <w:rPr>
          <w:rFonts w:ascii="Arial" w:cs="Arial" w:eastAsia="Arial" w:hAnsi="Arial"/>
          <w:sz w:val="8"/>
          <w:szCs w:val="8"/>
          <w:color w:val="auto"/>
        </w:rPr>
        <w:t>®</w:t>
      </w:r>
      <w:r>
        <w:rPr>
          <w:rFonts w:ascii="Arial" w:cs="Arial" w:eastAsia="Arial" w:hAnsi="Arial"/>
          <w:sz w:val="14"/>
          <w:szCs w:val="14"/>
          <w:color w:val="auto"/>
        </w:rPr>
        <w:t>. These rates are reported using the latest available data for a given period.</w:t>
      </w:r>
    </w:p>
    <w:p>
      <w:pPr>
        <w:ind w:left="220" w:hanging="217"/>
        <w:spacing w:after="0"/>
        <w:tabs>
          <w:tab w:leader="none" w:pos="2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According to Bloomberg.</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Refers to the daily rate per the Federal Reserve Bank of New York.</w:t>
      </w:r>
    </w:p>
    <w:p>
      <w:pPr>
        <w:spacing w:after="0" w:line="7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U.S. weekly average 30-year fixed-rate mortgage rate decreased to 6.30% at the end of the third quarter of 2025, compared to 6.77% at the end of the second quarter of 2025 and 6.85% at the end of the fourth quarter of 2024.</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Home Prices</w:t>
      </w:r>
    </w:p>
    <w:p>
      <w:pPr>
        <w:spacing w:after="0" w:line="217"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Single-Family Quarterly Home Price Growth (Decline) Rate</w:t>
      </w:r>
      <w:r>
        <w:rPr>
          <w:rFonts w:ascii="Georgia" w:cs="Georgia" w:eastAsia="Georgia" w:hAnsi="Georgia"/>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119380</wp:posOffset>
            </wp:positionV>
            <wp:extent cx="5501005" cy="1137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01005" cy="113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0" w:right="200" w:hanging="237"/>
        <w:spacing w:after="0" w:line="259" w:lineRule="auto"/>
        <w:tabs>
          <w:tab w:leader="none" w:pos="233" w:val="left"/>
        </w:tabs>
        <w:numPr>
          <w:ilvl w:val="0"/>
          <w:numId w:val="6"/>
        </w:numPr>
        <w:rPr>
          <w:rFonts w:ascii="Arial" w:cs="Arial" w:eastAsia="Arial" w:hAnsi="Arial"/>
          <w:sz w:val="9"/>
          <w:szCs w:val="9"/>
          <w:color w:val="auto"/>
        </w:rPr>
      </w:pPr>
      <w:r>
        <w:rPr>
          <w:rFonts w:ascii="Arial" w:cs="Arial" w:eastAsia="Arial" w:hAnsi="Arial"/>
          <w:sz w:val="14"/>
          <w:szCs w:val="14"/>
          <w:color w:val="auto"/>
        </w:rPr>
        <w:t>Calculated internally using property data on loans purchased by Fannie Mae, Freddie Mac and other third-party home sales data. Fannie Mae’s home price index is a weighted repeat-transactions index, measuring average price changes in repeat sales on the same properties. Fannie Mae’s home price index excludes prices on properties sold in foreclosure. Fannie Mae’s home price growth rates represent estimates based on non-seasonally adjusted preliminary data and are subject to change as additional data becomes available.</w:t>
      </w:r>
    </w:p>
    <w:p>
      <w:pPr>
        <w:spacing w:after="0" w:line="64" w:lineRule="exact"/>
        <w:rPr>
          <w:sz w:val="20"/>
          <w:szCs w:val="20"/>
          <w:color w:val="auto"/>
        </w:rPr>
      </w:pPr>
    </w:p>
    <w:p>
      <w:pPr>
        <w:jc w:val="both"/>
        <w:ind w:right="100"/>
        <w:spacing w:after="0" w:line="272" w:lineRule="auto"/>
        <w:rPr>
          <w:sz w:val="20"/>
          <w:szCs w:val="20"/>
          <w:color w:val="auto"/>
        </w:rPr>
      </w:pPr>
      <w:r>
        <w:rPr>
          <w:rFonts w:ascii="Arial" w:cs="Arial" w:eastAsia="Arial" w:hAnsi="Arial"/>
          <w:sz w:val="16"/>
          <w:szCs w:val="16"/>
          <w:color w:val="auto"/>
        </w:rPr>
        <w:t>Home prices on a national basis grew by an estimated 3.4% in the first nine months of 2025. Based on our expectation of a decrease in home prices in the fourth quarter of 2025, we forecast national home price growth of 2.5% for the full year of 2025. We also expect regional variation in the timing and rate of home price changes.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00" w:type="dxa"/>
            <w:vAlign w:val="bottom"/>
            <w:tcBorders>
              <w:bottom w:val="single" w:sz="8" w:color="9A9A9A"/>
            </w:tcBorders>
          </w:tcPr>
          <w:p>
            <w:pPr>
              <w:spacing w:after="0"/>
              <w:rPr>
                <w:sz w:val="17"/>
                <w:szCs w:val="17"/>
                <w:color w:val="auto"/>
              </w:rPr>
            </w:pPr>
          </w:p>
        </w:tc>
        <w:tc>
          <w:tcPr>
            <w:tcW w:w="4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 w:name="page8"/>
    <w:bookmarkEnd w:id="7"/>
    <w:p>
      <w:pPr>
        <w:ind w:left="8640"/>
        <w:spacing w:after="0"/>
        <w:rPr>
          <w:sz w:val="20"/>
          <w:szCs w:val="20"/>
          <w:color w:val="auto"/>
        </w:rPr>
      </w:pPr>
      <w:r>
        <w:rPr>
          <w:rFonts w:ascii="Arial" w:cs="Arial" w:eastAsia="Arial" w:hAnsi="Arial"/>
          <w:sz w:val="14"/>
          <w:szCs w:val="14"/>
          <w:color w:val="001543"/>
        </w:rPr>
        <w:t>MD&amp;A | Key Market Economic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Economic Activity</w:t>
      </w:r>
    </w:p>
    <w:p>
      <w:pPr>
        <w:spacing w:after="0" w:line="154"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GDP and Unemployment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15240</wp:posOffset>
            </wp:positionV>
            <wp:extent cx="5501005" cy="1800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0100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hanging="217"/>
        <w:spacing w:after="0"/>
        <w:tabs>
          <w:tab w:leader="none" w:pos="220" w:val="left"/>
        </w:tabs>
        <w:numPr>
          <w:ilvl w:val="0"/>
          <w:numId w:val="7"/>
        </w:numPr>
        <w:rPr>
          <w:rFonts w:ascii="Arial" w:cs="Arial" w:eastAsia="Arial" w:hAnsi="Arial"/>
          <w:sz w:val="9"/>
          <w:szCs w:val="9"/>
          <w:color w:val="auto"/>
        </w:rPr>
      </w:pPr>
      <w:r>
        <w:rPr>
          <w:rFonts w:ascii="Arial" w:cs="Arial" w:eastAsia="Arial" w:hAnsi="Arial"/>
          <w:sz w:val="14"/>
          <w:szCs w:val="14"/>
          <w:color w:val="auto"/>
        </w:rPr>
        <w:t>Real GDP growth (decline) is based on the quarterly series calculated by the Bureau of Economic Analysis and is subject to revision.</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7"/>
        </w:numPr>
        <w:rPr>
          <w:rFonts w:ascii="Arial" w:cs="Arial" w:eastAsia="Arial" w:hAnsi="Arial"/>
          <w:sz w:val="9"/>
          <w:szCs w:val="9"/>
          <w:color w:val="auto"/>
        </w:rPr>
      </w:pPr>
      <w:r>
        <w:rPr>
          <w:rFonts w:ascii="Arial" w:cs="Arial" w:eastAsia="Arial" w:hAnsi="Arial"/>
          <w:sz w:val="14"/>
          <w:szCs w:val="14"/>
          <w:color w:val="auto"/>
        </w:rPr>
        <w:t>According to the U.S. Bureau of Labor Statistics and subject to revision.</w:t>
      </w:r>
    </w:p>
    <w:p>
      <w:pPr>
        <w:spacing w:after="0" w:line="9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U.S. gross domestic product (“GDP”) increased by 3.8% in the second quarter of 2025. Bureau of Economic Analysis GDP data for the third quarter of 2025 was not available at the time of filing this report. We expect GDP will grow for the full year of 2025, but at a slower pace than in 2024. The unemployment rate increased to 4.3% in August 2025, compared with 4.1% in the second quarter of 2025. U.S. Bureau of Labor Statistics data for the third quarter of 2025 was not available at the time of filing this report. We expect the unemployment rate to continue to increase modestly in the fourth quarter of 2025.</w:t>
      </w:r>
    </w:p>
    <w:p>
      <w:pPr>
        <w:spacing w:after="0" w:line="3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impact of trade, fiscal, regulatory and immigration policies is uncertain and could materially impact our outlook for interest rates, home price growth and economic growth. In addition, it remains unknown what impact, if any, the ongoing government shutdown will have on broad economic activity, including GDP and labor market conditions. See “Risk Factors—Market and Industry Risk” and “Risk Factors—Credit Risk” in our 2024 Form 10-K for further discussion of risks to our business and financial results associated with these factors.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00" w:type="dxa"/>
            <w:vAlign w:val="bottom"/>
            <w:tcBorders>
              <w:bottom w:val="single" w:sz="8" w:color="9A9A9A"/>
            </w:tcBorders>
          </w:tcPr>
          <w:p>
            <w:pPr>
              <w:spacing w:after="0"/>
              <w:rPr>
                <w:sz w:val="17"/>
                <w:szCs w:val="17"/>
                <w:color w:val="auto"/>
              </w:rPr>
            </w:pPr>
          </w:p>
        </w:tc>
        <w:tc>
          <w:tcPr>
            <w:tcW w:w="4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 w:name="page9"/>
    <w:bookmarkEnd w:id="8"/>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section discusses our condensed consolidated results of operations and should be read together with our condensed consolidated financial statements and the accompanying notes.</w:t>
      </w:r>
    </w:p>
    <w:p>
      <w:pPr>
        <w:spacing w:after="0" w:line="1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the third quarter of 2025, a change in accounting principle was made that is reflected on the condensed consolidated balance sheets and condensed consolidated statements of cash flows on a retrospective basis. Additionally, a presentation change was made to the condensed consolidated statements of operations and other comprehensive income, which we recast for the prior periods presented. Refer to “Note 1, Summary of Significant Accounting Policies” in the Notes to Condensed Consolidated Financial Statements for further details.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7"/>
              </w:rPr>
              <w:t>For the Three Months Ended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7"/>
              </w:rPr>
              <w:t>For the Nine Months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7"/>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8"/>
              </w:rPr>
              <w:t>September 30,</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5"/>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2C6937"/>
              <w:bottom w:val="single" w:sz="8" w:color="2C6937"/>
            </w:tcBorders>
          </w:tcPr>
          <w:p>
            <w:pPr>
              <w:spacing w:after="0"/>
              <w:rPr>
                <w:sz w:val="16"/>
                <w:szCs w:val="16"/>
                <w:color w:val="auto"/>
              </w:rPr>
            </w:pPr>
          </w:p>
        </w:tc>
        <w:tc>
          <w:tcPr>
            <w:tcW w:w="22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top w:val="single" w:sz="8" w:color="2C6937"/>
              <w:bottom w:val="single" w:sz="8" w:color="2C6937"/>
            </w:tcBorders>
          </w:tcPr>
          <w:p>
            <w:pPr>
              <w:spacing w:after="0"/>
              <w:rPr>
                <w:sz w:val="16"/>
                <w:szCs w:val="16"/>
                <w:color w:val="auto"/>
              </w:rPr>
            </w:pPr>
          </w:p>
        </w:tc>
        <w:tc>
          <w:tcPr>
            <w:tcW w:w="860" w:type="dxa"/>
            <w:vAlign w:val="bottom"/>
            <w:tcBorders>
              <w:top w:val="single" w:sz="8" w:color="2C6937"/>
              <w:bottom w:val="single" w:sz="8" w:color="2C6937"/>
            </w:tcBorders>
          </w:tcPr>
          <w:p>
            <w:pPr>
              <w:jc w:val="right"/>
              <w:ind w:right="26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2C6937"/>
              <w:bottom w:val="single" w:sz="8" w:color="2C6937"/>
            </w:tcBorders>
          </w:tcPr>
          <w:p>
            <w:pPr>
              <w:spacing w:after="0"/>
              <w:rPr>
                <w:sz w:val="16"/>
                <w:szCs w:val="16"/>
                <w:color w:val="auto"/>
              </w:rPr>
            </w:pPr>
          </w:p>
        </w:tc>
        <w:tc>
          <w:tcPr>
            <w:tcW w:w="22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ind w:right="26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jc w:val="right"/>
              <w:ind w:right="143"/>
              <w:spacing w:after="0"/>
              <w:rPr>
                <w:sz w:val="20"/>
                <w:szCs w:val="20"/>
                <w:color w:val="auto"/>
              </w:rPr>
            </w:pPr>
            <w:r>
              <w:rPr>
                <w:rFonts w:ascii="Arial" w:cs="Arial" w:eastAsia="Arial" w:hAnsi="Arial"/>
                <w:sz w:val="14"/>
                <w:szCs w:val="14"/>
                <w:b w:val="1"/>
                <w:bCs w:val="1"/>
                <w:color w:val="auto"/>
              </w:rPr>
              <w:t>Variance</w:t>
            </w:r>
          </w:p>
        </w:tc>
      </w:tr>
      <w:tr>
        <w:trPr>
          <w:trHeight w:val="185"/>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7"/>
        </w:trPr>
        <w:tc>
          <w:tcPr>
            <w:tcW w:w="486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Net interest income</w:t>
            </w:r>
            <w:r>
              <w:rPr>
                <w:rFonts w:ascii="Arial" w:cs="Arial" w:eastAsia="Arial" w:hAnsi="Arial"/>
                <w:sz w:val="20"/>
                <w:szCs w:val="20"/>
                <w:color w:val="auto"/>
                <w:vertAlign w:val="superscript"/>
              </w:rPr>
              <w:t>(1)</w:t>
            </w:r>
          </w:p>
        </w:tc>
        <w:tc>
          <w:tcPr>
            <w:tcW w:w="22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7,184</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7,275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21,340</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21,566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(226)</w:t>
            </w:r>
          </w:p>
        </w:tc>
      </w:tr>
      <w:tr>
        <w:trPr>
          <w:trHeight w:val="208"/>
        </w:trPr>
        <w:tc>
          <w:tcPr>
            <w:tcW w:w="4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Fee and other income</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123</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293</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206</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87</w:t>
            </w:r>
          </w:p>
        </w:tc>
      </w:tr>
      <w:tr>
        <w:trPr>
          <w:trHeight w:val="198"/>
        </w:trPr>
        <w:tc>
          <w:tcPr>
            <w:tcW w:w="4860" w:type="dxa"/>
            <w:vAlign w:val="bottom"/>
            <w:gridSpan w:val="2"/>
          </w:tcPr>
          <w:p>
            <w:pPr>
              <w:ind w:left="180"/>
              <w:spacing w:after="0"/>
              <w:rPr>
                <w:sz w:val="20"/>
                <w:szCs w:val="20"/>
                <w:color w:val="auto"/>
              </w:rPr>
            </w:pPr>
            <w:r>
              <w:rPr>
                <w:rFonts w:ascii="Arial" w:cs="Arial" w:eastAsia="Arial" w:hAnsi="Arial"/>
                <w:sz w:val="15"/>
                <w:szCs w:val="15"/>
                <w:color w:val="auto"/>
              </w:rPr>
              <w:t>Net revenues</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7,307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7,341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21,633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21,772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(139)</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(Provision) benefit for credit losses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(338)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(1,308)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(1,815)</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347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(632)</w:t>
            </w:r>
          </w:p>
        </w:tc>
      </w:tr>
      <w:tr>
        <w:trPr>
          <w:trHeight w:val="208"/>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04"/>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Non-interest expense:</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4860" w:type="dxa"/>
            <w:vAlign w:val="bottom"/>
            <w:gridSpan w:val="2"/>
          </w:tcPr>
          <w:p>
            <w:pPr>
              <w:ind w:left="140"/>
              <w:spacing w:after="0" w:line="207" w:lineRule="exact"/>
              <w:rPr>
                <w:sz w:val="20"/>
                <w:szCs w:val="20"/>
                <w:color w:val="auto"/>
              </w:rPr>
            </w:pPr>
            <w:r>
              <w:rPr>
                <w:rFonts w:ascii="Arial" w:cs="Arial" w:eastAsia="Arial" w:hAnsi="Arial"/>
                <w:sz w:val="15"/>
                <w:szCs w:val="15"/>
                <w:color w:val="auto"/>
              </w:rPr>
              <w:t>Administrative expenses</w:t>
            </w:r>
            <w:r>
              <w:rPr>
                <w:rFonts w:ascii="Arial" w:cs="Arial" w:eastAsia="Arial" w:hAnsi="Arial"/>
                <w:sz w:val="20"/>
                <w:szCs w:val="20"/>
                <w:color w:val="auto"/>
                <w:vertAlign w:val="superscript"/>
              </w:rPr>
              <w:t>(2)</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(819)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(2,658)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06"/>
        </w:trPr>
        <w:tc>
          <w:tcPr>
            <w:tcW w:w="4860" w:type="dxa"/>
            <w:vAlign w:val="bottom"/>
            <w:gridSpan w:val="2"/>
          </w:tcPr>
          <w:p>
            <w:pPr>
              <w:ind w:left="140"/>
              <w:spacing w:after="0" w:line="207" w:lineRule="exact"/>
              <w:rPr>
                <w:sz w:val="20"/>
                <w:szCs w:val="20"/>
                <w:color w:val="auto"/>
              </w:rPr>
            </w:pPr>
            <w:r>
              <w:rPr>
                <w:rFonts w:ascii="Arial" w:cs="Arial" w:eastAsia="Arial" w:hAnsi="Arial"/>
                <w:sz w:val="15"/>
                <w:szCs w:val="15"/>
                <w:color w:val="auto"/>
              </w:rPr>
              <w:t>Legislative assessments</w:t>
            </w:r>
            <w:r>
              <w:rPr>
                <w:rFonts w:ascii="Arial" w:cs="Arial" w:eastAsia="Arial" w:hAnsi="Arial"/>
                <w:sz w:val="20"/>
                <w:szCs w:val="20"/>
                <w:color w:val="auto"/>
                <w:vertAlign w:val="superscript"/>
              </w:rPr>
              <w:t>(3)</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(943)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(2,813)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6"/>
        </w:trPr>
        <w:tc>
          <w:tcPr>
            <w:tcW w:w="4860" w:type="dxa"/>
            <w:vAlign w:val="bottom"/>
            <w:gridSpan w:val="2"/>
          </w:tcPr>
          <w:p>
            <w:pPr>
              <w:ind w:left="120"/>
              <w:spacing w:after="0" w:line="207" w:lineRule="exact"/>
              <w:rPr>
                <w:sz w:val="20"/>
                <w:szCs w:val="20"/>
                <w:color w:val="auto"/>
              </w:rPr>
            </w:pPr>
            <w:r>
              <w:rPr>
                <w:rFonts w:ascii="Arial" w:cs="Arial" w:eastAsia="Arial" w:hAnsi="Arial"/>
                <w:sz w:val="15"/>
                <w:szCs w:val="15"/>
                <w:color w:val="auto"/>
              </w:rPr>
              <w:t>Credit enhancement expense</w:t>
            </w:r>
            <w:r>
              <w:rPr>
                <w:rFonts w:ascii="Arial" w:cs="Arial" w:eastAsia="Arial" w:hAnsi="Arial"/>
                <w:sz w:val="20"/>
                <w:szCs w:val="20"/>
                <w:color w:val="auto"/>
                <w:vertAlign w:val="superscript"/>
              </w:rPr>
              <w:t>(4)</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(409)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(1,288)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208"/>
        </w:trPr>
        <w:tc>
          <w:tcPr>
            <w:tcW w:w="4760" w:type="dxa"/>
            <w:vAlign w:val="bottom"/>
            <w:tcBorders>
              <w:bottom w:val="single" w:sz="8" w:color="2C6937"/>
            </w:tcBorders>
          </w:tcPr>
          <w:p>
            <w:pPr>
              <w:ind w:left="120"/>
              <w:spacing w:after="0" w:line="207"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20"/>
                <w:szCs w:val="20"/>
                <w:color w:val="auto"/>
                <w:vertAlign w:val="superscript"/>
              </w:rPr>
              <w:t>(5)</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25</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(331)</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(416)</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85</w:t>
            </w:r>
          </w:p>
        </w:tc>
      </w:tr>
      <w:tr>
        <w:trPr>
          <w:trHeight w:val="199"/>
        </w:trPr>
        <w:tc>
          <w:tcPr>
            <w:tcW w:w="476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(2,146)</w:t>
            </w:r>
          </w:p>
        </w:tc>
        <w:tc>
          <w:tcPr>
            <w:tcW w:w="8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(2,379)</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233</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(7,090)</w:t>
            </w:r>
          </w:p>
        </w:tc>
        <w:tc>
          <w:tcPr>
            <w:tcW w:w="10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(7,140)</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50</w:t>
            </w:r>
          </w:p>
        </w:tc>
      </w:tr>
      <w:tr>
        <w:trPr>
          <w:trHeight w:val="198"/>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Income before federal income taxes</w:t>
            </w:r>
          </w:p>
        </w:tc>
        <w:tc>
          <w:tcPr>
            <w:tcW w:w="2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4,835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5,053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13,573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16,090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(2,517)</w:t>
            </w:r>
          </w:p>
        </w:tc>
      </w:tr>
      <w:tr>
        <w:trPr>
          <w:trHeight w:val="208"/>
        </w:trPr>
        <w:tc>
          <w:tcPr>
            <w:tcW w:w="47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Provision for federal income taxes</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(976)</w:t>
            </w:r>
          </w:p>
        </w:tc>
        <w:tc>
          <w:tcPr>
            <w:tcW w:w="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(1,009)</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(2,736)</w:t>
            </w:r>
          </w:p>
        </w:tc>
        <w:tc>
          <w:tcPr>
            <w:tcW w:w="10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(3,242)</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506</w:t>
            </w:r>
          </w:p>
        </w:tc>
      </w:tr>
      <w:tr>
        <w:trPr>
          <w:trHeight w:val="199"/>
        </w:trPr>
        <w:tc>
          <w:tcPr>
            <w:tcW w:w="4860" w:type="dxa"/>
            <w:vAlign w:val="bottom"/>
            <w:gridSpan w:val="2"/>
          </w:tcPr>
          <w:p>
            <w:pPr>
              <w:ind w:left="180"/>
              <w:spacing w:after="0"/>
              <w:rPr>
                <w:sz w:val="20"/>
                <w:szCs w:val="20"/>
                <w:color w:val="auto"/>
              </w:rPr>
            </w:pPr>
            <w:r>
              <w:rPr>
                <w:rFonts w:ascii="Arial" w:cs="Arial" w:eastAsia="Arial" w:hAnsi="Arial"/>
                <w:sz w:val="15"/>
                <w:szCs w:val="15"/>
                <w:color w:val="auto"/>
              </w:rPr>
              <w:t>Net income</w:t>
            </w:r>
          </w:p>
        </w:tc>
        <w:tc>
          <w:tcPr>
            <w:tcW w:w="22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3,859</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4,044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(185)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10,837</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12,848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(2,011)</w:t>
            </w:r>
          </w:p>
        </w:tc>
      </w:tr>
      <w:tr>
        <w:trPr>
          <w:trHeight w:val="20"/>
        </w:trPr>
        <w:tc>
          <w:tcPr>
            <w:tcW w:w="4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Total comprehensive income</w:t>
            </w:r>
          </w:p>
        </w:tc>
        <w:tc>
          <w:tcPr>
            <w:tcW w:w="220" w:type="dxa"/>
            <w:vAlign w:val="bottom"/>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3,849</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4,047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(198)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10,828</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12,848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(2,020)</w:t>
            </w:r>
          </w:p>
        </w:tc>
      </w:tr>
    </w:tbl>
    <w:p>
      <w:pPr>
        <w:spacing w:after="0" w:line="114" w:lineRule="exact"/>
        <w:rPr>
          <w:sz w:val="20"/>
          <w:szCs w:val="20"/>
          <w:color w:val="auto"/>
        </w:rPr>
      </w:pPr>
    </w:p>
    <w:p>
      <w:pPr>
        <w:ind w:left="240" w:right="180" w:hanging="237"/>
        <w:spacing w:after="0" w:line="244" w:lineRule="auto"/>
        <w:tabs>
          <w:tab w:leader="none" w:pos="233"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Includes net interest income generated by the 10 basis point guaranty fee increase we implemented pursuant to the Temporary Payroll Tax Cut Continuation Act of 2011 (“TCCA”), and as extended by the Infrastructure Investment and Jobs Act, which is paid to Treasury and not retained by us. We refer to this as TCCA fees, or income related to TCCA.</w:t>
      </w:r>
    </w:p>
    <w:p>
      <w:pPr>
        <w:ind w:left="220" w:hanging="217"/>
        <w:spacing w:after="0"/>
        <w:tabs>
          <w:tab w:leader="none" w:pos="22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Consists of salaries and employee benefits and professional services, technology and occupancy expenses.</w:t>
      </w:r>
    </w:p>
    <w:p>
      <w:pPr>
        <w:spacing w:after="0" w:line="2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8"/>
        </w:numPr>
        <w:rPr>
          <w:rFonts w:ascii="Arial" w:cs="Arial" w:eastAsia="Arial" w:hAnsi="Arial"/>
          <w:sz w:val="9"/>
          <w:szCs w:val="9"/>
          <w:color w:val="auto"/>
        </w:rPr>
      </w:pPr>
      <w:r>
        <w:rPr>
          <w:rFonts w:ascii="Arial" w:cs="Arial" w:eastAsia="Arial" w:hAnsi="Arial"/>
          <w:sz w:val="14"/>
          <w:szCs w:val="14"/>
          <w:color w:val="auto"/>
        </w:rPr>
        <w:t>Consists of TCCA fees, affordable housing allocations and FHFA assessments.</w:t>
      </w:r>
    </w:p>
    <w:p>
      <w:pPr>
        <w:spacing w:after="0" w:line="29" w:lineRule="exact"/>
        <w:rPr>
          <w:rFonts w:ascii="Arial" w:cs="Arial" w:eastAsia="Arial" w:hAnsi="Arial"/>
          <w:sz w:val="9"/>
          <w:szCs w:val="9"/>
          <w:color w:val="auto"/>
        </w:rPr>
      </w:pPr>
    </w:p>
    <w:p>
      <w:pPr>
        <w:ind w:left="240" w:right="100" w:hanging="237"/>
        <w:spacing w:after="0" w:line="219" w:lineRule="auto"/>
        <w:tabs>
          <w:tab w:leader="none" w:pos="233"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Single-family credit enhancement expense consists of costs associated with our freestanding credit enhancements, which primarily include our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(“CAS”) and Credit Insurance Risk Transfer™ (“CIRT</w:t>
      </w:r>
      <w:r>
        <w:rPr>
          <w:rFonts w:ascii="Arial" w:cs="Arial" w:eastAsia="Arial" w:hAnsi="Arial"/>
          <w:sz w:val="17"/>
          <w:szCs w:val="17"/>
          <w:color w:val="auto"/>
          <w:vertAlign w:val="superscript"/>
        </w:rPr>
        <w:t>TM</w:t>
      </w:r>
      <w:r>
        <w:rPr>
          <w:rFonts w:ascii="Arial" w:cs="Arial" w:eastAsia="Arial" w:hAnsi="Arial"/>
          <w:sz w:val="14"/>
          <w:szCs w:val="14"/>
          <w:color w:val="auto"/>
        </w:rPr>
        <w:t>”) programs, enterprise-paid mortgage insurance (“EPMI”) and certain lender risk-sharing programs. Multifamily credit enhancement expense primarily consists of costs associated with our Multifamily CIRT</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(“MCIRT</w:t>
      </w:r>
      <w:r>
        <w:rPr>
          <w:rFonts w:ascii="Arial" w:cs="Arial" w:eastAsia="Arial" w:hAnsi="Arial"/>
          <w:sz w:val="17"/>
          <w:szCs w:val="17"/>
          <w:color w:val="auto"/>
          <w:vertAlign w:val="superscript"/>
        </w:rPr>
        <w:t>TM</w:t>
      </w:r>
      <w:r>
        <w:rPr>
          <w:rFonts w:ascii="Arial" w:cs="Arial" w:eastAsia="Arial" w:hAnsi="Arial"/>
          <w:sz w:val="14"/>
          <w:szCs w:val="14"/>
          <w:color w:val="auto"/>
        </w:rPr>
        <w:t>”) and Multifamily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(“MCAS</w:t>
      </w:r>
      <w:r>
        <w:rPr>
          <w:rFonts w:ascii="Arial" w:cs="Arial" w:eastAsia="Arial" w:hAnsi="Arial"/>
          <w:sz w:val="17"/>
          <w:szCs w:val="17"/>
          <w:color w:val="auto"/>
          <w:vertAlign w:val="superscript"/>
        </w:rPr>
        <w:t>TM</w:t>
      </w:r>
      <w:r>
        <w:rPr>
          <w:rFonts w:ascii="Arial" w:cs="Arial" w:eastAsia="Arial" w:hAnsi="Arial"/>
          <w:sz w:val="14"/>
          <w:szCs w:val="14"/>
          <w:color w:val="auto"/>
        </w:rPr>
        <w:t>”) programs as well as amortization expense for certain lender risk-sharing programs. Excludes CAS transactions accounted for as debt instruments and credit risk transfer programs accounted for as derivative instruments.</w:t>
      </w:r>
    </w:p>
    <w:p>
      <w:pPr>
        <w:spacing w:after="0" w:line="28" w:lineRule="exact"/>
        <w:rPr>
          <w:rFonts w:ascii="Arial" w:cs="Arial" w:eastAsia="Arial" w:hAnsi="Arial"/>
          <w:sz w:val="18"/>
          <w:szCs w:val="18"/>
          <w:color w:val="auto"/>
          <w:vertAlign w:val="superscript"/>
        </w:rPr>
      </w:pPr>
    </w:p>
    <w:p>
      <w:pPr>
        <w:ind w:left="240" w:right="280" w:hanging="237"/>
        <w:spacing w:after="0" w:line="278" w:lineRule="auto"/>
        <w:tabs>
          <w:tab w:leader="none" w:pos="233" w:val="left"/>
        </w:tabs>
        <w:numPr>
          <w:ilvl w:val="0"/>
          <w:numId w:val="8"/>
        </w:numPr>
        <w:rPr>
          <w:rFonts w:ascii="Arial" w:cs="Arial" w:eastAsia="Arial" w:hAnsi="Arial"/>
          <w:sz w:val="9"/>
          <w:szCs w:val="9"/>
          <w:color w:val="auto"/>
        </w:rPr>
      </w:pPr>
      <w:r>
        <w:rPr>
          <w:rFonts w:ascii="Arial" w:cs="Arial" w:eastAsia="Arial" w:hAnsi="Arial"/>
          <w:sz w:val="14"/>
          <w:szCs w:val="14"/>
          <w:color w:val="auto"/>
        </w:rPr>
        <w:t>Primarily consists of debt extinguishment gains (losses), foreclosed property income (expense), change in the expected benefits from our freestanding credit enhancements, and gains (losses) from partnership investments.</w:t>
      </w:r>
    </w:p>
    <w:p>
      <w:pPr>
        <w:spacing w:after="0" w:line="7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Net Interest Income</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Overview</w:t>
      </w:r>
    </w:p>
    <w:p>
      <w:pPr>
        <w:spacing w:after="0" w:line="10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primary source of net interest income is guaranty fees we receive for assuming the credit risk on mortgage loans underlying Fannie Mae MBS held by third parties in our guaranty book of business. We also recognize net interest income on the difference between interest income earned on the assets in our retained mortgage portfolio and our corporate liquidity portfolio (collectively, our “portfolios”) and the interest expense associated with our funding debt. In addition, income or expense from hedge accounting is a component of our net interest income. See “MD&amp;A—</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00" w:type="dxa"/>
            <w:vAlign w:val="bottom"/>
            <w:tcBorders>
              <w:bottom w:val="single" w:sz="8" w:color="9A9A9A"/>
            </w:tcBorders>
          </w:tcPr>
          <w:p>
            <w:pPr>
              <w:spacing w:after="0"/>
              <w:rPr>
                <w:sz w:val="16"/>
                <w:szCs w:val="16"/>
                <w:color w:val="auto"/>
              </w:rPr>
            </w:pPr>
          </w:p>
        </w:tc>
        <w:tc>
          <w:tcPr>
            <w:tcW w:w="42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 w:name="page10"/>
    <w:bookmarkEnd w:id="9"/>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Consolidated Results of Operations—Net Interest Income” in our 2024 Form 10-K for information about the sources of our net interest income.</w:t>
      </w:r>
    </w:p>
    <w:p>
      <w:pPr>
        <w:spacing w:after="0" w:line="12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Components of Net Interest Income</w:t>
      </w:r>
    </w:p>
    <w:p>
      <w:pPr>
        <w:spacing w:after="0" w:line="106" w:lineRule="exact"/>
        <w:rPr>
          <w:sz w:val="20"/>
          <w:szCs w:val="20"/>
          <w:color w:val="auto"/>
        </w:rPr>
      </w:pPr>
    </w:p>
    <w:p>
      <w:pPr>
        <w:ind w:right="680"/>
        <w:spacing w:after="0" w:line="293" w:lineRule="auto"/>
        <w:rPr>
          <w:sz w:val="20"/>
          <w:szCs w:val="20"/>
          <w:color w:val="auto"/>
        </w:rPr>
      </w:pPr>
      <w:r>
        <w:rPr>
          <w:rFonts w:ascii="Arial" w:cs="Arial" w:eastAsia="Arial" w:hAnsi="Arial"/>
          <w:sz w:val="16"/>
          <w:szCs w:val="16"/>
          <w:color w:val="auto"/>
        </w:rPr>
        <w:t>The table below displays the components of our net interest income from our guaranty book of business, from our portfolios, as well as from hedge accounting.</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Components of Net Interest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80" w:type="dxa"/>
            <w:vAlign w:val="bottom"/>
            <w:tcBorders>
              <w:top w:val="single" w:sz="8" w:color="2C6937"/>
            </w:tcBorders>
          </w:tcPr>
          <w:p>
            <w:pPr>
              <w:spacing w:after="0"/>
              <w:rPr>
                <w:sz w:val="15"/>
                <w:szCs w:val="15"/>
                <w:color w:val="auto"/>
              </w:rPr>
            </w:pPr>
          </w:p>
        </w:tc>
        <w:tc>
          <w:tcPr>
            <w:tcW w:w="2220" w:type="dxa"/>
            <w:vAlign w:val="bottom"/>
            <w:tcBorders>
              <w:top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For the Three Months Ended</w:t>
            </w:r>
          </w:p>
        </w:tc>
        <w:tc>
          <w:tcPr>
            <w:tcW w:w="1260" w:type="dxa"/>
            <w:vAlign w:val="bottom"/>
            <w:tcBorders>
              <w:top w:val="single" w:sz="8" w:color="2C6937"/>
            </w:tcBorders>
          </w:tcPr>
          <w:p>
            <w:pPr>
              <w:spacing w:after="0"/>
              <w:rPr>
                <w:sz w:val="15"/>
                <w:szCs w:val="15"/>
                <w:color w:val="auto"/>
              </w:rPr>
            </w:pPr>
          </w:p>
        </w:tc>
        <w:tc>
          <w:tcPr>
            <w:tcW w:w="2220" w:type="dxa"/>
            <w:vAlign w:val="bottom"/>
            <w:tcBorders>
              <w:top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For the Nine Months Ended</w:t>
            </w:r>
          </w:p>
        </w:tc>
        <w:tc>
          <w:tcPr>
            <w:tcW w:w="1160" w:type="dxa"/>
            <w:vAlign w:val="bottom"/>
            <w:tcBorders>
              <w:top w:val="single" w:sz="8" w:color="2C6937"/>
            </w:tcBorders>
          </w:tcPr>
          <w:p>
            <w:pPr>
              <w:spacing w:after="0"/>
              <w:rPr>
                <w:sz w:val="15"/>
                <w:szCs w:val="15"/>
                <w:color w:val="auto"/>
              </w:rPr>
            </w:pPr>
          </w:p>
        </w:tc>
      </w:tr>
      <w:tr>
        <w:trPr>
          <w:trHeight w:val="206"/>
        </w:trPr>
        <w:tc>
          <w:tcPr>
            <w:tcW w:w="4380" w:type="dxa"/>
            <w:vAlign w:val="bottom"/>
          </w:tcPr>
          <w:p>
            <w:pPr>
              <w:spacing w:after="0"/>
              <w:rPr>
                <w:sz w:val="17"/>
                <w:szCs w:val="17"/>
                <w:color w:val="auto"/>
              </w:rPr>
            </w:pPr>
          </w:p>
        </w:tc>
        <w:tc>
          <w:tcPr>
            <w:tcW w:w="222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September 30,</w:t>
            </w:r>
          </w:p>
        </w:tc>
        <w:tc>
          <w:tcPr>
            <w:tcW w:w="1260" w:type="dxa"/>
            <w:vAlign w:val="bottom"/>
          </w:tcPr>
          <w:p>
            <w:pPr>
              <w:spacing w:after="0"/>
              <w:rPr>
                <w:sz w:val="17"/>
                <w:szCs w:val="17"/>
                <w:color w:val="auto"/>
              </w:rPr>
            </w:pPr>
          </w:p>
        </w:tc>
        <w:tc>
          <w:tcPr>
            <w:tcW w:w="222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September 30,</w:t>
            </w:r>
          </w:p>
        </w:tc>
        <w:tc>
          <w:tcPr>
            <w:tcW w:w="1160" w:type="dxa"/>
            <w:vAlign w:val="bottom"/>
          </w:tcPr>
          <w:p>
            <w:pPr>
              <w:spacing w:after="0"/>
              <w:rPr>
                <w:sz w:val="17"/>
                <w:szCs w:val="17"/>
                <w:color w:val="auto"/>
              </w:rPr>
            </w:pPr>
          </w:p>
        </w:tc>
      </w:tr>
      <w:tr>
        <w:trPr>
          <w:trHeight w:val="199"/>
        </w:trPr>
        <w:tc>
          <w:tcPr>
            <w:tcW w:w="4380" w:type="dxa"/>
            <w:vAlign w:val="bottom"/>
          </w:tcPr>
          <w:p>
            <w:pPr>
              <w:spacing w:after="0"/>
              <w:rPr>
                <w:sz w:val="17"/>
                <w:szCs w:val="17"/>
                <w:color w:val="auto"/>
              </w:rPr>
            </w:pPr>
          </w:p>
        </w:tc>
        <w:tc>
          <w:tcPr>
            <w:tcW w:w="110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2025</w:t>
            </w:r>
          </w:p>
        </w:tc>
        <w:tc>
          <w:tcPr>
            <w:tcW w:w="112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2024</w:t>
            </w:r>
          </w:p>
        </w:tc>
        <w:tc>
          <w:tcPr>
            <w:tcW w:w="1260" w:type="dxa"/>
            <w:vAlign w:val="bottom"/>
            <w:tcBorders>
              <w:bottom w:val="single" w:sz="8" w:color="2C6937"/>
            </w:tcBorders>
          </w:tcPr>
          <w:p>
            <w:pPr>
              <w:ind w:left="300"/>
              <w:spacing w:after="0"/>
              <w:rPr>
                <w:sz w:val="20"/>
                <w:szCs w:val="20"/>
                <w:color w:val="auto"/>
              </w:rPr>
            </w:pPr>
            <w:r>
              <w:rPr>
                <w:rFonts w:ascii="Arial" w:cs="Arial" w:eastAsia="Arial" w:hAnsi="Arial"/>
                <w:sz w:val="15"/>
                <w:szCs w:val="15"/>
                <w:b w:val="1"/>
                <w:bCs w:val="1"/>
                <w:color w:val="auto"/>
              </w:rPr>
              <w:t>Variance</w:t>
            </w:r>
          </w:p>
        </w:tc>
        <w:tc>
          <w:tcPr>
            <w:tcW w:w="110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2025</w:t>
            </w:r>
          </w:p>
        </w:tc>
        <w:tc>
          <w:tcPr>
            <w:tcW w:w="1120" w:type="dxa"/>
            <w:vAlign w:val="bottom"/>
            <w:tcBorders>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rPr>
              <w:t>2024</w:t>
            </w:r>
          </w:p>
        </w:tc>
        <w:tc>
          <w:tcPr>
            <w:tcW w:w="1160" w:type="dxa"/>
            <w:vAlign w:val="bottom"/>
            <w:tcBorders>
              <w:bottom w:val="single" w:sz="8" w:color="2C6937"/>
            </w:tcBorders>
          </w:tcPr>
          <w:p>
            <w:pPr>
              <w:ind w:left="320"/>
              <w:spacing w:after="0"/>
              <w:rPr>
                <w:sz w:val="20"/>
                <w:szCs w:val="20"/>
                <w:color w:val="auto"/>
              </w:rPr>
            </w:pPr>
            <w:r>
              <w:rPr>
                <w:rFonts w:ascii="Arial" w:cs="Arial" w:eastAsia="Arial" w:hAnsi="Arial"/>
                <w:sz w:val="15"/>
                <w:szCs w:val="15"/>
                <w:b w:val="1"/>
                <w:bCs w:val="1"/>
                <w:color w:val="auto"/>
              </w:rPr>
              <w:t>Variance</w:t>
            </w:r>
          </w:p>
        </w:tc>
      </w:tr>
    </w:tbl>
    <w:p>
      <w:pPr>
        <w:spacing w:after="0" w:line="89" w:lineRule="exact"/>
        <w:rPr>
          <w:sz w:val="20"/>
          <w:szCs w:val="20"/>
          <w:color w:val="auto"/>
        </w:rPr>
      </w:pPr>
    </w:p>
    <w:p>
      <w:pPr>
        <w:ind w:left="7100"/>
        <w:spacing w:after="0"/>
        <w:rPr>
          <w:sz w:val="20"/>
          <w:szCs w:val="20"/>
          <w:color w:val="auto"/>
        </w:rPr>
      </w:pPr>
      <w:r>
        <w:rPr>
          <w:rFonts w:ascii="Arial" w:cs="Arial" w:eastAsia="Arial" w:hAnsi="Arial"/>
          <w:sz w:val="15"/>
          <w:szCs w:val="15"/>
          <w:b w:val="1"/>
          <w:bCs w:val="1"/>
          <w:color w:val="auto"/>
        </w:rPr>
        <w:t>(Dollars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80" w:type="dxa"/>
            <w:vAlign w:val="bottom"/>
            <w:gridSpan w:val="2"/>
          </w:tcPr>
          <w:p>
            <w:pPr>
              <w:ind w:left="20"/>
              <w:spacing w:after="0"/>
              <w:rPr>
                <w:sz w:val="20"/>
                <w:szCs w:val="20"/>
                <w:color w:val="auto"/>
              </w:rPr>
            </w:pPr>
            <w:r>
              <w:rPr>
                <w:rFonts w:ascii="Arial" w:cs="Arial" w:eastAsia="Arial" w:hAnsi="Arial"/>
                <w:sz w:val="15"/>
                <w:szCs w:val="15"/>
                <w:b w:val="1"/>
                <w:bCs w:val="1"/>
                <w:color w:val="auto"/>
              </w:rPr>
              <w:t>Net interest income from guaranty book of business: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5"/>
        </w:trPr>
        <w:tc>
          <w:tcPr>
            <w:tcW w:w="438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 excluding TCCA</w:t>
            </w:r>
          </w:p>
        </w:tc>
        <w:tc>
          <w:tcPr>
            <w:tcW w:w="340" w:type="dxa"/>
            <w:vAlign w:val="bottom"/>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3"/>
              <w:spacing w:after="0"/>
              <w:rPr>
                <w:sz w:val="20"/>
                <w:szCs w:val="20"/>
                <w:color w:val="auto"/>
              </w:rPr>
            </w:pPr>
            <w:r>
              <w:rPr>
                <w:rFonts w:ascii="Arial" w:cs="Arial" w:eastAsia="Arial" w:hAnsi="Arial"/>
                <w:sz w:val="15"/>
                <w:szCs w:val="15"/>
                <w:b w:val="1"/>
                <w:bCs w:val="1"/>
                <w:color w:val="auto"/>
              </w:rPr>
              <w:t>4,263</w:t>
            </w:r>
          </w:p>
        </w:tc>
        <w:tc>
          <w:tcPr>
            <w:tcW w:w="100" w:type="dxa"/>
            <w:vAlign w:val="bottom"/>
          </w:tcPr>
          <w:p>
            <w:pPr>
              <w:spacing w:after="0"/>
              <w:rPr>
                <w:sz w:val="21"/>
                <w:szCs w:val="21"/>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4,159</w:t>
            </w:r>
          </w:p>
        </w:tc>
        <w:tc>
          <w:tcPr>
            <w:tcW w:w="100" w:type="dxa"/>
            <w:vAlign w:val="bottom"/>
          </w:tcPr>
          <w:p>
            <w:pPr>
              <w:spacing w:after="0"/>
              <w:rPr>
                <w:sz w:val="21"/>
                <w:szCs w:val="21"/>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21"/>
                <w:szCs w:val="21"/>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12,694</w:t>
            </w:r>
          </w:p>
        </w:tc>
        <w:tc>
          <w:tcPr>
            <w:tcW w:w="100" w:type="dxa"/>
            <w:vAlign w:val="bottom"/>
          </w:tcPr>
          <w:p>
            <w:pPr>
              <w:spacing w:after="0"/>
              <w:rPr>
                <w:sz w:val="21"/>
                <w:szCs w:val="21"/>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12,357</w:t>
            </w:r>
          </w:p>
        </w:tc>
        <w:tc>
          <w:tcPr>
            <w:tcW w:w="100" w:type="dxa"/>
            <w:vAlign w:val="bottom"/>
          </w:tcPr>
          <w:p>
            <w:pPr>
              <w:spacing w:after="0"/>
              <w:rPr>
                <w:sz w:val="21"/>
                <w:szCs w:val="21"/>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337</w:t>
            </w:r>
          </w:p>
        </w:tc>
      </w:tr>
      <w:tr>
        <w:trPr>
          <w:trHeight w:val="224"/>
        </w:trPr>
        <w:tc>
          <w:tcPr>
            <w:tcW w:w="4380" w:type="dxa"/>
            <w:vAlign w:val="bottom"/>
            <w:gridSpan w:val="2"/>
          </w:tcPr>
          <w:p>
            <w:pPr>
              <w:ind w:left="180"/>
              <w:spacing w:after="0"/>
              <w:rPr>
                <w:sz w:val="20"/>
                <w:szCs w:val="20"/>
                <w:color w:val="auto"/>
              </w:rPr>
            </w:pPr>
            <w:r>
              <w:rPr>
                <w:rFonts w:ascii="Arial" w:cs="Arial" w:eastAsia="Arial" w:hAnsi="Arial"/>
                <w:sz w:val="15"/>
                <w:szCs w:val="15"/>
                <w:color w:val="auto"/>
              </w:rPr>
              <w:t>Base guaranty fee income related to TCCA</w:t>
            </w:r>
          </w:p>
        </w:tc>
        <w:tc>
          <w:tcPr>
            <w:tcW w:w="34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b w:val="1"/>
                <w:bCs w:val="1"/>
                <w:color w:val="auto"/>
              </w:rPr>
              <w:t>855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862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2,570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2,581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08"/>
        </w:trPr>
        <w:tc>
          <w:tcPr>
            <w:tcW w:w="42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deferred guaranty fee income</w:t>
            </w:r>
          </w:p>
        </w:tc>
        <w:tc>
          <w:tcPr>
            <w:tcW w:w="10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794</w:t>
            </w:r>
          </w:p>
        </w:tc>
        <w:tc>
          <w:tcPr>
            <w:tcW w:w="10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831</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8"/>
                <w:szCs w:val="18"/>
                <w:color w:val="auto"/>
              </w:rPr>
            </w:pPr>
          </w:p>
        </w:tc>
        <w:tc>
          <w:tcPr>
            <w:tcW w:w="30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2,396</w:t>
            </w:r>
          </w:p>
        </w:tc>
        <w:tc>
          <w:tcPr>
            <w:tcW w:w="100" w:type="dxa"/>
            <w:vAlign w:val="bottom"/>
          </w:tcPr>
          <w:p>
            <w:pPr>
              <w:spacing w:after="0"/>
              <w:rPr>
                <w:sz w:val="18"/>
                <w:szCs w:val="18"/>
                <w:color w:val="auto"/>
              </w:rPr>
            </w:pPr>
          </w:p>
        </w:tc>
        <w:tc>
          <w:tcPr>
            <w:tcW w:w="30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2,475</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(79)</w:t>
            </w:r>
          </w:p>
        </w:tc>
      </w:tr>
      <w:tr>
        <w:trPr>
          <w:trHeight w:val="309"/>
        </w:trPr>
        <w:tc>
          <w:tcPr>
            <w:tcW w:w="4380" w:type="dxa"/>
            <w:vAlign w:val="bottom"/>
            <w:gridSpan w:val="2"/>
          </w:tcPr>
          <w:p>
            <w:pPr>
              <w:ind w:left="320"/>
              <w:spacing w:after="0"/>
              <w:rPr>
                <w:sz w:val="20"/>
                <w:szCs w:val="20"/>
                <w:color w:val="auto"/>
              </w:rPr>
            </w:pPr>
            <w:r>
              <w:rPr>
                <w:rFonts w:ascii="Arial" w:cs="Arial" w:eastAsia="Arial" w:hAnsi="Arial"/>
                <w:sz w:val="15"/>
                <w:szCs w:val="15"/>
                <w:color w:val="auto"/>
              </w:rPr>
              <w:t>Total net interest income from guaranty book of business</w:t>
            </w:r>
          </w:p>
        </w:tc>
        <w:tc>
          <w:tcPr>
            <w:tcW w:w="3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b w:val="1"/>
                <w:bCs w:val="1"/>
                <w:color w:val="auto"/>
              </w:rPr>
              <w:t>5,912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5,852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17,660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17,413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247</w:t>
            </w:r>
          </w:p>
        </w:tc>
      </w:tr>
      <w:tr>
        <w:trPr>
          <w:trHeight w:val="317"/>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Net interest income from portfolios</w:t>
            </w:r>
            <w:r>
              <w:rPr>
                <w:rFonts w:ascii="Arial" w:cs="Arial" w:eastAsia="Arial" w:hAnsi="Arial"/>
                <w:sz w:val="20"/>
                <w:szCs w:val="20"/>
                <w:color w:val="auto"/>
                <w:vertAlign w:val="superscript"/>
              </w:rPr>
              <w:t>(1)</w:t>
            </w:r>
          </w:p>
        </w:tc>
        <w:tc>
          <w:tcPr>
            <w:tcW w:w="3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b w:val="1"/>
                <w:bCs w:val="1"/>
                <w:color w:val="auto"/>
              </w:rPr>
              <w:t>1,417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1,624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(207)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4,170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4,817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(647)</w:t>
            </w:r>
          </w:p>
        </w:tc>
      </w:tr>
      <w:tr>
        <w:trPr>
          <w:trHeight w:val="218"/>
        </w:trPr>
        <w:tc>
          <w:tcPr>
            <w:tcW w:w="4280" w:type="dxa"/>
            <w:vAlign w:val="bottom"/>
            <w:tcBorders>
              <w:bottom w:val="single" w:sz="8" w:color="2C6937"/>
            </w:tcBorders>
          </w:tcPr>
          <w:p>
            <w:pPr>
              <w:ind w:left="20"/>
              <w:spacing w:after="0" w:line="218" w:lineRule="exact"/>
              <w:rPr>
                <w:sz w:val="20"/>
                <w:szCs w:val="20"/>
                <w:color w:val="auto"/>
              </w:rPr>
            </w:pPr>
            <w:r>
              <w:rPr>
                <w:rFonts w:ascii="Arial" w:cs="Arial" w:eastAsia="Arial" w:hAnsi="Arial"/>
                <w:sz w:val="15"/>
                <w:szCs w:val="15"/>
                <w:color w:val="auto"/>
              </w:rPr>
              <w:t>Income (expense) from hedge accounting</w:t>
            </w:r>
            <w:r>
              <w:rPr>
                <w:rFonts w:ascii="Arial" w:cs="Arial" w:eastAsia="Arial" w:hAnsi="Arial"/>
                <w:sz w:val="20"/>
                <w:szCs w:val="20"/>
                <w:color w:val="auto"/>
                <w:vertAlign w:val="superscript"/>
              </w:rPr>
              <w:t>(2)</w:t>
            </w:r>
          </w:p>
        </w:tc>
        <w:tc>
          <w:tcPr>
            <w:tcW w:w="10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(145)</w:t>
            </w:r>
          </w:p>
        </w:tc>
        <w:tc>
          <w:tcPr>
            <w:tcW w:w="100" w:type="dxa"/>
            <w:vAlign w:val="bottom"/>
          </w:tcPr>
          <w:p>
            <w:pPr>
              <w:spacing w:after="0"/>
              <w:rPr>
                <w:sz w:val="18"/>
                <w:szCs w:val="18"/>
                <w:color w:val="auto"/>
              </w:rPr>
            </w:pPr>
          </w:p>
        </w:tc>
        <w:tc>
          <w:tcPr>
            <w:tcW w:w="34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(201)</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18"/>
                <w:szCs w:val="18"/>
                <w:color w:val="auto"/>
              </w:rPr>
            </w:pPr>
          </w:p>
        </w:tc>
        <w:tc>
          <w:tcPr>
            <w:tcW w:w="30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(490)</w:t>
            </w:r>
          </w:p>
        </w:tc>
        <w:tc>
          <w:tcPr>
            <w:tcW w:w="100" w:type="dxa"/>
            <w:vAlign w:val="bottom"/>
          </w:tcPr>
          <w:p>
            <w:pPr>
              <w:spacing w:after="0"/>
              <w:rPr>
                <w:sz w:val="18"/>
                <w:szCs w:val="18"/>
                <w:color w:val="auto"/>
              </w:rPr>
            </w:pPr>
          </w:p>
        </w:tc>
        <w:tc>
          <w:tcPr>
            <w:tcW w:w="30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(664)</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174</w:t>
            </w:r>
          </w:p>
        </w:tc>
      </w:tr>
      <w:tr>
        <w:trPr>
          <w:trHeight w:val="277"/>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Total net interest income</w:t>
            </w:r>
          </w:p>
        </w:tc>
        <w:tc>
          <w:tcPr>
            <w:tcW w:w="340" w:type="dxa"/>
            <w:vAlign w:val="bottom"/>
          </w:tcPr>
          <w:p>
            <w:pPr>
              <w:jc w:val="right"/>
              <w:ind w:right="163"/>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3"/>
              <w:spacing w:after="0"/>
              <w:rPr>
                <w:sz w:val="20"/>
                <w:szCs w:val="20"/>
                <w:color w:val="auto"/>
              </w:rPr>
            </w:pPr>
            <w:r>
              <w:rPr>
                <w:rFonts w:ascii="Arial" w:cs="Arial" w:eastAsia="Arial" w:hAnsi="Arial"/>
                <w:sz w:val="15"/>
                <w:szCs w:val="15"/>
                <w:b w:val="1"/>
                <w:bCs w:val="1"/>
                <w:color w:val="auto"/>
              </w:rPr>
              <w:t>7,184</w:t>
            </w:r>
          </w:p>
        </w:tc>
        <w:tc>
          <w:tcPr>
            <w:tcW w:w="100" w:type="dxa"/>
            <w:vAlign w:val="bottom"/>
          </w:tcPr>
          <w:p>
            <w:pPr>
              <w:spacing w:after="0"/>
              <w:rPr>
                <w:sz w:val="24"/>
                <w:szCs w:val="24"/>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7,275</w:t>
            </w:r>
          </w:p>
        </w:tc>
        <w:tc>
          <w:tcPr>
            <w:tcW w:w="100" w:type="dxa"/>
            <w:vAlign w:val="bottom"/>
          </w:tcPr>
          <w:p>
            <w:pPr>
              <w:spacing w:after="0"/>
              <w:rPr>
                <w:sz w:val="24"/>
                <w:szCs w:val="24"/>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(91)</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b w:val="1"/>
                <w:bCs w:val="1"/>
                <w:color w:val="auto"/>
              </w:rPr>
              <w:t>21,340</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21,566</w:t>
            </w:r>
          </w:p>
        </w:tc>
        <w:tc>
          <w:tcPr>
            <w:tcW w:w="100" w:type="dxa"/>
            <w:vAlign w:val="bottom"/>
          </w:tcPr>
          <w:p>
            <w:pPr>
              <w:spacing w:after="0"/>
              <w:rPr>
                <w:sz w:val="24"/>
                <w:szCs w:val="24"/>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(226)</w:t>
            </w:r>
          </w:p>
        </w:tc>
      </w:tr>
      <w:tr>
        <w:trPr>
          <w:trHeight w:val="20"/>
        </w:trPr>
        <w:tc>
          <w:tcPr>
            <w:tcW w:w="42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40" w:hanging="237"/>
        <w:spacing w:after="0" w:line="226" w:lineRule="auto"/>
        <w:tabs>
          <w:tab w:leader="none" w:pos="233"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interest income from assets held in our retained mortgage portfolio and our corporate liquidity portfolio, as well as other assets used to support lender liquidity. Also includes interest expense on our funding debt, including outstanding CAS debt.</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For more information about our hedge accounting program, see “Note 9, Derivative Instruments.”</w:t>
      </w:r>
    </w:p>
    <w:p>
      <w:pPr>
        <w:spacing w:after="0" w:line="53" w:lineRule="exact"/>
        <w:rPr>
          <w:sz w:val="20"/>
          <w:szCs w:val="20"/>
          <w:color w:val="auto"/>
        </w:rPr>
      </w:pPr>
    </w:p>
    <w:p>
      <w:pPr>
        <w:ind w:right="340"/>
        <w:spacing w:after="0" w:line="270" w:lineRule="auto"/>
        <w:rPr>
          <w:sz w:val="20"/>
          <w:szCs w:val="20"/>
          <w:color w:val="auto"/>
        </w:rPr>
      </w:pPr>
      <w:r>
        <w:rPr>
          <w:rFonts w:ascii="Arial" w:cs="Arial" w:eastAsia="Arial" w:hAnsi="Arial"/>
          <w:sz w:val="16"/>
          <w:szCs w:val="16"/>
          <w:color w:val="auto"/>
        </w:rPr>
        <w:t>Net interest income decreased by $91 million in the third quarter of 2025 compared with the third quarter of 2024, and by $226 million in the first nine months of 2025 compared with the first nine months of 2024, primarily driven by lower net interest income from portfolios, partially offset by higher base guaranty fee income.</w:t>
      </w:r>
    </w:p>
    <w:p>
      <w:pPr>
        <w:spacing w:after="0" w:line="33" w:lineRule="exact"/>
        <w:rPr>
          <w:sz w:val="20"/>
          <w:szCs w:val="20"/>
          <w:color w:val="auto"/>
        </w:rPr>
      </w:pPr>
    </w:p>
    <w:p>
      <w:pPr>
        <w:ind w:left="620" w:right="20" w:hanging="307"/>
        <w:spacing w:after="0" w:line="272" w:lineRule="auto"/>
        <w:tabs>
          <w:tab w:leader="none" w:pos="612"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Lower net interest income from portfolios. </w:t>
      </w:r>
      <w:r>
        <w:rPr>
          <w:rFonts w:ascii="Arial" w:cs="Arial" w:eastAsia="Arial" w:hAnsi="Arial"/>
          <w:sz w:val="16"/>
          <w:szCs w:val="16"/>
          <w:color w:val="auto"/>
        </w:rPr>
        <w:t>Lower net interest income from portfolios in the third quarter and first nine months of 2025 compared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third quarter and first nine months of 2024 was primarily driven by higher average rates on our long-term funding debt as we issued debt in a higher-interest rate environment relative to maturing long-term debt.</w:t>
      </w:r>
    </w:p>
    <w:p>
      <w:pPr>
        <w:spacing w:after="0" w:line="31" w:lineRule="exact"/>
        <w:rPr>
          <w:rFonts w:ascii="Arial" w:cs="Arial" w:eastAsia="Arial" w:hAnsi="Arial"/>
          <w:sz w:val="16"/>
          <w:szCs w:val="16"/>
          <w:color w:val="auto"/>
        </w:rPr>
      </w:pPr>
    </w:p>
    <w:p>
      <w:pPr>
        <w:ind w:left="620" w:right="460" w:hanging="307"/>
        <w:spacing w:after="0" w:line="310" w:lineRule="auto"/>
        <w:tabs>
          <w:tab w:leader="none" w:pos="612"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Higher base guaranty fee income. </w:t>
      </w:r>
      <w:r>
        <w:rPr>
          <w:rFonts w:ascii="Arial" w:cs="Arial" w:eastAsia="Arial" w:hAnsi="Arial"/>
          <w:sz w:val="16"/>
          <w:szCs w:val="16"/>
          <w:color w:val="auto"/>
        </w:rPr>
        <w:t>Higher base guaranty fee income in the third quarter and first nine months of 2025 compared with the third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and first nine months of 2024 was primarily driven by higher average guaranty fees on recent single-family acquisitions.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00" w:type="dxa"/>
            <w:vAlign w:val="bottom"/>
            <w:tcBorders>
              <w:bottom w:val="single" w:sz="8" w:color="9A9A9A"/>
            </w:tcBorders>
          </w:tcPr>
          <w:p>
            <w:pPr>
              <w:spacing w:after="0"/>
              <w:rPr>
                <w:sz w:val="17"/>
                <w:szCs w:val="17"/>
                <w:color w:val="auto"/>
              </w:rPr>
            </w:pPr>
          </w:p>
        </w:tc>
        <w:tc>
          <w:tcPr>
            <w:tcW w:w="4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 w:name="page11"/>
    <w:bookmarkEnd w:id="10"/>
    <w:p>
      <w:pPr>
        <w:ind w:left="8440"/>
        <w:spacing w:after="0"/>
        <w:rPr>
          <w:sz w:val="20"/>
          <w:szCs w:val="20"/>
          <w:color w:val="auto"/>
        </w:rPr>
      </w:pPr>
      <w:r>
        <w:rPr>
          <w:rFonts w:ascii="Arial" w:cs="Arial" w:eastAsia="Arial" w:hAnsi="Arial"/>
          <w:sz w:val="13"/>
          <w:szCs w:val="13"/>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24130</wp:posOffset>
            </wp:positionV>
            <wp:extent cx="69996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Analysis of Unamortized Deferred Guaranty Fees</w:t>
      </w:r>
    </w:p>
    <w:p>
      <w:pPr>
        <w:spacing w:after="0" w:line="80" w:lineRule="exact"/>
        <w:rPr>
          <w:sz w:val="20"/>
          <w:szCs w:val="20"/>
          <w:color w:val="auto"/>
        </w:rPr>
      </w:pPr>
    </w:p>
    <w:p>
      <w:pPr>
        <w:ind w:right="660"/>
        <w:spacing w:after="0" w:line="293" w:lineRule="auto"/>
        <w:rPr>
          <w:sz w:val="20"/>
          <w:szCs w:val="20"/>
          <w:color w:val="auto"/>
        </w:rPr>
      </w:pPr>
      <w:r>
        <w:rPr>
          <w:rFonts w:ascii="Arial" w:cs="Arial" w:eastAsia="Arial" w:hAnsi="Arial"/>
          <w:sz w:val="16"/>
          <w:szCs w:val="16"/>
          <w:color w:val="auto"/>
        </w:rPr>
        <w:t>The following charts present information about the interest rates of the loans in our single-family conventional guaranty book of business as well as information about our deferred guaranty fees.</w:t>
      </w:r>
    </w:p>
    <w:p>
      <w:pPr>
        <w:spacing w:after="0" w:line="15"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As shown in the chart below (on the left), most of our single-family conventional guaranty book of business as of September 30, 2025 had an interest rate lower than the U.S. weekly average 30-year fixed-rate mortgage rate. Per Freddie Mac’s Primary Mortgage Market Survey</w:t>
      </w:r>
      <w:r>
        <w:rPr>
          <w:rFonts w:ascii="Arial" w:cs="Arial" w:eastAsia="Arial" w:hAnsi="Arial"/>
          <w:sz w:val="21"/>
          <w:szCs w:val="21"/>
          <w:b w:val="1"/>
          <w:bCs w:val="1"/>
          <w:color w:val="auto"/>
          <w:vertAlign w:val="superscript"/>
        </w:rPr>
        <w:t>®</w:t>
      </w:r>
      <w:r>
        <w:rPr>
          <w:rFonts w:ascii="Arial" w:cs="Arial" w:eastAsia="Arial" w:hAnsi="Arial"/>
          <w:sz w:val="16"/>
          <w:szCs w:val="16"/>
          <w:color w:val="auto"/>
        </w:rPr>
        <w:t>, as of September 25, 2025, the U.S. weekly average interest rate for a single-family 30-year fixed-rate mortgage was 6.30%. Accordingly, even if interest rates decline to 5%, most of the borrowers whose mortgage loans are in our single-family conventional guaranty book of business still would not be incentivized to refinance.</w:t>
      </w:r>
    </w:p>
    <w:p>
      <w:pPr>
        <w:spacing w:after="0" w:line="50"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The other chart below (on the right) presents guaranty fees that will be amortized into deferred guaranty fee income in future periods, which we refer to as “unamortized deferred guaranty fees,” as described in “MD&amp;A—Consolidated Results of Operations—Net Interest Income—Analysis of Unamortized Deferred Guaranty Fees” in our 2024 Form 10-K.</w:t>
      </w:r>
    </w:p>
    <w:p>
      <w:pPr>
        <w:spacing w:after="0" w:line="123"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880" w:type="dxa"/>
            <w:vAlign w:val="bottom"/>
          </w:tcPr>
          <w:p>
            <w:pPr>
              <w:jc w:val="center"/>
              <w:ind w:right="466"/>
              <w:spacing w:after="0"/>
              <w:rPr>
                <w:sz w:val="20"/>
                <w:szCs w:val="20"/>
                <w:color w:val="auto"/>
              </w:rPr>
            </w:pPr>
            <w:r>
              <w:rPr>
                <w:rFonts w:ascii="Georgia" w:cs="Georgia" w:eastAsia="Georgia" w:hAnsi="Georgia"/>
                <w:sz w:val="19"/>
                <w:szCs w:val="19"/>
                <w:b w:val="1"/>
                <w:bCs w:val="1"/>
                <w:color w:val="001543"/>
                <w:w w:val="99"/>
              </w:rPr>
              <w:t>Interest Rates of Single-Family Conventional Guaranty</w:t>
            </w:r>
          </w:p>
        </w:tc>
        <w:tc>
          <w:tcPr>
            <w:tcW w:w="4220" w:type="dxa"/>
            <w:vAlign w:val="bottom"/>
          </w:tcPr>
          <w:p>
            <w:pPr>
              <w:spacing w:after="0"/>
              <w:rPr>
                <w:sz w:val="18"/>
                <w:szCs w:val="18"/>
                <w:color w:val="auto"/>
              </w:rPr>
            </w:pPr>
          </w:p>
        </w:tc>
      </w:tr>
      <w:tr>
        <w:trPr>
          <w:trHeight w:val="232"/>
        </w:trPr>
        <w:tc>
          <w:tcPr>
            <w:tcW w:w="5880" w:type="dxa"/>
            <w:vAlign w:val="bottom"/>
          </w:tcPr>
          <w:p>
            <w:pPr>
              <w:jc w:val="center"/>
              <w:ind w:right="486"/>
              <w:spacing w:after="0"/>
              <w:rPr>
                <w:sz w:val="20"/>
                <w:szCs w:val="20"/>
                <w:color w:val="auto"/>
              </w:rPr>
            </w:pPr>
            <w:r>
              <w:rPr>
                <w:rFonts w:ascii="Georgia" w:cs="Georgia" w:eastAsia="Georgia" w:hAnsi="Georgia"/>
                <w:sz w:val="19"/>
                <w:szCs w:val="19"/>
                <w:b w:val="1"/>
                <w:bCs w:val="1"/>
                <w:color w:val="001543"/>
                <w:w w:val="99"/>
              </w:rPr>
              <w:t>Book of Business Compared with the U.S. Weekly</w:t>
            </w:r>
          </w:p>
        </w:tc>
        <w:tc>
          <w:tcPr>
            <w:tcW w:w="4220" w:type="dxa"/>
            <w:vAlign w:val="bottom"/>
          </w:tcPr>
          <w:p>
            <w:pPr>
              <w:spacing w:after="0"/>
              <w:rPr>
                <w:sz w:val="20"/>
                <w:szCs w:val="20"/>
                <w:color w:val="auto"/>
              </w:rPr>
            </w:pPr>
          </w:p>
        </w:tc>
      </w:tr>
      <w:tr>
        <w:trPr>
          <w:trHeight w:val="219"/>
        </w:trPr>
        <w:tc>
          <w:tcPr>
            <w:tcW w:w="5880" w:type="dxa"/>
            <w:vAlign w:val="bottom"/>
          </w:tcPr>
          <w:p>
            <w:pPr>
              <w:jc w:val="center"/>
              <w:ind w:right="486"/>
              <w:spacing w:after="0"/>
              <w:rPr>
                <w:sz w:val="20"/>
                <w:szCs w:val="20"/>
                <w:color w:val="auto"/>
              </w:rPr>
            </w:pPr>
            <w:r>
              <w:rPr>
                <w:rFonts w:ascii="Georgia" w:cs="Georgia" w:eastAsia="Georgia" w:hAnsi="Georgia"/>
                <w:sz w:val="19"/>
                <w:szCs w:val="19"/>
                <w:b w:val="1"/>
                <w:bCs w:val="1"/>
                <w:color w:val="001543"/>
                <w:w w:val="99"/>
              </w:rPr>
              <w:t>Average 30-Year Fixed-Rate Mortgage Rate</w:t>
            </w:r>
          </w:p>
        </w:tc>
        <w:tc>
          <w:tcPr>
            <w:tcW w:w="4220" w:type="dxa"/>
            <w:vAlign w:val="bottom"/>
          </w:tcPr>
          <w:p>
            <w:pPr>
              <w:jc w:val="center"/>
              <w:ind w:left="466"/>
              <w:spacing w:after="0"/>
              <w:rPr>
                <w:sz w:val="20"/>
                <w:szCs w:val="20"/>
                <w:color w:val="auto"/>
              </w:rPr>
            </w:pPr>
            <w:r>
              <w:rPr>
                <w:rFonts w:ascii="Georgia" w:cs="Georgia" w:eastAsia="Georgia" w:hAnsi="Georgia"/>
                <w:sz w:val="19"/>
                <w:szCs w:val="19"/>
                <w:b w:val="1"/>
                <w:bCs w:val="1"/>
                <w:color w:val="05314D"/>
                <w:w w:val="99"/>
              </w:rPr>
              <w:t>Unamortized Deferred Guaranty Fees</w:t>
            </w:r>
          </w:p>
        </w:tc>
      </w:tr>
      <w:tr>
        <w:trPr>
          <w:trHeight w:val="271"/>
        </w:trPr>
        <w:tc>
          <w:tcPr>
            <w:tcW w:w="5880" w:type="dxa"/>
            <w:vAlign w:val="bottom"/>
          </w:tcPr>
          <w:p>
            <w:pPr>
              <w:jc w:val="center"/>
              <w:ind w:right="466"/>
              <w:spacing w:after="0"/>
              <w:rPr>
                <w:sz w:val="20"/>
                <w:szCs w:val="20"/>
                <w:color w:val="auto"/>
              </w:rPr>
            </w:pPr>
            <w:r>
              <w:rPr>
                <w:rFonts w:ascii="Georgia" w:cs="Georgia" w:eastAsia="Georgia" w:hAnsi="Georgia"/>
                <w:sz w:val="19"/>
                <w:szCs w:val="19"/>
                <w:b w:val="1"/>
                <w:bCs w:val="1"/>
                <w:color w:val="05314D"/>
                <w:w w:val="99"/>
              </w:rPr>
              <w:t>As of September 30, 2025</w:t>
            </w:r>
          </w:p>
        </w:tc>
        <w:tc>
          <w:tcPr>
            <w:tcW w:w="4220" w:type="dxa"/>
            <w:vAlign w:val="bottom"/>
          </w:tcPr>
          <w:p>
            <w:pPr>
              <w:jc w:val="center"/>
              <w:ind w:left="466"/>
              <w:spacing w:after="0"/>
              <w:rPr>
                <w:sz w:val="20"/>
                <w:szCs w:val="20"/>
                <w:color w:val="auto"/>
              </w:rPr>
            </w:pPr>
            <w:r>
              <w:rPr>
                <w:rFonts w:ascii="Georgia" w:cs="Georgia" w:eastAsia="Georgia" w:hAnsi="Georgia"/>
                <w:sz w:val="19"/>
                <w:szCs w:val="19"/>
                <w:b w:val="1"/>
                <w:bCs w:val="1"/>
                <w:color w:val="05314D"/>
                <w:w w:val="98"/>
              </w:rPr>
              <w:t>(Dollars in billions)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121920</wp:posOffset>
            </wp:positionV>
            <wp:extent cx="5403215" cy="2120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03215" cy="212026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40"/>
        <w:spacing w:after="0"/>
        <w:rPr>
          <w:sz w:val="20"/>
          <w:szCs w:val="20"/>
          <w:color w:val="auto"/>
        </w:rPr>
      </w:pPr>
      <w:r>
        <w:rPr>
          <w:rFonts w:ascii="Arial" w:cs="Arial" w:eastAsia="Arial" w:hAnsi="Arial"/>
          <w:sz w:val="124"/>
          <w:szCs w:val="124"/>
          <w:b w:val="1"/>
          <w:bCs w:val="1"/>
          <w:color w:val="FFB400"/>
        </w:rPr>
        <w:t>—</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24"/>
          <w:szCs w:val="124"/>
          <w:b w:val="1"/>
          <w:bCs w:val="1"/>
          <w:color w:val="05314D"/>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83"/>
        </w:trPr>
        <w:tc>
          <w:tcPr>
            <w:tcW w:w="2920" w:type="dxa"/>
            <w:vAlign w:val="bottom"/>
          </w:tcPr>
          <w:p>
            <w:pPr>
              <w:spacing w:after="0"/>
              <w:rPr>
                <w:sz w:val="20"/>
                <w:szCs w:val="20"/>
                <w:color w:val="auto"/>
              </w:rPr>
            </w:pPr>
            <w:r>
              <w:rPr>
                <w:rFonts w:ascii="Arial" w:cs="Arial" w:eastAsia="Arial" w:hAnsi="Arial"/>
                <w:sz w:val="14"/>
                <w:szCs w:val="14"/>
                <w:color w:val="auto"/>
              </w:rPr>
              <w:t>Represents the U.S. weekly average 30-year</w:t>
            </w:r>
          </w:p>
        </w:tc>
        <w:tc>
          <w:tcPr>
            <w:tcW w:w="1520" w:type="dxa"/>
            <w:vAlign w:val="bottom"/>
            <w:vMerge w:val="restart"/>
          </w:tcPr>
          <w:p>
            <w:pPr>
              <w:ind w:left="180"/>
              <w:spacing w:after="0"/>
              <w:rPr>
                <w:sz w:val="20"/>
                <w:szCs w:val="20"/>
                <w:color w:val="auto"/>
              </w:rPr>
            </w:pPr>
            <w:r>
              <w:rPr>
                <w:rFonts w:ascii="Arial" w:cs="Arial" w:eastAsia="Arial" w:hAnsi="Arial"/>
                <w:sz w:val="124"/>
                <w:szCs w:val="124"/>
                <w:b w:val="1"/>
                <w:bCs w:val="1"/>
                <w:color w:val="2C6937"/>
              </w:rPr>
              <w:t>—</w:t>
            </w: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Represents the net unamortized cost basis</w:t>
            </w:r>
          </w:p>
        </w:tc>
        <w:tc>
          <w:tcPr>
            <w:tcW w:w="0" w:type="dxa"/>
            <w:vAlign w:val="bottom"/>
          </w:tcPr>
          <w:p>
            <w:pPr>
              <w:spacing w:after="0"/>
              <w:rPr>
                <w:sz w:val="1"/>
                <w:szCs w:val="1"/>
                <w:color w:val="auto"/>
              </w:rPr>
            </w:pPr>
          </w:p>
        </w:tc>
      </w:tr>
      <w:tr>
        <w:trPr>
          <w:trHeight w:val="136"/>
        </w:trPr>
        <w:tc>
          <w:tcPr>
            <w:tcW w:w="2920" w:type="dxa"/>
            <w:vAlign w:val="bottom"/>
          </w:tcPr>
          <w:p>
            <w:pPr>
              <w:spacing w:after="0" w:line="137" w:lineRule="exact"/>
              <w:rPr>
                <w:sz w:val="20"/>
                <w:szCs w:val="20"/>
                <w:color w:val="auto"/>
              </w:rPr>
            </w:pPr>
            <w:r>
              <w:rPr>
                <w:rFonts w:ascii="Arial" w:cs="Arial" w:eastAsia="Arial" w:hAnsi="Arial"/>
                <w:sz w:val="14"/>
                <w:szCs w:val="14"/>
                <w:color w:val="auto"/>
              </w:rPr>
              <w:t>fixed-rate mortgage rate as of September 25,</w:t>
            </w:r>
          </w:p>
        </w:tc>
        <w:tc>
          <w:tcPr>
            <w:tcW w:w="1520" w:type="dxa"/>
            <w:vAlign w:val="bottom"/>
            <w:vMerge w:val="continue"/>
          </w:tcPr>
          <w:p>
            <w:pPr>
              <w:spacing w:after="0"/>
              <w:rPr>
                <w:sz w:val="11"/>
                <w:szCs w:val="11"/>
                <w:color w:val="auto"/>
              </w:rPr>
            </w:pPr>
          </w:p>
        </w:tc>
        <w:tc>
          <w:tcPr>
            <w:tcW w:w="2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920" w:type="dxa"/>
            <w:vAlign w:val="bottom"/>
            <w:vMerge w:val="restart"/>
          </w:tcPr>
          <w:p>
            <w:pPr>
              <w:spacing w:after="0"/>
              <w:rPr>
                <w:sz w:val="20"/>
                <w:szCs w:val="20"/>
                <w:color w:val="auto"/>
              </w:rPr>
            </w:pPr>
            <w:r>
              <w:rPr>
                <w:rFonts w:ascii="Arial" w:cs="Arial" w:eastAsia="Arial" w:hAnsi="Arial"/>
                <w:sz w:val="14"/>
                <w:szCs w:val="14"/>
                <w:color w:val="auto"/>
              </w:rPr>
              <w:t>2025, according to Freddie Mac’s Primary</w:t>
            </w:r>
          </w:p>
        </w:tc>
        <w:tc>
          <w:tcPr>
            <w:tcW w:w="1520" w:type="dxa"/>
            <w:vAlign w:val="bottom"/>
            <w:vMerge w:val="continue"/>
          </w:tcPr>
          <w:p>
            <w:pPr>
              <w:spacing w:after="0"/>
              <w:rPr>
                <w:sz w:val="9"/>
                <w:szCs w:val="9"/>
                <w:color w:val="auto"/>
              </w:rPr>
            </w:pPr>
          </w:p>
        </w:tc>
        <w:tc>
          <w:tcPr>
            <w:tcW w:w="2880" w:type="dxa"/>
            <w:vAlign w:val="bottom"/>
          </w:tcPr>
          <w:p>
            <w:pPr>
              <w:ind w:left="80"/>
              <w:spacing w:after="0" w:line="109" w:lineRule="exact"/>
              <w:rPr>
                <w:sz w:val="20"/>
                <w:szCs w:val="20"/>
                <w:color w:val="auto"/>
              </w:rPr>
            </w:pPr>
            <w:r>
              <w:rPr>
                <w:rFonts w:ascii="Arial" w:cs="Arial" w:eastAsia="Arial" w:hAnsi="Arial"/>
                <w:sz w:val="11"/>
                <w:szCs w:val="11"/>
                <w:color w:val="auto"/>
              </w:rPr>
              <w:t>adjustment balance that will be amortized and</w:t>
            </w:r>
          </w:p>
        </w:tc>
        <w:tc>
          <w:tcPr>
            <w:tcW w:w="0" w:type="dxa"/>
            <w:vAlign w:val="bottom"/>
          </w:tcPr>
          <w:p>
            <w:pPr>
              <w:spacing w:after="0"/>
              <w:rPr>
                <w:sz w:val="1"/>
                <w:szCs w:val="1"/>
                <w:color w:val="auto"/>
              </w:rPr>
            </w:pPr>
          </w:p>
        </w:tc>
      </w:tr>
      <w:tr>
        <w:trPr>
          <w:trHeight w:val="64"/>
        </w:trPr>
        <w:tc>
          <w:tcPr>
            <w:tcW w:w="29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recognized through deferred guaranty fee</w:t>
            </w:r>
          </w:p>
        </w:tc>
        <w:tc>
          <w:tcPr>
            <w:tcW w:w="0" w:type="dxa"/>
            <w:vAlign w:val="bottom"/>
          </w:tcPr>
          <w:p>
            <w:pPr>
              <w:spacing w:after="0"/>
              <w:rPr>
                <w:sz w:val="1"/>
                <w:szCs w:val="1"/>
                <w:color w:val="auto"/>
              </w:rPr>
            </w:pPr>
          </w:p>
        </w:tc>
      </w:tr>
      <w:tr>
        <w:trPr>
          <w:trHeight w:val="136"/>
        </w:trPr>
        <w:tc>
          <w:tcPr>
            <w:tcW w:w="2920" w:type="dxa"/>
            <w:vAlign w:val="bottom"/>
          </w:tcPr>
          <w:p>
            <w:pPr>
              <w:spacing w:after="0" w:line="137" w:lineRule="exact"/>
              <w:rPr>
                <w:sz w:val="20"/>
                <w:szCs w:val="20"/>
                <w:color w:val="auto"/>
              </w:rPr>
            </w:pPr>
            <w:r>
              <w:rPr>
                <w:rFonts w:ascii="Arial" w:cs="Arial" w:eastAsia="Arial" w:hAnsi="Arial"/>
                <w:sz w:val="14"/>
                <w:szCs w:val="14"/>
                <w:color w:val="auto"/>
              </w:rPr>
              <w:t>Mortgage Market Survey</w:t>
            </w:r>
            <w:r>
              <w:rPr>
                <w:rFonts w:ascii="Arial" w:cs="Arial" w:eastAsia="Arial" w:hAnsi="Arial"/>
                <w:sz w:val="8"/>
                <w:szCs w:val="8"/>
                <w:color w:val="auto"/>
              </w:rPr>
              <w:t>®</w:t>
            </w:r>
            <w:r>
              <w:rPr>
                <w:rFonts w:ascii="Arial" w:cs="Arial" w:eastAsia="Arial" w:hAnsi="Arial"/>
                <w:sz w:val="14"/>
                <w:szCs w:val="14"/>
                <w:color w:val="auto"/>
              </w:rPr>
              <w:t>, the last published</w:t>
            </w:r>
          </w:p>
        </w:tc>
        <w:tc>
          <w:tcPr>
            <w:tcW w:w="1520" w:type="dxa"/>
            <w:vAlign w:val="bottom"/>
            <w:vMerge w:val="continue"/>
          </w:tcPr>
          <w:p>
            <w:pPr>
              <w:spacing w:after="0"/>
              <w:rPr>
                <w:sz w:val="11"/>
                <w:szCs w:val="11"/>
                <w:color w:val="auto"/>
              </w:rPr>
            </w:pPr>
          </w:p>
        </w:tc>
        <w:tc>
          <w:tcPr>
            <w:tcW w:w="2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920" w:type="dxa"/>
            <w:vAlign w:val="bottom"/>
            <w:vMerge w:val="restart"/>
          </w:tcPr>
          <w:p>
            <w:pPr>
              <w:spacing w:after="0"/>
              <w:rPr>
                <w:sz w:val="20"/>
                <w:szCs w:val="20"/>
                <w:color w:val="auto"/>
              </w:rPr>
            </w:pPr>
            <w:r>
              <w:rPr>
                <w:rFonts w:ascii="Arial" w:cs="Arial" w:eastAsia="Arial" w:hAnsi="Arial"/>
                <w:sz w:val="14"/>
                <w:szCs w:val="14"/>
                <w:color w:val="auto"/>
              </w:rPr>
              <w:t>rate for the quarter ending September 30,</w:t>
            </w:r>
          </w:p>
        </w:tc>
        <w:tc>
          <w:tcPr>
            <w:tcW w:w="1520" w:type="dxa"/>
            <w:vAlign w:val="bottom"/>
            <w:vMerge w:val="continue"/>
          </w:tcPr>
          <w:p>
            <w:pPr>
              <w:spacing w:after="0"/>
              <w:rPr>
                <w:sz w:val="6"/>
                <w:szCs w:val="6"/>
                <w:color w:val="auto"/>
              </w:rPr>
            </w:pPr>
          </w:p>
        </w:tc>
        <w:tc>
          <w:tcPr>
            <w:tcW w:w="2880" w:type="dxa"/>
            <w:vAlign w:val="bottom"/>
          </w:tcPr>
          <w:p>
            <w:pPr>
              <w:ind w:left="80"/>
              <w:spacing w:after="0" w:line="78" w:lineRule="exact"/>
              <w:rPr>
                <w:sz w:val="20"/>
                <w:szCs w:val="20"/>
                <w:color w:val="auto"/>
              </w:rPr>
            </w:pPr>
            <w:r>
              <w:rPr>
                <w:rFonts w:ascii="Arial" w:cs="Arial" w:eastAsia="Arial" w:hAnsi="Arial"/>
                <w:sz w:val="8"/>
                <w:szCs w:val="8"/>
                <w:color w:val="auto"/>
              </w:rPr>
              <w:t>income over the remaining contractual life of</w:t>
            </w:r>
          </w:p>
        </w:tc>
        <w:tc>
          <w:tcPr>
            <w:tcW w:w="0" w:type="dxa"/>
            <w:vAlign w:val="bottom"/>
          </w:tcPr>
          <w:p>
            <w:pPr>
              <w:spacing w:after="0"/>
              <w:rPr>
                <w:sz w:val="1"/>
                <w:szCs w:val="1"/>
                <w:color w:val="auto"/>
              </w:rPr>
            </w:pPr>
          </w:p>
        </w:tc>
      </w:tr>
      <w:tr>
        <w:trPr>
          <w:trHeight w:val="129"/>
        </w:trPr>
        <w:tc>
          <w:tcPr>
            <w:tcW w:w="29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2880" w:type="dxa"/>
            <w:vAlign w:val="bottom"/>
          </w:tcPr>
          <w:p>
            <w:pPr>
              <w:ind w:left="80"/>
              <w:spacing w:after="0" w:line="129" w:lineRule="exact"/>
              <w:rPr>
                <w:sz w:val="20"/>
                <w:szCs w:val="20"/>
                <w:color w:val="auto"/>
              </w:rPr>
            </w:pPr>
            <w:r>
              <w:rPr>
                <w:rFonts w:ascii="Arial" w:cs="Arial" w:eastAsia="Arial" w:hAnsi="Arial"/>
                <w:sz w:val="14"/>
                <w:szCs w:val="14"/>
                <w:color w:val="auto"/>
              </w:rPr>
              <w:t>the mortgage loans or debt.</w:t>
            </w:r>
          </w:p>
        </w:tc>
        <w:tc>
          <w:tcPr>
            <w:tcW w:w="0" w:type="dxa"/>
            <w:vAlign w:val="bottom"/>
          </w:tcPr>
          <w:p>
            <w:pPr>
              <w:spacing w:after="0"/>
              <w:rPr>
                <w:sz w:val="1"/>
                <w:szCs w:val="1"/>
                <w:color w:val="auto"/>
              </w:rPr>
            </w:pPr>
          </w:p>
        </w:tc>
      </w:tr>
      <w:tr>
        <w:trPr>
          <w:trHeight w:val="477"/>
        </w:trPr>
        <w:tc>
          <w:tcPr>
            <w:tcW w:w="2920" w:type="dxa"/>
            <w:vAlign w:val="bottom"/>
          </w:tcPr>
          <w:p>
            <w:pPr>
              <w:spacing w:after="0"/>
              <w:rPr>
                <w:sz w:val="20"/>
                <w:szCs w:val="20"/>
                <w:color w:val="auto"/>
              </w:rPr>
            </w:pPr>
            <w:r>
              <w:rPr>
                <w:rFonts w:ascii="Arial" w:cs="Arial" w:eastAsia="Arial" w:hAnsi="Arial"/>
                <w:sz w:val="14"/>
                <w:szCs w:val="14"/>
                <w:color w:val="auto"/>
              </w:rPr>
              <w:t>2025.</w:t>
            </w:r>
          </w:p>
        </w:tc>
        <w:tc>
          <w:tcPr>
            <w:tcW w:w="152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920" w:type="dxa"/>
            <w:vAlign w:val="bottom"/>
          </w:tcPr>
          <w:p>
            <w:pPr>
              <w:spacing w:after="0"/>
              <w:rPr>
                <w:sz w:val="20"/>
                <w:szCs w:val="20"/>
                <w:color w:val="auto"/>
              </w:rPr>
            </w:pPr>
            <w:r>
              <w:rPr>
                <w:rFonts w:ascii="Arial" w:cs="Arial" w:eastAsia="Arial" w:hAnsi="Arial"/>
                <w:sz w:val="14"/>
                <w:szCs w:val="14"/>
                <w:color w:val="auto"/>
              </w:rPr>
              <w:t>Represents the percentage of single-family</w:t>
            </w:r>
          </w:p>
        </w:tc>
        <w:tc>
          <w:tcPr>
            <w:tcW w:w="1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line="155" w:lineRule="exact"/>
              <w:rPr>
                <w:sz w:val="20"/>
                <w:szCs w:val="20"/>
                <w:color w:val="auto"/>
              </w:rPr>
            </w:pPr>
            <w:r>
              <w:rPr>
                <w:rFonts w:ascii="Arial" w:cs="Arial" w:eastAsia="Arial" w:hAnsi="Arial"/>
                <w:sz w:val="14"/>
                <w:szCs w:val="14"/>
                <w:color w:val="auto"/>
              </w:rPr>
              <w:t>conventional guaranty book of business by</w:t>
            </w:r>
          </w:p>
        </w:tc>
        <w:tc>
          <w:tcPr>
            <w:tcW w:w="15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line="155" w:lineRule="exact"/>
              <w:rPr>
                <w:sz w:val="20"/>
                <w:szCs w:val="20"/>
                <w:color w:val="auto"/>
              </w:rPr>
            </w:pPr>
            <w:r>
              <w:rPr>
                <w:rFonts w:ascii="Arial" w:cs="Arial" w:eastAsia="Arial" w:hAnsi="Arial"/>
                <w:sz w:val="14"/>
                <w:szCs w:val="14"/>
                <w:color w:val="auto"/>
              </w:rPr>
              <w:t>select interest rate band based on the</w:t>
            </w:r>
          </w:p>
        </w:tc>
        <w:tc>
          <w:tcPr>
            <w:tcW w:w="15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rPr>
                <w:sz w:val="20"/>
                <w:szCs w:val="20"/>
                <w:color w:val="auto"/>
              </w:rPr>
            </w:pPr>
            <w:r>
              <w:rPr>
                <w:rFonts w:ascii="Arial" w:cs="Arial" w:eastAsia="Arial" w:hAnsi="Arial"/>
                <w:sz w:val="14"/>
                <w:szCs w:val="14"/>
                <w:color w:val="auto"/>
              </w:rPr>
              <w:t>current interest rate of the mortgage loans.</w:t>
            </w:r>
          </w:p>
        </w:tc>
        <w:tc>
          <w:tcPr>
            <w:tcW w:w="15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78" w:lineRule="exact"/>
        <w:rPr>
          <w:sz w:val="20"/>
          <w:szCs w:val="20"/>
          <w:color w:val="auto"/>
        </w:rPr>
      </w:pPr>
    </w:p>
    <w:p>
      <w:pPr>
        <w:sectPr>
          <w:pgSz w:w="11900" w:h="16838" w:orient="portrait"/>
          <w:cols w:equalWidth="0" w:num="2">
            <w:col w:w="2480" w:space="180"/>
            <w:col w:w="8580"/>
          </w:cols>
          <w:pgMar w:left="320" w:top="248" w:right="339" w:bottom="1440" w:gutter="0" w:footer="0" w:header="0"/>
          <w:type w:val="continuous"/>
        </w:sectPr>
      </w:pPr>
    </w:p>
    <w:p>
      <w:pPr>
        <w:spacing w:after="0" w:line="250" w:lineRule="auto"/>
        <w:rPr>
          <w:sz w:val="20"/>
          <w:szCs w:val="20"/>
          <w:color w:val="auto"/>
        </w:rPr>
      </w:pPr>
      <w:r>
        <w:rPr>
          <w:rFonts w:ascii="Arial" w:cs="Arial" w:eastAsia="Arial" w:hAnsi="Arial"/>
          <w:sz w:val="16"/>
          <w:szCs w:val="16"/>
          <w:color w:val="auto"/>
        </w:rPr>
        <w:t>The amount of deferred guaranty fee income we record can vary and is primarily impacted by: (1) the amount of upfront fees we charge on single-family mortgage loans, (2) changes in interest rates, which affect the premiums and discounts we record on newly acquired mortgage loans and newly created debt of consolidated trusts, and (3) the amount by which premiums and discounts on existing loans and debt of consolidated trust are different compared to newly acquired loans and debt. The balance of our unamortized deferred guaranty fees decreased as of September 30, 2025, compared with December 31, 2024, largely as a result of amortization of existing upfront fees on single-family loans and premiums of existing MBS debt. In addition, interest-rate-driven pricing changes resulted in fewer premiums on newly issued MBS debt relative to MBS debt that amortized, which further reduced the balance of unamortized deferred guaranty fees.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8</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800" w:type="dxa"/>
            <w:vAlign w:val="bottom"/>
            <w:tcBorders>
              <w:bottom w:val="single" w:sz="8" w:color="9A9A9A"/>
            </w:tcBorders>
          </w:tcPr>
          <w:p>
            <w:pPr>
              <w:spacing w:after="0"/>
              <w:rPr>
                <w:sz w:val="16"/>
                <w:szCs w:val="16"/>
                <w:color w:val="auto"/>
              </w:rPr>
            </w:pPr>
          </w:p>
        </w:tc>
        <w:tc>
          <w:tcPr>
            <w:tcW w:w="42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1" w:name="page12"/>
    <w:bookmarkEnd w:id="11"/>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Analysis of Net Interest Income</w:t>
      </w:r>
    </w:p>
    <w:p>
      <w:pPr>
        <w:spacing w:after="0" w:line="80" w:lineRule="exact"/>
        <w:rPr>
          <w:sz w:val="20"/>
          <w:szCs w:val="20"/>
          <w:color w:val="auto"/>
        </w:rPr>
      </w:pPr>
    </w:p>
    <w:p>
      <w:pPr>
        <w:jc w:val="both"/>
        <w:ind w:right="120"/>
        <w:spacing w:after="0" w:line="272" w:lineRule="auto"/>
        <w:rPr>
          <w:sz w:val="20"/>
          <w:szCs w:val="20"/>
          <w:color w:val="auto"/>
        </w:rPr>
      </w:pPr>
      <w:r>
        <w:rPr>
          <w:rFonts w:ascii="Arial" w:cs="Arial" w:eastAsia="Arial" w:hAnsi="Arial"/>
          <w:sz w:val="16"/>
          <w:szCs w:val="16"/>
          <w:color w:val="auto"/>
        </w:rPr>
        <w:t>The table below displays an analysis of our net interest income, average balances and related yields earned on assets and incurred on liabilities. For most components of the average balances, we use a daily weighted average of unpaid principal balance net of unamortized cost basis adjustments. When daily average balance information is not available, such as for mortgage loans, we use monthly averages.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Analysis of Net Interest Income and Yield</w:t>
      </w:r>
      <w:r>
        <w:rPr>
          <w:rFonts w:ascii="Arial" w:cs="Arial" w:eastAsia="Arial" w:hAnsi="Arial"/>
          <w:sz w:val="24"/>
          <w:szCs w:val="24"/>
          <w:b w:val="1"/>
          <w:bCs w:val="1"/>
          <w:color w:val="05314D"/>
          <w:vertAlign w:val="superscript"/>
        </w:rPr>
        <w:t>(1)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0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20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80" w:type="dxa"/>
            <w:vAlign w:val="bottom"/>
            <w:tcBorders>
              <w:top w:val="single" w:sz="8" w:color="2C6937"/>
              <w:bottom w:val="single" w:sz="8" w:color="2C6937"/>
            </w:tcBorders>
          </w:tcPr>
          <w:p>
            <w:pPr>
              <w:spacing w:after="0"/>
              <w:rPr>
                <w:sz w:val="18"/>
                <w:szCs w:val="18"/>
                <w:color w:val="auto"/>
              </w:rPr>
            </w:pPr>
          </w:p>
        </w:tc>
        <w:tc>
          <w:tcPr>
            <w:tcW w:w="5060" w:type="dxa"/>
            <w:vAlign w:val="bottom"/>
            <w:tcBorders>
              <w:top w:val="single" w:sz="8" w:color="2C6937"/>
              <w:bottom w:val="single" w:sz="8" w:color="2C6937"/>
            </w:tcBorders>
            <w:gridSpan w:val="8"/>
          </w:tcPr>
          <w:p>
            <w:pPr>
              <w:jc w:val="center"/>
              <w:spacing w:after="0"/>
              <w:rPr>
                <w:sz w:val="20"/>
                <w:szCs w:val="20"/>
                <w:color w:val="auto"/>
              </w:rPr>
            </w:pPr>
            <w:r>
              <w:rPr>
                <w:rFonts w:ascii="Arial" w:cs="Arial" w:eastAsia="Arial" w:hAnsi="Arial"/>
                <w:sz w:val="15"/>
                <w:szCs w:val="15"/>
                <w:b w:val="1"/>
                <w:bCs w:val="1"/>
                <w:color w:val="auto"/>
              </w:rPr>
              <w:t>For the Three Months Ended September 30,</w:t>
            </w:r>
          </w:p>
        </w:tc>
        <w:tc>
          <w:tcPr>
            <w:tcW w:w="1360" w:type="dxa"/>
            <w:vAlign w:val="bottom"/>
            <w:tcBorders>
              <w:top w:val="single" w:sz="8" w:color="2C6937"/>
              <w:bottom w:val="single" w:sz="8" w:color="2C6937"/>
            </w:tcBorders>
          </w:tcPr>
          <w:p>
            <w:pPr>
              <w:spacing w:after="0"/>
              <w:rPr>
                <w:sz w:val="18"/>
                <w:szCs w:val="18"/>
                <w:color w:val="auto"/>
              </w:rPr>
            </w:pPr>
          </w:p>
        </w:tc>
      </w:tr>
      <w:tr>
        <w:trPr>
          <w:trHeight w:val="199"/>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2025</w:t>
            </w:r>
          </w:p>
        </w:tc>
        <w:tc>
          <w:tcPr>
            <w:tcW w:w="13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2024</w:t>
            </w:r>
          </w:p>
        </w:tc>
        <w:tc>
          <w:tcPr>
            <w:tcW w:w="1360" w:type="dxa"/>
            <w:vAlign w:val="bottom"/>
            <w:tcBorders>
              <w:bottom w:val="single" w:sz="8" w:color="2C6937"/>
            </w:tcBorders>
          </w:tcPr>
          <w:p>
            <w:pPr>
              <w:spacing w:after="0"/>
              <w:rPr>
                <w:sz w:val="17"/>
                <w:szCs w:val="17"/>
                <w:color w:val="auto"/>
              </w:rPr>
            </w:pPr>
          </w:p>
        </w:tc>
      </w:tr>
      <w:tr>
        <w:trPr>
          <w:trHeight w:val="198"/>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rPr>
              <w:t>Average Rates</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jc w:val="right"/>
              <w:ind w:right="23"/>
              <w:spacing w:after="0"/>
              <w:rPr>
                <w:sz w:val="20"/>
                <w:szCs w:val="20"/>
                <w:color w:val="auto"/>
              </w:rPr>
            </w:pPr>
            <w:r>
              <w:rPr>
                <w:rFonts w:ascii="Arial" w:cs="Arial" w:eastAsia="Arial" w:hAnsi="Arial"/>
                <w:sz w:val="15"/>
                <w:szCs w:val="15"/>
                <w:b w:val="1"/>
                <w:bCs w:val="1"/>
                <w:color w:val="auto"/>
              </w:rPr>
              <w:t>Average Rates</w:t>
            </w:r>
          </w:p>
        </w:tc>
      </w:tr>
      <w:tr>
        <w:trPr>
          <w:trHeight w:val="217"/>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04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4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Earned/Paid</w:t>
            </w:r>
          </w:p>
        </w:tc>
        <w:tc>
          <w:tcPr>
            <w:tcW w:w="180" w:type="dxa"/>
            <w:vAlign w:val="bottom"/>
            <w:tcBorders>
              <w:bottom w:val="single" w:sz="8" w:color="2C6937"/>
            </w:tcBorders>
          </w:tcPr>
          <w:p>
            <w:pPr>
              <w:spacing w:after="0"/>
              <w:rPr>
                <w:sz w:val="18"/>
                <w:szCs w:val="18"/>
                <w:color w:val="auto"/>
              </w:rPr>
            </w:pPr>
          </w:p>
        </w:tc>
        <w:tc>
          <w:tcPr>
            <w:tcW w:w="106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6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b w:val="1"/>
                <w:bCs w:val="1"/>
                <w:color w:val="auto"/>
              </w:rPr>
              <w:t>Earned/Paid</w:t>
            </w:r>
          </w:p>
        </w:tc>
      </w:tr>
      <w:tr>
        <w:trPr>
          <w:trHeight w:val="222"/>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720" w:type="dxa"/>
            <w:vAlign w:val="bottom"/>
            <w:gridSpan w:val="5"/>
          </w:tcPr>
          <w:p>
            <w:pPr>
              <w:jc w:val="center"/>
              <w:ind w:left="43"/>
              <w:spacing w:after="0"/>
              <w:rPr>
                <w:sz w:val="20"/>
                <w:szCs w:val="20"/>
                <w:color w:val="auto"/>
              </w:rPr>
            </w:pPr>
            <w:r>
              <w:rPr>
                <w:rFonts w:ascii="Arial" w:cs="Arial" w:eastAsia="Arial" w:hAnsi="Arial"/>
                <w:sz w:val="15"/>
                <w:szCs w:val="15"/>
                <w:b w:val="1"/>
                <w:bCs w:val="1"/>
                <w:color w:val="auto"/>
              </w:rPr>
              <w:t>(Dollars in millions)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2"/>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Interest-earning assets: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Cash</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11,618</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129</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4.44 %</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11,633</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158</w:t>
            </w:r>
          </w:p>
        </w:tc>
        <w:tc>
          <w:tcPr>
            <w:tcW w:w="1360" w:type="dxa"/>
            <w:vAlign w:val="bottom"/>
          </w:tcPr>
          <w:p>
            <w:pPr>
              <w:jc w:val="right"/>
              <w:spacing w:after="0"/>
              <w:rPr>
                <w:sz w:val="20"/>
                <w:szCs w:val="20"/>
                <w:color w:val="auto"/>
              </w:rPr>
            </w:pPr>
            <w:r>
              <w:rPr>
                <w:rFonts w:ascii="Arial" w:cs="Arial" w:eastAsia="Arial" w:hAnsi="Arial"/>
                <w:sz w:val="15"/>
                <w:szCs w:val="15"/>
                <w:color w:val="auto"/>
              </w:rPr>
              <w:t>5.43 %</w:t>
            </w:r>
          </w:p>
        </w:tc>
      </w:tr>
      <w:tr>
        <w:trPr>
          <w:trHeight w:val="201"/>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Securities purchased under agreements to</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5"/>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resell</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75,484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844</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77,314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1,057</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5.47</w:t>
            </w:r>
          </w:p>
        </w:tc>
      </w:tr>
      <w:tr>
        <w:trPr>
          <w:trHeight w:val="23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Investments in securities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76,745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614</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57,212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350</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2.45</w:t>
            </w:r>
          </w:p>
        </w:tc>
      </w:tr>
      <w:tr>
        <w:trPr>
          <w:trHeight w:val="211"/>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Mortgage loans: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3"/>
        </w:trPr>
        <w:tc>
          <w:tcPr>
            <w:tcW w:w="3400" w:type="dxa"/>
            <w:vAlign w:val="bottom"/>
            <w:gridSpan w:val="2"/>
          </w:tcPr>
          <w:p>
            <w:pPr>
              <w:ind w:left="280"/>
              <w:spacing w:after="0"/>
              <w:rPr>
                <w:sz w:val="20"/>
                <w:szCs w:val="20"/>
                <w:color w:val="auto"/>
              </w:rPr>
            </w:pPr>
            <w:r>
              <w:rPr>
                <w:rFonts w:ascii="Arial" w:cs="Arial" w:eastAsia="Arial" w:hAnsi="Arial"/>
                <w:sz w:val="15"/>
                <w:szCs w:val="15"/>
                <w:color w:val="auto"/>
              </w:rPr>
              <w:t>Mortgage loans of Fannie Mae</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55,368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599</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52,105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576</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4.42</w:t>
            </w:r>
          </w:p>
        </w:tc>
      </w:tr>
      <w:tr>
        <w:trPr>
          <w:trHeight w:val="226"/>
        </w:trPr>
        <w:tc>
          <w:tcPr>
            <w:tcW w:w="33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 of consolidated trusts</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4,076,794</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37,745</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3.70</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4,092,789</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35,814</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3.50</w:t>
            </w:r>
          </w:p>
        </w:tc>
      </w:tr>
      <w:tr>
        <w:trPr>
          <w:trHeight w:val="239"/>
        </w:trPr>
        <w:tc>
          <w:tcPr>
            <w:tcW w:w="3400" w:type="dxa"/>
            <w:vAlign w:val="bottom"/>
            <w:gridSpan w:val="2"/>
          </w:tcPr>
          <w:p>
            <w:pPr>
              <w:ind w:left="44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4,132,162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38,344</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4,144,894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36,390</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3.51</w:t>
            </w:r>
          </w:p>
        </w:tc>
      </w:tr>
      <w:tr>
        <w:trPr>
          <w:trHeight w:val="218"/>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Advances to lenders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3,262</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46</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5.64</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3,325</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57</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6.86</w:t>
            </w:r>
          </w:p>
        </w:tc>
      </w:tr>
      <w:tr>
        <w:trPr>
          <w:trHeight w:val="22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interest-earning assets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4,299,271</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39,977</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3.72 %</w:t>
            </w:r>
          </w:p>
        </w:tc>
        <w:tc>
          <w:tcPr>
            <w:tcW w:w="10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4,294,378</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38,012</w:t>
            </w:r>
          </w:p>
        </w:tc>
        <w:tc>
          <w:tcPr>
            <w:tcW w:w="1360" w:type="dxa"/>
            <w:vAlign w:val="bottom"/>
          </w:tcPr>
          <w:p>
            <w:pPr>
              <w:jc w:val="right"/>
              <w:spacing w:after="0"/>
              <w:rPr>
                <w:sz w:val="20"/>
                <w:szCs w:val="20"/>
                <w:color w:val="auto"/>
              </w:rPr>
            </w:pPr>
            <w:r>
              <w:rPr>
                <w:rFonts w:ascii="Arial" w:cs="Arial" w:eastAsia="Arial" w:hAnsi="Arial"/>
                <w:sz w:val="15"/>
                <w:szCs w:val="15"/>
                <w:color w:val="auto"/>
              </w:rPr>
              <w:t>3.54 %</w:t>
            </w:r>
          </w:p>
        </w:tc>
      </w:tr>
      <w:tr>
        <w:trPr>
          <w:trHeight w:val="20"/>
        </w:trPr>
        <w:tc>
          <w:tcPr>
            <w:tcW w:w="3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Short-term funding debt</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14,467</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(154)</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4.26 %</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10,445</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(137)</w:t>
            </w:r>
          </w:p>
        </w:tc>
        <w:tc>
          <w:tcPr>
            <w:tcW w:w="1360" w:type="dxa"/>
            <w:vAlign w:val="bottom"/>
          </w:tcPr>
          <w:p>
            <w:pPr>
              <w:jc w:val="right"/>
              <w:spacing w:after="0"/>
              <w:rPr>
                <w:sz w:val="20"/>
                <w:szCs w:val="20"/>
                <w:color w:val="auto"/>
              </w:rPr>
            </w:pPr>
            <w:r>
              <w:rPr>
                <w:rFonts w:ascii="Arial" w:cs="Arial" w:eastAsia="Arial" w:hAnsi="Arial"/>
                <w:sz w:val="15"/>
                <w:szCs w:val="15"/>
                <w:color w:val="auto"/>
              </w:rPr>
              <w:t>5.25 %</w:t>
            </w:r>
          </w:p>
        </w:tc>
      </w:tr>
      <w:tr>
        <w:trPr>
          <w:trHeight w:val="23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Long-term funding debt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109,527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(1,204)</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104,952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(1,014)</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3.86</w:t>
            </w:r>
          </w:p>
        </w:tc>
      </w:tr>
      <w:tr>
        <w:trPr>
          <w:trHeight w:val="226"/>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CAS debt</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1,543</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(45)</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11.67</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2,197</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(64)</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11.65</w:t>
            </w:r>
          </w:p>
        </w:tc>
      </w:tr>
      <w:tr>
        <w:trPr>
          <w:trHeight w:val="231"/>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debt of Fannie Mae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125,537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(1,403)</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117,594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(1,215)</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4.13</w:t>
            </w:r>
          </w:p>
        </w:tc>
      </w:tr>
      <w:tr>
        <w:trPr>
          <w:trHeight w:val="201"/>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Debt securities of consolidated trusts held by</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8"/>
        </w:trPr>
        <w:tc>
          <w:tcPr>
            <w:tcW w:w="33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third parties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4,063,137</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(31,390)</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3.09</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4,081,619</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(29,522)</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2.89</w:t>
            </w:r>
          </w:p>
        </w:tc>
      </w:tr>
      <w:tr>
        <w:trPr>
          <w:trHeight w:val="22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interest-bearing liabilities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4,188,674</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(32,793)</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3.13 %</w:t>
            </w:r>
          </w:p>
        </w:tc>
        <w:tc>
          <w:tcPr>
            <w:tcW w:w="10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4,199,213</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(30,737)</w:t>
            </w:r>
          </w:p>
        </w:tc>
        <w:tc>
          <w:tcPr>
            <w:tcW w:w="1360" w:type="dxa"/>
            <w:vAlign w:val="bottom"/>
          </w:tcPr>
          <w:p>
            <w:pPr>
              <w:jc w:val="right"/>
              <w:spacing w:after="0"/>
              <w:rPr>
                <w:sz w:val="20"/>
                <w:szCs w:val="20"/>
                <w:color w:val="auto"/>
              </w:rPr>
            </w:pPr>
            <w:r>
              <w:rPr>
                <w:rFonts w:ascii="Arial" w:cs="Arial" w:eastAsia="Arial" w:hAnsi="Arial"/>
                <w:sz w:val="15"/>
                <w:szCs w:val="15"/>
                <w:color w:val="auto"/>
              </w:rPr>
              <w:t>2.93 %</w:t>
            </w:r>
          </w:p>
        </w:tc>
      </w:tr>
      <w:tr>
        <w:trPr>
          <w:trHeight w:val="40"/>
        </w:trPr>
        <w:tc>
          <w:tcPr>
            <w:tcW w:w="330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2C6937"/>
              <w:bottom w:val="single" w:sz="8" w:color="2C6937"/>
            </w:tcBorders>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2C6937"/>
              <w:bottom w:val="single" w:sz="8" w:color="2C6937"/>
            </w:tcBorders>
          </w:tcPr>
          <w:p>
            <w:pPr>
              <w:spacing w:after="0"/>
              <w:rPr>
                <w:sz w:val="3"/>
                <w:szCs w:val="3"/>
                <w:color w:val="auto"/>
              </w:rPr>
            </w:pPr>
          </w:p>
        </w:tc>
        <w:tc>
          <w:tcPr>
            <w:tcW w:w="96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60" w:type="dxa"/>
            <w:vAlign w:val="bottom"/>
          </w:tcPr>
          <w:p>
            <w:pPr>
              <w:spacing w:after="0"/>
              <w:rPr>
                <w:sz w:val="3"/>
                <w:szCs w:val="3"/>
                <w:color w:val="auto"/>
              </w:rPr>
            </w:pPr>
          </w:p>
        </w:tc>
      </w:tr>
      <w:tr>
        <w:trPr>
          <w:trHeight w:val="178"/>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Net interest income/net interest yield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7,184</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0.67 %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7,275</w:t>
            </w:r>
          </w:p>
        </w:tc>
        <w:tc>
          <w:tcPr>
            <w:tcW w:w="1360" w:type="dxa"/>
            <w:vAlign w:val="bottom"/>
          </w:tcPr>
          <w:p>
            <w:pPr>
              <w:jc w:val="right"/>
              <w:spacing w:after="0"/>
              <w:rPr>
                <w:sz w:val="20"/>
                <w:szCs w:val="20"/>
                <w:color w:val="auto"/>
              </w:rPr>
            </w:pPr>
            <w:r>
              <w:rPr>
                <w:rFonts w:ascii="Arial" w:cs="Arial" w:eastAsia="Arial" w:hAnsi="Arial"/>
                <w:sz w:val="15"/>
                <w:szCs w:val="15"/>
                <w:color w:val="auto"/>
              </w:rPr>
              <w:t>0.68 %</w:t>
            </w: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80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4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800" w:type="dxa"/>
            <w:vAlign w:val="bottom"/>
            <w:tcBorders>
              <w:bottom w:val="single" w:sz="8" w:color="9A9A9A"/>
            </w:tcBorders>
          </w:tcPr>
          <w:p>
            <w:pPr>
              <w:spacing w:after="0"/>
              <w:rPr>
                <w:sz w:val="17"/>
                <w:szCs w:val="17"/>
                <w:color w:val="auto"/>
              </w:rPr>
            </w:pPr>
          </w:p>
        </w:tc>
        <w:tc>
          <w:tcPr>
            <w:tcW w:w="4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2" w:name="page13"/>
    <w:bookmarkEnd w:id="12"/>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5060" w:type="dxa"/>
            <w:vAlign w:val="bottom"/>
            <w:tcBorders>
              <w:bottom w:val="single" w:sz="8" w:color="2C6937"/>
            </w:tcBorders>
            <w:gridSpan w:val="8"/>
          </w:tcPr>
          <w:p>
            <w:pPr>
              <w:jc w:val="center"/>
              <w:spacing w:after="0"/>
              <w:rPr>
                <w:sz w:val="20"/>
                <w:szCs w:val="20"/>
                <w:color w:val="auto"/>
              </w:rPr>
            </w:pPr>
            <w:r>
              <w:rPr>
                <w:rFonts w:ascii="Arial" w:cs="Arial" w:eastAsia="Arial" w:hAnsi="Arial"/>
                <w:sz w:val="15"/>
                <w:szCs w:val="15"/>
                <w:b w:val="1"/>
                <w:bCs w:val="1"/>
                <w:color w:val="auto"/>
              </w:rPr>
              <w:t>For the Nine Months Ended September 30,</w:t>
            </w:r>
          </w:p>
        </w:tc>
        <w:tc>
          <w:tcPr>
            <w:tcW w:w="1360" w:type="dxa"/>
            <w:vAlign w:val="bottom"/>
            <w:tcBorders>
              <w:bottom w:val="single" w:sz="8" w:color="2C6937"/>
            </w:tcBorders>
          </w:tcPr>
          <w:p>
            <w:pPr>
              <w:spacing w:after="0"/>
              <w:rPr>
                <w:sz w:val="18"/>
                <w:szCs w:val="18"/>
                <w:color w:val="auto"/>
              </w:rPr>
            </w:pPr>
          </w:p>
        </w:tc>
      </w:tr>
      <w:tr>
        <w:trPr>
          <w:trHeight w:val="199"/>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03"/>
              <w:spacing w:after="0"/>
              <w:rPr>
                <w:sz w:val="20"/>
                <w:szCs w:val="20"/>
                <w:color w:val="auto"/>
              </w:rPr>
            </w:pPr>
            <w:r>
              <w:rPr>
                <w:rFonts w:ascii="Arial" w:cs="Arial" w:eastAsia="Arial" w:hAnsi="Arial"/>
                <w:sz w:val="15"/>
                <w:szCs w:val="15"/>
                <w:b w:val="1"/>
                <w:bCs w:val="1"/>
                <w:color w:val="auto"/>
              </w:rPr>
              <w:t>2025</w:t>
            </w:r>
          </w:p>
        </w:tc>
        <w:tc>
          <w:tcPr>
            <w:tcW w:w="138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2024</w:t>
            </w:r>
          </w:p>
        </w:tc>
        <w:tc>
          <w:tcPr>
            <w:tcW w:w="1360" w:type="dxa"/>
            <w:vAlign w:val="bottom"/>
            <w:tcBorders>
              <w:bottom w:val="single" w:sz="8" w:color="2C6937"/>
            </w:tcBorders>
          </w:tcPr>
          <w:p>
            <w:pPr>
              <w:spacing w:after="0"/>
              <w:rPr>
                <w:sz w:val="17"/>
                <w:szCs w:val="17"/>
                <w:color w:val="auto"/>
              </w:rPr>
            </w:pPr>
          </w:p>
        </w:tc>
      </w:tr>
      <w:tr>
        <w:trPr>
          <w:trHeight w:val="185"/>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rPr>
              <w:t>Average Rates</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Average</w:t>
            </w: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Interest Income/</w:t>
            </w:r>
          </w:p>
        </w:tc>
        <w:tc>
          <w:tcPr>
            <w:tcW w:w="1360" w:type="dxa"/>
            <w:vAlign w:val="bottom"/>
          </w:tcPr>
          <w:p>
            <w:pPr>
              <w:jc w:val="right"/>
              <w:ind w:right="23"/>
              <w:spacing w:after="0"/>
              <w:rPr>
                <w:sz w:val="20"/>
                <w:szCs w:val="20"/>
                <w:color w:val="auto"/>
              </w:rPr>
            </w:pPr>
            <w:r>
              <w:rPr>
                <w:rFonts w:ascii="Arial" w:cs="Arial" w:eastAsia="Arial" w:hAnsi="Arial"/>
                <w:sz w:val="15"/>
                <w:szCs w:val="15"/>
                <w:b w:val="1"/>
                <w:bCs w:val="1"/>
                <w:color w:val="auto"/>
              </w:rPr>
              <w:t>Average Rates</w:t>
            </w:r>
          </w:p>
        </w:tc>
      </w:tr>
      <w:tr>
        <w:trPr>
          <w:trHeight w:val="226"/>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04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480" w:type="dxa"/>
            <w:vAlign w:val="bottom"/>
            <w:tcBorders>
              <w:bottom w:val="single" w:sz="8" w:color="2C6937"/>
            </w:tcBorders>
            <w:gridSpan w:val="2"/>
          </w:tcPr>
          <w:p>
            <w:pPr>
              <w:jc w:val="center"/>
              <w:spacing w:after="0"/>
              <w:rPr>
                <w:sz w:val="20"/>
                <w:szCs w:val="20"/>
                <w:color w:val="auto"/>
              </w:rPr>
            </w:pPr>
            <w:r>
              <w:rPr>
                <w:rFonts w:ascii="Arial" w:cs="Arial" w:eastAsia="Arial" w:hAnsi="Arial"/>
                <w:sz w:val="15"/>
                <w:szCs w:val="15"/>
                <w:b w:val="1"/>
                <w:bCs w:val="1"/>
                <w:color w:val="auto"/>
              </w:rPr>
              <w:t>Earned/Paid</w:t>
            </w:r>
          </w:p>
        </w:tc>
        <w:tc>
          <w:tcPr>
            <w:tcW w:w="18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Balance</w:t>
            </w: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rPr>
              <w:t>(Expense)</w:t>
            </w:r>
          </w:p>
        </w:tc>
        <w:tc>
          <w:tcPr>
            <w:tcW w:w="136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b w:val="1"/>
                <w:bCs w:val="1"/>
                <w:color w:val="auto"/>
              </w:rPr>
              <w:t>Earned/Paid</w:t>
            </w:r>
          </w:p>
        </w:tc>
      </w:tr>
      <w:tr>
        <w:trPr>
          <w:trHeight w:val="226"/>
        </w:trPr>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720" w:type="dxa"/>
            <w:vAlign w:val="bottom"/>
            <w:gridSpan w:val="5"/>
          </w:tcPr>
          <w:p>
            <w:pPr>
              <w:jc w:val="center"/>
              <w:ind w:left="43"/>
              <w:spacing w:after="0"/>
              <w:rPr>
                <w:sz w:val="20"/>
                <w:szCs w:val="20"/>
                <w:color w:val="auto"/>
              </w:rPr>
            </w:pPr>
            <w:r>
              <w:rPr>
                <w:rFonts w:ascii="Arial" w:cs="Arial" w:eastAsia="Arial" w:hAnsi="Arial"/>
                <w:sz w:val="15"/>
                <w:szCs w:val="15"/>
                <w:b w:val="1"/>
                <w:bCs w:val="1"/>
                <w:color w:val="auto"/>
              </w:rPr>
              <w:t>(Dollars in millions)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2"/>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Interest-earning assets: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Cash</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11,614</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382</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4.39 %</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11,627</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471</w:t>
            </w:r>
          </w:p>
        </w:tc>
        <w:tc>
          <w:tcPr>
            <w:tcW w:w="1360" w:type="dxa"/>
            <w:vAlign w:val="bottom"/>
          </w:tcPr>
          <w:p>
            <w:pPr>
              <w:jc w:val="right"/>
              <w:spacing w:after="0"/>
              <w:rPr>
                <w:sz w:val="20"/>
                <w:szCs w:val="20"/>
                <w:color w:val="auto"/>
              </w:rPr>
            </w:pPr>
            <w:r>
              <w:rPr>
                <w:rFonts w:ascii="Arial" w:cs="Arial" w:eastAsia="Arial" w:hAnsi="Arial"/>
                <w:sz w:val="15"/>
                <w:szCs w:val="15"/>
                <w:color w:val="auto"/>
              </w:rPr>
              <w:t>5.40 %</w:t>
            </w:r>
          </w:p>
        </w:tc>
      </w:tr>
      <w:tr>
        <w:trPr>
          <w:trHeight w:val="188"/>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Securities purchased under agreements to</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8"/>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resell</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79,324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2,640</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81,106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3,313</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5.45</w:t>
            </w:r>
          </w:p>
        </w:tc>
      </w:tr>
      <w:tr>
        <w:trPr>
          <w:trHeight w:val="23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Investments in securities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79,916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1,818</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54,371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932</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2.29</w:t>
            </w:r>
          </w:p>
        </w:tc>
      </w:tr>
      <w:tr>
        <w:trPr>
          <w:trHeight w:val="211"/>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Mortgage loans: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3"/>
        </w:trPr>
        <w:tc>
          <w:tcPr>
            <w:tcW w:w="3400" w:type="dxa"/>
            <w:vAlign w:val="bottom"/>
            <w:gridSpan w:val="2"/>
          </w:tcPr>
          <w:p>
            <w:pPr>
              <w:ind w:left="280"/>
              <w:spacing w:after="0"/>
              <w:rPr>
                <w:sz w:val="20"/>
                <w:szCs w:val="20"/>
                <w:color w:val="auto"/>
              </w:rPr>
            </w:pPr>
            <w:r>
              <w:rPr>
                <w:rFonts w:ascii="Arial" w:cs="Arial" w:eastAsia="Arial" w:hAnsi="Arial"/>
                <w:sz w:val="15"/>
                <w:szCs w:val="15"/>
                <w:color w:val="auto"/>
              </w:rPr>
              <w:t>Mortgage loans of Fannie Mae</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52,430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1,640</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51,057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1,711</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4.47</w:t>
            </w:r>
          </w:p>
        </w:tc>
      </w:tr>
      <w:tr>
        <w:trPr>
          <w:trHeight w:val="226"/>
        </w:trPr>
        <w:tc>
          <w:tcPr>
            <w:tcW w:w="33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Mortgage loans of consolidated trusts</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4,084,093</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111,796</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3.65</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4,091,464</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105,512</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3.44</w:t>
            </w:r>
          </w:p>
        </w:tc>
      </w:tr>
      <w:tr>
        <w:trPr>
          <w:trHeight w:val="239"/>
        </w:trPr>
        <w:tc>
          <w:tcPr>
            <w:tcW w:w="3400" w:type="dxa"/>
            <w:vAlign w:val="bottom"/>
            <w:gridSpan w:val="2"/>
          </w:tcPr>
          <w:p>
            <w:pPr>
              <w:ind w:left="44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4,136,523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113,436</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4,142,521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107,223</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3.45</w:t>
            </w:r>
          </w:p>
        </w:tc>
      </w:tr>
      <w:tr>
        <w:trPr>
          <w:trHeight w:val="218"/>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Advances to lenders</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3,023</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128</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5.65</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2,882</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146</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6.75</w:t>
            </w:r>
          </w:p>
        </w:tc>
      </w:tr>
      <w:tr>
        <w:trPr>
          <w:trHeight w:val="22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interest-earning assets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4,310,400</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118,404</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3.66 %</w:t>
            </w:r>
          </w:p>
        </w:tc>
        <w:tc>
          <w:tcPr>
            <w:tcW w:w="10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4,292,507</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112,085</w:t>
            </w:r>
          </w:p>
        </w:tc>
        <w:tc>
          <w:tcPr>
            <w:tcW w:w="1360" w:type="dxa"/>
            <w:vAlign w:val="bottom"/>
          </w:tcPr>
          <w:p>
            <w:pPr>
              <w:jc w:val="right"/>
              <w:spacing w:after="0"/>
              <w:rPr>
                <w:sz w:val="20"/>
                <w:szCs w:val="20"/>
                <w:color w:val="auto"/>
              </w:rPr>
            </w:pPr>
            <w:r>
              <w:rPr>
                <w:rFonts w:ascii="Arial" w:cs="Arial" w:eastAsia="Arial" w:hAnsi="Arial"/>
                <w:sz w:val="15"/>
                <w:szCs w:val="15"/>
                <w:color w:val="auto"/>
              </w:rPr>
              <w:t>3.48 %</w:t>
            </w:r>
          </w:p>
        </w:tc>
      </w:tr>
      <w:tr>
        <w:trPr>
          <w:trHeight w:val="20"/>
        </w:trPr>
        <w:tc>
          <w:tcPr>
            <w:tcW w:w="33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3400" w:type="dxa"/>
            <w:vAlign w:val="bottom"/>
            <w:gridSpan w:val="2"/>
          </w:tcPr>
          <w:p>
            <w:pPr>
              <w:ind w:left="20"/>
              <w:spacing w:after="0"/>
              <w:rPr>
                <w:sz w:val="20"/>
                <w:szCs w:val="20"/>
                <w:color w:val="auto"/>
              </w:rPr>
            </w:pPr>
            <w:r>
              <w:rPr>
                <w:rFonts w:ascii="Arial" w:cs="Arial" w:eastAsia="Arial" w:hAnsi="Arial"/>
                <w:sz w:val="15"/>
                <w:szCs w:val="15"/>
                <w:b w:val="1"/>
                <w:bCs w:val="1"/>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5"/>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Short-term funding debt</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11,363</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(362)</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4.25 %</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11,808</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(462)</w:t>
            </w:r>
          </w:p>
        </w:tc>
        <w:tc>
          <w:tcPr>
            <w:tcW w:w="1360" w:type="dxa"/>
            <w:vAlign w:val="bottom"/>
          </w:tcPr>
          <w:p>
            <w:pPr>
              <w:jc w:val="right"/>
              <w:spacing w:after="0"/>
              <w:rPr>
                <w:sz w:val="20"/>
                <w:szCs w:val="20"/>
                <w:color w:val="auto"/>
              </w:rPr>
            </w:pPr>
            <w:r>
              <w:rPr>
                <w:rFonts w:ascii="Arial" w:cs="Arial" w:eastAsia="Arial" w:hAnsi="Arial"/>
                <w:sz w:val="15"/>
                <w:szCs w:val="15"/>
                <w:color w:val="auto"/>
              </w:rPr>
              <w:t>5.22 %</w:t>
            </w:r>
          </w:p>
        </w:tc>
      </w:tr>
      <w:tr>
        <w:trPr>
          <w:trHeight w:val="232"/>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Long-term funding debt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117,872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(3,683)</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103,133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(2,854)</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3.69</w:t>
            </w:r>
          </w:p>
        </w:tc>
      </w:tr>
      <w:tr>
        <w:trPr>
          <w:trHeight w:val="226"/>
        </w:trPr>
        <w:tc>
          <w:tcPr>
            <w:tcW w:w="330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CAS debt</w:t>
            </w: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1,803</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(149)</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11.02</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2,422</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(207)</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11.40</w:t>
            </w:r>
          </w:p>
        </w:tc>
      </w:tr>
      <w:tr>
        <w:trPr>
          <w:trHeight w:val="231"/>
        </w:trPr>
        <w:tc>
          <w:tcPr>
            <w:tcW w:w="3400" w:type="dxa"/>
            <w:vAlign w:val="bottom"/>
            <w:gridSpan w:val="2"/>
          </w:tcPr>
          <w:p>
            <w:pPr>
              <w:ind w:left="320"/>
              <w:spacing w:after="0"/>
              <w:rPr>
                <w:sz w:val="20"/>
                <w:szCs w:val="20"/>
                <w:color w:val="auto"/>
              </w:rPr>
            </w:pPr>
            <w:r>
              <w:rPr>
                <w:rFonts w:ascii="Arial" w:cs="Arial" w:eastAsia="Arial" w:hAnsi="Arial"/>
                <w:sz w:val="15"/>
                <w:szCs w:val="15"/>
                <w:color w:val="auto"/>
              </w:rPr>
              <w:t>Total debt of Fannie Mae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131,038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(4,194)</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4.27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117,363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(3,523)</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4.00</w:t>
            </w:r>
          </w:p>
        </w:tc>
      </w:tr>
      <w:tr>
        <w:trPr>
          <w:trHeight w:val="188"/>
        </w:trPr>
        <w:tc>
          <w:tcPr>
            <w:tcW w:w="3400" w:type="dxa"/>
            <w:vAlign w:val="bottom"/>
            <w:gridSpan w:val="2"/>
          </w:tcPr>
          <w:p>
            <w:pPr>
              <w:ind w:left="180"/>
              <w:spacing w:after="0"/>
              <w:rPr>
                <w:sz w:val="20"/>
                <w:szCs w:val="20"/>
                <w:color w:val="auto"/>
              </w:rPr>
            </w:pPr>
            <w:r>
              <w:rPr>
                <w:rFonts w:ascii="Arial" w:cs="Arial" w:eastAsia="Arial" w:hAnsi="Arial"/>
                <w:sz w:val="15"/>
                <w:szCs w:val="15"/>
                <w:color w:val="auto"/>
              </w:rPr>
              <w:t>Debt securities of consolidated trusts held by</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1"/>
        </w:trPr>
        <w:tc>
          <w:tcPr>
            <w:tcW w:w="330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third parties</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4,070,846</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(92,870)</w:t>
            </w:r>
          </w:p>
        </w:tc>
        <w:tc>
          <w:tcPr>
            <w:tcW w:w="1380" w:type="dxa"/>
            <w:vAlign w:val="bottom"/>
          </w:tcPr>
          <w:p>
            <w:pPr>
              <w:jc w:val="right"/>
              <w:ind w:right="123"/>
              <w:spacing w:after="0"/>
              <w:rPr>
                <w:sz w:val="20"/>
                <w:szCs w:val="20"/>
                <w:color w:val="auto"/>
              </w:rPr>
            </w:pPr>
            <w:r>
              <w:rPr>
                <w:rFonts w:ascii="Arial" w:cs="Arial" w:eastAsia="Arial" w:hAnsi="Arial"/>
                <w:sz w:val="15"/>
                <w:szCs w:val="15"/>
                <w:b w:val="1"/>
                <w:bCs w:val="1"/>
                <w:color w:val="auto"/>
              </w:rPr>
              <w:t>3.04</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4,084,450</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(86,996)</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2.84</w:t>
            </w:r>
          </w:p>
        </w:tc>
      </w:tr>
      <w:tr>
        <w:trPr>
          <w:trHeight w:val="225"/>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interest-bearing liabilities</w:t>
            </w:r>
          </w:p>
        </w:tc>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4,201,884</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(97,064)</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3.08 %</w:t>
            </w:r>
          </w:p>
        </w:tc>
        <w:tc>
          <w:tcPr>
            <w:tcW w:w="100" w:type="dxa"/>
            <w:vAlign w:val="bottom"/>
          </w:tcPr>
          <w:p>
            <w:pPr>
              <w:spacing w:after="0"/>
              <w:rPr>
                <w:sz w:val="19"/>
                <w:szCs w:val="19"/>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4,201,813</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(90,519)</w:t>
            </w:r>
          </w:p>
        </w:tc>
        <w:tc>
          <w:tcPr>
            <w:tcW w:w="1360" w:type="dxa"/>
            <w:vAlign w:val="bottom"/>
          </w:tcPr>
          <w:p>
            <w:pPr>
              <w:jc w:val="right"/>
              <w:spacing w:after="0"/>
              <w:rPr>
                <w:sz w:val="20"/>
                <w:szCs w:val="20"/>
                <w:color w:val="auto"/>
              </w:rPr>
            </w:pPr>
            <w:r>
              <w:rPr>
                <w:rFonts w:ascii="Arial" w:cs="Arial" w:eastAsia="Arial" w:hAnsi="Arial"/>
                <w:sz w:val="15"/>
                <w:szCs w:val="15"/>
                <w:color w:val="auto"/>
              </w:rPr>
              <w:t>2.87 %</w:t>
            </w:r>
          </w:p>
        </w:tc>
      </w:tr>
      <w:tr>
        <w:trPr>
          <w:trHeight w:val="40"/>
        </w:trPr>
        <w:tc>
          <w:tcPr>
            <w:tcW w:w="330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2C6937"/>
              <w:bottom w:val="single" w:sz="8" w:color="2C6937"/>
            </w:tcBorders>
          </w:tcPr>
          <w:p>
            <w:pPr>
              <w:spacing w:after="0"/>
              <w:rPr>
                <w:sz w:val="3"/>
                <w:szCs w:val="3"/>
                <w:color w:val="auto"/>
              </w:rPr>
            </w:pPr>
          </w:p>
        </w:tc>
        <w:tc>
          <w:tcPr>
            <w:tcW w:w="94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2C6937"/>
              <w:bottom w:val="single" w:sz="8" w:color="2C6937"/>
            </w:tcBorders>
          </w:tcPr>
          <w:p>
            <w:pPr>
              <w:spacing w:after="0"/>
              <w:rPr>
                <w:sz w:val="3"/>
                <w:szCs w:val="3"/>
                <w:color w:val="auto"/>
              </w:rPr>
            </w:pPr>
          </w:p>
        </w:tc>
        <w:tc>
          <w:tcPr>
            <w:tcW w:w="960" w:type="dxa"/>
            <w:vAlign w:val="bottom"/>
            <w:tcBorders>
              <w:top w:val="single" w:sz="8" w:color="2C6937"/>
              <w:bottom w:val="single" w:sz="8" w:color="2C6937"/>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2C6937"/>
            </w:tcBorders>
          </w:tcPr>
          <w:p>
            <w:pPr>
              <w:spacing w:after="0"/>
              <w:rPr>
                <w:sz w:val="3"/>
                <w:szCs w:val="3"/>
                <w:color w:val="auto"/>
              </w:rPr>
            </w:pPr>
          </w:p>
        </w:tc>
        <w:tc>
          <w:tcPr>
            <w:tcW w:w="1080" w:type="dxa"/>
            <w:vAlign w:val="bottom"/>
            <w:tcBorders>
              <w:bottom w:val="single" w:sz="8" w:color="2C6937"/>
            </w:tcBorders>
          </w:tcPr>
          <w:p>
            <w:pPr>
              <w:spacing w:after="0"/>
              <w:rPr>
                <w:sz w:val="3"/>
                <w:szCs w:val="3"/>
                <w:color w:val="auto"/>
              </w:rPr>
            </w:pPr>
          </w:p>
        </w:tc>
        <w:tc>
          <w:tcPr>
            <w:tcW w:w="1360" w:type="dxa"/>
            <w:vAlign w:val="bottom"/>
          </w:tcPr>
          <w:p>
            <w:pPr>
              <w:spacing w:after="0"/>
              <w:rPr>
                <w:sz w:val="3"/>
                <w:szCs w:val="3"/>
                <w:color w:val="auto"/>
              </w:rPr>
            </w:pPr>
          </w:p>
        </w:tc>
      </w:tr>
      <w:tr>
        <w:trPr>
          <w:trHeight w:val="178"/>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Net interest income/net interest yield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21,340</w:t>
            </w:r>
          </w:p>
        </w:tc>
        <w:tc>
          <w:tcPr>
            <w:tcW w:w="1380" w:type="dxa"/>
            <w:vAlign w:val="bottom"/>
          </w:tcPr>
          <w:p>
            <w:pPr>
              <w:jc w:val="right"/>
              <w:spacing w:after="0"/>
              <w:rPr>
                <w:sz w:val="20"/>
                <w:szCs w:val="20"/>
                <w:color w:val="auto"/>
              </w:rPr>
            </w:pPr>
            <w:r>
              <w:rPr>
                <w:rFonts w:ascii="Arial" w:cs="Arial" w:eastAsia="Arial" w:hAnsi="Arial"/>
                <w:sz w:val="15"/>
                <w:szCs w:val="15"/>
                <w:b w:val="1"/>
                <w:bCs w:val="1"/>
                <w:color w:val="auto"/>
              </w:rPr>
              <w:t>0.66 %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21,566</w:t>
            </w:r>
          </w:p>
        </w:tc>
        <w:tc>
          <w:tcPr>
            <w:tcW w:w="1360" w:type="dxa"/>
            <w:vAlign w:val="bottom"/>
          </w:tcPr>
          <w:p>
            <w:pPr>
              <w:jc w:val="right"/>
              <w:spacing w:after="0"/>
              <w:rPr>
                <w:sz w:val="20"/>
                <w:szCs w:val="20"/>
                <w:color w:val="auto"/>
              </w:rPr>
            </w:pPr>
            <w:r>
              <w:rPr>
                <w:rFonts w:ascii="Arial" w:cs="Arial" w:eastAsia="Arial" w:hAnsi="Arial"/>
                <w:sz w:val="15"/>
                <w:szCs w:val="15"/>
                <w:color w:val="auto"/>
              </w:rPr>
              <w:t>0.67 %</w:t>
            </w: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the effects of discounts, premiums and other cost basis adjustments, including basis adjustments related to hedge accounting.</w:t>
      </w:r>
    </w:p>
    <w:p>
      <w:pPr>
        <w:spacing w:after="0" w:line="37" w:lineRule="exact"/>
        <w:rPr>
          <w:rFonts w:ascii="Arial" w:cs="Arial" w:eastAsia="Arial" w:hAnsi="Arial"/>
          <w:sz w:val="18"/>
          <w:szCs w:val="18"/>
          <w:color w:val="auto"/>
          <w:vertAlign w:val="superscript"/>
        </w:rPr>
      </w:pPr>
    </w:p>
    <w:p>
      <w:pPr>
        <w:ind w:left="240" w:right="120" w:hanging="237"/>
        <w:spacing w:after="0" w:line="238" w:lineRule="auto"/>
        <w:tabs>
          <w:tab w:leader="none" w:pos="216"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Average balance includes mortgage loans on nonaccrual status. Interest income includes loan fees of $767 million and $2.2 billion for the third quarter of 2025 and first nine months of 2025, respectively, compared with $711 million and $2.1 billion for the third quarter of 2024 and first nine months of 2024, respectively. Loan fees primarily consist of yield maintenance revenue we recognized on the prepayment of multifamily mortgage loans and the amortization of upfront cash fees exchanged when we acquire the mortgage loan.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3" w:name="page14"/>
    <w:bookmarkEnd w:id="13"/>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(Provision) Benefit for Credit Losses</w:t>
      </w:r>
    </w:p>
    <w:p>
      <w:pPr>
        <w:spacing w:after="0" w:line="6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table below presents our single-family and multifamily benefit or provision for credit losses and the change in expected credit enhancement recoveries. The benefit or provision for credit losses includes our benefit or provision for loan losses, advances of pre-foreclosure costs, accrued interest receivable losses, our guaranty loss reserves, and credit losses on our available-for-sale (“AFS”) debt securities.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(Provision) Benefit for Credit Losses and Change in Expected Credit Enhancement Recoveries by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6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960" w:type="dxa"/>
            <w:vAlign w:val="bottom"/>
            <w:tcBorders>
              <w:top w:val="single" w:sz="8" w:color="2C6937"/>
            </w:tcBorders>
            <w:gridSpan w:val="6"/>
          </w:tcPr>
          <w:p>
            <w:pPr>
              <w:ind w:left="380"/>
              <w:spacing w:after="0"/>
              <w:rPr>
                <w:sz w:val="20"/>
                <w:szCs w:val="20"/>
                <w:color w:val="auto"/>
              </w:rPr>
            </w:pPr>
            <w:r>
              <w:rPr>
                <w:rFonts w:ascii="Arial" w:cs="Arial" w:eastAsia="Arial" w:hAnsi="Arial"/>
                <w:sz w:val="15"/>
                <w:szCs w:val="15"/>
                <w:b w:val="1"/>
                <w:bCs w:val="1"/>
                <w:color w:val="auto"/>
              </w:rPr>
              <w:t>For the Three Months Ended</w:t>
            </w:r>
          </w:p>
        </w:tc>
        <w:tc>
          <w:tcPr>
            <w:tcW w:w="260" w:type="dxa"/>
            <w:vAlign w:val="bottom"/>
            <w:tcBorders>
              <w:top w:val="single" w:sz="8" w:color="2C6937"/>
            </w:tcBorders>
          </w:tcPr>
          <w:p>
            <w:pPr>
              <w:spacing w:after="0"/>
              <w:rPr>
                <w:sz w:val="17"/>
                <w:szCs w:val="17"/>
                <w:color w:val="auto"/>
              </w:rPr>
            </w:pPr>
          </w:p>
        </w:tc>
        <w:tc>
          <w:tcPr>
            <w:tcW w:w="2620" w:type="dxa"/>
            <w:vAlign w:val="bottom"/>
            <w:tcBorders>
              <w:top w:val="single" w:sz="8" w:color="2C6937"/>
            </w:tcBorders>
            <w:gridSpan w:val="4"/>
          </w:tcPr>
          <w:p>
            <w:pPr>
              <w:jc w:val="right"/>
              <w:ind w:right="363"/>
              <w:spacing w:after="0"/>
              <w:rPr>
                <w:sz w:val="20"/>
                <w:szCs w:val="20"/>
                <w:color w:val="auto"/>
              </w:rPr>
            </w:pPr>
            <w:r>
              <w:rPr>
                <w:rFonts w:ascii="Arial" w:cs="Arial" w:eastAsia="Arial" w:hAnsi="Arial"/>
                <w:sz w:val="15"/>
                <w:szCs w:val="15"/>
                <w:b w:val="1"/>
                <w:bCs w:val="1"/>
                <w:color w:val="auto"/>
              </w:rPr>
              <w:t>For the Nine Months Ended</w:t>
            </w:r>
          </w:p>
        </w:tc>
      </w:tr>
      <w:tr>
        <w:trPr>
          <w:trHeight w:val="226"/>
        </w:trPr>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88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172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Borders>
              <w:bottom w:val="single" w:sz="8" w:color="2C6937"/>
            </w:tcBorders>
          </w:tcPr>
          <w:p>
            <w:pPr>
              <w:spacing w:after="0"/>
              <w:rPr>
                <w:sz w:val="19"/>
                <w:szCs w:val="19"/>
                <w:color w:val="auto"/>
              </w:rPr>
            </w:pPr>
          </w:p>
        </w:tc>
      </w:tr>
      <w:tr>
        <w:trPr>
          <w:trHeight w:val="229"/>
        </w:trPr>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2025</w:t>
            </w:r>
          </w:p>
        </w:tc>
        <w:tc>
          <w:tcPr>
            <w:tcW w:w="50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50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ind w:right="44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2C6937"/>
            </w:tcBorders>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1140" w:type="dxa"/>
            <w:vAlign w:val="bottom"/>
            <w:tcBorders>
              <w:bottom w:val="single" w:sz="8" w:color="2C6937"/>
            </w:tcBorders>
          </w:tcPr>
          <w:p>
            <w:pPr>
              <w:jc w:val="right"/>
              <w:ind w:right="463"/>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2C6937"/>
            </w:tcBorders>
          </w:tcPr>
          <w:p>
            <w:pPr>
              <w:spacing w:after="0"/>
              <w:rPr>
                <w:sz w:val="19"/>
                <w:szCs w:val="19"/>
                <w:color w:val="auto"/>
              </w:rPr>
            </w:pPr>
          </w:p>
        </w:tc>
        <w:tc>
          <w:tcPr>
            <w:tcW w:w="500" w:type="dxa"/>
            <w:vAlign w:val="bottom"/>
            <w:tcBorders>
              <w:bottom w:val="single" w:sz="8" w:color="2C6937"/>
            </w:tcBorders>
          </w:tcPr>
          <w:p>
            <w:pPr>
              <w:spacing w:after="0"/>
              <w:rPr>
                <w:sz w:val="19"/>
                <w:szCs w:val="19"/>
                <w:color w:val="auto"/>
              </w:rPr>
            </w:pPr>
          </w:p>
        </w:tc>
        <w:tc>
          <w:tcPr>
            <w:tcW w:w="900" w:type="dxa"/>
            <w:vAlign w:val="bottom"/>
            <w:tcBorders>
              <w:bottom w:val="single" w:sz="8" w:color="2C6937"/>
            </w:tcBorders>
          </w:tcPr>
          <w:p>
            <w:pPr>
              <w:jc w:val="right"/>
              <w:ind w:right="463"/>
              <w:spacing w:after="0"/>
              <w:rPr>
                <w:sz w:val="20"/>
                <w:szCs w:val="20"/>
                <w:color w:val="auto"/>
              </w:rPr>
            </w:pPr>
            <w:r>
              <w:rPr>
                <w:rFonts w:ascii="Arial" w:cs="Arial" w:eastAsia="Arial" w:hAnsi="Arial"/>
                <w:sz w:val="15"/>
                <w:szCs w:val="15"/>
                <w:b w:val="1"/>
                <w:bCs w:val="1"/>
                <w:color w:val="auto"/>
              </w:rPr>
              <w:t>2024</w:t>
            </w:r>
          </w:p>
        </w:tc>
      </w:tr>
      <w:tr>
        <w:trPr>
          <w:trHeight w:val="299"/>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gridSpan w:val="5"/>
          </w:tcPr>
          <w:p>
            <w:pPr>
              <w:ind w:left="220"/>
              <w:spacing w:after="0"/>
              <w:rPr>
                <w:sz w:val="20"/>
                <w:szCs w:val="20"/>
                <w:color w:val="auto"/>
              </w:rPr>
            </w:pPr>
            <w:r>
              <w:rPr>
                <w:rFonts w:ascii="Arial" w:cs="Arial" w:eastAsia="Arial" w:hAnsi="Arial"/>
                <w:sz w:val="15"/>
                <w:szCs w:val="15"/>
                <w:b w:val="1"/>
                <w:bCs w:val="1"/>
                <w:color w:val="auto"/>
              </w:rPr>
              <w:t>(Dollars in millions)</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9"/>
        </w:trPr>
        <w:tc>
          <w:tcPr>
            <w:tcW w:w="5360" w:type="dxa"/>
            <w:vAlign w:val="bottom"/>
            <w:gridSpan w:val="2"/>
          </w:tcPr>
          <w:p>
            <w:pPr>
              <w:ind w:left="20"/>
              <w:spacing w:after="0"/>
              <w:rPr>
                <w:sz w:val="20"/>
                <w:szCs w:val="20"/>
                <w:color w:val="auto"/>
              </w:rPr>
            </w:pPr>
            <w:r>
              <w:rPr>
                <w:rFonts w:ascii="Arial" w:cs="Arial" w:eastAsia="Arial" w:hAnsi="Arial"/>
                <w:sz w:val="15"/>
                <w:szCs w:val="15"/>
                <w:b w:val="1"/>
                <w:bCs w:val="1"/>
                <w:color w:val="auto"/>
              </w:rPr>
              <w:t>(Provision) benefit for credit losses: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9"/>
        </w:trPr>
        <w:tc>
          <w:tcPr>
            <w:tcW w:w="5360" w:type="dxa"/>
            <w:vAlign w:val="bottom"/>
            <w:gridSpan w:val="2"/>
          </w:tcPr>
          <w:p>
            <w:pPr>
              <w:ind w:left="20"/>
              <w:spacing w:after="0"/>
              <w:rPr>
                <w:sz w:val="20"/>
                <w:szCs w:val="20"/>
                <w:color w:val="auto"/>
              </w:rPr>
            </w:pPr>
            <w:r>
              <w:rPr>
                <w:rFonts w:ascii="Arial" w:cs="Arial" w:eastAsia="Arial" w:hAnsi="Arial"/>
                <w:sz w:val="15"/>
                <w:szCs w:val="15"/>
                <w:color w:val="auto"/>
              </w:rPr>
              <w:t>Single-family (provision) benefit for credit losses</w:t>
            </w:r>
          </w:p>
        </w:tc>
        <w:tc>
          <w:tcPr>
            <w:tcW w:w="880" w:type="dxa"/>
            <w:vAlign w:val="bottom"/>
          </w:tcPr>
          <w:p>
            <w:pPr>
              <w:jc w:val="right"/>
              <w:ind w:right="703"/>
              <w:spacing w:after="0"/>
              <w:rPr>
                <w:sz w:val="20"/>
                <w:szCs w:val="20"/>
                <w:color w:val="auto"/>
              </w:rPr>
            </w:pPr>
            <w:r>
              <w:rPr>
                <w:rFonts w:ascii="Arial" w:cs="Arial" w:eastAsia="Arial" w:hAnsi="Arial"/>
                <w:sz w:val="15"/>
                <w:szCs w:val="15"/>
                <w:b w:val="1"/>
                <w:bCs w:val="1"/>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(269)</w:t>
            </w:r>
          </w:p>
        </w:tc>
        <w:tc>
          <w:tcPr>
            <w:tcW w:w="100" w:type="dxa"/>
            <w:vAlign w:val="bottom"/>
          </w:tcPr>
          <w:p>
            <w:pPr>
              <w:spacing w:after="0"/>
              <w:rPr>
                <w:sz w:val="19"/>
                <w:szCs w:val="19"/>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451</w:t>
            </w:r>
          </w:p>
        </w:tc>
        <w:tc>
          <w:tcPr>
            <w:tcW w:w="100" w:type="dxa"/>
            <w:vAlign w:val="bottom"/>
          </w:tcPr>
          <w:p>
            <w:pPr>
              <w:spacing w:after="0"/>
              <w:rPr>
                <w:sz w:val="19"/>
                <w:szCs w:val="19"/>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(1,030)</w:t>
            </w:r>
          </w:p>
        </w:tc>
        <w:tc>
          <w:tcPr>
            <w:tcW w:w="80" w:type="dxa"/>
            <w:vAlign w:val="bottom"/>
          </w:tcPr>
          <w:p>
            <w:pPr>
              <w:spacing w:after="0"/>
              <w:rPr>
                <w:sz w:val="19"/>
                <w:szCs w:val="19"/>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1,334</w:t>
            </w:r>
          </w:p>
        </w:tc>
      </w:tr>
      <w:tr>
        <w:trPr>
          <w:trHeight w:val="303"/>
        </w:trPr>
        <w:tc>
          <w:tcPr>
            <w:tcW w:w="526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Multifamily (provision) benefit for credit losses</w:t>
            </w:r>
          </w:p>
        </w:tc>
        <w:tc>
          <w:tcPr>
            <w:tcW w:w="100" w:type="dxa"/>
            <w:vAlign w:val="bottom"/>
          </w:tcPr>
          <w:p>
            <w:pPr>
              <w:spacing w:after="0"/>
              <w:rPr>
                <w:sz w:val="24"/>
                <w:szCs w:val="24"/>
                <w:color w:val="auto"/>
              </w:rPr>
            </w:pPr>
          </w:p>
        </w:tc>
        <w:tc>
          <w:tcPr>
            <w:tcW w:w="880" w:type="dxa"/>
            <w:vAlign w:val="bottom"/>
            <w:tcBorders>
              <w:bottom w:val="single" w:sz="8" w:color="216C2B"/>
            </w:tcBorders>
          </w:tcPr>
          <w:p>
            <w:pPr>
              <w:spacing w:after="0"/>
              <w:rPr>
                <w:sz w:val="24"/>
                <w:szCs w:val="24"/>
                <w:color w:val="auto"/>
              </w:rPr>
            </w:pPr>
          </w:p>
        </w:tc>
        <w:tc>
          <w:tcPr>
            <w:tcW w:w="50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(69)</w:t>
            </w:r>
          </w:p>
        </w:tc>
        <w:tc>
          <w:tcPr>
            <w:tcW w:w="100" w:type="dxa"/>
            <w:vAlign w:val="bottom"/>
          </w:tcPr>
          <w:p>
            <w:pPr>
              <w:spacing w:after="0"/>
              <w:rPr>
                <w:sz w:val="24"/>
                <w:szCs w:val="24"/>
                <w:color w:val="auto"/>
              </w:rPr>
            </w:pPr>
          </w:p>
        </w:tc>
        <w:tc>
          <w:tcPr>
            <w:tcW w:w="500" w:type="dxa"/>
            <w:vAlign w:val="bottom"/>
            <w:tcBorders>
              <w:bottom w:val="single" w:sz="8" w:color="216C2B"/>
            </w:tcBorders>
          </w:tcPr>
          <w:p>
            <w:pPr>
              <w:spacing w:after="0"/>
              <w:rPr>
                <w:sz w:val="24"/>
                <w:szCs w:val="24"/>
                <w:color w:val="auto"/>
              </w:rPr>
            </w:pPr>
          </w:p>
        </w:tc>
        <w:tc>
          <w:tcPr>
            <w:tcW w:w="88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(424)</w:t>
            </w:r>
          </w:p>
        </w:tc>
        <w:tc>
          <w:tcPr>
            <w:tcW w:w="100" w:type="dxa"/>
            <w:vAlign w:val="bottom"/>
          </w:tcPr>
          <w:p>
            <w:pPr>
              <w:spacing w:after="0"/>
              <w:rPr>
                <w:sz w:val="24"/>
                <w:szCs w:val="24"/>
                <w:color w:val="auto"/>
              </w:rPr>
            </w:pPr>
          </w:p>
        </w:tc>
        <w:tc>
          <w:tcPr>
            <w:tcW w:w="260" w:type="dxa"/>
            <w:vAlign w:val="bottom"/>
            <w:tcBorders>
              <w:bottom w:val="single" w:sz="8" w:color="216C2B"/>
            </w:tcBorders>
          </w:tcPr>
          <w:p>
            <w:pPr>
              <w:spacing w:after="0"/>
              <w:rPr>
                <w:sz w:val="24"/>
                <w:szCs w:val="24"/>
                <w:color w:val="auto"/>
              </w:rPr>
            </w:pPr>
          </w:p>
        </w:tc>
        <w:tc>
          <w:tcPr>
            <w:tcW w:w="1140" w:type="dxa"/>
            <w:vAlign w:val="bottom"/>
            <w:tcBorders>
              <w:bottom w:val="single" w:sz="8" w:color="216C2B"/>
            </w:tcBorders>
          </w:tcPr>
          <w:p>
            <w:pPr>
              <w:jc w:val="right"/>
              <w:spacing w:after="0"/>
              <w:rPr>
                <w:sz w:val="20"/>
                <w:szCs w:val="20"/>
                <w:color w:val="auto"/>
              </w:rPr>
            </w:pPr>
            <w:r>
              <w:rPr>
                <w:rFonts w:ascii="Arial" w:cs="Arial" w:eastAsia="Arial" w:hAnsi="Arial"/>
                <w:sz w:val="15"/>
                <w:szCs w:val="15"/>
                <w:b w:val="1"/>
                <w:bCs w:val="1"/>
                <w:color w:val="auto"/>
              </w:rPr>
              <w:t>(278)</w:t>
            </w:r>
          </w:p>
        </w:tc>
        <w:tc>
          <w:tcPr>
            <w:tcW w:w="80" w:type="dxa"/>
            <w:vAlign w:val="bottom"/>
          </w:tcPr>
          <w:p>
            <w:pPr>
              <w:spacing w:after="0"/>
              <w:rPr>
                <w:sz w:val="24"/>
                <w:szCs w:val="24"/>
                <w:color w:val="auto"/>
              </w:rPr>
            </w:pPr>
          </w:p>
        </w:tc>
        <w:tc>
          <w:tcPr>
            <w:tcW w:w="500" w:type="dxa"/>
            <w:vAlign w:val="bottom"/>
            <w:tcBorders>
              <w:bottom w:val="single" w:sz="8" w:color="216C2B"/>
            </w:tcBorders>
          </w:tcPr>
          <w:p>
            <w:pPr>
              <w:spacing w:after="0"/>
              <w:rPr>
                <w:sz w:val="24"/>
                <w:szCs w:val="24"/>
                <w:color w:val="auto"/>
              </w:rPr>
            </w:pPr>
          </w:p>
        </w:tc>
        <w:tc>
          <w:tcPr>
            <w:tcW w:w="900" w:type="dxa"/>
            <w:vAlign w:val="bottom"/>
            <w:tcBorders>
              <w:bottom w:val="single" w:sz="8" w:color="216C2B"/>
            </w:tcBorders>
          </w:tcPr>
          <w:p>
            <w:pPr>
              <w:jc w:val="right"/>
              <w:spacing w:after="0"/>
              <w:rPr>
                <w:sz w:val="20"/>
                <w:szCs w:val="20"/>
                <w:color w:val="auto"/>
              </w:rPr>
            </w:pPr>
            <w:r>
              <w:rPr>
                <w:rFonts w:ascii="Arial" w:cs="Arial" w:eastAsia="Arial" w:hAnsi="Arial"/>
                <w:sz w:val="15"/>
                <w:szCs w:val="15"/>
                <w:color w:val="auto"/>
              </w:rPr>
              <w:t>(827)</w:t>
            </w:r>
          </w:p>
        </w:tc>
      </w:tr>
      <w:tr>
        <w:trPr>
          <w:trHeight w:val="302"/>
        </w:trPr>
        <w:tc>
          <w:tcPr>
            <w:tcW w:w="52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(provision) benefit for credit losses</w:t>
            </w:r>
          </w:p>
        </w:tc>
        <w:tc>
          <w:tcPr>
            <w:tcW w:w="100" w:type="dxa"/>
            <w:vAlign w:val="bottom"/>
          </w:tcPr>
          <w:p>
            <w:pPr>
              <w:spacing w:after="0"/>
              <w:rPr>
                <w:sz w:val="24"/>
                <w:szCs w:val="24"/>
                <w:color w:val="auto"/>
              </w:rPr>
            </w:pPr>
          </w:p>
        </w:tc>
        <w:tc>
          <w:tcPr>
            <w:tcW w:w="880" w:type="dxa"/>
            <w:vAlign w:val="bottom"/>
            <w:tcBorders>
              <w:bottom w:val="single" w:sz="8" w:color="2C6937"/>
            </w:tcBorders>
          </w:tcPr>
          <w:p>
            <w:pPr>
              <w:jc w:val="right"/>
              <w:ind w:right="703"/>
              <w:spacing w:after="0"/>
              <w:rPr>
                <w:sz w:val="20"/>
                <w:szCs w:val="20"/>
                <w:color w:val="auto"/>
              </w:rPr>
            </w:pPr>
            <w:r>
              <w:rPr>
                <w:rFonts w:ascii="Arial" w:cs="Arial" w:eastAsia="Arial" w:hAnsi="Arial"/>
                <w:sz w:val="15"/>
                <w:szCs w:val="15"/>
                <w:b w:val="1"/>
                <w:bCs w:val="1"/>
                <w:color w:val="auto"/>
                <w:w w:val="95"/>
              </w:rPr>
              <w:t>$</w:t>
            </w: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(338)</w:t>
            </w:r>
          </w:p>
        </w:tc>
        <w:tc>
          <w:tcPr>
            <w:tcW w:w="100" w:type="dxa"/>
            <w:vAlign w:val="bottom"/>
          </w:tcPr>
          <w:p>
            <w:pPr>
              <w:spacing w:after="0"/>
              <w:rPr>
                <w:sz w:val="24"/>
                <w:szCs w:val="24"/>
                <w:color w:val="auto"/>
              </w:rPr>
            </w:pPr>
          </w:p>
        </w:tc>
        <w:tc>
          <w:tcPr>
            <w:tcW w:w="50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24"/>
                <w:szCs w:val="24"/>
                <w:color w:val="auto"/>
              </w:rPr>
            </w:pPr>
          </w:p>
        </w:tc>
        <w:tc>
          <w:tcPr>
            <w:tcW w:w="260" w:type="dxa"/>
            <w:vAlign w:val="bottom"/>
            <w:tcBorders>
              <w:bottom w:val="single" w:sz="8" w:color="2C6937"/>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(1,308)</w:t>
            </w:r>
          </w:p>
        </w:tc>
        <w:tc>
          <w:tcPr>
            <w:tcW w:w="80" w:type="dxa"/>
            <w:vAlign w:val="bottom"/>
          </w:tcPr>
          <w:p>
            <w:pPr>
              <w:spacing w:after="0"/>
              <w:rPr>
                <w:sz w:val="24"/>
                <w:szCs w:val="24"/>
                <w:color w:val="auto"/>
              </w:rPr>
            </w:pPr>
          </w:p>
        </w:tc>
        <w:tc>
          <w:tcPr>
            <w:tcW w:w="500" w:type="dxa"/>
            <w:vAlign w:val="bottom"/>
            <w:tcBorders>
              <w:bottom w:val="single" w:sz="8" w:color="2C6937"/>
            </w:tcBorders>
          </w:tcPr>
          <w:p>
            <w:pPr>
              <w:jc w:val="right"/>
              <w:ind w:right="32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507</w:t>
            </w:r>
          </w:p>
        </w:tc>
      </w:tr>
      <w:tr>
        <w:trPr>
          <w:trHeight w:val="20"/>
        </w:trPr>
        <w:tc>
          <w:tcPr>
            <w:tcW w:w="52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11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2C6937"/>
            </w:tcBorders>
          </w:tcPr>
          <w:p>
            <w:pPr>
              <w:spacing w:after="0" w:line="20" w:lineRule="exact"/>
              <w:rPr>
                <w:sz w:val="1"/>
                <w:szCs w:val="1"/>
                <w:color w:val="auto"/>
              </w:rPr>
            </w:pPr>
          </w:p>
        </w:tc>
        <w:tc>
          <w:tcPr>
            <w:tcW w:w="900" w:type="dxa"/>
            <w:vAlign w:val="bottom"/>
            <w:tcBorders>
              <w:bottom w:val="single" w:sz="8" w:color="2C6937"/>
            </w:tcBorders>
          </w:tcPr>
          <w:p>
            <w:pPr>
              <w:spacing w:after="0" w:line="20" w:lineRule="exact"/>
              <w:rPr>
                <w:sz w:val="1"/>
                <w:szCs w:val="1"/>
                <w:color w:val="auto"/>
              </w:rPr>
            </w:pPr>
          </w:p>
        </w:tc>
      </w:tr>
      <w:tr>
        <w:trPr>
          <w:trHeight w:val="357"/>
        </w:trPr>
        <w:tc>
          <w:tcPr>
            <w:tcW w:w="536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 in expected credit enhancement recoveries:</w:t>
            </w:r>
            <w:r>
              <w:rPr>
                <w:rFonts w:ascii="Arial" w:cs="Arial" w:eastAsia="Arial" w:hAnsi="Arial"/>
                <w:sz w:val="20"/>
                <w:szCs w:val="20"/>
                <w:b w:val="1"/>
                <w:bCs w:val="1"/>
                <w:color w:val="auto"/>
                <w:vertAlign w:val="superscript"/>
              </w:rPr>
              <w:t>(1)</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9"/>
        </w:trPr>
        <w:tc>
          <w:tcPr>
            <w:tcW w:w="5360" w:type="dxa"/>
            <w:vAlign w:val="bottom"/>
            <w:gridSpan w:val="2"/>
          </w:tcPr>
          <w:p>
            <w:pPr>
              <w:ind w:left="180"/>
              <w:spacing w:after="0"/>
              <w:rPr>
                <w:sz w:val="20"/>
                <w:szCs w:val="20"/>
                <w:color w:val="auto"/>
              </w:rPr>
            </w:pPr>
            <w:r>
              <w:rPr>
                <w:rFonts w:ascii="Arial" w:cs="Arial" w:eastAsia="Arial" w:hAnsi="Arial"/>
                <w:sz w:val="15"/>
                <w:szCs w:val="15"/>
                <w:color w:val="auto"/>
              </w:rPr>
              <w:t>Single-family</w:t>
            </w:r>
          </w:p>
        </w:tc>
        <w:tc>
          <w:tcPr>
            <w:tcW w:w="880" w:type="dxa"/>
            <w:vAlign w:val="bottom"/>
          </w:tcPr>
          <w:p>
            <w:pPr>
              <w:jc w:val="right"/>
              <w:ind w:right="703"/>
              <w:spacing w:after="0"/>
              <w:rPr>
                <w:sz w:val="20"/>
                <w:szCs w:val="20"/>
                <w:color w:val="auto"/>
              </w:rPr>
            </w:pPr>
            <w:r>
              <w:rPr>
                <w:rFonts w:ascii="Arial" w:cs="Arial" w:eastAsia="Arial" w:hAnsi="Arial"/>
                <w:sz w:val="15"/>
                <w:szCs w:val="15"/>
                <w:b w:val="1"/>
                <w:bCs w:val="1"/>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(11)</w:t>
            </w:r>
          </w:p>
        </w:tc>
        <w:tc>
          <w:tcPr>
            <w:tcW w:w="100" w:type="dxa"/>
            <w:vAlign w:val="bottom"/>
          </w:tcPr>
          <w:p>
            <w:pPr>
              <w:spacing w:after="0"/>
              <w:rPr>
                <w:sz w:val="22"/>
                <w:szCs w:val="22"/>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22"/>
                <w:szCs w:val="22"/>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(23)</w:t>
            </w:r>
          </w:p>
        </w:tc>
        <w:tc>
          <w:tcPr>
            <w:tcW w:w="80" w:type="dxa"/>
            <w:vAlign w:val="bottom"/>
          </w:tcPr>
          <w:p>
            <w:pPr>
              <w:spacing w:after="0"/>
              <w:rPr>
                <w:sz w:val="22"/>
                <w:szCs w:val="22"/>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(134)</w:t>
            </w:r>
          </w:p>
        </w:tc>
      </w:tr>
      <w:tr>
        <w:trPr>
          <w:trHeight w:val="303"/>
        </w:trPr>
        <w:tc>
          <w:tcPr>
            <w:tcW w:w="52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880" w:type="dxa"/>
            <w:vAlign w:val="bottom"/>
            <w:tcBorders>
              <w:bottom w:val="single" w:sz="8" w:color="2C6937"/>
            </w:tcBorders>
          </w:tcPr>
          <w:p>
            <w:pPr>
              <w:spacing w:after="0"/>
              <w:rPr>
                <w:sz w:val="24"/>
                <w:szCs w:val="24"/>
                <w:color w:val="auto"/>
              </w:rPr>
            </w:pPr>
          </w:p>
        </w:tc>
        <w:tc>
          <w:tcPr>
            <w:tcW w:w="5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57</w:t>
            </w:r>
          </w:p>
        </w:tc>
        <w:tc>
          <w:tcPr>
            <w:tcW w:w="100" w:type="dxa"/>
            <w:vAlign w:val="bottom"/>
          </w:tcPr>
          <w:p>
            <w:pPr>
              <w:spacing w:after="0"/>
              <w:rPr>
                <w:sz w:val="24"/>
                <w:szCs w:val="24"/>
                <w:color w:val="auto"/>
              </w:rPr>
            </w:pPr>
          </w:p>
        </w:tc>
        <w:tc>
          <w:tcPr>
            <w:tcW w:w="50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119</w:t>
            </w:r>
          </w:p>
        </w:tc>
        <w:tc>
          <w:tcPr>
            <w:tcW w:w="80" w:type="dxa"/>
            <w:vAlign w:val="bottom"/>
          </w:tcPr>
          <w:p>
            <w:pPr>
              <w:spacing w:after="0"/>
              <w:rPr>
                <w:sz w:val="24"/>
                <w:szCs w:val="24"/>
                <w:color w:val="auto"/>
              </w:rPr>
            </w:pPr>
          </w:p>
        </w:tc>
        <w:tc>
          <w:tcPr>
            <w:tcW w:w="50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323</w:t>
            </w:r>
          </w:p>
        </w:tc>
      </w:tr>
      <w:tr>
        <w:trPr>
          <w:trHeight w:val="302"/>
        </w:trPr>
        <w:tc>
          <w:tcPr>
            <w:tcW w:w="5360" w:type="dxa"/>
            <w:vAlign w:val="bottom"/>
            <w:gridSpan w:val="2"/>
          </w:tcPr>
          <w:p>
            <w:pPr>
              <w:ind w:left="20"/>
              <w:spacing w:after="0"/>
              <w:rPr>
                <w:sz w:val="20"/>
                <w:szCs w:val="20"/>
                <w:color w:val="auto"/>
              </w:rPr>
            </w:pPr>
            <w:r>
              <w:rPr>
                <w:rFonts w:ascii="Arial" w:cs="Arial" w:eastAsia="Arial" w:hAnsi="Arial"/>
                <w:sz w:val="15"/>
                <w:szCs w:val="15"/>
                <w:color w:val="auto"/>
              </w:rPr>
              <w:t>Change in expected credit enhancement recoveries</w:t>
            </w:r>
          </w:p>
        </w:tc>
        <w:tc>
          <w:tcPr>
            <w:tcW w:w="880" w:type="dxa"/>
            <w:vAlign w:val="bottom"/>
          </w:tcPr>
          <w:p>
            <w:pPr>
              <w:jc w:val="right"/>
              <w:ind w:right="703"/>
              <w:spacing w:after="0"/>
              <w:rPr>
                <w:sz w:val="20"/>
                <w:szCs w:val="20"/>
                <w:color w:val="auto"/>
              </w:rPr>
            </w:pPr>
            <w:r>
              <w:rPr>
                <w:rFonts w:ascii="Arial" w:cs="Arial" w:eastAsia="Arial" w:hAnsi="Arial"/>
                <w:sz w:val="15"/>
                <w:szCs w:val="15"/>
                <w:b w:val="1"/>
                <w:bCs w:val="1"/>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46</w:t>
            </w:r>
          </w:p>
        </w:tc>
        <w:tc>
          <w:tcPr>
            <w:tcW w:w="100" w:type="dxa"/>
            <w:vAlign w:val="bottom"/>
          </w:tcPr>
          <w:p>
            <w:pPr>
              <w:spacing w:after="0"/>
              <w:rPr>
                <w:sz w:val="24"/>
                <w:szCs w:val="24"/>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89</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Pr>
          <w:p>
            <w:pPr>
              <w:jc w:val="right"/>
              <w:ind w:right="3"/>
              <w:spacing w:after="0"/>
              <w:rPr>
                <w:sz w:val="20"/>
                <w:szCs w:val="20"/>
                <w:color w:val="auto"/>
              </w:rPr>
            </w:pPr>
            <w:r>
              <w:rPr>
                <w:rFonts w:ascii="Arial" w:cs="Arial" w:eastAsia="Arial" w:hAnsi="Arial"/>
                <w:sz w:val="15"/>
                <w:szCs w:val="15"/>
                <w:b w:val="1"/>
                <w:bCs w:val="1"/>
                <w:color w:val="auto"/>
              </w:rPr>
              <w:t>96</w:t>
            </w:r>
          </w:p>
        </w:tc>
        <w:tc>
          <w:tcPr>
            <w:tcW w:w="80" w:type="dxa"/>
            <w:vAlign w:val="bottom"/>
          </w:tcPr>
          <w:p>
            <w:pPr>
              <w:spacing w:after="0"/>
              <w:rPr>
                <w:sz w:val="24"/>
                <w:szCs w:val="24"/>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189</w:t>
            </w:r>
          </w:p>
        </w:tc>
      </w:tr>
      <w:tr>
        <w:trPr>
          <w:trHeight w:val="20"/>
        </w:trPr>
        <w:tc>
          <w:tcPr>
            <w:tcW w:w="526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226600"/>
              <w:bottom w:val="single" w:sz="8" w:color="226600"/>
            </w:tcBorders>
          </w:tcPr>
          <w:p>
            <w:pPr>
              <w:spacing w:after="0" w:line="20" w:lineRule="exact"/>
              <w:rPr>
                <w:sz w:val="1"/>
                <w:szCs w:val="1"/>
                <w:color w:val="auto"/>
              </w:rPr>
            </w:pPr>
          </w:p>
        </w:tc>
        <w:tc>
          <w:tcPr>
            <w:tcW w:w="50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226600"/>
              <w:bottom w:val="single" w:sz="8" w:color="226600"/>
            </w:tcBorders>
          </w:tcPr>
          <w:p>
            <w:pPr>
              <w:spacing w:after="0" w:line="20" w:lineRule="exact"/>
              <w:rPr>
                <w:sz w:val="1"/>
                <w:szCs w:val="1"/>
                <w:color w:val="auto"/>
              </w:rPr>
            </w:pPr>
          </w:p>
        </w:tc>
        <w:tc>
          <w:tcPr>
            <w:tcW w:w="880" w:type="dxa"/>
            <w:vAlign w:val="bottom"/>
            <w:tcBorders>
              <w:top w:val="single" w:sz="8" w:color="226600"/>
              <w:bottom w:val="single" w:sz="8" w:color="22660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26600"/>
              <w:bottom w:val="single" w:sz="8" w:color="226600"/>
            </w:tcBorders>
          </w:tcPr>
          <w:p>
            <w:pPr>
              <w:spacing w:after="0" w:line="20" w:lineRule="exact"/>
              <w:rPr>
                <w:sz w:val="1"/>
                <w:szCs w:val="1"/>
                <w:color w:val="auto"/>
              </w:rPr>
            </w:pPr>
          </w:p>
        </w:tc>
        <w:tc>
          <w:tcPr>
            <w:tcW w:w="1140" w:type="dxa"/>
            <w:vAlign w:val="bottom"/>
            <w:tcBorders>
              <w:top w:val="single" w:sz="8" w:color="226600"/>
              <w:bottom w:val="single" w:sz="8" w:color="22660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226600"/>
              <w:bottom w:val="single" w:sz="8" w:color="226600"/>
            </w:tcBorders>
          </w:tcPr>
          <w:p>
            <w:pPr>
              <w:spacing w:after="0" w:line="20" w:lineRule="exact"/>
              <w:rPr>
                <w:sz w:val="1"/>
                <w:szCs w:val="1"/>
                <w:color w:val="auto"/>
              </w:rPr>
            </w:pPr>
          </w:p>
        </w:tc>
        <w:tc>
          <w:tcPr>
            <w:tcW w:w="900" w:type="dxa"/>
            <w:vAlign w:val="bottom"/>
            <w:tcBorders>
              <w:top w:val="single" w:sz="8" w:color="226600"/>
              <w:bottom w:val="single" w:sz="8" w:color="226600"/>
            </w:tcBorders>
          </w:tcPr>
          <w:p>
            <w:pPr>
              <w:spacing w:after="0" w:line="20" w:lineRule="exact"/>
              <w:rPr>
                <w:sz w:val="1"/>
                <w:szCs w:val="1"/>
                <w:color w:val="auto"/>
              </w:rPr>
            </w:pPr>
          </w:p>
        </w:tc>
      </w:tr>
    </w:tbl>
    <w:p>
      <w:pPr>
        <w:spacing w:after="0" w:line="109" w:lineRule="exact"/>
        <w:rPr>
          <w:sz w:val="20"/>
          <w:szCs w:val="20"/>
          <w:color w:val="auto"/>
        </w:rPr>
      </w:pPr>
    </w:p>
    <w:p>
      <w:pPr>
        <w:ind w:left="240" w:right="240" w:hanging="237"/>
        <w:spacing w:after="0" w:line="278" w:lineRule="auto"/>
        <w:tabs>
          <w:tab w:leader="none" w:pos="233" w:val="left"/>
        </w:tabs>
        <w:numPr>
          <w:ilvl w:val="0"/>
          <w:numId w:val="12"/>
        </w:numPr>
        <w:rPr>
          <w:rFonts w:ascii="Arial" w:cs="Arial" w:eastAsia="Arial" w:hAnsi="Arial"/>
          <w:sz w:val="9"/>
          <w:szCs w:val="9"/>
          <w:color w:val="auto"/>
        </w:rPr>
      </w:pPr>
      <w:r>
        <w:rPr>
          <w:rFonts w:ascii="Arial" w:cs="Arial" w:eastAsia="Arial" w:hAnsi="Arial"/>
          <w:sz w:val="14"/>
          <w:szCs w:val="14"/>
          <w:color w:val="auto"/>
        </w:rPr>
        <w:t>Consists of estimated changes in benefits from our freestanding credit enhancements, which are recognized as a component of “Other income (expenses), net” in our condensed consolidated statements of operations and comprehensive income.</w:t>
      </w:r>
    </w:p>
    <w:p>
      <w:pPr>
        <w:spacing w:after="0" w:line="6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(Provision) Benefit for Credit Losses</w:t>
      </w:r>
    </w:p>
    <w:p>
      <w:pPr>
        <w:spacing w:after="0" w:line="8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single-family provision for credit losses in the third quarter of 2025 was primarily driven by provision associated with loans that we acquired during the period, which primarily consisted of purchase loans. Purchase loans generally have higher original loan-to-value (“LTV”) ratios than refinance loans; therefore, purchase loans have a higher estimated risk of default and loss severity in the allowance than refinance loans and a correspondingly higher credit loss provision at the time of acquisition.</w:t>
      </w:r>
    </w:p>
    <w:p>
      <w:pPr>
        <w:spacing w:after="0" w:line="35"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Our single-family provision for credit losses in the first nine months of 2025 was primarily driven by provision associated with loans that we acquired during the period, which primarily consisted of purchase loans, and by weaker-than-expected home price growth. Lower home prices increase the likelihood that loans will default and increase the amount of losses on loans that do default, which impacts our estimate of losses and ultimately increases our loss reserves and provision for credit losses.</w:t>
      </w:r>
    </w:p>
    <w:p>
      <w:pPr>
        <w:spacing w:after="0" w:line="33" w:lineRule="exact"/>
        <w:rPr>
          <w:sz w:val="20"/>
          <w:szCs w:val="20"/>
          <w:color w:val="auto"/>
        </w:rPr>
      </w:pPr>
    </w:p>
    <w:p>
      <w:pPr>
        <w:jc w:val="both"/>
        <w:ind w:right="200"/>
        <w:spacing w:after="0" w:line="281" w:lineRule="auto"/>
        <w:rPr>
          <w:sz w:val="20"/>
          <w:szCs w:val="20"/>
          <w:color w:val="auto"/>
        </w:rPr>
      </w:pPr>
      <w:r>
        <w:rPr>
          <w:rFonts w:ascii="Arial" w:cs="Arial" w:eastAsia="Arial" w:hAnsi="Arial"/>
          <w:sz w:val="16"/>
          <w:szCs w:val="16"/>
          <w:color w:val="auto"/>
        </w:rPr>
        <w:t>See “Key Market Economic Indicators” in our 2024 Form 10-K for additional information about how home prices affect our credit loss estimates. See “Key Market Economic Indicators” in this report for a discussion of home price growth and our home price forecast. Also see “Critical Accounting Estimates” in this report for more information about our home price forecast and how it can impact our single-family (provision) benefit for credit losses.</w:t>
      </w:r>
    </w:p>
    <w:p>
      <w:pPr>
        <w:spacing w:after="0" w:line="24"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Our single-family benefit for credit losses in the third quarter of 2024 was primarily driven by a benefit from forecasted home price growth and a benefit from actual and projected interest rates, partially offset by a provision from changes in loan activity, as described below. Additionally, our allowance for loan losses as of September 30, 2024 considered the potential impact of Hurricane Helene.</w:t>
      </w:r>
    </w:p>
    <w:p>
      <w:pPr>
        <w:spacing w:after="0" w:line="32" w:lineRule="exact"/>
        <w:rPr>
          <w:sz w:val="20"/>
          <w:szCs w:val="20"/>
          <w:color w:val="auto"/>
        </w:rPr>
      </w:pPr>
    </w:p>
    <w:p>
      <w:pPr>
        <w:ind w:left="620" w:right="160" w:hanging="307"/>
        <w:spacing w:after="0" w:line="281" w:lineRule="auto"/>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forecasted home price growth. </w:t>
      </w:r>
      <w:r>
        <w:rPr>
          <w:rFonts w:ascii="Arial" w:cs="Arial" w:eastAsia="Arial" w:hAnsi="Arial"/>
          <w:sz w:val="16"/>
          <w:szCs w:val="16"/>
          <w:color w:val="auto"/>
        </w:rPr>
        <w:t>During the third quarter of 2024, our forecast of future home prices improved. Higher home prices</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the likelihood that loans will default and reduce the amount of losses on loans that do default, which impacts our estimate of losses and ultimately reduces our loss reserves and provision for credit losses.</w:t>
      </w:r>
    </w:p>
    <w:p>
      <w:pPr>
        <w:spacing w:after="0" w:line="24" w:lineRule="exact"/>
        <w:rPr>
          <w:rFonts w:ascii="Arial" w:cs="Arial" w:eastAsia="Arial" w:hAnsi="Arial"/>
          <w:sz w:val="16"/>
          <w:szCs w:val="16"/>
          <w:color w:val="auto"/>
        </w:rPr>
      </w:pPr>
    </w:p>
    <w:p>
      <w:pPr>
        <w:ind w:left="620" w:right="500" w:hanging="307"/>
        <w:spacing w:after="0" w:line="293" w:lineRule="auto"/>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actual and projected interest rates. </w:t>
      </w:r>
      <w:r>
        <w:rPr>
          <w:rFonts w:ascii="Arial" w:cs="Arial" w:eastAsia="Arial" w:hAnsi="Arial"/>
          <w:sz w:val="16"/>
          <w:szCs w:val="16"/>
          <w:color w:val="auto"/>
        </w:rPr>
        <w:t>Actual and projected interest rates decreased in the third quarter of 2024, which reduced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probability of default, resulting in a benefit for credit losses.</w:t>
      </w:r>
    </w:p>
    <w:p>
      <w:pPr>
        <w:spacing w:after="0" w:line="14" w:lineRule="exact"/>
        <w:rPr>
          <w:rFonts w:ascii="Arial" w:cs="Arial" w:eastAsia="Arial" w:hAnsi="Arial"/>
          <w:sz w:val="16"/>
          <w:szCs w:val="16"/>
          <w:color w:val="auto"/>
        </w:rPr>
      </w:pPr>
    </w:p>
    <w:p>
      <w:pPr>
        <w:ind w:left="620" w:right="340" w:hanging="307"/>
        <w:spacing w:after="0" w:line="293" w:lineRule="auto"/>
        <w:tabs>
          <w:tab w:leader="none" w:pos="612"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changes in loan activity. </w:t>
      </w:r>
      <w:r>
        <w:rPr>
          <w:rFonts w:ascii="Arial" w:cs="Arial" w:eastAsia="Arial" w:hAnsi="Arial"/>
          <w:sz w:val="16"/>
          <w:szCs w:val="16"/>
          <w:color w:val="auto"/>
        </w:rPr>
        <w:t>This includes provision on newly acquired loans and was primarily driven by the credit risk profile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single-family acquisitions for the third quarter of 2024, which primarily consisted of purchase loans.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4" w:name="page15"/>
    <w:bookmarkEnd w:id="14"/>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Our single-family benefit for credit losses in the first nine months of 2024 was primarily driven by a benefit from actual and forecasted home price growth, partially offset by a provision from changes in loan activity.</w:t>
      </w:r>
    </w:p>
    <w:p>
      <w:pPr>
        <w:spacing w:after="0" w:line="15" w:lineRule="exact"/>
        <w:rPr>
          <w:sz w:val="20"/>
          <w:szCs w:val="20"/>
          <w:color w:val="auto"/>
        </w:rPr>
      </w:pPr>
    </w:p>
    <w:p>
      <w:pPr>
        <w:ind w:left="620" w:right="240" w:hanging="307"/>
        <w:spacing w:after="0" w:line="310" w:lineRule="auto"/>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actual and forecasted home price growth. </w:t>
      </w:r>
      <w:r>
        <w:rPr>
          <w:rFonts w:ascii="Arial" w:cs="Arial" w:eastAsia="Arial" w:hAnsi="Arial"/>
          <w:sz w:val="16"/>
          <w:szCs w:val="16"/>
          <w:color w:val="auto"/>
        </w:rPr>
        <w:t>During the first nine months of 2024, actual home prices appreciated more than originally</w:t>
      </w:r>
      <w:r>
        <w:rPr>
          <w:rFonts w:ascii="Arial" w:cs="Arial" w:eastAsia="Arial" w:hAnsi="Arial"/>
          <w:sz w:val="16"/>
          <w:szCs w:val="16"/>
          <w:i w:val="1"/>
          <w:iCs w:val="1"/>
          <w:color w:val="auto"/>
        </w:rPr>
        <w:t xml:space="preserve"> </w:t>
      </w:r>
      <w:r>
        <w:rPr>
          <w:rFonts w:ascii="Arial" w:cs="Arial" w:eastAsia="Arial" w:hAnsi="Arial"/>
          <w:sz w:val="16"/>
          <w:szCs w:val="16"/>
          <w:color w:val="auto"/>
        </w:rPr>
        <w:t>projected and our forecast of future home prices also improved.</w:t>
      </w:r>
    </w:p>
    <w:p>
      <w:pPr>
        <w:spacing w:after="0" w:line="1" w:lineRule="exact"/>
        <w:rPr>
          <w:rFonts w:ascii="Arial" w:cs="Arial" w:eastAsia="Arial" w:hAnsi="Arial"/>
          <w:sz w:val="16"/>
          <w:szCs w:val="16"/>
          <w:color w:val="auto"/>
        </w:rPr>
      </w:pPr>
    </w:p>
    <w:p>
      <w:pPr>
        <w:ind w:left="620" w:right="340" w:hanging="307"/>
        <w:spacing w:after="0" w:line="293" w:lineRule="auto"/>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Provision from changes in loan activity. </w:t>
      </w:r>
      <w:r>
        <w:rPr>
          <w:rFonts w:ascii="Arial" w:cs="Arial" w:eastAsia="Arial" w:hAnsi="Arial"/>
          <w:sz w:val="16"/>
          <w:szCs w:val="16"/>
          <w:color w:val="auto"/>
        </w:rPr>
        <w:t>This includes provision on newly acquired loans and was primarily driven by the credit risk profile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single-family acquisitions for the first nine months of 2024, which primarily consisted of purchase loans.</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(Provision) Benefit for Credit Losses</w:t>
      </w:r>
    </w:p>
    <w:p>
      <w:pPr>
        <w:spacing w:after="0" w:line="80"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Our multifamily provision for credit losses in the third quarter and first nine months of 2025 was primarily driven by an increase in delinquencies including provision from seriously delinquent loans that were written down to the net recoverable amount of the loans’ collateral during the period.</w:t>
      </w:r>
    </w:p>
    <w:p>
      <w:pPr>
        <w:spacing w:after="0" w:line="1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Our multifamily provision for credit losses in the third quarter of 2024 was largely driven by certain adjustable-rate conventional loans that were written down during the period. We also recognized provision for credit losses because, compared to our previous forecast, our third quarter of 2024 forecast expected further slight decreases in projected multifamily property values and a longer period of time for projected multifamily property values to improve. Our multifamily allowance and estimate for credit losses as of September 30, 2024 also considered uncertainty. This included uncertainty relating to multifamily property values, as well as uncertainty due to the investigation of multifamily lending transactions with suspected fraud, which may increase the risk of default.</w:t>
      </w:r>
    </w:p>
    <w:p>
      <w:pPr>
        <w:spacing w:after="0" w:line="239"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Our multifamily provision for credit losses in the first nine months of 2024 was primarily driven by loan delinquencies in our multifamily guaranty book of business, including provision attributable to adjustable-rate conventional loans that became seriously delinquent and were written down to the net recoverable amount, declines in estimated actual and projected multifamily property values, and provision for uncertainty.</w:t>
      </w:r>
    </w:p>
    <w:p>
      <w:pPr>
        <w:spacing w:after="0" w:line="7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Change in Expected Credit Enhancement Recoveries</w:t>
      </w:r>
    </w:p>
    <w:p>
      <w:pPr>
        <w:spacing w:after="0" w:line="6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Change in expected credit enhancement recoveries consists of the change in expected and realized benefits from our freestanding credit enhancements, including any realized amounts. Change in expected credit enhancement recoveries decreased in third quarter and first nine months of 2025 compared with the third quarter and first nine months of 2024, driven by the decreased multifamily provision for credit losses. The decrease in estimated credit losses on our multifamily guaranty book of business decreased the amount we expect to receive from our multifamily loss sharing arrangements.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5" w:name="page16"/>
    <w:bookmarkEnd w:id="15"/>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Fair Value Gains (Losses), Net</w:t>
      </w:r>
    </w:p>
    <w:p>
      <w:pPr>
        <w:spacing w:after="0" w:line="63"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The estimated fair value of our derivatives, trading securities and other financial instruments carried at fair value may fluctuate substantially from period to period because of changes in interest rates, the yield curve, mortgage and credit spreads and implied volatility, as well as activity related to these financial instruments.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components of our fair value gains and losses.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Fair Value Gains (Losses),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Borders>
              <w:top w:val="single" w:sz="8" w:color="2C6937"/>
            </w:tcBorders>
          </w:tcPr>
          <w:p>
            <w:pPr>
              <w:spacing w:after="0"/>
              <w:rPr>
                <w:sz w:val="14"/>
                <w:szCs w:val="14"/>
                <w:color w:val="auto"/>
              </w:rPr>
            </w:pPr>
          </w:p>
        </w:tc>
        <w:tc>
          <w:tcPr>
            <w:tcW w:w="140" w:type="dxa"/>
            <w:vAlign w:val="bottom"/>
            <w:tcBorders>
              <w:top w:val="single" w:sz="8" w:color="2C6937"/>
            </w:tcBorders>
          </w:tcPr>
          <w:p>
            <w:pPr>
              <w:spacing w:after="0"/>
              <w:rPr>
                <w:sz w:val="14"/>
                <w:szCs w:val="14"/>
                <w:color w:val="auto"/>
              </w:rPr>
            </w:pPr>
          </w:p>
        </w:tc>
        <w:tc>
          <w:tcPr>
            <w:tcW w:w="2140" w:type="dxa"/>
            <w:vAlign w:val="bottom"/>
            <w:tcBorders>
              <w:top w:val="single" w:sz="8" w:color="2C6937"/>
            </w:tcBorders>
            <w:gridSpan w:val="6"/>
          </w:tcPr>
          <w:p>
            <w:pPr>
              <w:jc w:val="center"/>
              <w:ind w:right="120"/>
              <w:spacing w:after="0"/>
              <w:rPr>
                <w:sz w:val="20"/>
                <w:szCs w:val="20"/>
                <w:color w:val="auto"/>
              </w:rPr>
            </w:pPr>
            <w:r>
              <w:rPr>
                <w:rFonts w:ascii="Arial" w:cs="Arial" w:eastAsia="Arial" w:hAnsi="Arial"/>
                <w:sz w:val="14"/>
                <w:szCs w:val="14"/>
                <w:b w:val="1"/>
                <w:bCs w:val="1"/>
                <w:color w:val="auto"/>
                <w:w w:val="97"/>
              </w:rPr>
              <w:t>For the Three Months Ended</w:t>
            </w:r>
          </w:p>
        </w:tc>
        <w:tc>
          <w:tcPr>
            <w:tcW w:w="120" w:type="dxa"/>
            <w:vAlign w:val="bottom"/>
            <w:tcBorders>
              <w:top w:val="single" w:sz="8" w:color="2C6937"/>
            </w:tcBorders>
          </w:tcPr>
          <w:p>
            <w:pPr>
              <w:spacing w:after="0"/>
              <w:rPr>
                <w:sz w:val="14"/>
                <w:szCs w:val="14"/>
                <w:color w:val="auto"/>
              </w:rPr>
            </w:pPr>
          </w:p>
        </w:tc>
        <w:tc>
          <w:tcPr>
            <w:tcW w:w="1880" w:type="dxa"/>
            <w:vAlign w:val="bottom"/>
            <w:tcBorders>
              <w:top w:val="single" w:sz="8" w:color="2C6937"/>
            </w:tcBorders>
            <w:gridSpan w:val="4"/>
          </w:tcPr>
          <w:p>
            <w:pPr>
              <w:jc w:val="right"/>
              <w:ind w:right="23"/>
              <w:spacing w:after="0"/>
              <w:rPr>
                <w:sz w:val="20"/>
                <w:szCs w:val="20"/>
                <w:color w:val="auto"/>
              </w:rPr>
            </w:pPr>
            <w:r>
              <w:rPr>
                <w:rFonts w:ascii="Arial" w:cs="Arial" w:eastAsia="Arial" w:hAnsi="Arial"/>
                <w:sz w:val="14"/>
                <w:szCs w:val="14"/>
                <w:b w:val="1"/>
                <w:bCs w:val="1"/>
                <w:color w:val="auto"/>
                <w:w w:val="96"/>
              </w:rPr>
              <w:t>For the Nine Months Ended</w:t>
            </w:r>
          </w:p>
        </w:tc>
      </w:tr>
      <w:tr>
        <w:trPr>
          <w:trHeight w:val="177"/>
        </w:trPr>
        <w:tc>
          <w:tcPr>
            <w:tcW w:w="6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8"/>
              </w:rPr>
              <w:t>September 30,</w:t>
            </w:r>
          </w:p>
        </w:tc>
        <w:tc>
          <w:tcPr>
            <w:tcW w:w="120" w:type="dxa"/>
            <w:vAlign w:val="bottom"/>
          </w:tcPr>
          <w:p>
            <w:pPr>
              <w:spacing w:after="0"/>
              <w:rPr>
                <w:sz w:val="15"/>
                <w:szCs w:val="15"/>
                <w:color w:val="auto"/>
              </w:rPr>
            </w:pPr>
          </w:p>
        </w:tc>
        <w:tc>
          <w:tcPr>
            <w:tcW w:w="1880" w:type="dxa"/>
            <w:vAlign w:val="bottom"/>
            <w:gridSpan w:val="4"/>
          </w:tcPr>
          <w:p>
            <w:pPr>
              <w:jc w:val="right"/>
              <w:ind w:right="443"/>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6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44"/>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2C6937"/>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2C6937"/>
            </w:tcBorders>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820" w:type="dxa"/>
            <w:vAlign w:val="bottom"/>
            <w:tcBorders>
              <w:top w:val="single" w:sz="8" w:color="2C6937"/>
              <w:bottom w:val="single" w:sz="8" w:color="2C6937"/>
            </w:tcBorders>
          </w:tcPr>
          <w:p>
            <w:pPr>
              <w:jc w:val="right"/>
              <w:ind w:right="245"/>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2C6937"/>
              <w:bottom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23"/>
              <w:spacing w:after="0"/>
              <w:rPr>
                <w:sz w:val="20"/>
                <w:szCs w:val="20"/>
                <w:color w:val="auto"/>
              </w:rPr>
            </w:pPr>
            <w:r>
              <w:rPr>
                <w:rFonts w:ascii="Arial" w:cs="Arial" w:eastAsia="Arial" w:hAnsi="Arial"/>
                <w:sz w:val="14"/>
                <w:szCs w:val="14"/>
                <w:b w:val="1"/>
                <w:bCs w:val="1"/>
                <w:color w:val="auto"/>
              </w:rPr>
              <w:t>2024</w:t>
            </w:r>
          </w:p>
        </w:tc>
      </w:tr>
      <w:tr>
        <w:trPr>
          <w:trHeight w:val="185"/>
        </w:trPr>
        <w:tc>
          <w:tcPr>
            <w:tcW w:w="6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7"/>
        </w:trPr>
        <w:tc>
          <w:tcPr>
            <w:tcW w:w="710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Risk management derivatives fair value gains (losses)</w:t>
            </w:r>
            <w:r>
              <w:rPr>
                <w:rFonts w:ascii="Arial" w:cs="Arial" w:eastAsia="Arial" w:hAnsi="Arial"/>
                <w:sz w:val="20"/>
                <w:szCs w:val="20"/>
                <w:color w:val="auto"/>
                <w:vertAlign w:val="superscript"/>
              </w:rPr>
              <w:t>(1)</w:t>
            </w:r>
          </w:p>
        </w:tc>
        <w:tc>
          <w:tcPr>
            <w:tcW w:w="220" w:type="dxa"/>
            <w:vAlign w:val="bottom"/>
          </w:tcPr>
          <w:p>
            <w:pPr>
              <w:jc w:val="right"/>
              <w:ind w:right="4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43</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(470)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(241)</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08"/>
        </w:trPr>
        <w:tc>
          <w:tcPr>
            <w:tcW w:w="696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Impact of hedge accounting</w:t>
            </w:r>
            <w:r>
              <w:rPr>
                <w:rFonts w:ascii="Arial" w:cs="Arial" w:eastAsia="Arial" w:hAnsi="Arial"/>
                <w:sz w:val="20"/>
                <w:szCs w:val="20"/>
                <w:color w:val="auto"/>
                <w:vertAlign w:val="superscript"/>
              </w:rPr>
              <w:t>(2)</w:t>
            </w:r>
          </w:p>
        </w:tc>
        <w:tc>
          <w:tcPr>
            <w:tcW w:w="1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74</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215</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b w:val="1"/>
                <w:bCs w:val="1"/>
                <w:color w:val="auto"/>
              </w:rPr>
              <w:t>374</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471</w:t>
            </w:r>
          </w:p>
        </w:tc>
      </w:tr>
      <w:tr>
        <w:trPr>
          <w:trHeight w:val="224"/>
        </w:trPr>
        <w:tc>
          <w:tcPr>
            <w:tcW w:w="7100" w:type="dxa"/>
            <w:vAlign w:val="bottom"/>
            <w:gridSpan w:val="2"/>
          </w:tcPr>
          <w:p>
            <w:pPr>
              <w:ind w:left="220"/>
              <w:spacing w:after="0"/>
              <w:rPr>
                <w:sz w:val="20"/>
                <w:szCs w:val="20"/>
                <w:color w:val="auto"/>
              </w:rPr>
            </w:pPr>
            <w:r>
              <w:rPr>
                <w:rFonts w:ascii="Arial" w:cs="Arial" w:eastAsia="Arial" w:hAnsi="Arial"/>
                <w:sz w:val="15"/>
                <w:szCs w:val="15"/>
                <w:color w:val="auto"/>
              </w:rPr>
              <w:t>Risk management derivatives fair value gains (losses), net</w:t>
            </w:r>
          </w:p>
        </w:tc>
        <w:tc>
          <w:tcPr>
            <w:tcW w:w="2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117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b w:val="1"/>
                <w:bCs w:val="1"/>
                <w:color w:val="auto"/>
              </w:rPr>
              <w:t>133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442</w:t>
            </w:r>
          </w:p>
        </w:tc>
      </w:tr>
      <w:tr>
        <w:trPr>
          <w:trHeight w:val="206"/>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(losses), net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(295)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(684)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(266)</w:t>
            </w:r>
          </w:p>
        </w:tc>
      </w:tr>
      <w:tr>
        <w:trPr>
          <w:trHeight w:val="208"/>
        </w:trPr>
        <w:tc>
          <w:tcPr>
            <w:tcW w:w="69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Credit enhancement derivatives fair value gains (losses), net</w:t>
            </w:r>
          </w:p>
        </w:tc>
        <w:tc>
          <w:tcPr>
            <w:tcW w:w="1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3</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w:t>
            </w:r>
          </w:p>
        </w:tc>
      </w:tr>
      <w:tr>
        <w:trPr>
          <w:trHeight w:val="198"/>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(losses), net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(175)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(860)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(576)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124</w:t>
            </w:r>
          </w:p>
        </w:tc>
      </w:tr>
      <w:tr>
        <w:trPr>
          <w:trHeight w:val="206"/>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Trading securities gains (losses), net</w:t>
            </w:r>
          </w:p>
        </w:tc>
        <w:tc>
          <w:tcPr>
            <w:tcW w:w="2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296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Arial" w:cs="Arial" w:eastAsia="Arial" w:hAnsi="Arial"/>
                <w:sz w:val="15"/>
                <w:szCs w:val="15"/>
                <w:b w:val="1"/>
                <w:bCs w:val="1"/>
                <w:color w:val="auto"/>
              </w:rPr>
              <w:t>1,279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1,127</w:t>
            </w:r>
          </w:p>
        </w:tc>
      </w:tr>
      <w:tr>
        <w:trPr>
          <w:trHeight w:val="206"/>
        </w:trPr>
        <w:tc>
          <w:tcPr>
            <w:tcW w:w="7100" w:type="dxa"/>
            <w:vAlign w:val="bottom"/>
            <w:gridSpan w:val="2"/>
          </w:tcPr>
          <w:p>
            <w:pPr>
              <w:ind w:left="20"/>
              <w:spacing w:after="0"/>
              <w:rPr>
                <w:sz w:val="20"/>
                <w:szCs w:val="20"/>
                <w:color w:val="auto"/>
              </w:rPr>
            </w:pPr>
            <w:r>
              <w:rPr>
                <w:rFonts w:ascii="Arial" w:cs="Arial" w:eastAsia="Arial" w:hAnsi="Arial"/>
                <w:sz w:val="15"/>
                <w:szCs w:val="15"/>
                <w:color w:val="auto"/>
              </w:rPr>
              <w:t>Long-term debt fair value gains (losses), net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(203)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(582)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(343)</w:t>
            </w:r>
          </w:p>
        </w:tc>
      </w:tr>
      <w:tr>
        <w:trPr>
          <w:trHeight w:val="208"/>
        </w:trPr>
        <w:tc>
          <w:tcPr>
            <w:tcW w:w="696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Other, net</w:t>
            </w:r>
            <w:r>
              <w:rPr>
                <w:rFonts w:ascii="Arial" w:cs="Arial" w:eastAsia="Arial" w:hAnsi="Arial"/>
                <w:sz w:val="20"/>
                <w:szCs w:val="20"/>
                <w:color w:val="auto"/>
                <w:vertAlign w:val="superscript"/>
              </w:rPr>
              <w:t>(3)</w:t>
            </w:r>
          </w:p>
        </w:tc>
        <w:tc>
          <w:tcPr>
            <w:tcW w:w="1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95</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116</w:t>
            </w:r>
          </w:p>
        </w:tc>
        <w:tc>
          <w:tcPr>
            <w:tcW w:w="1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b w:val="1"/>
                <w:bCs w:val="1"/>
                <w:color w:val="auto"/>
              </w:rPr>
              <w:t>226</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71</w:t>
            </w:r>
          </w:p>
        </w:tc>
      </w:tr>
      <w:tr>
        <w:trPr>
          <w:trHeight w:val="199"/>
        </w:trPr>
        <w:tc>
          <w:tcPr>
            <w:tcW w:w="7100" w:type="dxa"/>
            <w:vAlign w:val="bottom"/>
            <w:gridSpan w:val="2"/>
          </w:tcPr>
          <w:p>
            <w:pPr>
              <w:ind w:left="180"/>
              <w:spacing w:after="0"/>
              <w:rPr>
                <w:sz w:val="20"/>
                <w:szCs w:val="20"/>
                <w:color w:val="auto"/>
              </w:rPr>
            </w:pPr>
            <w:r>
              <w:rPr>
                <w:rFonts w:ascii="Arial" w:cs="Arial" w:eastAsia="Arial" w:hAnsi="Arial"/>
                <w:sz w:val="15"/>
                <w:szCs w:val="15"/>
                <w:color w:val="auto"/>
              </w:rPr>
              <w:t>Fair value gains (losses), net</w:t>
            </w:r>
          </w:p>
        </w:tc>
        <w:tc>
          <w:tcPr>
            <w:tcW w:w="220" w:type="dxa"/>
            <w:vAlign w:val="bottom"/>
          </w:tcPr>
          <w:p>
            <w:pPr>
              <w:jc w:val="right"/>
              <w:ind w:right="46"/>
              <w:spacing w:after="0"/>
              <w:rPr>
                <w:sz w:val="20"/>
                <w:szCs w:val="20"/>
                <w:color w:val="auto"/>
              </w:rPr>
            </w:pPr>
            <w:r>
              <w:rPr>
                <w:rFonts w:ascii="Arial" w:cs="Arial" w:eastAsia="Arial" w:hAnsi="Arial"/>
                <w:sz w:val="15"/>
                <w:szCs w:val="15"/>
                <w:b w:val="1"/>
                <w:bCs w:val="1"/>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rPr>
              <w:t>13</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52</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20" w:type="dxa"/>
            <w:vAlign w:val="bottom"/>
          </w:tcPr>
          <w:p>
            <w:pPr>
              <w:jc w:val="right"/>
              <w:ind w:right="5"/>
              <w:spacing w:after="0"/>
              <w:rPr>
                <w:sz w:val="20"/>
                <w:szCs w:val="20"/>
                <w:color w:val="auto"/>
              </w:rPr>
            </w:pPr>
            <w:r>
              <w:rPr>
                <w:rFonts w:ascii="Arial" w:cs="Arial" w:eastAsia="Arial" w:hAnsi="Arial"/>
                <w:sz w:val="15"/>
                <w:szCs w:val="15"/>
                <w:b w:val="1"/>
                <w:bCs w:val="1"/>
                <w:color w:val="auto"/>
              </w:rPr>
              <w:t>347</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979</w:t>
            </w:r>
          </w:p>
        </w:tc>
      </w:tr>
      <w:tr>
        <w:trPr>
          <w:trHeight w:val="20"/>
        </w:trPr>
        <w:tc>
          <w:tcPr>
            <w:tcW w:w="696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right="320" w:hanging="237"/>
        <w:spacing w:after="0" w:line="226" w:lineRule="auto"/>
        <w:tabs>
          <w:tab w:leader="none" w:pos="233"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net change in fair value in the period and net contractual interest income (expense) on interest-rate swaps, which is primarily impacted by changes in interest rates and changes in the composition of our interest-rate swaps portfolio.</w:t>
      </w:r>
    </w:p>
    <w:p>
      <w:pPr>
        <w:spacing w:after="0" w:line="27" w:lineRule="exact"/>
        <w:rPr>
          <w:rFonts w:ascii="Arial" w:cs="Arial" w:eastAsia="Arial" w:hAnsi="Arial"/>
          <w:sz w:val="18"/>
          <w:szCs w:val="18"/>
          <w:color w:val="auto"/>
          <w:vertAlign w:val="superscript"/>
        </w:rPr>
      </w:pPr>
    </w:p>
    <w:p>
      <w:pPr>
        <w:ind w:left="240" w:right="20" w:hanging="237"/>
        <w:spacing w:after="0" w:line="218" w:lineRule="auto"/>
        <w:tabs>
          <w:tab w:leader="none" w:pos="233"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“Impact of hedge accounting” reflected in this table shows the net gain or loss from swaps in hedging relationships plus any accrued interest during the applicable periods, which are recognized in “Net interest income.”</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5"/>
        </w:numPr>
        <w:rPr>
          <w:rFonts w:ascii="Arial" w:cs="Arial" w:eastAsia="Arial" w:hAnsi="Arial"/>
          <w:sz w:val="9"/>
          <w:szCs w:val="9"/>
          <w:color w:val="auto"/>
        </w:rPr>
      </w:pPr>
      <w:r>
        <w:rPr>
          <w:rFonts w:ascii="Arial" w:cs="Arial" w:eastAsia="Arial" w:hAnsi="Arial"/>
          <w:sz w:val="14"/>
          <w:szCs w:val="14"/>
          <w:color w:val="auto"/>
        </w:rPr>
        <w:t>Consists primarily of fair value gains and losses on mortgage loans held at fair value.</w:t>
      </w:r>
    </w:p>
    <w:p>
      <w:pPr>
        <w:spacing w:after="0" w:line="70"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Fair value activity in the third quarter of 2025 was primarily driven by declining interest rates, resulting in gains on fixed-rate trading securities, mortgage loans held at fair value, and risk management derivatives, which were more than offset by losses on mortgage commitment derivatives and long-term debt of consolidated trusts held at fair value.</w:t>
      </w:r>
    </w:p>
    <w:p>
      <w:pPr>
        <w:spacing w:after="0" w:line="45" w:lineRule="exact"/>
        <w:rPr>
          <w:sz w:val="20"/>
          <w:szCs w:val="20"/>
          <w:color w:val="auto"/>
        </w:rPr>
      </w:pPr>
    </w:p>
    <w:p>
      <w:pPr>
        <w:ind w:right="260"/>
        <w:spacing w:after="0" w:line="272" w:lineRule="auto"/>
        <w:rPr>
          <w:sz w:val="20"/>
          <w:szCs w:val="20"/>
          <w:color w:val="auto"/>
        </w:rPr>
      </w:pPr>
      <w:r>
        <w:rPr>
          <w:rFonts w:ascii="Arial" w:cs="Arial" w:eastAsia="Arial" w:hAnsi="Arial"/>
          <w:sz w:val="16"/>
          <w:szCs w:val="16"/>
          <w:color w:val="auto"/>
        </w:rPr>
        <w:t>Fair value activity in the first nine months of 2025 was primarily driven by declining interest rates, resulting in gains on fixed-rate trading securities, which were more than offset by losses on mortgage commitment derivatives, long-term debt of consolidated trusts held at fair value, and risk management derivatives.</w:t>
      </w:r>
    </w:p>
    <w:p>
      <w:pPr>
        <w:spacing w:after="0" w:line="32" w:lineRule="exact"/>
        <w:rPr>
          <w:sz w:val="20"/>
          <w:szCs w:val="20"/>
          <w:color w:val="auto"/>
        </w:rPr>
      </w:pPr>
    </w:p>
    <w:p>
      <w:pPr>
        <w:jc w:val="both"/>
        <w:ind w:right="120"/>
        <w:spacing w:after="0" w:line="293" w:lineRule="auto"/>
        <w:rPr>
          <w:sz w:val="20"/>
          <w:szCs w:val="20"/>
          <w:color w:val="auto"/>
        </w:rPr>
      </w:pPr>
      <w:r>
        <w:rPr>
          <w:rFonts w:ascii="Arial" w:cs="Arial" w:eastAsia="Arial" w:hAnsi="Arial"/>
          <w:sz w:val="16"/>
          <w:szCs w:val="16"/>
          <w:color w:val="auto"/>
        </w:rPr>
        <w:t>Fair value activity in the third quarter of 2024 was primarily driven by declining interest rates, resulting in gains on fixed-rate trading securities, which were more than offset by losses on mortgage commitment derivatives, long-term debt of consolidated trusts held at fair value, and risk management derivatives.</w:t>
      </w:r>
    </w:p>
    <w:p>
      <w:pPr>
        <w:spacing w:after="0" w:line="28" w:lineRule="exact"/>
        <w:rPr>
          <w:sz w:val="20"/>
          <w:szCs w:val="20"/>
          <w:color w:val="auto"/>
        </w:rPr>
      </w:pPr>
    </w:p>
    <w:p>
      <w:pPr>
        <w:ind w:right="260"/>
        <w:spacing w:after="0" w:line="272" w:lineRule="auto"/>
        <w:rPr>
          <w:sz w:val="20"/>
          <w:szCs w:val="20"/>
          <w:color w:val="auto"/>
        </w:rPr>
      </w:pPr>
      <w:r>
        <w:rPr>
          <w:rFonts w:ascii="Arial" w:cs="Arial" w:eastAsia="Arial" w:hAnsi="Arial"/>
          <w:sz w:val="16"/>
          <w:szCs w:val="16"/>
          <w:color w:val="auto"/>
        </w:rPr>
        <w:t>Fair value activity in the first nine months of 2024 was primarily driven by declining interest rates, resulting in gains on fixed-rate trading securities, which were partially offset by losses on mortgage commitment derivatives, long-term debt of consolidated trusts held at fair value, and risk management derivatives.</w:t>
      </w:r>
    </w:p>
    <w:p>
      <w:pPr>
        <w:spacing w:after="0" w:line="3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impact of hedge accounting resulted in incremental gains for each of the respective periods. Our hedge accounting program is designed to hedge our exposure to changes in benchmark interest rates and, therefore, offsets a portion of the fair value volatility we would otherwise experience. The fair value gains and losses after the impact of hedge accounting primarily relate to spreads, convexity, and other components that are not effectively or intended to be captured by our hedge accounting program.</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6" w:name="page17"/>
    <w:bookmarkEnd w:id="16"/>
    <w:p>
      <w:pPr>
        <w:ind w:left="8440"/>
        <w:spacing w:after="0"/>
        <w:rPr>
          <w:sz w:val="20"/>
          <w:szCs w:val="20"/>
          <w:color w:val="auto"/>
        </w:rPr>
      </w:pPr>
      <w:r>
        <w:rPr>
          <w:rFonts w:ascii="Arial" w:cs="Arial" w:eastAsia="Arial" w:hAnsi="Arial"/>
          <w:sz w:val="14"/>
          <w:szCs w:val="14"/>
          <w:color w:val="001543"/>
        </w:rPr>
        <w:t>MD&amp;A | 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Legislative Assessments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components of our legislative assessments.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Legislative Assessments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260" w:type="dxa"/>
            <w:vAlign w:val="bottom"/>
            <w:tcBorders>
              <w:top w:val="single" w:sz="8" w:color="2C6937"/>
            </w:tcBorders>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2480" w:type="dxa"/>
            <w:vAlign w:val="bottom"/>
            <w:tcBorders>
              <w:top w:val="single" w:sz="8" w:color="2C6937"/>
            </w:tcBorders>
            <w:gridSpan w:val="6"/>
          </w:tcPr>
          <w:p>
            <w:pPr>
              <w:jc w:val="center"/>
              <w:ind w:right="100"/>
              <w:spacing w:after="0" w:line="161" w:lineRule="exact"/>
              <w:rPr>
                <w:sz w:val="20"/>
                <w:szCs w:val="20"/>
                <w:color w:val="auto"/>
              </w:rPr>
            </w:pPr>
            <w:r>
              <w:rPr>
                <w:rFonts w:ascii="Arial" w:cs="Arial" w:eastAsia="Arial" w:hAnsi="Arial"/>
                <w:sz w:val="15"/>
                <w:szCs w:val="15"/>
                <w:b w:val="1"/>
                <w:bCs w:val="1"/>
                <w:color w:val="auto"/>
              </w:rPr>
              <w:t>For the Three Months Ended</w:t>
            </w:r>
          </w:p>
        </w:tc>
        <w:tc>
          <w:tcPr>
            <w:tcW w:w="160" w:type="dxa"/>
            <w:vAlign w:val="bottom"/>
            <w:tcBorders>
              <w:top w:val="single" w:sz="8" w:color="2C6937"/>
            </w:tcBorders>
          </w:tcPr>
          <w:p>
            <w:pPr>
              <w:spacing w:after="0"/>
              <w:rPr>
                <w:sz w:val="13"/>
                <w:szCs w:val="13"/>
                <w:color w:val="auto"/>
              </w:rPr>
            </w:pPr>
          </w:p>
        </w:tc>
        <w:tc>
          <w:tcPr>
            <w:tcW w:w="2240" w:type="dxa"/>
            <w:vAlign w:val="bottom"/>
            <w:tcBorders>
              <w:top w:val="single" w:sz="8" w:color="2C6937"/>
            </w:tcBorders>
            <w:gridSpan w:val="4"/>
          </w:tcPr>
          <w:p>
            <w:pPr>
              <w:jc w:val="right"/>
              <w:ind w:right="103"/>
              <w:spacing w:after="0" w:line="161" w:lineRule="exact"/>
              <w:rPr>
                <w:sz w:val="20"/>
                <w:szCs w:val="20"/>
                <w:color w:val="auto"/>
              </w:rPr>
            </w:pPr>
            <w:r>
              <w:rPr>
                <w:rFonts w:ascii="Arial" w:cs="Arial" w:eastAsia="Arial" w:hAnsi="Arial"/>
                <w:sz w:val="15"/>
                <w:szCs w:val="15"/>
                <w:b w:val="1"/>
                <w:bCs w:val="1"/>
                <w:color w:val="auto"/>
              </w:rPr>
              <w:t>For the Nine Months Ended</w:t>
            </w:r>
          </w:p>
        </w:tc>
      </w:tr>
      <w:tr>
        <w:trPr>
          <w:trHeight w:val="206"/>
        </w:trPr>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jc w:val="center"/>
              <w:ind w:right="100"/>
              <w:spacing w:after="0"/>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7"/>
                <w:szCs w:val="17"/>
                <w:color w:val="auto"/>
              </w:rPr>
            </w:pPr>
          </w:p>
        </w:tc>
        <w:tc>
          <w:tcPr>
            <w:tcW w:w="2240" w:type="dxa"/>
            <w:vAlign w:val="bottom"/>
            <w:gridSpan w:val="4"/>
          </w:tcPr>
          <w:p>
            <w:pPr>
              <w:jc w:val="right"/>
              <w:ind w:right="583"/>
              <w:spacing w:after="0"/>
              <w:rPr>
                <w:sz w:val="20"/>
                <w:szCs w:val="20"/>
                <w:color w:val="auto"/>
              </w:rPr>
            </w:pPr>
            <w:r>
              <w:rPr>
                <w:rFonts w:ascii="Arial" w:cs="Arial" w:eastAsia="Arial" w:hAnsi="Arial"/>
                <w:sz w:val="15"/>
                <w:szCs w:val="15"/>
                <w:b w:val="1"/>
                <w:bCs w:val="1"/>
                <w:color w:val="auto"/>
              </w:rPr>
              <w:t>September 30,</w:t>
            </w:r>
          </w:p>
        </w:tc>
      </w:tr>
      <w:tr>
        <w:trPr>
          <w:trHeight w:val="199"/>
        </w:trPr>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2025</w:t>
            </w:r>
          </w:p>
        </w:tc>
        <w:tc>
          <w:tcPr>
            <w:tcW w:w="36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240" w:type="dxa"/>
            <w:vAlign w:val="bottom"/>
            <w:tcBorders>
              <w:top w:val="single" w:sz="8" w:color="2C6937"/>
              <w:bottom w:val="single" w:sz="8" w:color="2C6937"/>
            </w:tcBorders>
          </w:tcPr>
          <w:p>
            <w:pPr>
              <w:spacing w:after="0"/>
              <w:rPr>
                <w:sz w:val="17"/>
                <w:szCs w:val="17"/>
                <w:color w:val="auto"/>
              </w:rPr>
            </w:pPr>
          </w:p>
        </w:tc>
        <w:tc>
          <w:tcPr>
            <w:tcW w:w="900" w:type="dxa"/>
            <w:vAlign w:val="bottom"/>
            <w:tcBorders>
              <w:top w:val="single" w:sz="8" w:color="2C6937"/>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2C6937"/>
            </w:tcBorders>
          </w:tcPr>
          <w:p>
            <w:pPr>
              <w:spacing w:after="0"/>
              <w:rPr>
                <w:sz w:val="17"/>
                <w:szCs w:val="17"/>
                <w:color w:val="auto"/>
              </w:rPr>
            </w:pPr>
          </w:p>
        </w:tc>
        <w:tc>
          <w:tcPr>
            <w:tcW w:w="160" w:type="dxa"/>
            <w:vAlign w:val="bottom"/>
            <w:tcBorders>
              <w:top w:val="single" w:sz="8" w:color="2C6937"/>
              <w:bottom w:val="single" w:sz="8" w:color="2C6937"/>
            </w:tcBorders>
          </w:tcPr>
          <w:p>
            <w:pPr>
              <w:spacing w:after="0"/>
              <w:rPr>
                <w:sz w:val="17"/>
                <w:szCs w:val="17"/>
                <w:color w:val="auto"/>
              </w:rPr>
            </w:pPr>
          </w:p>
        </w:tc>
        <w:tc>
          <w:tcPr>
            <w:tcW w:w="1000" w:type="dxa"/>
            <w:vAlign w:val="bottom"/>
            <w:tcBorders>
              <w:top w:val="single" w:sz="8" w:color="2C6937"/>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2C6937"/>
              <w:bottom w:val="single" w:sz="8" w:color="2C6937"/>
            </w:tcBorders>
          </w:tcPr>
          <w:p>
            <w:pPr>
              <w:spacing w:after="0"/>
              <w:rPr>
                <w:sz w:val="17"/>
                <w:szCs w:val="17"/>
                <w:color w:val="auto"/>
              </w:rPr>
            </w:pPr>
          </w:p>
        </w:tc>
        <w:tc>
          <w:tcPr>
            <w:tcW w:w="240" w:type="dxa"/>
            <w:vAlign w:val="bottom"/>
            <w:tcBorders>
              <w:top w:val="single" w:sz="8" w:color="2C6937"/>
              <w:bottom w:val="single" w:sz="8" w:color="2C6937"/>
            </w:tcBorders>
          </w:tcPr>
          <w:p>
            <w:pPr>
              <w:spacing w:after="0"/>
              <w:rPr>
                <w:sz w:val="17"/>
                <w:szCs w:val="17"/>
                <w:color w:val="auto"/>
              </w:rPr>
            </w:pPr>
          </w:p>
        </w:tc>
        <w:tc>
          <w:tcPr>
            <w:tcW w:w="900" w:type="dxa"/>
            <w:vAlign w:val="bottom"/>
            <w:tcBorders>
              <w:top w:val="single" w:sz="8" w:color="2C6937"/>
              <w:bottom w:val="single" w:sz="8" w:color="2C6937"/>
            </w:tcBorders>
          </w:tcPr>
          <w:p>
            <w:pPr>
              <w:jc w:val="right"/>
              <w:ind w:right="323"/>
              <w:spacing w:after="0"/>
              <w:rPr>
                <w:sz w:val="20"/>
                <w:szCs w:val="20"/>
                <w:color w:val="auto"/>
              </w:rPr>
            </w:pPr>
            <w:r>
              <w:rPr>
                <w:rFonts w:ascii="Arial" w:cs="Arial" w:eastAsia="Arial" w:hAnsi="Arial"/>
                <w:sz w:val="15"/>
                <w:szCs w:val="15"/>
                <w:b w:val="1"/>
                <w:bCs w:val="1"/>
                <w:color w:val="auto"/>
              </w:rPr>
              <w:t>2024</w:t>
            </w:r>
          </w:p>
        </w:tc>
      </w:tr>
      <w:tr>
        <w:trPr>
          <w:trHeight w:val="207"/>
        </w:trPr>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ind w:left="240"/>
              <w:spacing w:after="0"/>
              <w:rPr>
                <w:sz w:val="20"/>
                <w:szCs w:val="20"/>
                <w:color w:val="auto"/>
              </w:rPr>
            </w:pPr>
            <w:r>
              <w:rPr>
                <w:rFonts w:ascii="Arial" w:cs="Arial" w:eastAsia="Arial" w:hAnsi="Arial"/>
                <w:sz w:val="15"/>
                <w:szCs w:val="15"/>
                <w:b w:val="1"/>
                <w:bCs w:val="1"/>
                <w:color w:val="auto"/>
              </w:rPr>
              <w:t>(Dollars in millions)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8"/>
        </w:trPr>
        <w:tc>
          <w:tcPr>
            <w:tcW w:w="6360" w:type="dxa"/>
            <w:vAlign w:val="bottom"/>
            <w:gridSpan w:val="2"/>
          </w:tcPr>
          <w:p>
            <w:pPr>
              <w:ind w:left="20"/>
              <w:spacing w:after="0"/>
              <w:rPr>
                <w:sz w:val="20"/>
                <w:szCs w:val="20"/>
                <w:color w:val="auto"/>
              </w:rPr>
            </w:pPr>
            <w:r>
              <w:rPr>
                <w:rFonts w:ascii="Arial" w:cs="Arial" w:eastAsia="Arial" w:hAnsi="Arial"/>
                <w:sz w:val="15"/>
                <w:szCs w:val="15"/>
                <w:color w:val="auto"/>
              </w:rPr>
              <w:t>TCCA fees</w:t>
            </w:r>
            <w:r>
              <w:rPr>
                <w:rFonts w:ascii="Arial" w:cs="Arial" w:eastAsia="Arial" w:hAnsi="Arial"/>
                <w:sz w:val="20"/>
                <w:szCs w:val="20"/>
                <w:color w:val="auto"/>
                <w:vertAlign w:val="superscript"/>
              </w:rPr>
              <w:t>(1)</w:t>
            </w:r>
          </w:p>
        </w:tc>
        <w:tc>
          <w:tcPr>
            <w:tcW w:w="780" w:type="dxa"/>
            <w:vAlign w:val="bottom"/>
          </w:tcPr>
          <w:p>
            <w:pPr>
              <w:jc w:val="right"/>
              <w:ind w:right="603"/>
              <w:spacing w:after="0"/>
              <w:rPr>
                <w:sz w:val="20"/>
                <w:szCs w:val="20"/>
                <w:color w:val="auto"/>
              </w:rPr>
            </w:pPr>
            <w:r>
              <w:rPr>
                <w:rFonts w:ascii="Arial" w:cs="Arial" w:eastAsia="Arial" w:hAnsi="Arial"/>
                <w:sz w:val="15"/>
                <w:szCs w:val="15"/>
                <w:b w:val="1"/>
                <w:bCs w:val="1"/>
                <w:color w:val="auto"/>
                <w:w w:val="95"/>
              </w:rPr>
              <w:t>$</w:t>
            </w:r>
          </w:p>
        </w:tc>
        <w:tc>
          <w:tcPr>
            <w:tcW w:w="360" w:type="dxa"/>
            <w:vAlign w:val="bottom"/>
          </w:tcPr>
          <w:p>
            <w:pPr>
              <w:jc w:val="right"/>
              <w:ind w:right="3"/>
              <w:spacing w:after="0"/>
              <w:rPr>
                <w:sz w:val="20"/>
                <w:szCs w:val="20"/>
                <w:color w:val="auto"/>
              </w:rPr>
            </w:pPr>
            <w:r>
              <w:rPr>
                <w:rFonts w:ascii="Arial" w:cs="Arial" w:eastAsia="Arial" w:hAnsi="Arial"/>
                <w:sz w:val="15"/>
                <w:szCs w:val="15"/>
                <w:b w:val="1"/>
                <w:bCs w:val="1"/>
                <w:color w:val="auto"/>
              </w:rPr>
              <w:t>855</w:t>
            </w:r>
          </w:p>
        </w:tc>
        <w:tc>
          <w:tcPr>
            <w:tcW w:w="100" w:type="dxa"/>
            <w:vAlign w:val="bottom"/>
          </w:tcPr>
          <w:p>
            <w:pPr>
              <w:spacing w:after="0"/>
              <w:rPr>
                <w:sz w:val="20"/>
                <w:szCs w:val="20"/>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862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b w:val="1"/>
                <w:bCs w:val="1"/>
                <w:color w:val="auto"/>
              </w:rPr>
              <w:t>2,570</w:t>
            </w:r>
          </w:p>
        </w:tc>
        <w:tc>
          <w:tcPr>
            <w:tcW w:w="100" w:type="dxa"/>
            <w:vAlign w:val="bottom"/>
          </w:tcPr>
          <w:p>
            <w:pPr>
              <w:spacing w:after="0"/>
              <w:rPr>
                <w:sz w:val="20"/>
                <w:szCs w:val="20"/>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2,581</w:t>
            </w:r>
          </w:p>
        </w:tc>
      </w:tr>
      <w:tr>
        <w:trPr>
          <w:trHeight w:val="219"/>
        </w:trPr>
        <w:tc>
          <w:tcPr>
            <w:tcW w:w="6360" w:type="dxa"/>
            <w:vAlign w:val="bottom"/>
            <w:gridSpan w:val="2"/>
          </w:tcPr>
          <w:p>
            <w:pPr>
              <w:ind w:left="20"/>
              <w:spacing w:after="0" w:line="219" w:lineRule="exact"/>
              <w:rPr>
                <w:sz w:val="20"/>
                <w:szCs w:val="20"/>
                <w:color w:val="auto"/>
              </w:rPr>
            </w:pPr>
            <w:r>
              <w:rPr>
                <w:rFonts w:ascii="Arial" w:cs="Arial" w:eastAsia="Arial" w:hAnsi="Arial"/>
                <w:sz w:val="15"/>
                <w:szCs w:val="15"/>
                <w:color w:val="auto"/>
              </w:rPr>
              <w:t>FHFA assessments</w:t>
            </w:r>
            <w:r>
              <w:rPr>
                <w:rFonts w:ascii="Arial" w:cs="Arial" w:eastAsia="Arial" w:hAnsi="Arial"/>
                <w:sz w:val="20"/>
                <w:szCs w:val="20"/>
                <w:color w:val="auto"/>
                <w:vertAlign w:val="superscript"/>
              </w:rPr>
              <w:t>(2)</w:t>
            </w:r>
          </w:p>
        </w:tc>
        <w:tc>
          <w:tcPr>
            <w:tcW w:w="780" w:type="dxa"/>
            <w:vAlign w:val="bottom"/>
          </w:tcPr>
          <w:p>
            <w:pPr>
              <w:spacing w:after="0"/>
              <w:rPr>
                <w:sz w:val="19"/>
                <w:szCs w:val="19"/>
                <w:color w:val="auto"/>
              </w:rPr>
            </w:pPr>
          </w:p>
        </w:tc>
        <w:tc>
          <w:tcPr>
            <w:tcW w:w="360" w:type="dxa"/>
            <w:vAlign w:val="bottom"/>
          </w:tcPr>
          <w:p>
            <w:pPr>
              <w:jc w:val="right"/>
              <w:ind w:right="3"/>
              <w:spacing w:after="0"/>
              <w:rPr>
                <w:sz w:val="20"/>
                <w:szCs w:val="20"/>
                <w:color w:val="auto"/>
              </w:rPr>
            </w:pPr>
            <w:r>
              <w:rPr>
                <w:rFonts w:ascii="Arial" w:cs="Arial" w:eastAsia="Arial" w:hAnsi="Arial"/>
                <w:sz w:val="15"/>
                <w:szCs w:val="15"/>
                <w:b w:val="1"/>
                <w:bCs w:val="1"/>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b w:val="1"/>
                <w:bCs w:val="1"/>
                <w:color w:val="auto"/>
              </w:rPr>
              <w:t>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121</w:t>
            </w:r>
          </w:p>
        </w:tc>
      </w:tr>
      <w:tr>
        <w:trPr>
          <w:trHeight w:val="204"/>
        </w:trPr>
        <w:tc>
          <w:tcPr>
            <w:tcW w:w="6360" w:type="dxa"/>
            <w:vAlign w:val="bottom"/>
            <w:gridSpan w:val="2"/>
          </w:tcPr>
          <w:p>
            <w:pPr>
              <w:ind w:left="20"/>
              <w:spacing w:after="0" w:line="205" w:lineRule="exact"/>
              <w:rPr>
                <w:sz w:val="20"/>
                <w:szCs w:val="20"/>
                <w:color w:val="auto"/>
              </w:rPr>
            </w:pPr>
            <w:r>
              <w:rPr>
                <w:rFonts w:ascii="Arial" w:cs="Arial" w:eastAsia="Arial" w:hAnsi="Arial"/>
                <w:sz w:val="15"/>
                <w:szCs w:val="15"/>
                <w:color w:val="auto"/>
              </w:rPr>
              <w:t>Affordable housing allocations:</w:t>
            </w:r>
            <w:r>
              <w:rPr>
                <w:rFonts w:ascii="Arial" w:cs="Arial" w:eastAsia="Arial" w:hAnsi="Arial"/>
                <w:sz w:val="20"/>
                <w:szCs w:val="20"/>
                <w:color w:val="auto"/>
                <w:vertAlign w:val="superscript"/>
              </w:rPr>
              <w:t>(3)</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6360" w:type="dxa"/>
            <w:vAlign w:val="bottom"/>
            <w:gridSpan w:val="2"/>
          </w:tcPr>
          <w:p>
            <w:pPr>
              <w:ind w:left="120"/>
              <w:spacing w:after="0"/>
              <w:rPr>
                <w:sz w:val="20"/>
                <w:szCs w:val="20"/>
                <w:color w:val="auto"/>
              </w:rPr>
            </w:pPr>
            <w:r>
              <w:rPr>
                <w:rFonts w:ascii="Arial" w:cs="Arial" w:eastAsia="Arial" w:hAnsi="Arial"/>
                <w:sz w:val="15"/>
                <w:szCs w:val="15"/>
                <w:color w:val="auto"/>
              </w:rPr>
              <w:t>Treasury’s Capital Magnet Fund</w:t>
            </w:r>
          </w:p>
        </w:tc>
        <w:tc>
          <w:tcPr>
            <w:tcW w:w="780" w:type="dxa"/>
            <w:vAlign w:val="bottom"/>
          </w:tcPr>
          <w:p>
            <w:pPr>
              <w:spacing w:after="0"/>
              <w:rPr>
                <w:sz w:val="17"/>
                <w:szCs w:val="17"/>
                <w:color w:val="auto"/>
              </w:rPr>
            </w:pPr>
          </w:p>
        </w:tc>
        <w:tc>
          <w:tcPr>
            <w:tcW w:w="360" w:type="dxa"/>
            <w:vAlign w:val="bottom"/>
          </w:tcPr>
          <w:p>
            <w:pPr>
              <w:jc w:val="right"/>
              <w:ind w:right="3"/>
              <w:spacing w:after="0"/>
              <w:rPr>
                <w:sz w:val="20"/>
                <w:szCs w:val="20"/>
                <w:color w:val="auto"/>
              </w:rPr>
            </w:pPr>
            <w:r>
              <w:rPr>
                <w:rFonts w:ascii="Arial" w:cs="Arial" w:eastAsia="Arial" w:hAnsi="Arial"/>
                <w:sz w:val="15"/>
                <w:szCs w:val="15"/>
                <w:b w:val="1"/>
                <w:bCs w:val="1"/>
                <w:color w:val="auto"/>
              </w:rPr>
              <w:t>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b w:val="1"/>
                <w:bCs w:val="1"/>
                <w:color w:val="auto"/>
              </w:rPr>
              <w:t>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08"/>
        </w:trPr>
        <w:tc>
          <w:tcPr>
            <w:tcW w:w="626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HUD’s Housing Trust Fund</w:t>
            </w:r>
          </w:p>
        </w:tc>
        <w:tc>
          <w:tcPr>
            <w:tcW w:w="100" w:type="dxa"/>
            <w:vAlign w:val="bottom"/>
          </w:tcPr>
          <w:p>
            <w:pPr>
              <w:spacing w:after="0"/>
              <w:rPr>
                <w:sz w:val="18"/>
                <w:szCs w:val="18"/>
                <w:color w:val="auto"/>
              </w:rPr>
            </w:pPr>
          </w:p>
        </w:tc>
        <w:tc>
          <w:tcPr>
            <w:tcW w:w="780" w:type="dxa"/>
            <w:vAlign w:val="bottom"/>
            <w:tcBorders>
              <w:bottom w:val="single" w:sz="8" w:color="2C6937"/>
            </w:tcBorders>
          </w:tcPr>
          <w:p>
            <w:pPr>
              <w:spacing w:after="0"/>
              <w:rPr>
                <w:sz w:val="18"/>
                <w:szCs w:val="18"/>
                <w:color w:val="auto"/>
              </w:rPr>
            </w:pPr>
          </w:p>
        </w:tc>
        <w:tc>
          <w:tcPr>
            <w:tcW w:w="3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30</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78</w:t>
            </w:r>
          </w:p>
        </w:tc>
        <w:tc>
          <w:tcPr>
            <w:tcW w:w="10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75</w:t>
            </w:r>
          </w:p>
        </w:tc>
      </w:tr>
      <w:tr>
        <w:trPr>
          <w:trHeight w:val="199"/>
        </w:trPr>
        <w:tc>
          <w:tcPr>
            <w:tcW w:w="626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affordable housing allocations</w:t>
            </w:r>
          </w:p>
        </w:tc>
        <w:tc>
          <w:tcPr>
            <w:tcW w:w="100" w:type="dxa"/>
            <w:vAlign w:val="bottom"/>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3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46</w:t>
            </w:r>
          </w:p>
        </w:tc>
        <w:tc>
          <w:tcPr>
            <w:tcW w:w="10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120</w:t>
            </w:r>
          </w:p>
        </w:tc>
        <w:tc>
          <w:tcPr>
            <w:tcW w:w="100" w:type="dxa"/>
            <w:vAlign w:val="bottom"/>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115</w:t>
            </w:r>
          </w:p>
        </w:tc>
      </w:tr>
      <w:tr>
        <w:trPr>
          <w:trHeight w:val="199"/>
        </w:trPr>
        <w:tc>
          <w:tcPr>
            <w:tcW w:w="6360" w:type="dxa"/>
            <w:vAlign w:val="bottom"/>
            <w:gridSpan w:val="2"/>
          </w:tcPr>
          <w:p>
            <w:pPr>
              <w:ind w:left="20"/>
              <w:spacing w:after="0"/>
              <w:rPr>
                <w:sz w:val="20"/>
                <w:szCs w:val="20"/>
                <w:color w:val="auto"/>
              </w:rPr>
            </w:pPr>
            <w:r>
              <w:rPr>
                <w:rFonts w:ascii="Arial" w:cs="Arial" w:eastAsia="Arial" w:hAnsi="Arial"/>
                <w:sz w:val="15"/>
                <w:szCs w:val="15"/>
                <w:color w:val="auto"/>
              </w:rPr>
              <w:t>Total legislative assessments</w:t>
            </w:r>
          </w:p>
        </w:tc>
        <w:tc>
          <w:tcPr>
            <w:tcW w:w="780" w:type="dxa"/>
            <w:vAlign w:val="bottom"/>
          </w:tcPr>
          <w:p>
            <w:pPr>
              <w:jc w:val="right"/>
              <w:ind w:right="603"/>
              <w:spacing w:after="0"/>
              <w:rPr>
                <w:sz w:val="20"/>
                <w:szCs w:val="20"/>
                <w:color w:val="auto"/>
              </w:rPr>
            </w:pPr>
            <w:r>
              <w:rPr>
                <w:rFonts w:ascii="Arial" w:cs="Arial" w:eastAsia="Arial" w:hAnsi="Arial"/>
                <w:sz w:val="15"/>
                <w:szCs w:val="15"/>
                <w:b w:val="1"/>
                <w:bCs w:val="1"/>
                <w:color w:val="auto"/>
                <w:w w:val="95"/>
              </w:rPr>
              <w:t>$</w:t>
            </w:r>
          </w:p>
        </w:tc>
        <w:tc>
          <w:tcPr>
            <w:tcW w:w="360" w:type="dxa"/>
            <w:vAlign w:val="bottom"/>
          </w:tcPr>
          <w:p>
            <w:pPr>
              <w:jc w:val="right"/>
              <w:ind w:right="3"/>
              <w:spacing w:after="0"/>
              <w:rPr>
                <w:sz w:val="20"/>
                <w:szCs w:val="20"/>
                <w:color w:val="auto"/>
              </w:rPr>
            </w:pPr>
            <w:r>
              <w:rPr>
                <w:rFonts w:ascii="Arial" w:cs="Arial" w:eastAsia="Arial" w:hAnsi="Arial"/>
                <w:sz w:val="15"/>
                <w:szCs w:val="15"/>
                <w:b w:val="1"/>
                <w:bCs w:val="1"/>
                <w:color w:val="auto"/>
              </w:rPr>
              <w:t>943</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948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3"/>
              <w:spacing w:after="0"/>
              <w:rPr>
                <w:sz w:val="20"/>
                <w:szCs w:val="20"/>
                <w:color w:val="auto"/>
              </w:rPr>
            </w:pPr>
            <w:r>
              <w:rPr>
                <w:rFonts w:ascii="Arial" w:cs="Arial" w:eastAsia="Arial" w:hAnsi="Arial"/>
                <w:sz w:val="15"/>
                <w:szCs w:val="15"/>
                <w:b w:val="1"/>
                <w:bCs w:val="1"/>
                <w:color w:val="auto"/>
              </w:rPr>
              <w:t>2,813</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2,817</w:t>
            </w:r>
          </w:p>
        </w:tc>
      </w:tr>
      <w:tr>
        <w:trPr>
          <w:trHeight w:val="20"/>
        </w:trPr>
        <w:tc>
          <w:tcPr>
            <w:tcW w:w="62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r>
    </w:tbl>
    <w:p>
      <w:pPr>
        <w:spacing w:after="0" w:line="186" w:lineRule="exact"/>
        <w:rPr>
          <w:sz w:val="20"/>
          <w:szCs w:val="20"/>
          <w:color w:val="auto"/>
        </w:rPr>
      </w:pPr>
    </w:p>
    <w:p>
      <w:pPr>
        <w:ind w:left="240" w:right="40" w:hanging="237"/>
        <w:spacing w:after="0" w:line="226" w:lineRule="auto"/>
        <w:tabs>
          <w:tab w:leader="none" w:pos="233"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TCCA fees are expenses recognized as a result of the 10 basis point increase in guaranty fees on all single-family mortgages delivered to us on or after April 1, 2012 pursuant to the Temporary Payroll Tax Cut Continuation Act of 2011 and as extended by the Infrastructure Investment and Jobs Act, which we pay to Treasury.</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FHFA assessments are expenses relating to our obligation under the GSE Act to pay FHFA to cover a portion of its costs, expenses and working capital.</w:t>
      </w:r>
    </w:p>
    <w:p>
      <w:pPr>
        <w:spacing w:after="0" w:line="37" w:lineRule="exact"/>
        <w:rPr>
          <w:rFonts w:ascii="Arial" w:cs="Arial" w:eastAsia="Arial" w:hAnsi="Arial"/>
          <w:sz w:val="18"/>
          <w:szCs w:val="18"/>
          <w:color w:val="auto"/>
          <w:vertAlign w:val="superscript"/>
        </w:rPr>
      </w:pPr>
    </w:p>
    <w:p>
      <w:pPr>
        <w:ind w:left="240" w:right="20" w:hanging="237"/>
        <w:spacing w:after="0" w:line="232" w:lineRule="auto"/>
        <w:tabs>
          <w:tab w:leader="none" w:pos="233"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Affordable housing allocations relates to the GSE Act requirement to set aside each year an amount equal to 4.2 basis points of the unpaid principal balance of our new business purchases and to pay this amount to specified U.S. Department of Housing and Urban Development (“HUD”) and Treasury funds in support of affordable housing. In March 2025, we paid $160 million to the funds based on our new business purchases in 2024. For the first nine months of 2025, we recognized an expense of $120 million related to this obligation based on $285.8 billion in new business purchases during the period. We expect to pay this amount to the funds in 2026, plus additional amounts to be accrued based on our new business purchases in the fourth quarter of 2025.</w:t>
      </w:r>
    </w:p>
    <w:p>
      <w:pPr>
        <w:spacing w:after="0" w:line="100"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Administrative Expenses</w:t>
      </w:r>
    </w:p>
    <w:p>
      <w:pPr>
        <w:spacing w:after="0" w:line="63"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Administrative expenses decreased from $884 million in the third quarter of 2024 to $819 million in the third quarter of 2025, primarily driven by fewer employees and contractors. Administrative expenses decreased by $14 million from the first nine months of 2024 to the first nine months of 2025, primarily driven by fewer employees and contractors partially offset by an increase in severance costs.</w:t>
      </w:r>
    </w:p>
    <w:p>
      <w:pPr>
        <w:spacing w:after="0" w:line="7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Other Income (Expense), Net</w:t>
      </w:r>
    </w:p>
    <w:p>
      <w:pPr>
        <w:spacing w:after="0" w:line="63"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Other income (expense), net, shifted from an expense of $136 million in the third quarter of 2024 to income of $25 million in the third quarter of 2025. Other expense decreased from $416 million in the first nine months of 2024 to $331 million in the first nine months of 2025. The shift to other income for the third quarter of 2025 and the decline in other expense for the first nine months of 2025 were primarily driven by an increase in debt extinguishment gains as a result of our purchase of single-family Fannie Mae MBS in the third quarter of 2025, as well as a decrease in our single-family foreclosed property expense as a result of a reduction of our REO properties and reduced repair costs. This was partially offset by a decrease in our expected credit enhancement recoveries on multifamily loans. See “(Provision) Benefit for Credit Losses” for a discussion of our changes in expected credit enhancement recoveries.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7" w:name="page18"/>
    <w:bookmarkEnd w:id="17"/>
    <w:p>
      <w:pPr>
        <w:ind w:left="832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This section discusses our condensed consolidated balance sheets and should be read together with our condensed consolidated financial statements and the accompanying notes.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Summary of Condensed Consolidated Balance Sheets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2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380" w:type="dxa"/>
            <w:vAlign w:val="bottom"/>
            <w:tcBorders>
              <w:top w:val="single" w:sz="8" w:color="2C6937"/>
              <w:bottom w:val="single" w:sz="8" w:color="2C6937"/>
            </w:tcBorders>
          </w:tcPr>
          <w:p>
            <w:pPr>
              <w:spacing w:after="0"/>
              <w:rPr>
                <w:sz w:val="17"/>
                <w:szCs w:val="17"/>
                <w:color w:val="auto"/>
              </w:rPr>
            </w:pPr>
          </w:p>
        </w:tc>
        <w:tc>
          <w:tcPr>
            <w:tcW w:w="1520" w:type="dxa"/>
            <w:vAlign w:val="bottom"/>
            <w:tcBorders>
              <w:top w:val="single" w:sz="8" w:color="2C6937"/>
              <w:bottom w:val="single" w:sz="8" w:color="2C6937"/>
            </w:tcBorders>
            <w:gridSpan w:val="3"/>
          </w:tcPr>
          <w:p>
            <w:pPr>
              <w:jc w:val="right"/>
              <w:ind w:right="186"/>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260" w:type="dxa"/>
            <w:vAlign w:val="bottom"/>
            <w:tcBorders>
              <w:top w:val="single" w:sz="8" w:color="2C6937"/>
            </w:tcBorders>
          </w:tcPr>
          <w:p>
            <w:pPr>
              <w:spacing w:after="0"/>
              <w:rPr>
                <w:sz w:val="17"/>
                <w:szCs w:val="17"/>
                <w:color w:val="auto"/>
              </w:rPr>
            </w:pPr>
          </w:p>
        </w:tc>
        <w:tc>
          <w:tcPr>
            <w:tcW w:w="11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2C6937"/>
            </w:tcBorders>
            <w:gridSpan w:val="3"/>
          </w:tcPr>
          <w:p>
            <w:pPr>
              <w:ind w:left="60"/>
              <w:spacing w:after="0"/>
              <w:rPr>
                <w:sz w:val="20"/>
                <w:szCs w:val="20"/>
                <w:color w:val="auto"/>
              </w:rPr>
            </w:pPr>
            <w:r>
              <w:rPr>
                <w:rFonts w:ascii="Arial" w:cs="Arial" w:eastAsia="Arial" w:hAnsi="Arial"/>
                <w:sz w:val="14"/>
                <w:szCs w:val="14"/>
                <w:b w:val="1"/>
                <w:bCs w:val="1"/>
                <w:color w:val="auto"/>
              </w:rPr>
              <w:t>September 30, 2025</w:t>
            </w:r>
          </w:p>
        </w:tc>
        <w:tc>
          <w:tcPr>
            <w:tcW w:w="150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December 31, 2024</w:t>
            </w:r>
          </w:p>
        </w:tc>
        <w:tc>
          <w:tcPr>
            <w:tcW w:w="26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jc w:val="right"/>
              <w:ind w:right="343"/>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5"/>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820" w:type="dxa"/>
            <w:vAlign w:val="bottom"/>
            <w:gridSpan w:val="2"/>
          </w:tcPr>
          <w:p>
            <w:pPr>
              <w:ind w:left="20"/>
              <w:spacing w:after="0"/>
              <w:rPr>
                <w:sz w:val="20"/>
                <w:szCs w:val="20"/>
                <w:color w:val="auto"/>
              </w:rPr>
            </w:pPr>
            <w:r>
              <w:rPr>
                <w:rFonts w:ascii="Arial" w:cs="Arial" w:eastAsia="Arial" w:hAnsi="Arial"/>
                <w:sz w:val="15"/>
                <w:szCs w:val="15"/>
                <w:b w:val="1"/>
                <w:bCs w:val="1"/>
                <w:color w:val="auto"/>
              </w:rPr>
              <w:t>Assets</w:t>
            </w:r>
          </w:p>
        </w:tc>
        <w:tc>
          <w:tcPr>
            <w:tcW w:w="380" w:type="dxa"/>
            <w:vAlign w:val="bottom"/>
            <w:vMerge w:val="restart"/>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12,155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Cash</w:t>
            </w:r>
          </w:p>
        </w:tc>
        <w:tc>
          <w:tcPr>
            <w:tcW w:w="38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13,477</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(1,322)</w:t>
            </w:r>
          </w:p>
        </w:tc>
        <w:tc>
          <w:tcPr>
            <w:tcW w:w="0" w:type="dxa"/>
            <w:vAlign w:val="bottom"/>
          </w:tcPr>
          <w:p>
            <w:pPr>
              <w:spacing w:after="0"/>
              <w:rPr>
                <w:sz w:val="1"/>
                <w:szCs w:val="1"/>
                <w:color w:val="auto"/>
              </w:rPr>
            </w:pPr>
          </w:p>
        </w:tc>
      </w:tr>
      <w:tr>
        <w:trPr>
          <w:trHeight w:val="20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Restricted cash</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27,220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25,059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2,161</w:t>
            </w:r>
          </w:p>
        </w:tc>
        <w:tc>
          <w:tcPr>
            <w:tcW w:w="0" w:type="dxa"/>
            <w:vAlign w:val="bottom"/>
          </w:tcPr>
          <w:p>
            <w:pPr>
              <w:spacing w:after="0"/>
              <w:rPr>
                <w:sz w:val="1"/>
                <w:szCs w:val="1"/>
                <w:color w:val="auto"/>
              </w:rPr>
            </w:pPr>
          </w:p>
        </w:tc>
      </w:tr>
      <w:tr>
        <w:trPr>
          <w:trHeight w:val="20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Securities purchased under agreements to resell</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61,525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56,250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5,275</w:t>
            </w:r>
          </w:p>
        </w:tc>
        <w:tc>
          <w:tcPr>
            <w:tcW w:w="0" w:type="dxa"/>
            <w:vAlign w:val="bottom"/>
          </w:tcPr>
          <w:p>
            <w:pPr>
              <w:spacing w:after="0"/>
              <w:rPr>
                <w:sz w:val="1"/>
                <w:szCs w:val="1"/>
                <w:color w:val="auto"/>
              </w:rPr>
            </w:pPr>
          </w:p>
        </w:tc>
      </w:tr>
      <w:tr>
        <w:trPr>
          <w:trHeight w:val="208"/>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Investments in securities, at fair value</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71,656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79,197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(7,541)</w:t>
            </w:r>
          </w:p>
        </w:tc>
        <w:tc>
          <w:tcPr>
            <w:tcW w:w="0" w:type="dxa"/>
            <w:vAlign w:val="bottom"/>
          </w:tcPr>
          <w:p>
            <w:pPr>
              <w:spacing w:after="0"/>
              <w:rPr>
                <w:sz w:val="1"/>
                <w:szCs w:val="1"/>
                <w:color w:val="auto"/>
              </w:rPr>
            </w:pPr>
          </w:p>
        </w:tc>
      </w:tr>
      <w:tr>
        <w:trPr>
          <w:trHeight w:val="20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Mortgage loans:</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54,567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50,408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4,159</w:t>
            </w:r>
          </w:p>
        </w:tc>
        <w:tc>
          <w:tcPr>
            <w:tcW w:w="0" w:type="dxa"/>
            <w:vAlign w:val="bottom"/>
          </w:tcPr>
          <w:p>
            <w:pPr>
              <w:spacing w:after="0"/>
              <w:rPr>
                <w:sz w:val="1"/>
                <w:szCs w:val="1"/>
                <w:color w:val="auto"/>
              </w:rPr>
            </w:pPr>
          </w:p>
        </w:tc>
      </w:tr>
      <w:tr>
        <w:trPr>
          <w:trHeight w:val="206"/>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4,077,069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4,095,305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(18,236)</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Allowance for loan losses</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(8,246)</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(7,707)</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(539)</w:t>
            </w:r>
          </w:p>
        </w:tc>
        <w:tc>
          <w:tcPr>
            <w:tcW w:w="0" w:type="dxa"/>
            <w:vAlign w:val="bottom"/>
          </w:tcPr>
          <w:p>
            <w:pPr>
              <w:spacing w:after="0"/>
              <w:rPr>
                <w:sz w:val="1"/>
                <w:szCs w:val="1"/>
                <w:color w:val="auto"/>
              </w:rPr>
            </w:pPr>
          </w:p>
        </w:tc>
      </w:tr>
      <w:tr>
        <w:trPr>
          <w:trHeight w:val="198"/>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Mortgage loans, net of allowance for loan losses</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4,123,390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4,138,006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(14,616)</w:t>
            </w:r>
          </w:p>
        </w:tc>
        <w:tc>
          <w:tcPr>
            <w:tcW w:w="0" w:type="dxa"/>
            <w:vAlign w:val="bottom"/>
          </w:tcPr>
          <w:p>
            <w:pPr>
              <w:spacing w:after="0"/>
              <w:rPr>
                <w:sz w:val="1"/>
                <w:szCs w:val="1"/>
                <w:color w:val="auto"/>
              </w:rPr>
            </w:pPr>
          </w:p>
        </w:tc>
      </w:tr>
      <w:tr>
        <w:trPr>
          <w:trHeight w:val="206"/>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Deferred tax assets, net</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10,000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10,545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(545)</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29,910</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27,197</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2,713</w:t>
            </w:r>
          </w:p>
        </w:tc>
        <w:tc>
          <w:tcPr>
            <w:tcW w:w="0" w:type="dxa"/>
            <w:vAlign w:val="bottom"/>
          </w:tcPr>
          <w:p>
            <w:pPr>
              <w:spacing w:after="0"/>
              <w:rPr>
                <w:sz w:val="1"/>
                <w:szCs w:val="1"/>
                <w:color w:val="auto"/>
              </w:rPr>
            </w:pPr>
          </w:p>
        </w:tc>
      </w:tr>
      <w:tr>
        <w:trPr>
          <w:trHeight w:val="199"/>
        </w:trPr>
        <w:tc>
          <w:tcPr>
            <w:tcW w:w="6720" w:type="dxa"/>
            <w:vAlign w:val="bottom"/>
            <w:tcBorders>
              <w:bottom w:val="single" w:sz="8" w:color="2C6937"/>
            </w:tcBorders>
          </w:tcPr>
          <w:p>
            <w:pPr>
              <w:ind w:left="600"/>
              <w:spacing w:after="0"/>
              <w:rPr>
                <w:sz w:val="20"/>
                <w:szCs w:val="20"/>
                <w:color w:val="auto"/>
              </w:rPr>
            </w:pPr>
            <w:r>
              <w:rPr>
                <w:rFonts w:ascii="Arial" w:cs="Arial" w:eastAsia="Arial" w:hAnsi="Arial"/>
                <w:sz w:val="15"/>
                <w:szCs w:val="15"/>
                <w:color w:val="auto"/>
              </w:rPr>
              <w:t>Total assets</w:t>
            </w:r>
          </w:p>
        </w:tc>
        <w:tc>
          <w:tcPr>
            <w:tcW w:w="100" w:type="dxa"/>
            <w:vAlign w:val="bottom"/>
          </w:tcPr>
          <w:p>
            <w:pPr>
              <w:spacing w:after="0"/>
              <w:rPr>
                <w:sz w:val="17"/>
                <w:szCs w:val="17"/>
                <w:color w:val="auto"/>
              </w:rPr>
            </w:pPr>
          </w:p>
        </w:tc>
        <w:tc>
          <w:tcPr>
            <w:tcW w:w="380" w:type="dxa"/>
            <w:vAlign w:val="bottom"/>
            <w:tcBorders>
              <w:bottom w:val="single" w:sz="8" w:color="2C6937"/>
            </w:tcBorders>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4,335,856</w:t>
            </w:r>
          </w:p>
        </w:tc>
        <w:tc>
          <w:tcPr>
            <w:tcW w:w="120" w:type="dxa"/>
            <w:vAlign w:val="bottom"/>
          </w:tcPr>
          <w:p>
            <w:pPr>
              <w:spacing w:after="0"/>
              <w:rPr>
                <w:sz w:val="17"/>
                <w:szCs w:val="17"/>
                <w:color w:val="auto"/>
              </w:rPr>
            </w:pPr>
          </w:p>
        </w:tc>
        <w:tc>
          <w:tcPr>
            <w:tcW w:w="380" w:type="dxa"/>
            <w:vAlign w:val="bottom"/>
            <w:tcBorders>
              <w:bottom w:val="single" w:sz="8" w:color="2C6937"/>
            </w:tcBorders>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4,349,731</w:t>
            </w:r>
          </w:p>
        </w:tc>
        <w:tc>
          <w:tcPr>
            <w:tcW w:w="100" w:type="dxa"/>
            <w:vAlign w:val="bottom"/>
          </w:tcPr>
          <w:p>
            <w:pPr>
              <w:spacing w:after="0"/>
              <w:rPr>
                <w:sz w:val="17"/>
                <w:szCs w:val="17"/>
                <w:color w:val="auto"/>
              </w:rPr>
            </w:pPr>
          </w:p>
        </w:tc>
        <w:tc>
          <w:tcPr>
            <w:tcW w:w="260" w:type="dxa"/>
            <w:vAlign w:val="bottom"/>
            <w:tcBorders>
              <w:bottom w:val="single" w:sz="8" w:color="2C6937"/>
            </w:tcBorders>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(13,875)</w:t>
            </w: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720" w:type="dxa"/>
            <w:vAlign w:val="bottom"/>
            <w:tcBorders>
              <w:top w:val="single" w:sz="8" w:color="2C6937"/>
            </w:tcBorders>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00" w:type="dxa"/>
            <w:vAlign w:val="bottom"/>
          </w:tcPr>
          <w:p>
            <w:pPr>
              <w:spacing w:after="0"/>
              <w:rPr>
                <w:sz w:val="17"/>
                <w:szCs w:val="17"/>
                <w:color w:val="auto"/>
              </w:rPr>
            </w:pPr>
          </w:p>
        </w:tc>
        <w:tc>
          <w:tcPr>
            <w:tcW w:w="38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2C6937"/>
            </w:tcBorders>
          </w:tcPr>
          <w:p>
            <w:pPr>
              <w:spacing w:after="0"/>
              <w:rPr>
                <w:sz w:val="17"/>
                <w:szCs w:val="17"/>
                <w:color w:val="auto"/>
              </w:rPr>
            </w:pPr>
          </w:p>
        </w:tc>
        <w:tc>
          <w:tcPr>
            <w:tcW w:w="114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20" w:type="dxa"/>
            <w:vAlign w:val="bottom"/>
            <w:gridSpan w:val="2"/>
          </w:tcPr>
          <w:p>
            <w:pPr>
              <w:ind w:left="20"/>
              <w:spacing w:after="0"/>
              <w:rPr>
                <w:sz w:val="20"/>
                <w:szCs w:val="20"/>
                <w:color w:val="auto"/>
              </w:rPr>
            </w:pPr>
            <w:r>
              <w:rPr>
                <w:rFonts w:ascii="Arial" w:cs="Arial" w:eastAsia="Arial" w:hAnsi="Arial"/>
                <w:sz w:val="15"/>
                <w:szCs w:val="15"/>
                <w:color w:val="auto"/>
              </w:rPr>
              <w:t>Debt:</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Fannie Mae</w:t>
            </w:r>
          </w:p>
        </w:tc>
        <w:tc>
          <w:tcPr>
            <w:tcW w:w="380" w:type="dxa"/>
            <w:vAlign w:val="bottom"/>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126,390</w:t>
            </w: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139,422</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(13,032)</w:t>
            </w:r>
          </w:p>
        </w:tc>
        <w:tc>
          <w:tcPr>
            <w:tcW w:w="0" w:type="dxa"/>
            <w:vAlign w:val="bottom"/>
          </w:tcPr>
          <w:p>
            <w:pPr>
              <w:spacing w:after="0"/>
              <w:rPr>
                <w:sz w:val="1"/>
                <w:szCs w:val="1"/>
                <w:color w:val="auto"/>
              </w:rPr>
            </w:pPr>
          </w:p>
        </w:tc>
      </w:tr>
      <w:tr>
        <w:trPr>
          <w:trHeight w:val="206"/>
        </w:trPr>
        <w:tc>
          <w:tcPr>
            <w:tcW w:w="6820" w:type="dxa"/>
            <w:vAlign w:val="bottom"/>
            <w:gridSpan w:val="2"/>
          </w:tcPr>
          <w:p>
            <w:pPr>
              <w:ind w:left="180"/>
              <w:spacing w:after="0"/>
              <w:rPr>
                <w:sz w:val="20"/>
                <w:szCs w:val="20"/>
                <w:color w:val="auto"/>
              </w:rPr>
            </w:pPr>
            <w:r>
              <w:rPr>
                <w:rFonts w:ascii="Arial" w:cs="Arial" w:eastAsia="Arial" w:hAnsi="Arial"/>
                <w:sz w:val="15"/>
                <w:szCs w:val="15"/>
                <w:color w:val="auto"/>
              </w:rPr>
              <w:t>Of consolidated trusts</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4,076,945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4,088,675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(11,730)</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Other liabilities</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27,036</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26,977</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98"/>
        </w:trPr>
        <w:tc>
          <w:tcPr>
            <w:tcW w:w="6820" w:type="dxa"/>
            <w:vAlign w:val="bottom"/>
            <w:gridSpan w:val="2"/>
          </w:tcPr>
          <w:p>
            <w:pPr>
              <w:ind w:left="140"/>
              <w:spacing w:after="0"/>
              <w:rPr>
                <w:sz w:val="20"/>
                <w:szCs w:val="20"/>
                <w:color w:val="auto"/>
              </w:rPr>
            </w:pPr>
            <w:r>
              <w:rPr>
                <w:rFonts w:ascii="Arial" w:cs="Arial" w:eastAsia="Arial" w:hAnsi="Arial"/>
                <w:sz w:val="15"/>
                <w:szCs w:val="15"/>
                <w:color w:val="auto"/>
              </w:rPr>
              <w:t>Total liabilities</w:t>
            </w: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4,230,371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4,255,074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(24,703)</w:t>
            </w:r>
          </w:p>
        </w:tc>
        <w:tc>
          <w:tcPr>
            <w:tcW w:w="0" w:type="dxa"/>
            <w:vAlign w:val="bottom"/>
          </w:tcPr>
          <w:p>
            <w:pPr>
              <w:spacing w:after="0"/>
              <w:rPr>
                <w:sz w:val="1"/>
                <w:szCs w:val="1"/>
                <w:color w:val="auto"/>
              </w:rPr>
            </w:pPr>
          </w:p>
        </w:tc>
      </w:tr>
      <w:tr>
        <w:trPr>
          <w:trHeight w:val="208"/>
        </w:trPr>
        <w:tc>
          <w:tcPr>
            <w:tcW w:w="6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Total stockholders’ equity</w:t>
            </w:r>
          </w:p>
        </w:tc>
        <w:tc>
          <w:tcPr>
            <w:tcW w:w="10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105,485</w:t>
            </w:r>
          </w:p>
        </w:tc>
        <w:tc>
          <w:tcPr>
            <w:tcW w:w="120" w:type="dxa"/>
            <w:vAlign w:val="bottom"/>
          </w:tcPr>
          <w:p>
            <w:pPr>
              <w:spacing w:after="0"/>
              <w:rPr>
                <w:sz w:val="18"/>
                <w:szCs w:val="18"/>
                <w:color w:val="auto"/>
              </w:rPr>
            </w:pPr>
          </w:p>
        </w:tc>
        <w:tc>
          <w:tcPr>
            <w:tcW w:w="3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94,657</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10,828</w:t>
            </w:r>
          </w:p>
        </w:tc>
        <w:tc>
          <w:tcPr>
            <w:tcW w:w="0" w:type="dxa"/>
            <w:vAlign w:val="bottom"/>
          </w:tcPr>
          <w:p>
            <w:pPr>
              <w:spacing w:after="0"/>
              <w:rPr>
                <w:sz w:val="1"/>
                <w:szCs w:val="1"/>
                <w:color w:val="auto"/>
              </w:rPr>
            </w:pPr>
          </w:p>
        </w:tc>
      </w:tr>
      <w:tr>
        <w:trPr>
          <w:trHeight w:val="199"/>
        </w:trPr>
        <w:tc>
          <w:tcPr>
            <w:tcW w:w="6820" w:type="dxa"/>
            <w:vAlign w:val="bottom"/>
            <w:gridSpan w:val="2"/>
          </w:tcPr>
          <w:p>
            <w:pPr>
              <w:ind w:left="600"/>
              <w:spacing w:after="0"/>
              <w:rPr>
                <w:sz w:val="20"/>
                <w:szCs w:val="20"/>
                <w:color w:val="auto"/>
              </w:rPr>
            </w:pPr>
            <w:r>
              <w:rPr>
                <w:rFonts w:ascii="Arial" w:cs="Arial" w:eastAsia="Arial" w:hAnsi="Arial"/>
                <w:sz w:val="15"/>
                <w:szCs w:val="15"/>
                <w:color w:val="auto"/>
              </w:rPr>
              <w:t>Total liabilities and equity</w:t>
            </w:r>
          </w:p>
        </w:tc>
        <w:tc>
          <w:tcPr>
            <w:tcW w:w="380" w:type="dxa"/>
            <w:vAlign w:val="bottom"/>
          </w:tcPr>
          <w:p>
            <w:pPr>
              <w:jc w:val="right"/>
              <w:ind w:right="204"/>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4,335,856</w:t>
            </w:r>
          </w:p>
        </w:tc>
        <w:tc>
          <w:tcPr>
            <w:tcW w:w="120" w:type="dxa"/>
            <w:vAlign w:val="bottom"/>
          </w:tcPr>
          <w:p>
            <w:pPr>
              <w:spacing w:after="0"/>
              <w:rPr>
                <w:sz w:val="17"/>
                <w:szCs w:val="17"/>
                <w:color w:val="auto"/>
              </w:rPr>
            </w:pPr>
          </w:p>
        </w:tc>
        <w:tc>
          <w:tcPr>
            <w:tcW w:w="380" w:type="dxa"/>
            <w:vAlign w:val="bottom"/>
          </w:tcPr>
          <w:p>
            <w:pPr>
              <w:jc w:val="right"/>
              <w:ind w:right="20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4,349,731</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(13,875)</w:t>
            </w:r>
          </w:p>
        </w:tc>
        <w:tc>
          <w:tcPr>
            <w:tcW w:w="0" w:type="dxa"/>
            <w:vAlign w:val="bottom"/>
          </w:tcPr>
          <w:p>
            <w:pPr>
              <w:spacing w:after="0"/>
              <w:rPr>
                <w:sz w:val="1"/>
                <w:szCs w:val="1"/>
                <w:color w:val="auto"/>
              </w:rPr>
            </w:pPr>
          </w:p>
        </w:tc>
      </w:tr>
      <w:tr>
        <w:trPr>
          <w:trHeight w:val="20"/>
        </w:trPr>
        <w:tc>
          <w:tcPr>
            <w:tcW w:w="6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Securities Purchased Under Agreements to Resell and Investments in Securities, at Fair Value</w:t>
      </w:r>
    </w:p>
    <w:p>
      <w:pPr>
        <w:spacing w:after="0" w:line="6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primary driver of the increase in securities purchased under agreements to resell as well as the decrease in investments in securities, at fair value from December 31, 2024 to September 30, 2025, was the reinvestment of proceeds from sales and maturities of U.S. Treasury securities into securities purchased under agreements to resell and Fannie Mae MBS held in our retained mortgage portfolio.</w:t>
      </w:r>
    </w:p>
    <w:p>
      <w:pPr>
        <w:spacing w:after="0" w:line="7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Mortgage Loans, Net of Allowance for Loan Losses</w:t>
      </w:r>
    </w:p>
    <w:p>
      <w:pPr>
        <w:spacing w:after="0" w:line="6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mortgage loans reported in our condensed consolidated balance sheets are classified as either held for sale (“HFS”) or held for investment (“HFI”) and include loans owned by Fannie Mae and loans held in consolidated trusts.</w:t>
      </w:r>
    </w:p>
    <w:p>
      <w:pPr>
        <w:spacing w:after="0" w:line="15" w:lineRule="exact"/>
        <w:rPr>
          <w:sz w:val="20"/>
          <w:szCs w:val="20"/>
          <w:color w:val="auto"/>
        </w:rPr>
      </w:pPr>
    </w:p>
    <w:p>
      <w:pPr>
        <w:ind w:right="780"/>
        <w:spacing w:after="0" w:line="310" w:lineRule="auto"/>
        <w:rPr>
          <w:sz w:val="20"/>
          <w:szCs w:val="20"/>
          <w:color w:val="auto"/>
        </w:rPr>
      </w:pPr>
      <w:r>
        <w:rPr>
          <w:rFonts w:ascii="Arial" w:cs="Arial" w:eastAsia="Arial" w:hAnsi="Arial"/>
          <w:sz w:val="16"/>
          <w:szCs w:val="16"/>
          <w:color w:val="auto"/>
        </w:rPr>
        <w:t>Mortgage loans, net of allowance for loan losses decreased from December 31, 2024 to September 30, 2025, driven primarily by loan paydowns, liquidations and sales outpacing acquisitions during the first nine months of 2025.</w:t>
      </w:r>
    </w:p>
    <w:p>
      <w:pPr>
        <w:spacing w:after="0" w:line="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additional information on our mortgage loans, see “Note 4, Mortgage Loans,” and for additional information on changes in our allowance for loan losses, see “Note 5, Allowance for Loan Losses.”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Debt</w:t>
      </w:r>
    </w:p>
    <w:p>
      <w:pPr>
        <w:spacing w:after="0" w:line="63"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Debt of Fannie Mae decreased from December 31, 2024 to September 30, 2025 as our funding needs were primarily satisfied by earnings retained from our operations. The decrease in debt of consolidated trusts from December 31, 2024 to September 30, 2025 was primarily driven by liquidations and extinguishments outpacing issuance activities, offset by sales of MBS held in our retained mortgage portfolio. See “Liquidity and Capital Management— Liquidity Management—</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8" w:name="page19"/>
    <w:bookmarkEnd w:id="18"/>
    <w:p>
      <w:pPr>
        <w:ind w:left="8320"/>
        <w:spacing w:after="0"/>
        <w:rPr>
          <w:sz w:val="20"/>
          <w:szCs w:val="20"/>
          <w:color w:val="auto"/>
        </w:rPr>
      </w:pPr>
      <w:r>
        <w:rPr>
          <w:rFonts w:ascii="Arial" w:cs="Arial" w:eastAsia="Arial" w:hAnsi="Arial"/>
          <w:sz w:val="14"/>
          <w:szCs w:val="14"/>
          <w:color w:val="05314D"/>
        </w:rPr>
        <w:t>MD&amp;A | Consolidated Balance Sheet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Debt Funding” for a summary of activity in debt of Fannie Mae and information on our outstanding short-term and long-term debt. Also see “Note 8, Short-Term and Long-Term Debt” for additional information on our total outstanding debt.</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Our retained mortgage portfolio consists of mortgage loans and mortgage-related securities that we own, including Fannie Mae MBS and non-Fannie Mae mortgage-related securities. Assets held by consolidated MBS trusts that back mortgage-related securities owned by third parties are not included in our retained mortgage portfolio.</w:t>
      </w:r>
    </w:p>
    <w:p>
      <w:pPr>
        <w:spacing w:after="0" w:line="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use our retained mortgage portfolio primarily to provide liquidity to the mortgage market through portfolio securitization transactions and to support our loss mitigation activities.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We classify our retained mortgage portfolio into three categories:</w:t>
      </w:r>
    </w:p>
    <w:p>
      <w:pPr>
        <w:spacing w:after="0" w:line="74" w:lineRule="exact"/>
        <w:rPr>
          <w:sz w:val="20"/>
          <w:szCs w:val="20"/>
          <w:color w:val="auto"/>
        </w:rPr>
      </w:pPr>
    </w:p>
    <w:p>
      <w:pPr>
        <w:ind w:left="620" w:right="320" w:hanging="307"/>
        <w:spacing w:after="0" w:line="285" w:lineRule="auto"/>
        <w:tabs>
          <w:tab w:leader="none" w:pos="612"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Lender liquidity </w:t>
      </w:r>
      <w:r>
        <w:rPr>
          <w:rFonts w:ascii="Arial" w:cs="Arial" w:eastAsia="Arial" w:hAnsi="Arial"/>
          <w:sz w:val="16"/>
          <w:szCs w:val="16"/>
          <w:color w:val="auto"/>
        </w:rPr>
        <w:t>includes balances related to our portfolio securitization activity, which supports our efforts to provide liquidity to the single-family</w:t>
      </w:r>
      <w:r>
        <w:rPr>
          <w:rFonts w:ascii="Arial" w:cs="Arial" w:eastAsia="Arial" w:hAnsi="Arial"/>
          <w:sz w:val="16"/>
          <w:szCs w:val="16"/>
          <w:i w:val="1"/>
          <w:iCs w:val="1"/>
          <w:color w:val="auto"/>
        </w:rPr>
        <w:t xml:space="preserve"> </w:t>
      </w:r>
      <w:r>
        <w:rPr>
          <w:rFonts w:ascii="Arial" w:cs="Arial" w:eastAsia="Arial" w:hAnsi="Arial"/>
          <w:sz w:val="16"/>
          <w:szCs w:val="16"/>
          <w:color w:val="auto"/>
        </w:rPr>
        <w:t>and multifamily mortgage markets.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Loss mitigation </w:t>
      </w:r>
      <w:r>
        <w:rPr>
          <w:rFonts w:ascii="Arial" w:cs="Arial" w:eastAsia="Arial" w:hAnsi="Arial"/>
          <w:sz w:val="16"/>
          <w:szCs w:val="16"/>
          <w:color w:val="auto"/>
        </w:rPr>
        <w:t>includes delinquent mortgage loans from our MBS trusts, which enables us to initiate certain loss mitigation efforts.</w:t>
      </w:r>
    </w:p>
    <w:p>
      <w:pPr>
        <w:spacing w:after="0" w:line="60" w:lineRule="exact"/>
        <w:rPr>
          <w:rFonts w:ascii="Arial" w:cs="Arial" w:eastAsia="Arial" w:hAnsi="Arial"/>
          <w:sz w:val="16"/>
          <w:szCs w:val="16"/>
          <w:color w:val="auto"/>
        </w:rPr>
      </w:pPr>
    </w:p>
    <w:p>
      <w:pPr>
        <w:ind w:left="620" w:hanging="307"/>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primarily represents assets that we previously purchased for investment purposes.</w:t>
      </w:r>
    </w:p>
    <w:p>
      <w:pPr>
        <w:spacing w:after="0" w:line="87"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The following table displays the components of our retained mortgage portfolio. Based on the nature of the asset, these balances are included in either “Investments in securities, at fair value” or “Mortgage loans, net of allowance for loan losses” in our “Summary of Condensed Consolidated Balance Sheets.”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001543"/>
        </w:rPr>
        <w:t>Retained Mortgage Portfolio</w:t>
      </w:r>
    </w:p>
    <w:p>
      <w:pPr>
        <w:spacing w:after="0" w:line="41" w:lineRule="exact"/>
        <w:rPr>
          <w:sz w:val="20"/>
          <w:szCs w:val="20"/>
          <w:color w:val="auto"/>
        </w:rPr>
      </w:pPr>
    </w:p>
    <w:tbl>
      <w:tblPr>
        <w:tblLayout w:type="fixed"/>
        <w:tblInd w:w="140" w:type="dxa"/>
        <w:tblCellMar>
          <w:top w:w="0" w:type="dxa"/>
          <w:left w:w="0" w:type="dxa"/>
          <w:bottom w:w="0" w:type="dxa"/>
          <w:right w:w="0" w:type="dxa"/>
        </w:tblCellMar>
      </w:tblPr>
      <w:tr>
        <w:trPr>
          <w:trHeight w:val="232"/>
        </w:trPr>
        <w:tc>
          <w:tcPr>
            <w:tcW w:w="6600" w:type="dxa"/>
            <w:vAlign w:val="bottom"/>
            <w:tcBorders>
              <w:top w:val="single" w:sz="8" w:color="2C6937"/>
            </w:tcBorders>
          </w:tcPr>
          <w:p>
            <w:pPr>
              <w:spacing w:after="0"/>
              <w:rPr>
                <w:sz w:val="20"/>
                <w:szCs w:val="20"/>
                <w:color w:val="auto"/>
              </w:rPr>
            </w:pPr>
          </w:p>
        </w:tc>
        <w:tc>
          <w:tcPr>
            <w:tcW w:w="140" w:type="dxa"/>
            <w:vAlign w:val="bottom"/>
            <w:tcBorders>
              <w:top w:val="single" w:sz="8" w:color="2C6937"/>
            </w:tcBorders>
          </w:tcPr>
          <w:p>
            <w:pPr>
              <w:spacing w:after="0"/>
              <w:rPr>
                <w:sz w:val="20"/>
                <w:szCs w:val="20"/>
                <w:color w:val="auto"/>
              </w:rPr>
            </w:pPr>
          </w:p>
        </w:tc>
        <w:tc>
          <w:tcPr>
            <w:tcW w:w="220" w:type="dxa"/>
            <w:vAlign w:val="bottom"/>
            <w:tcBorders>
              <w:top w:val="single" w:sz="8" w:color="2C6937"/>
              <w:bottom w:val="single" w:sz="8" w:color="2C6937"/>
            </w:tcBorders>
          </w:tcPr>
          <w:p>
            <w:pPr>
              <w:spacing w:after="0"/>
              <w:rPr>
                <w:sz w:val="20"/>
                <w:szCs w:val="20"/>
                <w:color w:val="auto"/>
              </w:rPr>
            </w:pPr>
          </w:p>
        </w:tc>
        <w:tc>
          <w:tcPr>
            <w:tcW w:w="2100" w:type="dxa"/>
            <w:vAlign w:val="bottom"/>
            <w:tcBorders>
              <w:top w:val="single" w:sz="8" w:color="2C6937"/>
              <w:bottom w:val="single" w:sz="8" w:color="2C6937"/>
            </w:tcBorders>
            <w:gridSpan w:val="3"/>
          </w:tcPr>
          <w:p>
            <w:pPr>
              <w:ind w:left="1700"/>
              <w:spacing w:after="0"/>
              <w:rPr>
                <w:sz w:val="20"/>
                <w:szCs w:val="20"/>
                <w:color w:val="auto"/>
              </w:rPr>
            </w:pPr>
            <w:r>
              <w:rPr>
                <w:rFonts w:ascii="Arial" w:cs="Arial" w:eastAsia="Arial" w:hAnsi="Arial"/>
                <w:sz w:val="15"/>
                <w:szCs w:val="15"/>
                <w:b w:val="1"/>
                <w:bCs w:val="1"/>
                <w:color w:val="auto"/>
              </w:rPr>
              <w:t>As of</w:t>
            </w:r>
          </w:p>
        </w:tc>
        <w:tc>
          <w:tcPr>
            <w:tcW w:w="160" w:type="dxa"/>
            <w:vAlign w:val="bottom"/>
            <w:tcBorders>
              <w:top w:val="single" w:sz="8" w:color="2C6937"/>
              <w:bottom w:val="single" w:sz="8" w:color="2C6937"/>
            </w:tcBorders>
          </w:tcPr>
          <w:p>
            <w:pPr>
              <w:spacing w:after="0"/>
              <w:rPr>
                <w:sz w:val="20"/>
                <w:szCs w:val="20"/>
                <w:color w:val="auto"/>
              </w:rPr>
            </w:pPr>
          </w:p>
        </w:tc>
        <w:tc>
          <w:tcPr>
            <w:tcW w:w="1760" w:type="dxa"/>
            <w:vAlign w:val="bottom"/>
            <w:tcBorders>
              <w:top w:val="single" w:sz="8" w:color="2C6937"/>
              <w:bottom w:val="single" w:sz="8" w:color="2C6937"/>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2100" w:type="dxa"/>
            <w:vAlign w:val="bottom"/>
            <w:tcBorders>
              <w:bottom w:val="single" w:sz="8" w:color="2C6937"/>
            </w:tcBorders>
            <w:gridSpan w:val="3"/>
          </w:tcPr>
          <w:p>
            <w:pPr>
              <w:ind w:left="14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Borders>
              <w:bottom w:val="single" w:sz="8" w:color="2C6937"/>
            </w:tcBorders>
          </w:tcPr>
          <w:p>
            <w:pPr>
              <w:spacing w:after="0"/>
              <w:rPr>
                <w:sz w:val="17"/>
                <w:szCs w:val="17"/>
                <w:color w:val="auto"/>
              </w:rPr>
            </w:pPr>
          </w:p>
        </w:tc>
        <w:tc>
          <w:tcPr>
            <w:tcW w:w="1760" w:type="dxa"/>
            <w:vAlign w:val="bottom"/>
            <w:tcBorders>
              <w:bottom w:val="single" w:sz="8" w:color="2C6937"/>
            </w:tcBorders>
          </w:tcPr>
          <w:p>
            <w:pPr>
              <w:jc w:val="right"/>
              <w:ind w:right="203"/>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207"/>
        </w:trPr>
        <w:tc>
          <w:tcPr>
            <w:tcW w:w="67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Lender liquidity:</w:t>
            </w:r>
          </w:p>
        </w:tc>
        <w:tc>
          <w:tcPr>
            <w:tcW w:w="220" w:type="dxa"/>
            <w:vAlign w:val="bottom"/>
          </w:tcPr>
          <w:p>
            <w:pPr>
              <w:spacing w:after="0"/>
              <w:rPr>
                <w:sz w:val="17"/>
                <w:szCs w:val="17"/>
                <w:color w:val="auto"/>
              </w:rPr>
            </w:pPr>
          </w:p>
        </w:tc>
        <w:tc>
          <w:tcPr>
            <w:tcW w:w="4020" w:type="dxa"/>
            <w:vAlign w:val="bottom"/>
            <w:gridSpan w:val="5"/>
          </w:tcPr>
          <w:p>
            <w:pPr>
              <w:jc w:val="right"/>
              <w:ind w:right="1323"/>
              <w:spacing w:after="0"/>
              <w:rPr>
                <w:sz w:val="20"/>
                <w:szCs w:val="20"/>
                <w:color w:val="auto"/>
              </w:rPr>
            </w:pPr>
            <w:r>
              <w:rPr>
                <w:rFonts w:ascii="Arial" w:cs="Arial" w:eastAsia="Arial" w:hAnsi="Arial"/>
                <w:sz w:val="15"/>
                <w:szCs w:val="15"/>
                <w:b w:val="1"/>
                <w:bCs w:val="1"/>
                <w:color w:val="auto"/>
              </w:rPr>
              <w:t>(Dollars in millions)</w:t>
            </w:r>
          </w:p>
        </w:tc>
        <w:tc>
          <w:tcPr>
            <w:tcW w:w="0" w:type="dxa"/>
            <w:vAlign w:val="bottom"/>
          </w:tcPr>
          <w:p>
            <w:pPr>
              <w:spacing w:after="0"/>
              <w:rPr>
                <w:sz w:val="1"/>
                <w:szCs w:val="1"/>
                <w:color w:val="auto"/>
              </w:rPr>
            </w:pPr>
          </w:p>
        </w:tc>
      </w:tr>
      <w:tr>
        <w:trPr>
          <w:trHeight w:val="199"/>
        </w:trPr>
        <w:tc>
          <w:tcPr>
            <w:tcW w:w="6740" w:type="dxa"/>
            <w:vAlign w:val="bottom"/>
            <w:gridSpan w:val="2"/>
            <w:vMerge w:val="continue"/>
          </w:tcPr>
          <w:p>
            <w:pPr>
              <w:spacing w:after="0"/>
              <w:rPr>
                <w:sz w:val="17"/>
                <w:szCs w:val="17"/>
                <w:color w:val="auto"/>
              </w:rPr>
            </w:pPr>
          </w:p>
        </w:tc>
        <w:tc>
          <w:tcPr>
            <w:tcW w:w="22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96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40,431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60"/>
              <w:spacing w:after="0" w:line="205" w:lineRule="exact"/>
              <w:rPr>
                <w:sz w:val="20"/>
                <w:szCs w:val="20"/>
                <w:color w:val="auto"/>
              </w:rPr>
            </w:pPr>
            <w:r>
              <w:rPr>
                <w:rFonts w:ascii="Arial" w:cs="Arial" w:eastAsia="Arial" w:hAnsi="Arial"/>
                <w:sz w:val="15"/>
                <w:szCs w:val="15"/>
                <w:color w:val="auto"/>
              </w:rPr>
              <w:t>Agency securities</w:t>
            </w:r>
            <w:r>
              <w:rPr>
                <w:rFonts w:ascii="Arial" w:cs="Arial" w:eastAsia="Arial" w:hAnsi="Arial"/>
                <w:sz w:val="20"/>
                <w:szCs w:val="20"/>
                <w:color w:val="auto"/>
                <w:vertAlign w:val="superscript"/>
              </w:rPr>
              <w:t>(1)</w:t>
            </w:r>
          </w:p>
        </w:tc>
        <w:tc>
          <w:tcPr>
            <w:tcW w:w="220" w:type="dxa"/>
            <w:vAlign w:val="bottom"/>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40,550</w:t>
            </w:r>
          </w:p>
        </w:tc>
        <w:tc>
          <w:tcPr>
            <w:tcW w:w="0" w:type="dxa"/>
            <w:vAlign w:val="bottom"/>
          </w:tcPr>
          <w:p>
            <w:pPr>
              <w:spacing w:after="0"/>
              <w:rPr>
                <w:sz w:val="1"/>
                <w:szCs w:val="1"/>
                <w:color w:val="auto"/>
              </w:rPr>
            </w:pPr>
          </w:p>
        </w:tc>
      </w:tr>
      <w:tr>
        <w:trPr>
          <w:trHeight w:val="208"/>
        </w:trPr>
        <w:tc>
          <w:tcPr>
            <w:tcW w:w="6600" w:type="dxa"/>
            <w:vAlign w:val="bottom"/>
            <w:tcBorders>
              <w:bottom w:val="single" w:sz="8" w:color="2C6937"/>
            </w:tcBorders>
          </w:tcPr>
          <w:p>
            <w:pPr>
              <w:ind w:left="260"/>
              <w:spacing w:after="0"/>
              <w:rPr>
                <w:sz w:val="20"/>
                <w:szCs w:val="20"/>
                <w:color w:val="auto"/>
              </w:rPr>
            </w:pPr>
            <w:r>
              <w:rPr>
                <w:rFonts w:ascii="Arial" w:cs="Arial" w:eastAsia="Arial" w:hAnsi="Arial"/>
                <w:sz w:val="15"/>
                <w:szCs w:val="15"/>
                <w:color w:val="auto"/>
              </w:rPr>
              <w:t>Mortgage loans</w:t>
            </w:r>
          </w:p>
        </w:tc>
        <w:tc>
          <w:tcPr>
            <w:tcW w:w="1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6,962</w:t>
            </w:r>
          </w:p>
        </w:tc>
        <w:tc>
          <w:tcPr>
            <w:tcW w:w="12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8,093</w:t>
            </w:r>
          </w:p>
        </w:tc>
        <w:tc>
          <w:tcPr>
            <w:tcW w:w="0" w:type="dxa"/>
            <w:vAlign w:val="bottom"/>
          </w:tcPr>
          <w:p>
            <w:pPr>
              <w:spacing w:after="0"/>
              <w:rPr>
                <w:sz w:val="1"/>
                <w:szCs w:val="1"/>
                <w:color w:val="auto"/>
              </w:rPr>
            </w:pPr>
          </w:p>
        </w:tc>
      </w:tr>
      <w:tr>
        <w:trPr>
          <w:trHeight w:val="198"/>
        </w:trPr>
        <w:tc>
          <w:tcPr>
            <w:tcW w:w="6740" w:type="dxa"/>
            <w:vAlign w:val="bottom"/>
            <w:gridSpan w:val="2"/>
          </w:tcPr>
          <w:p>
            <w:pPr>
              <w:ind w:left="120"/>
              <w:spacing w:after="0"/>
              <w:rPr>
                <w:sz w:val="20"/>
                <w:szCs w:val="20"/>
                <w:color w:val="auto"/>
              </w:rPr>
            </w:pPr>
            <w:r>
              <w:rPr>
                <w:rFonts w:ascii="Arial" w:cs="Arial" w:eastAsia="Arial" w:hAnsi="Arial"/>
                <w:sz w:val="15"/>
                <w:szCs w:val="15"/>
                <w:color w:val="auto"/>
              </w:rPr>
              <w:t>Total lender liquidity</w:t>
            </w:r>
          </w:p>
        </w:tc>
        <w:tc>
          <w:tcPr>
            <w:tcW w:w="220" w:type="dxa"/>
            <w:vAlign w:val="bottom"/>
          </w:tcPr>
          <w:p>
            <w:pPr>
              <w:spacing w:after="0"/>
              <w:rPr>
                <w:sz w:val="17"/>
                <w:szCs w:val="17"/>
                <w:color w:val="auto"/>
              </w:rPr>
            </w:pPr>
          </w:p>
        </w:tc>
        <w:tc>
          <w:tcPr>
            <w:tcW w:w="1960" w:type="dxa"/>
            <w:vAlign w:val="bottom"/>
          </w:tcPr>
          <w:p>
            <w:pPr>
              <w:jc w:val="right"/>
              <w:ind w:right="3"/>
              <w:spacing w:after="0"/>
              <w:rPr>
                <w:sz w:val="20"/>
                <w:szCs w:val="20"/>
                <w:color w:val="auto"/>
              </w:rPr>
            </w:pPr>
            <w:r>
              <w:rPr>
                <w:rFonts w:ascii="Arial" w:cs="Arial" w:eastAsia="Arial" w:hAnsi="Arial"/>
                <w:sz w:val="15"/>
                <w:szCs w:val="15"/>
                <w:b w:val="1"/>
                <w:bCs w:val="1"/>
                <w:color w:val="auto"/>
              </w:rPr>
              <w:t>47,393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48,643</w:t>
            </w:r>
          </w:p>
        </w:tc>
        <w:tc>
          <w:tcPr>
            <w:tcW w:w="0" w:type="dxa"/>
            <w:vAlign w:val="bottom"/>
          </w:tcPr>
          <w:p>
            <w:pPr>
              <w:spacing w:after="0"/>
              <w:rPr>
                <w:sz w:val="1"/>
                <w:szCs w:val="1"/>
                <w:color w:val="auto"/>
              </w:rPr>
            </w:pPr>
          </w:p>
        </w:tc>
      </w:tr>
      <w:tr>
        <w:trPr>
          <w:trHeight w:val="206"/>
        </w:trPr>
        <w:tc>
          <w:tcPr>
            <w:tcW w:w="6740" w:type="dxa"/>
            <w:vAlign w:val="bottom"/>
            <w:gridSpan w:val="2"/>
          </w:tcPr>
          <w:p>
            <w:pPr>
              <w:spacing w:after="0" w:line="207" w:lineRule="exact"/>
              <w:rPr>
                <w:sz w:val="20"/>
                <w:szCs w:val="20"/>
                <w:color w:val="auto"/>
              </w:rPr>
            </w:pPr>
            <w:r>
              <w:rPr>
                <w:rFonts w:ascii="Arial" w:cs="Arial" w:eastAsia="Arial" w:hAnsi="Arial"/>
                <w:sz w:val="15"/>
                <w:szCs w:val="15"/>
                <w:b w:val="1"/>
                <w:bCs w:val="1"/>
                <w:color w:val="auto"/>
              </w:rPr>
              <w:t>Loss mitigation mortgage loans</w:t>
            </w:r>
            <w:r>
              <w:rPr>
                <w:rFonts w:ascii="Arial" w:cs="Arial" w:eastAsia="Arial" w:hAnsi="Arial"/>
                <w:sz w:val="20"/>
                <w:szCs w:val="20"/>
                <w:b w:val="1"/>
                <w:bCs w:val="1"/>
                <w:color w:val="auto"/>
                <w:vertAlign w:val="superscript"/>
              </w:rPr>
              <w:t>(2)</w:t>
            </w:r>
          </w:p>
        </w:tc>
        <w:tc>
          <w:tcPr>
            <w:tcW w:w="220" w:type="dxa"/>
            <w:vAlign w:val="bottom"/>
          </w:tcPr>
          <w:p>
            <w:pPr>
              <w:spacing w:after="0"/>
              <w:rPr>
                <w:sz w:val="17"/>
                <w:szCs w:val="17"/>
                <w:color w:val="auto"/>
              </w:rPr>
            </w:pPr>
          </w:p>
        </w:tc>
        <w:tc>
          <w:tcPr>
            <w:tcW w:w="1960" w:type="dxa"/>
            <w:vAlign w:val="bottom"/>
          </w:tcPr>
          <w:p>
            <w:pPr>
              <w:jc w:val="right"/>
              <w:ind w:right="3"/>
              <w:spacing w:after="0"/>
              <w:rPr>
                <w:sz w:val="20"/>
                <w:szCs w:val="20"/>
                <w:color w:val="auto"/>
              </w:rPr>
            </w:pPr>
            <w:r>
              <w:rPr>
                <w:rFonts w:ascii="Arial" w:cs="Arial" w:eastAsia="Arial" w:hAnsi="Arial"/>
                <w:sz w:val="15"/>
                <w:szCs w:val="15"/>
                <w:b w:val="1"/>
                <w:bCs w:val="1"/>
                <w:color w:val="auto"/>
              </w:rPr>
              <w:t>46,168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40,194</w:t>
            </w:r>
          </w:p>
        </w:tc>
        <w:tc>
          <w:tcPr>
            <w:tcW w:w="0" w:type="dxa"/>
            <w:vAlign w:val="bottom"/>
          </w:tcPr>
          <w:p>
            <w:pPr>
              <w:spacing w:after="0"/>
              <w:rPr>
                <w:sz w:val="1"/>
                <w:szCs w:val="1"/>
                <w:color w:val="auto"/>
              </w:rPr>
            </w:pPr>
          </w:p>
        </w:tc>
      </w:tr>
      <w:tr>
        <w:trPr>
          <w:trHeight w:val="208"/>
        </w:trPr>
        <w:tc>
          <w:tcPr>
            <w:tcW w:w="6740" w:type="dxa"/>
            <w:vAlign w:val="bottom"/>
            <w:gridSpan w:val="2"/>
          </w:tcPr>
          <w:p>
            <w:pPr>
              <w:spacing w:after="0"/>
              <w:rPr>
                <w:sz w:val="20"/>
                <w:szCs w:val="20"/>
                <w:color w:val="auto"/>
              </w:rPr>
            </w:pPr>
            <w:r>
              <w:rPr>
                <w:rFonts w:ascii="Arial" w:cs="Arial" w:eastAsia="Arial" w:hAnsi="Arial"/>
                <w:sz w:val="15"/>
                <w:szCs w:val="15"/>
                <w:b w:val="1"/>
                <w:bCs w:val="1"/>
                <w:color w:val="auto"/>
              </w:rPr>
              <w:t>Other:</w:t>
            </w:r>
          </w:p>
        </w:tc>
        <w:tc>
          <w:tcPr>
            <w:tcW w:w="220" w:type="dxa"/>
            <w:vAlign w:val="bottom"/>
          </w:tcPr>
          <w:p>
            <w:pPr>
              <w:spacing w:after="0"/>
              <w:rPr>
                <w:sz w:val="18"/>
                <w:szCs w:val="18"/>
                <w:color w:val="auto"/>
              </w:rPr>
            </w:pPr>
          </w:p>
        </w:tc>
        <w:tc>
          <w:tcPr>
            <w:tcW w:w="196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2,863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60"/>
              <w:spacing w:after="0" w:line="205" w:lineRule="exact"/>
              <w:rPr>
                <w:sz w:val="20"/>
                <w:szCs w:val="20"/>
                <w:color w:val="auto"/>
              </w:rPr>
            </w:pPr>
            <w:r>
              <w:rPr>
                <w:rFonts w:ascii="Arial" w:cs="Arial" w:eastAsia="Arial" w:hAnsi="Arial"/>
                <w:sz w:val="15"/>
                <w:szCs w:val="15"/>
                <w:color w:val="auto"/>
              </w:rPr>
              <w:t>Reverse mortgage loans and securities</w:t>
            </w:r>
            <w:r>
              <w:rPr>
                <w:rFonts w:ascii="Arial" w:cs="Arial" w:eastAsia="Arial" w:hAnsi="Arial"/>
                <w:sz w:val="20"/>
                <w:szCs w:val="20"/>
                <w:color w:val="auto"/>
                <w:vertAlign w:val="superscript"/>
              </w:rPr>
              <w:t>(3)</w:t>
            </w:r>
          </w:p>
        </w:tc>
        <w:tc>
          <w:tcPr>
            <w:tcW w:w="22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3,542</w:t>
            </w:r>
          </w:p>
        </w:tc>
        <w:tc>
          <w:tcPr>
            <w:tcW w:w="0" w:type="dxa"/>
            <w:vAlign w:val="bottom"/>
          </w:tcPr>
          <w:p>
            <w:pPr>
              <w:spacing w:after="0"/>
              <w:rPr>
                <w:sz w:val="1"/>
                <w:szCs w:val="1"/>
                <w:color w:val="auto"/>
              </w:rPr>
            </w:pPr>
          </w:p>
        </w:tc>
      </w:tr>
      <w:tr>
        <w:trPr>
          <w:trHeight w:val="208"/>
        </w:trPr>
        <w:tc>
          <w:tcPr>
            <w:tcW w:w="6600" w:type="dxa"/>
            <w:vAlign w:val="bottom"/>
            <w:tcBorders>
              <w:bottom w:val="single" w:sz="8" w:color="2C6937"/>
            </w:tcBorders>
          </w:tcPr>
          <w:p>
            <w:pPr>
              <w:ind w:left="260"/>
              <w:spacing w:after="0" w:line="207" w:lineRule="exact"/>
              <w:rPr>
                <w:sz w:val="20"/>
                <w:szCs w:val="20"/>
                <w:color w:val="auto"/>
              </w:rPr>
            </w:pPr>
            <w:r>
              <w:rPr>
                <w:rFonts w:ascii="Arial" w:cs="Arial" w:eastAsia="Arial" w:hAnsi="Arial"/>
                <w:sz w:val="15"/>
                <w:szCs w:val="15"/>
                <w:color w:val="auto"/>
              </w:rPr>
              <w:t>Other mortgage loans and securities</w:t>
            </w:r>
            <w:r>
              <w:rPr>
                <w:rFonts w:ascii="Arial" w:cs="Arial" w:eastAsia="Arial" w:hAnsi="Arial"/>
                <w:sz w:val="20"/>
                <w:szCs w:val="20"/>
                <w:color w:val="auto"/>
                <w:vertAlign w:val="superscript"/>
              </w:rPr>
              <w:t>(4)</w:t>
            </w:r>
          </w:p>
        </w:tc>
        <w:tc>
          <w:tcPr>
            <w:tcW w:w="14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2,355</w:t>
            </w:r>
          </w:p>
        </w:tc>
        <w:tc>
          <w:tcPr>
            <w:tcW w:w="12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1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2,502</w:t>
            </w:r>
          </w:p>
        </w:tc>
        <w:tc>
          <w:tcPr>
            <w:tcW w:w="0" w:type="dxa"/>
            <w:vAlign w:val="bottom"/>
          </w:tcPr>
          <w:p>
            <w:pPr>
              <w:spacing w:after="0"/>
              <w:rPr>
                <w:sz w:val="1"/>
                <w:szCs w:val="1"/>
                <w:color w:val="auto"/>
              </w:rPr>
            </w:pPr>
          </w:p>
        </w:tc>
      </w:tr>
      <w:tr>
        <w:trPr>
          <w:trHeight w:val="199"/>
        </w:trPr>
        <w:tc>
          <w:tcPr>
            <w:tcW w:w="660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Total other</w:t>
            </w:r>
          </w:p>
        </w:tc>
        <w:tc>
          <w:tcPr>
            <w:tcW w:w="14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9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5,218</w:t>
            </w:r>
          </w:p>
        </w:tc>
        <w:tc>
          <w:tcPr>
            <w:tcW w:w="12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7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6,044</w:t>
            </w:r>
          </w:p>
        </w:tc>
        <w:tc>
          <w:tcPr>
            <w:tcW w:w="0" w:type="dxa"/>
            <w:vAlign w:val="bottom"/>
          </w:tcPr>
          <w:p>
            <w:pPr>
              <w:spacing w:after="0"/>
              <w:rPr>
                <w:sz w:val="1"/>
                <w:szCs w:val="1"/>
                <w:color w:val="auto"/>
              </w:rPr>
            </w:pPr>
          </w:p>
        </w:tc>
      </w:tr>
      <w:tr>
        <w:trPr>
          <w:trHeight w:val="199"/>
        </w:trPr>
        <w:tc>
          <w:tcPr>
            <w:tcW w:w="6740" w:type="dxa"/>
            <w:vAlign w:val="bottom"/>
            <w:gridSpan w:val="2"/>
          </w:tcPr>
          <w:p>
            <w:pPr>
              <w:spacing w:after="0"/>
              <w:rPr>
                <w:sz w:val="20"/>
                <w:szCs w:val="20"/>
                <w:color w:val="auto"/>
              </w:rPr>
            </w:pPr>
            <w:r>
              <w:rPr>
                <w:rFonts w:ascii="Arial" w:cs="Arial" w:eastAsia="Arial" w:hAnsi="Arial"/>
                <w:sz w:val="15"/>
                <w:szCs w:val="15"/>
                <w:color w:val="auto"/>
              </w:rPr>
              <w:t>Total retained mortgage portfolio</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960" w:type="dxa"/>
            <w:vAlign w:val="bottom"/>
          </w:tcPr>
          <w:p>
            <w:pPr>
              <w:jc w:val="right"/>
              <w:ind w:right="3"/>
              <w:spacing w:after="0"/>
              <w:rPr>
                <w:sz w:val="20"/>
                <w:szCs w:val="20"/>
                <w:color w:val="auto"/>
              </w:rPr>
            </w:pPr>
            <w:r>
              <w:rPr>
                <w:rFonts w:ascii="Arial" w:cs="Arial" w:eastAsia="Arial" w:hAnsi="Arial"/>
                <w:sz w:val="15"/>
                <w:szCs w:val="15"/>
                <w:b w:val="1"/>
                <w:bCs w:val="1"/>
                <w:color w:val="auto"/>
              </w:rPr>
              <w:t>98,779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94,881</w:t>
            </w:r>
          </w:p>
        </w:tc>
        <w:tc>
          <w:tcPr>
            <w:tcW w:w="0" w:type="dxa"/>
            <w:vAlign w:val="bottom"/>
          </w:tcPr>
          <w:p>
            <w:pPr>
              <w:spacing w:after="0"/>
              <w:rPr>
                <w:sz w:val="1"/>
                <w:szCs w:val="1"/>
                <w:color w:val="auto"/>
              </w:rPr>
            </w:pPr>
          </w:p>
        </w:tc>
      </w:tr>
      <w:tr>
        <w:trPr>
          <w:trHeight w:val="20"/>
        </w:trPr>
        <w:tc>
          <w:tcPr>
            <w:tcW w:w="66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9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7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740" w:type="dxa"/>
            <w:vAlign w:val="bottom"/>
            <w:gridSpan w:val="2"/>
          </w:tcPr>
          <w:p>
            <w:pPr>
              <w:spacing w:after="0"/>
              <w:rPr>
                <w:sz w:val="20"/>
                <w:szCs w:val="20"/>
                <w:color w:val="auto"/>
              </w:rPr>
            </w:pPr>
            <w:r>
              <w:rPr>
                <w:rFonts w:ascii="Arial" w:cs="Arial" w:eastAsia="Arial" w:hAnsi="Arial"/>
                <w:sz w:val="15"/>
                <w:szCs w:val="15"/>
                <w:b w:val="1"/>
                <w:bCs w:val="1"/>
                <w:color w:val="auto"/>
              </w:rPr>
              <w:t>Retained mortgage portfolio by segment:</w:t>
            </w:r>
          </w:p>
        </w:tc>
        <w:tc>
          <w:tcPr>
            <w:tcW w:w="22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96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92,621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6740" w:type="dxa"/>
            <w:vAlign w:val="bottom"/>
            <w:gridSpan w:val="2"/>
          </w:tcPr>
          <w:p>
            <w:pPr>
              <w:ind w:left="200"/>
              <w:spacing w:after="0"/>
              <w:rPr>
                <w:sz w:val="20"/>
                <w:szCs w:val="20"/>
                <w:color w:val="auto"/>
              </w:rPr>
            </w:pPr>
            <w:r>
              <w:rPr>
                <w:rFonts w:ascii="Arial" w:cs="Arial" w:eastAsia="Arial" w:hAnsi="Arial"/>
                <w:sz w:val="15"/>
                <w:szCs w:val="15"/>
                <w:color w:val="auto"/>
              </w:rPr>
              <w:t>Single-family mortgage loans and mortgage-related securities</w:t>
            </w:r>
          </w:p>
        </w:tc>
        <w:tc>
          <w:tcPr>
            <w:tcW w:w="220" w:type="dxa"/>
            <w:vAlign w:val="bottom"/>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89,308</w:t>
            </w:r>
          </w:p>
        </w:tc>
        <w:tc>
          <w:tcPr>
            <w:tcW w:w="0" w:type="dxa"/>
            <w:vAlign w:val="bottom"/>
          </w:tcPr>
          <w:p>
            <w:pPr>
              <w:spacing w:after="0"/>
              <w:rPr>
                <w:sz w:val="1"/>
                <w:szCs w:val="1"/>
                <w:color w:val="auto"/>
              </w:rPr>
            </w:pPr>
          </w:p>
        </w:tc>
      </w:tr>
      <w:tr>
        <w:trPr>
          <w:trHeight w:val="214"/>
        </w:trPr>
        <w:tc>
          <w:tcPr>
            <w:tcW w:w="6740" w:type="dxa"/>
            <w:vAlign w:val="bottom"/>
            <w:gridSpan w:val="2"/>
          </w:tcPr>
          <w:p>
            <w:pPr>
              <w:ind w:left="200"/>
              <w:spacing w:after="0"/>
              <w:rPr>
                <w:sz w:val="20"/>
                <w:szCs w:val="20"/>
                <w:color w:val="auto"/>
              </w:rPr>
            </w:pPr>
            <w:r>
              <w:rPr>
                <w:rFonts w:ascii="Arial" w:cs="Arial" w:eastAsia="Arial" w:hAnsi="Arial"/>
                <w:sz w:val="15"/>
                <w:szCs w:val="15"/>
                <w:color w:val="auto"/>
              </w:rPr>
              <w:t>Multifamily mortgage loans and mortgage-related securities</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960" w:type="dxa"/>
            <w:vAlign w:val="bottom"/>
          </w:tcPr>
          <w:p>
            <w:pPr>
              <w:jc w:val="right"/>
              <w:ind w:right="3"/>
              <w:spacing w:after="0"/>
              <w:rPr>
                <w:sz w:val="20"/>
                <w:szCs w:val="20"/>
                <w:color w:val="auto"/>
              </w:rPr>
            </w:pPr>
            <w:r>
              <w:rPr>
                <w:rFonts w:ascii="Arial" w:cs="Arial" w:eastAsia="Arial" w:hAnsi="Arial"/>
                <w:sz w:val="15"/>
                <w:szCs w:val="15"/>
                <w:b w:val="1"/>
                <w:bCs w:val="1"/>
                <w:color w:val="auto"/>
              </w:rPr>
              <w:t>6,158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5,573</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0" w:right="200" w:hanging="237"/>
        <w:spacing w:after="0" w:line="218" w:lineRule="auto"/>
        <w:tabs>
          <w:tab w:leader="none" w:pos="233"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Consists of Fannie Mae, Freddie Mac and Ginnie Mae mortgage-related securities, including Freddie Mac securities guaranteed by Fannie Mae. Excludes Fannie Mae and Ginnie Mae reverse mortgage securities and Fannie Mae-wrapped private-label securities.</w:t>
      </w:r>
    </w:p>
    <w:p>
      <w:pPr>
        <w:spacing w:after="0" w:line="26" w:lineRule="exact"/>
        <w:rPr>
          <w:rFonts w:ascii="Arial" w:cs="Arial" w:eastAsia="Arial" w:hAnsi="Arial"/>
          <w:sz w:val="18"/>
          <w:szCs w:val="18"/>
          <w:color w:val="auto"/>
          <w:vertAlign w:val="superscript"/>
        </w:rPr>
      </w:pPr>
    </w:p>
    <w:p>
      <w:pPr>
        <w:ind w:left="240" w:right="20" w:hanging="237"/>
        <w:spacing w:after="0" w:line="226" w:lineRule="auto"/>
        <w:tabs>
          <w:tab w:leader="none" w:pos="233"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Includes single-family loans on nonaccrual status of $11.8 billion and $10.3 billion as of September 30, 2025 and December 31, 2024, respectively. Also includes multifamily loans on nonaccrual status of $2.5 billion and $2.9 billion as of September 30, 2025 and December 31, 2024, respectively.</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Includes Fannie Mae and Ginnie Mae reverse mortgage securities. We stopped acquiring newly originated reverse mortgage loans in 2010.</w:t>
      </w:r>
    </w:p>
    <w:p>
      <w:pPr>
        <w:spacing w:after="0" w:line="37" w:lineRule="exact"/>
        <w:rPr>
          <w:rFonts w:ascii="Arial" w:cs="Arial" w:eastAsia="Arial" w:hAnsi="Arial"/>
          <w:sz w:val="18"/>
          <w:szCs w:val="18"/>
          <w:color w:val="auto"/>
          <w:vertAlign w:val="superscript"/>
        </w:rPr>
      </w:pPr>
    </w:p>
    <w:p>
      <w:pPr>
        <w:ind w:left="240" w:right="280" w:hanging="237"/>
        <w:spacing w:after="0" w:line="210" w:lineRule="auto"/>
        <w:tabs>
          <w:tab w:leader="none" w:pos="233"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Other mortgage loans primarily includes multifamily loans on accrual status and single-family loans that are not included in the loss mitigation or lender liquidity categories. Other mortgage securities primarily includes private-label securities and mortgage revenue bonds.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The amount of mortgage assets that we may own is capped at $225 billion under the terms of our senior preferred stock purchase agreement with Treasury.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are also subject to specified limitations on the composition of our retained mortgage portfolio pursuant to FHFA guidance.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9" w:name="page20"/>
    <w:bookmarkEnd w:id="19"/>
    <w:p>
      <w:pPr>
        <w:ind w:left="9000"/>
        <w:spacing w:after="0"/>
        <w:rPr>
          <w:sz w:val="20"/>
          <w:szCs w:val="20"/>
          <w:color w:val="auto"/>
        </w:rPr>
      </w:pPr>
      <w:r>
        <w:rPr>
          <w:rFonts w:ascii="Arial" w:cs="Arial" w:eastAsia="Arial" w:hAnsi="Arial"/>
          <w:sz w:val="13"/>
          <w:szCs w:val="13"/>
          <w:color w:val="05314D"/>
        </w:rPr>
        <w:t>MD&amp;A | Retained Mortgage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7122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include 10% of the notional value of the interest-only securities we hold in calculating the size of the retained mortgage portfolio for the purpose of determining compliance with the senior preferred stock purchase agreement mortgage assets cap and associated FHFA instructions. As of September 30, 2025, 10% of the notional value of our interest-only securities was $1.7 billion, which is not included in the table above.</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Under the terms of our MBS trust documents, we have the option or, in some instances, the obligation, to purchase mortgage loans that meet specific criteria from an MBS trust. FHFA has also provided us with instruction on our single-family delinquent loan buyout policy. The purchase price for these loans is the unpaid principal balance of the loans plus accrued interest. In support of our loss mitigation strategies, we purchased $11.7 billion of loans from our single-family MBS trusts in the first nine months of 2025, the substantial majority of which were delinquent, compared with $9.6 billion of loans in the first nine months of 2024.</w:t>
      </w:r>
    </w:p>
    <w:p>
      <w:pPr>
        <w:spacing w:after="0" w:line="9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jc w:val="both"/>
        <w:ind w:right="200"/>
        <w:spacing w:after="0" w:line="272" w:lineRule="auto"/>
        <w:rPr>
          <w:sz w:val="20"/>
          <w:szCs w:val="20"/>
          <w:color w:val="auto"/>
        </w:rPr>
      </w:pPr>
      <w:r>
        <w:rPr>
          <w:rFonts w:ascii="Arial" w:cs="Arial" w:eastAsia="Arial" w:hAnsi="Arial"/>
          <w:sz w:val="16"/>
          <w:szCs w:val="16"/>
          <w:color w:val="auto"/>
        </w:rPr>
        <w:t>When we securitize mortgage loans originated by lenders into Fannie Mae mortgage-backed securities, we issue guarantees, assuming the credit risk for those mortgage loans. Our guaranty book of business offers insight into both the guarantees we’ve issued and the credit risk of the loans we’ve acquired that back our MBS outstanding or that are held in our retained mortgage portfolio.</w:t>
      </w:r>
    </w:p>
    <w:p>
      <w:pPr>
        <w:spacing w:after="0" w:line="3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“guaranty book of business” consists of: (1) Fannie Mae MBS outstanding, excluding the portions of any structured securities we issue that are backed by Freddie Mac securities, (2) mortgage loans of Fannie Mae held in our retained mortgage portfolio, and (3) other credit enhancements that we provide on mortgage assets. These components are categorized as either conventional or government based on whether the underlying mortgage loans or securities are fully or partially guaranteed or insured by the U.S. government (referred to as “government”) or are not fully or partially guaranteed or insured by the U.S. government (referred to as “conventional”).</w:t>
      </w:r>
    </w:p>
    <w:p>
      <w:pPr>
        <w:spacing w:after="0" w:line="38"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We use the term “Fannie Mae MBS” or “our MBS” to refer to any type of mortgage-backed security that we issue, including Fannie Mae-issued uniform mortgage-backed securities, or “UMBS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structured securities such as Supers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Real Estate Mortgage Investment Conduit securities (“REMICs”).</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We and Freddie Mac each issue single-family UMBS. In some instances, our MBS are resecuritizations of securities backed in whole or in part by Freddie Mac-issued UMBS, in which case our guaranty extends to the underlying Freddie Mac securities, shown as “Freddie Mac securities guaranteed by Fannie Mae” in the table below. The Freddie Mac securities guaranteed by Fannie Mae are excluded from our “guaranty book of business” because Freddie Mac continues to guarantee the payment of principal and interest on the underlying Freddie Mac securities, but included in “Total Fannie Mae guarantees” as presented in the table below.</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composition of our guaranty book of business and our total Fannie Mae guarantees based on unpaid principal balance.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Composition of Fannie Mae Guaranty Book of Business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60" w:type="dxa"/>
            <w:vAlign w:val="bottom"/>
            <w:tcBorders>
              <w:top w:val="single" w:sz="8" w:color="2C6937"/>
              <w:bottom w:val="single" w:sz="8" w:color="2C6937"/>
            </w:tcBorders>
          </w:tcPr>
          <w:p>
            <w:pPr>
              <w:spacing w:after="0"/>
              <w:rPr>
                <w:sz w:val="18"/>
                <w:szCs w:val="18"/>
                <w:color w:val="auto"/>
              </w:rPr>
            </w:pPr>
          </w:p>
        </w:tc>
        <w:tc>
          <w:tcPr>
            <w:tcW w:w="6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1980" w:type="dxa"/>
            <w:vAlign w:val="bottom"/>
            <w:tcBorders>
              <w:top w:val="single" w:sz="8" w:color="2C6937"/>
              <w:bottom w:val="single" w:sz="8" w:color="2C6937"/>
            </w:tcBorders>
            <w:gridSpan w:val="4"/>
          </w:tcPr>
          <w:p>
            <w:pPr>
              <w:jc w:val="right"/>
              <w:ind w:right="891"/>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40" w:type="dxa"/>
            <w:vAlign w:val="bottom"/>
            <w:tcBorders>
              <w:top w:val="single" w:sz="8" w:color="2C6937"/>
              <w:bottom w:val="single" w:sz="8" w:color="2C6937"/>
            </w:tcBorders>
          </w:tcPr>
          <w:p>
            <w:pPr>
              <w:spacing w:after="0"/>
              <w:rPr>
                <w:sz w:val="18"/>
                <w:szCs w:val="18"/>
                <w:color w:val="auto"/>
              </w:rPr>
            </w:pPr>
          </w:p>
        </w:tc>
        <w:tc>
          <w:tcPr>
            <w:tcW w:w="92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800" w:type="dxa"/>
            <w:vAlign w:val="bottom"/>
            <w:tcBorders>
              <w:top w:val="single" w:sz="8" w:color="2C6937"/>
              <w:bottom w:val="single" w:sz="8" w:color="2C6937"/>
            </w:tcBorders>
          </w:tcPr>
          <w:p>
            <w:pPr>
              <w:spacing w:after="0"/>
              <w:rPr>
                <w:sz w:val="18"/>
                <w:szCs w:val="18"/>
                <w:color w:val="auto"/>
              </w:rPr>
            </w:pPr>
          </w:p>
        </w:tc>
      </w:t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gridSpan w:val="5"/>
          </w:tcPr>
          <w:p>
            <w:pPr>
              <w:spacing w:after="0"/>
              <w:rPr>
                <w:sz w:val="20"/>
                <w:szCs w:val="20"/>
                <w:color w:val="auto"/>
              </w:rPr>
            </w:pPr>
            <w:r>
              <w:rPr>
                <w:rFonts w:ascii="Arial" w:cs="Arial" w:eastAsia="Arial" w:hAnsi="Arial"/>
                <w:sz w:val="14"/>
                <w:szCs w:val="14"/>
                <w:b w:val="1"/>
                <w:bCs w:val="1"/>
                <w:color w:val="auto"/>
                <w:w w:val="99"/>
              </w:rPr>
              <w:t>September 30, 2025</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300" w:type="dxa"/>
            <w:vAlign w:val="bottom"/>
            <w:tcBorders>
              <w:bottom w:val="single" w:sz="8" w:color="2C6937"/>
            </w:tcBorders>
            <w:gridSpan w:val="5"/>
          </w:tcPr>
          <w:p>
            <w:pPr>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spacing w:after="0"/>
              <w:rPr>
                <w:sz w:val="16"/>
                <w:szCs w:val="16"/>
                <w:color w:val="auto"/>
              </w:rPr>
            </w:pPr>
          </w:p>
        </w:tc>
      </w:t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6"/>
              </w:rPr>
              <w:t>Single-Family</w:t>
            </w:r>
          </w:p>
        </w:tc>
        <w:tc>
          <w:tcPr>
            <w:tcW w:w="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6"/>
                <w:szCs w:val="16"/>
                <w:color w:val="auto"/>
              </w:rPr>
            </w:pPr>
          </w:p>
        </w:tc>
        <w:tc>
          <w:tcPr>
            <w:tcW w:w="900" w:type="dxa"/>
            <w:vAlign w:val="bottom"/>
            <w:tcBorders>
              <w:bottom w:val="single" w:sz="8" w:color="2C6937"/>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w w:val="96"/>
              </w:rPr>
              <w:t>Single-Family</w:t>
            </w:r>
          </w:p>
        </w:tc>
        <w:tc>
          <w:tcPr>
            <w:tcW w:w="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185"/>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Conventional guaranty book of business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3,604,657</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523,211</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4,127,868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3,632,700</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502,080</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4,134,780</w:t>
            </w:r>
          </w:p>
        </w:tc>
      </w:tr>
      <w:tr>
        <w:trPr>
          <w:trHeight w:val="194"/>
        </w:trPr>
        <w:tc>
          <w:tcPr>
            <w:tcW w:w="4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Government guaranty book of business</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4,929</w:t>
            </w:r>
          </w:p>
        </w:tc>
        <w:tc>
          <w:tcPr>
            <w:tcW w:w="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475</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5,404</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5,705</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6,195</w:t>
            </w:r>
          </w:p>
        </w:tc>
      </w:tr>
      <w:tr>
        <w:trPr>
          <w:trHeight w:val="185"/>
        </w:trPr>
        <w:tc>
          <w:tcPr>
            <w:tcW w:w="4340" w:type="dxa"/>
            <w:vAlign w:val="bottom"/>
            <w:gridSpan w:val="2"/>
          </w:tcPr>
          <w:p>
            <w:pPr>
              <w:ind w:left="120"/>
              <w:spacing w:after="0"/>
              <w:rPr>
                <w:sz w:val="20"/>
                <w:szCs w:val="20"/>
                <w:color w:val="auto"/>
              </w:rPr>
            </w:pPr>
            <w:r>
              <w:rPr>
                <w:rFonts w:ascii="Arial" w:cs="Arial" w:eastAsia="Arial" w:hAnsi="Arial"/>
                <w:sz w:val="14"/>
                <w:szCs w:val="14"/>
                <w:color w:val="auto"/>
              </w:rPr>
              <w:t>Guaranty book of business</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3,609,586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523,686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4,133,272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3,638,405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502,570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4,140,975</w:t>
            </w:r>
          </w:p>
        </w:tc>
      </w:tr>
      <w:tr>
        <w:trPr>
          <w:trHeight w:val="195"/>
        </w:trPr>
        <w:tc>
          <w:tcPr>
            <w:tcW w:w="42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Freddie Mac securities guaranteed by Fannie Mae</w:t>
            </w:r>
            <w:r>
              <w:rPr>
                <w:rFonts w:ascii="Arial" w:cs="Arial" w:eastAsia="Arial" w:hAnsi="Arial"/>
                <w:sz w:val="17"/>
                <w:szCs w:val="17"/>
                <w:color w:val="auto"/>
                <w:vertAlign w:val="superscript"/>
              </w:rPr>
              <w:t>(1)</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187,870</w:t>
            </w:r>
          </w:p>
        </w:tc>
        <w:tc>
          <w:tcPr>
            <w:tcW w:w="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187,870</w:t>
            </w: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200,086</w:t>
            </w:r>
          </w:p>
        </w:tc>
        <w:tc>
          <w:tcPr>
            <w:tcW w:w="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200,086</w:t>
            </w:r>
          </w:p>
        </w:tc>
      </w:tr>
      <w:tr>
        <w:trPr>
          <w:trHeight w:val="185"/>
        </w:trPr>
        <w:tc>
          <w:tcPr>
            <w:tcW w:w="4340" w:type="dxa"/>
            <w:vAlign w:val="bottom"/>
            <w:gridSpan w:val="2"/>
          </w:tcPr>
          <w:p>
            <w:pPr>
              <w:ind w:left="140"/>
              <w:spacing w:after="0"/>
              <w:rPr>
                <w:sz w:val="20"/>
                <w:szCs w:val="20"/>
                <w:color w:val="auto"/>
              </w:rPr>
            </w:pPr>
            <w:r>
              <w:rPr>
                <w:rFonts w:ascii="Arial" w:cs="Arial" w:eastAsia="Arial" w:hAnsi="Arial"/>
                <w:sz w:val="14"/>
                <w:szCs w:val="14"/>
                <w:color w:val="auto"/>
              </w:rPr>
              <w:t>Total Fannie Mae guarantees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3,797,456</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523,686</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4,321,142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3,838,491</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502,570</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4,341,061</w:t>
            </w:r>
          </w:p>
        </w:tc>
      </w:tr>
      <w:tr>
        <w:trPr>
          <w:trHeight w:val="20"/>
        </w:trPr>
        <w:tc>
          <w:tcPr>
            <w:tcW w:w="4240" w:type="dxa"/>
            <w:vAlign w:val="bottom"/>
            <w:tcBorders>
              <w:top w:val="single" w:sz="8" w:color="216C2B"/>
              <w:bottom w:val="single" w:sz="8" w:color="216C2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r>
    </w:tbl>
    <w:p>
      <w:pPr>
        <w:spacing w:after="0" w:line="109" w:lineRule="exact"/>
        <w:rPr>
          <w:sz w:val="20"/>
          <w:szCs w:val="20"/>
          <w:color w:val="auto"/>
        </w:rPr>
      </w:pPr>
    </w:p>
    <w:p>
      <w:pPr>
        <w:ind w:left="240" w:right="120" w:hanging="237"/>
        <w:spacing w:after="0" w:line="285" w:lineRule="auto"/>
        <w:tabs>
          <w:tab w:leader="none" w:pos="233" w:val="left"/>
        </w:tabs>
        <w:numPr>
          <w:ilvl w:val="0"/>
          <w:numId w:val="19"/>
        </w:numPr>
        <w:rPr>
          <w:rFonts w:ascii="Arial" w:cs="Arial" w:eastAsia="Arial" w:hAnsi="Arial"/>
          <w:sz w:val="8"/>
          <w:szCs w:val="8"/>
          <w:color w:val="auto"/>
        </w:rPr>
      </w:pPr>
      <w:r>
        <w:rPr>
          <w:rFonts w:ascii="Arial" w:cs="Arial" w:eastAsia="Arial" w:hAnsi="Arial"/>
          <w:sz w:val="13"/>
          <w:szCs w:val="13"/>
          <w:color w:val="auto"/>
        </w:rPr>
        <w:t>Represents the unpaid principal balance of Freddie Mac-issued UMBS backing Fannie Mae-issued Supers and REMICs. Because we do not have the power to direct matters (primarily the servicing of mortgage loans) that impact the credit risk to which we are exposed, which constitute control of these securitization trusts, we do not consolidate these trusts in our condensed consolidated balance sheet, giving rise to off-balance sheet exposure. See “Liquidity and Capital Management—Liquidity Management—Off-Balance Sheet Arrangements” and “Note 7, Financial Guarantees for more information regarding our maximum exposure to loss on unconsolidated Fannie Mae MBS and Freddie Mac securities.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17</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0" w:name="page21"/>
    <w:bookmarkEnd w:id="20"/>
    <w:p>
      <w:pPr>
        <w:ind w:left="8940"/>
        <w:spacing w:after="0"/>
        <w:rPr>
          <w:sz w:val="20"/>
          <w:szCs w:val="20"/>
          <w:color w:val="auto"/>
        </w:rPr>
      </w:pPr>
      <w:r>
        <w:rPr>
          <w:rFonts w:ascii="Arial" w:cs="Arial" w:eastAsia="Arial" w:hAnsi="Arial"/>
          <w:sz w:val="14"/>
          <w:szCs w:val="14"/>
          <w:color w:val="05314D"/>
        </w:rPr>
        <w:t>MD&amp;A |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760"/>
        <w:spacing w:after="0"/>
        <w:rPr>
          <w:sz w:val="20"/>
          <w:szCs w:val="20"/>
          <w:color w:val="auto"/>
        </w:rPr>
      </w:pPr>
      <w:r>
        <w:rPr>
          <w:rFonts w:ascii="Georgia" w:cs="Georgia" w:eastAsia="Georgia" w:hAnsi="Georgia"/>
          <w:sz w:val="21"/>
          <w:szCs w:val="21"/>
          <w:b w:val="1"/>
          <w:bCs w:val="1"/>
          <w:color w:val="05314D"/>
        </w:rPr>
        <w:t>Presentation of Gua</w:t>
      </w:r>
      <w:r>
        <w:rPr>
          <w:rFonts w:ascii="Georgia" w:cs="Georgia" w:eastAsia="Georgia" w:hAnsi="Georgia"/>
          <w:sz w:val="21"/>
          <w:szCs w:val="21"/>
          <w:b w:val="1"/>
          <w:bCs w:val="1"/>
          <w:color w:val="002060"/>
        </w:rPr>
        <w:t>ranty Book of Business in the Single-Family Business and Multifamily Business</w:t>
      </w:r>
      <w:r>
        <w:rPr>
          <w:rFonts w:ascii="Georgia" w:cs="Georgia" w:eastAsia="Georgia" w:hAnsi="Georgia"/>
          <w:sz w:val="21"/>
          <w:szCs w:val="21"/>
          <w:b w:val="1"/>
          <w:bCs w:val="1"/>
          <w:color w:val="05314D"/>
        </w:rPr>
        <w:t xml:space="preserve"> </w:t>
      </w:r>
      <w:r>
        <w:rPr>
          <w:rFonts w:ascii="Georgia" w:cs="Georgia" w:eastAsia="Georgia" w:hAnsi="Georgia"/>
          <w:sz w:val="21"/>
          <w:szCs w:val="21"/>
          <w:b w:val="1"/>
          <w:bCs w:val="1"/>
          <w:color w:val="002060"/>
        </w:rPr>
        <w:t>sections</w:t>
      </w:r>
    </w:p>
    <w:p>
      <w:pPr>
        <w:spacing w:after="0" w:line="64"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We present the guaranty book of business in this section and in our Monthly Summary reports, which are available on our website, based on the unpaid principal balance of our MBS outstanding. In the “Single-Family Business” and “Multifamily Business” sections of this report, we present our single-family conventional guaranty book of business and our multifamily guaranty book of business, respectively, based on the unpaid principal balance of mortgage loans underlying our MBS. These amounts differ primarily as a result of payments we receive on underlying loans that have not yet been paid to the MBS holders or in instances where we have advanced missed borrower payments on mortgage loans to make required distributions to MBS holders. The difference in these measurements is less than 1%. Using these two presentations allows us to base the disclosure in this section and in our Monthly Summary reports based on the MBS measurement, and disclosures about the composition of loans in our guaranty book of business based on the loan measurement.</w:t>
      </w:r>
    </w:p>
    <w:p>
      <w:pPr>
        <w:spacing w:after="0" w:line="141"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Business Segment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24130</wp:posOffset>
            </wp:positionV>
            <wp:extent cx="711390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3905" cy="16510"/>
                    </a:xfrm>
                    <a:prstGeom prst="rect">
                      <a:avLst/>
                    </a:prstGeom>
                    <a:noFill/>
                  </pic:spPr>
                </pic:pic>
              </a:graphicData>
            </a:graphic>
          </wp:anchor>
        </w:drawing>
      </w:r>
    </w:p>
    <w:p>
      <w:pPr>
        <w:spacing w:after="0" w:line="151" w:lineRule="exact"/>
        <w:rPr>
          <w:sz w:val="20"/>
          <w:szCs w:val="20"/>
          <w:color w:val="auto"/>
        </w:rPr>
      </w:pPr>
    </w:p>
    <w:p>
      <w:pPr>
        <w:ind w:right="260"/>
        <w:spacing w:after="0" w:line="272" w:lineRule="auto"/>
        <w:rPr>
          <w:sz w:val="20"/>
          <w:szCs w:val="20"/>
          <w:color w:val="auto"/>
        </w:rPr>
      </w:pPr>
      <w:r>
        <w:rPr>
          <w:rFonts w:ascii="Arial" w:cs="Arial" w:eastAsia="Arial" w:hAnsi="Arial"/>
          <w:sz w:val="16"/>
          <w:szCs w:val="16"/>
          <w:color w:val="auto"/>
        </w:rPr>
        <w:t>We have two reportable business segments: Single-Family and Multifamily. This section discusses the primary components of net income for our Single-Family Business and Multifamily Business segments. This information complements the discussion of our condensed consolidated financial results in “Consolidated Results of Operations.”</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05314D"/>
        </w:rPr>
        <w:t>Quarterly Business Segment Financial Results</w:t>
      </w:r>
      <w:r>
        <w:rPr>
          <w:rFonts w:ascii="Arial" w:cs="Arial" w:eastAsia="Arial" w:hAnsi="Arial"/>
          <w:sz w:val="24"/>
          <w:szCs w:val="24"/>
          <w:b w:val="1"/>
          <w:bCs w:val="1"/>
          <w:color w:val="05314D"/>
          <w:vertAlign w:val="superscript"/>
        </w:rPr>
        <w:t>(1)</w:t>
      </w:r>
    </w:p>
    <w:tbl>
      <w:tblPr>
        <w:tblLayout w:type="fixed"/>
        <w:tblInd w:w="60" w:type="dxa"/>
        <w:tblCellMar>
          <w:top w:w="0" w:type="dxa"/>
          <w:left w:w="0" w:type="dxa"/>
          <w:bottom w:w="0" w:type="dxa"/>
          <w:right w:w="0" w:type="dxa"/>
        </w:tblCellMar>
      </w:tblPr>
      <w:tr>
        <w:trPr>
          <w:trHeight w:val="199"/>
        </w:trPr>
        <w:tc>
          <w:tcPr>
            <w:tcW w:w="386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360" w:type="dxa"/>
            <w:vAlign w:val="bottom"/>
            <w:tcBorders>
              <w:top w:val="single" w:sz="8" w:color="2C6937"/>
              <w:bottom w:val="single" w:sz="8" w:color="2C6937"/>
            </w:tcBorders>
          </w:tcPr>
          <w:p>
            <w:pPr>
              <w:spacing w:after="0"/>
              <w:rPr>
                <w:sz w:val="17"/>
                <w:szCs w:val="17"/>
                <w:color w:val="auto"/>
              </w:rPr>
            </w:pPr>
          </w:p>
        </w:tc>
        <w:tc>
          <w:tcPr>
            <w:tcW w:w="4500" w:type="dxa"/>
            <w:vAlign w:val="bottom"/>
            <w:tcBorders>
              <w:top w:val="single" w:sz="8" w:color="2C6937"/>
              <w:bottom w:val="single" w:sz="8" w:color="2C6937"/>
            </w:tcBorders>
            <w:gridSpan w:val="11"/>
          </w:tcPr>
          <w:p>
            <w:pPr>
              <w:ind w:left="560"/>
              <w:spacing w:after="0"/>
              <w:rPr>
                <w:sz w:val="20"/>
                <w:szCs w:val="20"/>
                <w:color w:val="auto"/>
              </w:rPr>
            </w:pPr>
            <w:r>
              <w:rPr>
                <w:rFonts w:ascii="Arial" w:cs="Arial" w:eastAsia="Arial" w:hAnsi="Arial"/>
                <w:sz w:val="15"/>
                <w:szCs w:val="15"/>
                <w:b w:val="1"/>
                <w:bCs w:val="1"/>
                <w:color w:val="auto"/>
              </w:rPr>
              <w:t>For the Three Months Ended September 30,</w:t>
            </w:r>
          </w:p>
        </w:tc>
        <w:tc>
          <w:tcPr>
            <w:tcW w:w="320" w:type="dxa"/>
            <w:vAlign w:val="bottom"/>
            <w:tcBorders>
              <w:top w:val="single" w:sz="8" w:color="2C6937"/>
            </w:tcBorders>
          </w:tcPr>
          <w:p>
            <w:pPr>
              <w:spacing w:after="0"/>
              <w:rPr>
                <w:sz w:val="17"/>
                <w:szCs w:val="17"/>
                <w:color w:val="auto"/>
              </w:rPr>
            </w:pPr>
          </w:p>
        </w:tc>
        <w:tc>
          <w:tcPr>
            <w:tcW w:w="80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980" w:type="dxa"/>
            <w:vAlign w:val="bottom"/>
            <w:tcBorders>
              <w:top w:val="single" w:sz="8" w:color="2C6937"/>
            </w:tcBorders>
          </w:tcPr>
          <w:p>
            <w:pPr>
              <w:spacing w:after="0"/>
              <w:rPr>
                <w:sz w:val="17"/>
                <w:szCs w:val="17"/>
                <w:color w:val="auto"/>
              </w:rPr>
            </w:pPr>
          </w:p>
        </w:tc>
      </w:tr>
      <w:tr>
        <w:trPr>
          <w:trHeight w:val="186"/>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2025</w:t>
            </w: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2024</w:t>
            </w: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2000" w:type="dxa"/>
            <w:vAlign w:val="bottom"/>
            <w:tcBorders>
              <w:bottom w:val="single" w:sz="8" w:color="2C6937"/>
            </w:tcBorders>
            <w:gridSpan w:val="4"/>
          </w:tcPr>
          <w:p>
            <w:pPr>
              <w:jc w:val="right"/>
              <w:ind w:right="467"/>
              <w:spacing w:after="0"/>
              <w:rPr>
                <w:sz w:val="20"/>
                <w:szCs w:val="20"/>
                <w:color w:val="auto"/>
              </w:rPr>
            </w:pPr>
            <w:r>
              <w:rPr>
                <w:rFonts w:ascii="Arial" w:cs="Arial" w:eastAsia="Arial" w:hAnsi="Arial"/>
                <w:sz w:val="15"/>
                <w:szCs w:val="15"/>
                <w:b w:val="1"/>
                <w:bCs w:val="1"/>
                <w:color w:val="auto"/>
              </w:rPr>
              <w:t>Segment Variance</w:t>
            </w:r>
          </w:p>
        </w:tc>
      </w:tr>
      <w:tr>
        <w:trPr>
          <w:trHeight w:val="225"/>
        </w:trPr>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22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ind w:right="107"/>
              <w:spacing w:after="0"/>
              <w:rPr>
                <w:sz w:val="20"/>
                <w:szCs w:val="20"/>
                <w:color w:val="auto"/>
              </w:rPr>
            </w:pPr>
            <w:r>
              <w:rPr>
                <w:rFonts w:ascii="Arial" w:cs="Arial" w:eastAsia="Arial" w:hAnsi="Arial"/>
                <w:sz w:val="15"/>
                <w:szCs w:val="15"/>
                <w:b w:val="1"/>
                <w:bCs w:val="1"/>
                <w:color w:val="auto"/>
                <w:w w:val="99"/>
              </w:rPr>
              <w:t>Multifamily</w:t>
            </w:r>
          </w:p>
        </w:tc>
      </w:tr>
      <w:tr>
        <w:trPr>
          <w:trHeight w:val="193"/>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gridSpan w:val="5"/>
          </w:tcPr>
          <w:p>
            <w:pPr>
              <w:ind w:left="200"/>
              <w:spacing w:after="0"/>
              <w:rPr>
                <w:sz w:val="20"/>
                <w:szCs w:val="20"/>
                <w:color w:val="auto"/>
              </w:rPr>
            </w:pPr>
            <w:r>
              <w:rPr>
                <w:rFonts w:ascii="Arial" w:cs="Arial" w:eastAsia="Arial" w:hAnsi="Arial"/>
                <w:sz w:val="15"/>
                <w:szCs w:val="15"/>
                <w:b w:val="1"/>
                <w:bCs w:val="1"/>
                <w:color w:val="auto"/>
              </w:rPr>
              <w:t>(Dollars in millions)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05"/>
        </w:trPr>
        <w:tc>
          <w:tcPr>
            <w:tcW w:w="3960" w:type="dxa"/>
            <w:vAlign w:val="bottom"/>
            <w:gridSpan w:val="2"/>
          </w:tcPr>
          <w:p>
            <w:pPr>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9"/>
                <w:szCs w:val="9"/>
                <w:color w:val="auto"/>
              </w:rPr>
              <w:t>(2)</w:t>
            </w:r>
          </w:p>
        </w:tc>
        <w:tc>
          <w:tcPr>
            <w:tcW w:w="360" w:type="dxa"/>
            <w:vAlign w:val="bottom"/>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5,992</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1,192</w:t>
            </w:r>
          </w:p>
        </w:tc>
        <w:tc>
          <w:tcPr>
            <w:tcW w:w="100" w:type="dxa"/>
            <w:vAlign w:val="bottom"/>
          </w:tcPr>
          <w:p>
            <w:pPr>
              <w:spacing w:after="0"/>
              <w:rPr>
                <w:sz w:val="24"/>
                <w:szCs w:val="24"/>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6,131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1,144</w:t>
            </w:r>
          </w:p>
        </w:tc>
        <w:tc>
          <w:tcPr>
            <w:tcW w:w="100" w:type="dxa"/>
            <w:vAlign w:val="bottom"/>
          </w:tcPr>
          <w:p>
            <w:pPr>
              <w:spacing w:after="0"/>
              <w:rPr>
                <w:sz w:val="24"/>
                <w:szCs w:val="24"/>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(139)</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307"/>
        </w:trPr>
        <w:tc>
          <w:tcPr>
            <w:tcW w:w="3960" w:type="dxa"/>
            <w:vAlign w:val="bottom"/>
            <w:gridSpan w:val="2"/>
          </w:tcPr>
          <w:p>
            <w:pPr>
              <w:spacing w:after="0"/>
              <w:rPr>
                <w:sz w:val="20"/>
                <w:szCs w:val="20"/>
                <w:color w:val="auto"/>
              </w:rPr>
            </w:pPr>
            <w:r>
              <w:rPr>
                <w:rFonts w:ascii="Arial" w:cs="Arial" w:eastAsia="Arial" w:hAnsi="Arial"/>
                <w:sz w:val="15"/>
                <w:szCs w:val="15"/>
                <w:color w:val="auto"/>
              </w:rPr>
              <w:t>Fee and other income</w:t>
            </w:r>
          </w:p>
        </w:tc>
        <w:tc>
          <w:tcPr>
            <w:tcW w:w="36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104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56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2"/>
        </w:trPr>
        <w:tc>
          <w:tcPr>
            <w:tcW w:w="3860" w:type="dxa"/>
            <w:vAlign w:val="bottom"/>
            <w:tcBorders>
              <w:top w:val="single" w:sz="8" w:color="2C6937"/>
            </w:tcBorders>
          </w:tcPr>
          <w:p>
            <w:pPr>
              <w:ind w:left="160"/>
              <w:spacing w:after="0"/>
              <w:rPr>
                <w:sz w:val="20"/>
                <w:szCs w:val="20"/>
                <w:color w:val="auto"/>
              </w:rPr>
            </w:pPr>
            <w:r>
              <w:rPr>
                <w:rFonts w:ascii="Arial" w:cs="Arial" w:eastAsia="Arial" w:hAnsi="Arial"/>
                <w:sz w:val="15"/>
                <w:szCs w:val="15"/>
                <w:color w:val="auto"/>
              </w:rPr>
              <w:t>Net revenues</w:t>
            </w:r>
          </w:p>
        </w:tc>
        <w:tc>
          <w:tcPr>
            <w:tcW w:w="100" w:type="dxa"/>
            <w:vAlign w:val="bottom"/>
          </w:tcPr>
          <w:p>
            <w:pPr>
              <w:spacing w:after="0"/>
              <w:rPr>
                <w:sz w:val="15"/>
                <w:szCs w:val="15"/>
                <w:color w:val="auto"/>
              </w:rPr>
            </w:pPr>
          </w:p>
        </w:tc>
        <w:tc>
          <w:tcPr>
            <w:tcW w:w="360" w:type="dxa"/>
            <w:vAlign w:val="bottom"/>
            <w:tcBorders>
              <w:top w:val="single" w:sz="8" w:color="2C6937"/>
            </w:tcBorders>
          </w:tcPr>
          <w:p>
            <w:pPr>
              <w:spacing w:after="0"/>
              <w:rPr>
                <w:sz w:val="15"/>
                <w:szCs w:val="15"/>
                <w:color w:val="auto"/>
              </w:rPr>
            </w:pPr>
          </w:p>
        </w:tc>
        <w:tc>
          <w:tcPr>
            <w:tcW w:w="76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6,096</w:t>
            </w:r>
          </w:p>
        </w:tc>
        <w:tc>
          <w:tcPr>
            <w:tcW w:w="8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1,211</w:t>
            </w:r>
          </w:p>
        </w:tc>
        <w:tc>
          <w:tcPr>
            <w:tcW w:w="100" w:type="dxa"/>
            <w:vAlign w:val="bottom"/>
          </w:tcPr>
          <w:p>
            <w:pPr>
              <w:spacing w:after="0"/>
              <w:rPr>
                <w:sz w:val="15"/>
                <w:szCs w:val="15"/>
                <w:color w:val="auto"/>
              </w:rPr>
            </w:pPr>
          </w:p>
        </w:tc>
        <w:tc>
          <w:tcPr>
            <w:tcW w:w="300" w:type="dxa"/>
            <w:vAlign w:val="bottom"/>
            <w:tcBorders>
              <w:top w:val="single" w:sz="8" w:color="2C6937"/>
            </w:tcBorders>
          </w:tcPr>
          <w:p>
            <w:pPr>
              <w:spacing w:after="0"/>
              <w:rPr>
                <w:sz w:val="15"/>
                <w:szCs w:val="15"/>
                <w:color w:val="auto"/>
              </w:rPr>
            </w:pPr>
          </w:p>
        </w:tc>
        <w:tc>
          <w:tcPr>
            <w:tcW w:w="8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6,179</w:t>
            </w:r>
          </w:p>
        </w:tc>
        <w:tc>
          <w:tcPr>
            <w:tcW w:w="10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1,162</w:t>
            </w:r>
          </w:p>
        </w:tc>
        <w:tc>
          <w:tcPr>
            <w:tcW w:w="100" w:type="dxa"/>
            <w:vAlign w:val="bottom"/>
          </w:tcPr>
          <w:p>
            <w:pPr>
              <w:spacing w:after="0"/>
              <w:rPr>
                <w:sz w:val="15"/>
                <w:szCs w:val="15"/>
                <w:color w:val="auto"/>
              </w:rPr>
            </w:pPr>
          </w:p>
        </w:tc>
        <w:tc>
          <w:tcPr>
            <w:tcW w:w="320" w:type="dxa"/>
            <w:vAlign w:val="bottom"/>
            <w:tcBorders>
              <w:top w:val="single" w:sz="8" w:color="2C6937"/>
            </w:tcBorders>
          </w:tcPr>
          <w:p>
            <w:pPr>
              <w:spacing w:after="0"/>
              <w:rPr>
                <w:sz w:val="15"/>
                <w:szCs w:val="15"/>
                <w:color w:val="auto"/>
              </w:rPr>
            </w:pPr>
          </w:p>
        </w:tc>
        <w:tc>
          <w:tcPr>
            <w:tcW w:w="80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49</w:t>
            </w:r>
          </w:p>
        </w:tc>
      </w:tr>
      <w:tr>
        <w:trPr>
          <w:trHeight w:val="200"/>
        </w:trPr>
        <w:tc>
          <w:tcPr>
            <w:tcW w:w="3960" w:type="dxa"/>
            <w:vAlign w:val="bottom"/>
            <w:gridSpan w:val="2"/>
          </w:tcPr>
          <w:p>
            <w:pPr>
              <w:spacing w:after="0"/>
              <w:rPr>
                <w:sz w:val="20"/>
                <w:szCs w:val="20"/>
                <w:color w:val="auto"/>
              </w:rPr>
            </w:pPr>
            <w:r>
              <w:rPr>
                <w:rFonts w:ascii="Arial" w:cs="Arial" w:eastAsia="Arial" w:hAnsi="Arial"/>
                <w:sz w:val="15"/>
                <w:szCs w:val="15"/>
                <w:color w:val="auto"/>
              </w:rPr>
              <w:t>(Provision) benefit for credit losses</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451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355</w:t>
            </w:r>
          </w:p>
        </w:tc>
      </w:tr>
      <w:tr>
        <w:trPr>
          <w:trHeight w:val="309"/>
        </w:trPr>
        <w:tc>
          <w:tcPr>
            <w:tcW w:w="3960" w:type="dxa"/>
            <w:vAlign w:val="bottom"/>
            <w:gridSpan w:val="2"/>
          </w:tcPr>
          <w:p>
            <w:pPr>
              <w:spacing w:after="0"/>
              <w:rPr>
                <w:sz w:val="20"/>
                <w:szCs w:val="20"/>
                <w:color w:val="auto"/>
              </w:rPr>
            </w:pPr>
            <w:r>
              <w:rPr>
                <w:rFonts w:ascii="Arial" w:cs="Arial" w:eastAsia="Arial" w:hAnsi="Arial"/>
                <w:sz w:val="15"/>
                <w:szCs w:val="15"/>
                <w:color w:val="auto"/>
              </w:rPr>
              <w:t>Fair value gains (losses), net</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303"/>
        </w:trPr>
        <w:tc>
          <w:tcPr>
            <w:tcW w:w="3960" w:type="dxa"/>
            <w:vAlign w:val="bottom"/>
            <w:gridSpan w:val="2"/>
          </w:tcPr>
          <w:p>
            <w:pPr>
              <w:spacing w:after="0"/>
              <w:rPr>
                <w:sz w:val="20"/>
                <w:szCs w:val="20"/>
                <w:color w:val="auto"/>
              </w:rPr>
            </w:pPr>
            <w:r>
              <w:rPr>
                <w:rFonts w:ascii="Arial" w:cs="Arial" w:eastAsia="Arial" w:hAnsi="Arial"/>
                <w:sz w:val="15"/>
                <w:szCs w:val="15"/>
                <w:color w:val="auto"/>
              </w:rPr>
              <w:t>Investment gains (losses), net</w:t>
            </w:r>
          </w:p>
        </w:tc>
        <w:tc>
          <w:tcPr>
            <w:tcW w:w="36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192"/>
        </w:trPr>
        <w:tc>
          <w:tcPr>
            <w:tcW w:w="3960" w:type="dxa"/>
            <w:vAlign w:val="bottom"/>
            <w:gridSpan w:val="2"/>
          </w:tcPr>
          <w:p>
            <w:pPr>
              <w:spacing w:after="0"/>
              <w:rPr>
                <w:sz w:val="20"/>
                <w:szCs w:val="20"/>
                <w:color w:val="auto"/>
              </w:rPr>
            </w:pPr>
            <w:r>
              <w:rPr>
                <w:rFonts w:ascii="Arial" w:cs="Arial" w:eastAsia="Arial" w:hAnsi="Arial"/>
                <w:sz w:val="15"/>
                <w:szCs w:val="15"/>
                <w:color w:val="auto"/>
              </w:rPr>
              <w:t>Non-interest expense:</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1"/>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Administrative expenses</w:t>
            </w:r>
            <w:r>
              <w:rPr>
                <w:rFonts w:ascii="Arial" w:cs="Arial" w:eastAsia="Arial" w:hAnsi="Arial"/>
                <w:sz w:val="9"/>
                <w:szCs w:val="9"/>
                <w:color w:val="auto"/>
              </w:rPr>
              <w:t>(3)</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(669)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309"/>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Legislative assessments</w:t>
            </w:r>
            <w:r>
              <w:rPr>
                <w:rFonts w:ascii="Arial" w:cs="Arial" w:eastAsia="Arial" w:hAnsi="Arial"/>
                <w:sz w:val="9"/>
                <w:szCs w:val="9"/>
                <w:color w:val="auto"/>
              </w:rPr>
              <w:t>(4)</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(929)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303"/>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9"/>
                <w:szCs w:val="9"/>
                <w:color w:val="auto"/>
              </w:rPr>
              <w:t>(5)</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98"/>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Other income (expense), net</w:t>
            </w:r>
            <w:r>
              <w:rPr>
                <w:rFonts w:ascii="Arial" w:cs="Arial" w:eastAsia="Arial" w:hAnsi="Arial"/>
                <w:sz w:val="9"/>
                <w:szCs w:val="9"/>
                <w:color w:val="auto"/>
              </w:rPr>
              <w:t>(6)</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216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186"/>
        </w:trPr>
        <w:tc>
          <w:tcPr>
            <w:tcW w:w="3860" w:type="dxa"/>
            <w:vAlign w:val="bottom"/>
            <w:tcBorders>
              <w:top w:val="single" w:sz="8" w:color="2C6937"/>
              <w:bottom w:val="single" w:sz="8" w:color="2C6937"/>
            </w:tcBorders>
          </w:tcPr>
          <w:p>
            <w:pPr>
              <w:ind w:left="22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(1,935)</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(211)</w:t>
            </w:r>
          </w:p>
        </w:tc>
        <w:tc>
          <w:tcPr>
            <w:tcW w:w="100" w:type="dxa"/>
            <w:vAlign w:val="bottom"/>
          </w:tcPr>
          <w:p>
            <w:pPr>
              <w:spacing w:after="0"/>
              <w:rPr>
                <w:sz w:val="16"/>
                <w:szCs w:val="16"/>
                <w:color w:val="auto"/>
              </w:rPr>
            </w:pPr>
          </w:p>
        </w:tc>
        <w:tc>
          <w:tcPr>
            <w:tcW w:w="300" w:type="dxa"/>
            <w:vAlign w:val="bottom"/>
            <w:tcBorders>
              <w:top w:val="single" w:sz="8" w:color="2C6937"/>
              <w:bottom w:val="single" w:sz="8" w:color="2C6937"/>
            </w:tcBorders>
          </w:tcPr>
          <w:p>
            <w:pPr>
              <w:spacing w:after="0"/>
              <w:rPr>
                <w:sz w:val="16"/>
                <w:szCs w:val="16"/>
                <w:color w:val="auto"/>
              </w:rPr>
            </w:pPr>
          </w:p>
        </w:tc>
        <w:tc>
          <w:tcPr>
            <w:tcW w:w="8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(2,227)</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(152)</w:t>
            </w:r>
          </w:p>
        </w:tc>
        <w:tc>
          <w:tcPr>
            <w:tcW w:w="100" w:type="dxa"/>
            <w:vAlign w:val="bottom"/>
          </w:tcPr>
          <w:p>
            <w:pPr>
              <w:spacing w:after="0"/>
              <w:rPr>
                <w:sz w:val="16"/>
                <w:szCs w:val="16"/>
                <w:color w:val="auto"/>
              </w:rPr>
            </w:pPr>
          </w:p>
        </w:tc>
        <w:tc>
          <w:tcPr>
            <w:tcW w:w="320" w:type="dxa"/>
            <w:vAlign w:val="bottom"/>
            <w:tcBorders>
              <w:top w:val="single" w:sz="8" w:color="2C6937"/>
              <w:bottom w:val="single" w:sz="8" w:color="2C6937"/>
            </w:tcBorders>
          </w:tcPr>
          <w:p>
            <w:pPr>
              <w:spacing w:after="0"/>
              <w:rPr>
                <w:sz w:val="16"/>
                <w:szCs w:val="16"/>
                <w:color w:val="auto"/>
              </w:rPr>
            </w:pPr>
          </w:p>
        </w:tc>
        <w:tc>
          <w:tcPr>
            <w:tcW w:w="80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292</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(59)</w:t>
            </w:r>
          </w:p>
        </w:tc>
      </w:tr>
      <w:tr>
        <w:trPr>
          <w:trHeight w:val="182"/>
        </w:trPr>
        <w:tc>
          <w:tcPr>
            <w:tcW w:w="3860" w:type="dxa"/>
            <w:vAlign w:val="bottom"/>
          </w:tcPr>
          <w:p>
            <w:pPr>
              <w:spacing w:after="0"/>
              <w:rPr>
                <w:sz w:val="20"/>
                <w:szCs w:val="20"/>
                <w:color w:val="auto"/>
              </w:rPr>
            </w:pPr>
            <w:r>
              <w:rPr>
                <w:rFonts w:ascii="Arial" w:cs="Arial" w:eastAsia="Arial" w:hAnsi="Arial"/>
                <w:sz w:val="15"/>
                <w:szCs w:val="15"/>
                <w:color w:val="auto"/>
              </w:rPr>
              <w:t>Income before federal income taxes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b w:val="1"/>
                <w:bCs w:val="1"/>
                <w:color w:val="auto"/>
              </w:rPr>
              <w:t>3,875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960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4,404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649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311</w:t>
            </w:r>
          </w:p>
        </w:tc>
      </w:tr>
      <w:tr>
        <w:trPr>
          <w:trHeight w:val="198"/>
        </w:trPr>
        <w:tc>
          <w:tcPr>
            <w:tcW w:w="3960" w:type="dxa"/>
            <w:vAlign w:val="bottom"/>
            <w:gridSpan w:val="2"/>
          </w:tcPr>
          <w:p>
            <w:pPr>
              <w:spacing w:after="0"/>
              <w:rPr>
                <w:sz w:val="20"/>
                <w:szCs w:val="20"/>
                <w:color w:val="auto"/>
              </w:rPr>
            </w:pPr>
            <w:r>
              <w:rPr>
                <w:rFonts w:ascii="Arial" w:cs="Arial" w:eastAsia="Arial" w:hAnsi="Arial"/>
                <w:sz w:val="15"/>
                <w:szCs w:val="15"/>
                <w:color w:val="auto"/>
              </w:rPr>
              <w:t>Provision for federal income taxes</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(790)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186"/>
        </w:trPr>
        <w:tc>
          <w:tcPr>
            <w:tcW w:w="3860" w:type="dxa"/>
            <w:vAlign w:val="bottom"/>
            <w:tcBorders>
              <w:top w:val="single" w:sz="8" w:color="2C6937"/>
              <w:bottom w:val="single" w:sz="8" w:color="2C6937"/>
            </w:tcBorders>
          </w:tcPr>
          <w:p>
            <w:pPr>
              <w:ind w:left="16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3,085</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774</w:t>
            </w:r>
          </w:p>
        </w:tc>
        <w:tc>
          <w:tcPr>
            <w:tcW w:w="100" w:type="dxa"/>
            <w:vAlign w:val="bottom"/>
          </w:tcPr>
          <w:p>
            <w:pPr>
              <w:spacing w:after="0"/>
              <w:rPr>
                <w:sz w:val="16"/>
                <w:szCs w:val="16"/>
                <w:color w:val="auto"/>
              </w:rPr>
            </w:pPr>
          </w:p>
        </w:tc>
        <w:tc>
          <w:tcPr>
            <w:tcW w:w="300" w:type="dxa"/>
            <w:vAlign w:val="bottom"/>
            <w:tcBorders>
              <w:top w:val="single" w:sz="8" w:color="2C6937"/>
              <w:bottom w:val="single" w:sz="8" w:color="2C6937"/>
            </w:tcBorders>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3,514</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530</w:t>
            </w:r>
          </w:p>
        </w:tc>
        <w:tc>
          <w:tcPr>
            <w:tcW w:w="100" w:type="dxa"/>
            <w:vAlign w:val="bottom"/>
          </w:tcPr>
          <w:p>
            <w:pPr>
              <w:spacing w:after="0"/>
              <w:rPr>
                <w:sz w:val="16"/>
                <w:szCs w:val="16"/>
                <w:color w:val="auto"/>
              </w:rPr>
            </w:pPr>
          </w:p>
        </w:tc>
        <w:tc>
          <w:tcPr>
            <w:tcW w:w="320" w:type="dxa"/>
            <w:vAlign w:val="bottom"/>
            <w:tcBorders>
              <w:top w:val="single" w:sz="8" w:color="2C6937"/>
              <w:bottom w:val="single" w:sz="8" w:color="2C6937"/>
            </w:tcBorders>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(429)</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244</w:t>
            </w:r>
          </w:p>
        </w:tc>
      </w:tr>
      <w:tr>
        <w:trPr>
          <w:trHeight w:val="20"/>
        </w:trPr>
        <w:tc>
          <w:tcPr>
            <w:tcW w:w="3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1" w:name="page22"/>
    <w:bookmarkEnd w:id="21"/>
    <w:p>
      <w:pPr>
        <w:ind w:left="8400"/>
        <w:spacing w:after="0"/>
        <w:rPr>
          <w:sz w:val="20"/>
          <w:szCs w:val="20"/>
          <w:color w:val="auto"/>
        </w:rPr>
      </w:pPr>
      <w:r>
        <w:rPr>
          <w:rFonts w:ascii="Arial" w:cs="Arial" w:eastAsia="Arial" w:hAnsi="Arial"/>
          <w:sz w:val="13"/>
          <w:szCs w:val="13"/>
          <w:color w:val="05314D"/>
        </w:rPr>
        <w:t>MD&amp;A | Business Segments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05314D"/>
        </w:rPr>
        <w:t>Year-to-Date Business Segment Financial Results</w:t>
      </w:r>
      <w:r>
        <w:rPr>
          <w:rFonts w:ascii="Arial" w:cs="Arial" w:eastAsia="Arial" w:hAnsi="Arial"/>
          <w:sz w:val="24"/>
          <w:szCs w:val="24"/>
          <w:b w:val="1"/>
          <w:bCs w:val="1"/>
          <w:color w:val="05314D"/>
          <w:vertAlign w:val="superscript"/>
        </w:rPr>
        <w:t>(1)</w:t>
      </w:r>
    </w:p>
    <w:tbl>
      <w:tblPr>
        <w:tblLayout w:type="fixed"/>
        <w:tblInd w:w="60" w:type="dxa"/>
        <w:tblCellMar>
          <w:top w:w="0" w:type="dxa"/>
          <w:left w:w="0" w:type="dxa"/>
          <w:bottom w:w="0" w:type="dxa"/>
          <w:right w:w="0" w:type="dxa"/>
        </w:tblCellMar>
      </w:tblPr>
      <w:tr>
        <w:trPr>
          <w:trHeight w:val="199"/>
        </w:trPr>
        <w:tc>
          <w:tcPr>
            <w:tcW w:w="386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340" w:type="dxa"/>
            <w:vAlign w:val="bottom"/>
            <w:tcBorders>
              <w:top w:val="single" w:sz="8" w:color="2C6937"/>
            </w:tcBorders>
          </w:tcPr>
          <w:p>
            <w:pPr>
              <w:spacing w:after="0"/>
              <w:rPr>
                <w:sz w:val="17"/>
                <w:szCs w:val="17"/>
                <w:color w:val="auto"/>
              </w:rPr>
            </w:pPr>
          </w:p>
        </w:tc>
        <w:tc>
          <w:tcPr>
            <w:tcW w:w="4520" w:type="dxa"/>
            <w:vAlign w:val="bottom"/>
            <w:tcBorders>
              <w:top w:val="single" w:sz="8" w:color="2C6937"/>
            </w:tcBorders>
            <w:gridSpan w:val="11"/>
          </w:tcPr>
          <w:p>
            <w:pPr>
              <w:ind w:left="560"/>
              <w:spacing w:after="0"/>
              <w:rPr>
                <w:sz w:val="20"/>
                <w:szCs w:val="20"/>
                <w:color w:val="auto"/>
              </w:rPr>
            </w:pPr>
            <w:r>
              <w:rPr>
                <w:rFonts w:ascii="Arial" w:cs="Arial" w:eastAsia="Arial" w:hAnsi="Arial"/>
                <w:sz w:val="15"/>
                <w:szCs w:val="15"/>
                <w:b w:val="1"/>
                <w:bCs w:val="1"/>
                <w:color w:val="auto"/>
              </w:rPr>
              <w:t>For the Nine Months Ended September 30,</w:t>
            </w:r>
          </w:p>
        </w:tc>
        <w:tc>
          <w:tcPr>
            <w:tcW w:w="320" w:type="dxa"/>
            <w:vAlign w:val="bottom"/>
            <w:tcBorders>
              <w:top w:val="single" w:sz="8" w:color="2C6937"/>
            </w:tcBorders>
          </w:tcPr>
          <w:p>
            <w:pPr>
              <w:spacing w:after="0"/>
              <w:rPr>
                <w:sz w:val="17"/>
                <w:szCs w:val="17"/>
                <w:color w:val="auto"/>
              </w:rPr>
            </w:pPr>
          </w:p>
        </w:tc>
        <w:tc>
          <w:tcPr>
            <w:tcW w:w="80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980" w:type="dxa"/>
            <w:vAlign w:val="bottom"/>
            <w:tcBorders>
              <w:top w:val="single" w:sz="8" w:color="2C6937"/>
            </w:tcBorders>
          </w:tcPr>
          <w:p>
            <w:pPr>
              <w:spacing w:after="0"/>
              <w:rPr>
                <w:sz w:val="17"/>
                <w:szCs w:val="17"/>
                <w:color w:val="auto"/>
              </w:rPr>
            </w:pPr>
          </w:p>
        </w:tc>
      </w:tr>
      <w:tr>
        <w:trPr>
          <w:trHeight w:val="186"/>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2C6937"/>
              <w:bottom w:val="single" w:sz="8" w:color="2C6937"/>
            </w:tcBorders>
          </w:tcPr>
          <w:p>
            <w:pPr>
              <w:spacing w:after="0"/>
              <w:rPr>
                <w:sz w:val="16"/>
                <w:szCs w:val="16"/>
                <w:color w:val="auto"/>
              </w:rPr>
            </w:pPr>
          </w:p>
        </w:tc>
        <w:tc>
          <w:tcPr>
            <w:tcW w:w="100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2025</w:t>
            </w:r>
          </w:p>
        </w:tc>
        <w:tc>
          <w:tcPr>
            <w:tcW w:w="980" w:type="dxa"/>
            <w:vAlign w:val="bottom"/>
            <w:tcBorders>
              <w:top w:val="single" w:sz="8" w:color="2C6937"/>
              <w:bottom w:val="single" w:sz="8" w:color="2C6937"/>
            </w:tcBorders>
          </w:tcPr>
          <w:p>
            <w:pPr>
              <w:spacing w:after="0"/>
              <w:rPr>
                <w:sz w:val="16"/>
                <w:szCs w:val="16"/>
                <w:color w:val="auto"/>
              </w:rPr>
            </w:pPr>
          </w:p>
        </w:tc>
        <w:tc>
          <w:tcPr>
            <w:tcW w:w="100" w:type="dxa"/>
            <w:vAlign w:val="bottom"/>
            <w:tcBorders>
              <w:top w:val="single" w:sz="8" w:color="2C6937"/>
            </w:tcBorders>
          </w:tcPr>
          <w:p>
            <w:pPr>
              <w:spacing w:after="0"/>
              <w:rPr>
                <w:sz w:val="16"/>
                <w:szCs w:val="16"/>
                <w:color w:val="auto"/>
              </w:rPr>
            </w:pPr>
          </w:p>
        </w:tc>
        <w:tc>
          <w:tcPr>
            <w:tcW w:w="300" w:type="dxa"/>
            <w:vAlign w:val="bottom"/>
            <w:tcBorders>
              <w:top w:val="single" w:sz="8" w:color="2C6937"/>
              <w:bottom w:val="single" w:sz="8" w:color="2C6937"/>
            </w:tcBorders>
          </w:tcPr>
          <w:p>
            <w:pPr>
              <w:spacing w:after="0"/>
              <w:rPr>
                <w:sz w:val="16"/>
                <w:szCs w:val="16"/>
                <w:color w:val="auto"/>
              </w:rPr>
            </w:pPr>
          </w:p>
        </w:tc>
        <w:tc>
          <w:tcPr>
            <w:tcW w:w="1060" w:type="dxa"/>
            <w:vAlign w:val="bottom"/>
            <w:tcBorders>
              <w:top w:val="single" w:sz="8" w:color="2C6937"/>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2024</w:t>
            </w:r>
          </w:p>
        </w:tc>
        <w:tc>
          <w:tcPr>
            <w:tcW w:w="980" w:type="dxa"/>
            <w:vAlign w:val="bottom"/>
            <w:tcBorders>
              <w:top w:val="single" w:sz="8" w:color="2C6937"/>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2000" w:type="dxa"/>
            <w:vAlign w:val="bottom"/>
            <w:tcBorders>
              <w:bottom w:val="single" w:sz="8" w:color="2C6937"/>
            </w:tcBorders>
            <w:gridSpan w:val="4"/>
          </w:tcPr>
          <w:p>
            <w:pPr>
              <w:jc w:val="right"/>
              <w:ind w:right="467"/>
              <w:spacing w:after="0"/>
              <w:rPr>
                <w:sz w:val="20"/>
                <w:szCs w:val="20"/>
                <w:color w:val="auto"/>
              </w:rPr>
            </w:pPr>
            <w:r>
              <w:rPr>
                <w:rFonts w:ascii="Arial" w:cs="Arial" w:eastAsia="Arial" w:hAnsi="Arial"/>
                <w:sz w:val="15"/>
                <w:szCs w:val="15"/>
                <w:b w:val="1"/>
                <w:bCs w:val="1"/>
                <w:color w:val="auto"/>
              </w:rPr>
              <w:t>Segment Variance</w:t>
            </w:r>
          </w:p>
        </w:tc>
      </w:tr>
      <w:tr>
        <w:trPr>
          <w:trHeight w:val="225"/>
        </w:trPr>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22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5"/>
                <w:szCs w:val="15"/>
                <w:b w:val="1"/>
                <w:bCs w:val="1"/>
                <w:color w:val="auto"/>
              </w:rPr>
              <w:t>Multifamily</w:t>
            </w: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ind w:right="107"/>
              <w:spacing w:after="0"/>
              <w:rPr>
                <w:sz w:val="20"/>
                <w:szCs w:val="20"/>
                <w:color w:val="auto"/>
              </w:rPr>
            </w:pPr>
            <w:r>
              <w:rPr>
                <w:rFonts w:ascii="Arial" w:cs="Arial" w:eastAsia="Arial" w:hAnsi="Arial"/>
                <w:sz w:val="15"/>
                <w:szCs w:val="15"/>
                <w:b w:val="1"/>
                <w:bCs w:val="1"/>
                <w:color w:val="auto"/>
                <w:w w:val="99"/>
              </w:rPr>
              <w:t>Multifamily</w:t>
            </w:r>
          </w:p>
        </w:tc>
      </w:tr>
      <w:tr>
        <w:trPr>
          <w:trHeight w:val="193"/>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gridSpan w:val="5"/>
          </w:tcPr>
          <w:p>
            <w:pPr>
              <w:ind w:left="200"/>
              <w:spacing w:after="0"/>
              <w:rPr>
                <w:sz w:val="20"/>
                <w:szCs w:val="20"/>
                <w:color w:val="auto"/>
              </w:rPr>
            </w:pPr>
            <w:r>
              <w:rPr>
                <w:rFonts w:ascii="Arial" w:cs="Arial" w:eastAsia="Arial" w:hAnsi="Arial"/>
                <w:sz w:val="15"/>
                <w:szCs w:val="15"/>
                <w:b w:val="1"/>
                <w:bCs w:val="1"/>
                <w:color w:val="auto"/>
              </w:rPr>
              <w:t>(Dollars in millions)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32"/>
        </w:trPr>
        <w:tc>
          <w:tcPr>
            <w:tcW w:w="3960" w:type="dxa"/>
            <w:vAlign w:val="bottom"/>
            <w:gridSpan w:val="2"/>
          </w:tcPr>
          <w:p>
            <w:pPr>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(2)</w:t>
            </w:r>
          </w:p>
        </w:tc>
        <w:tc>
          <w:tcPr>
            <w:tcW w:w="340" w:type="dxa"/>
            <w:vAlign w:val="bottom"/>
          </w:tcPr>
          <w:p>
            <w:pPr>
              <w:jc w:val="right"/>
              <w:ind w:right="167"/>
              <w:spacing w:after="0"/>
              <w:rPr>
                <w:sz w:val="20"/>
                <w:szCs w:val="20"/>
                <w:color w:val="auto"/>
              </w:rPr>
            </w:pPr>
            <w:r>
              <w:rPr>
                <w:rFonts w:ascii="Arial" w:cs="Arial" w:eastAsia="Arial" w:hAnsi="Arial"/>
                <w:sz w:val="15"/>
                <w:szCs w:val="15"/>
                <w:b w:val="1"/>
                <w:bCs w:val="1"/>
                <w:color w:val="auto"/>
                <w:w w:val="95"/>
              </w:rPr>
              <w:t>$</w:t>
            </w:r>
          </w:p>
        </w:tc>
        <w:tc>
          <w:tcPr>
            <w:tcW w:w="780" w:type="dxa"/>
            <w:vAlign w:val="bottom"/>
          </w:tcPr>
          <w:p>
            <w:pPr>
              <w:jc w:val="right"/>
              <w:ind w:right="7"/>
              <w:spacing w:after="0"/>
              <w:rPr>
                <w:sz w:val="20"/>
                <w:szCs w:val="20"/>
                <w:color w:val="auto"/>
              </w:rPr>
            </w:pPr>
            <w:r>
              <w:rPr>
                <w:rFonts w:ascii="Arial" w:cs="Arial" w:eastAsia="Arial" w:hAnsi="Arial"/>
                <w:sz w:val="15"/>
                <w:szCs w:val="15"/>
                <w:b w:val="1"/>
                <w:bCs w:val="1"/>
                <w:color w:val="auto"/>
              </w:rPr>
              <w:t>17,850</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3,490</w:t>
            </w:r>
          </w:p>
        </w:tc>
        <w:tc>
          <w:tcPr>
            <w:tcW w:w="100" w:type="dxa"/>
            <w:vAlign w:val="bottom"/>
          </w:tcPr>
          <w:p>
            <w:pPr>
              <w:spacing w:after="0"/>
              <w:rPr>
                <w:sz w:val="24"/>
                <w:szCs w:val="24"/>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18,101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3,465</w:t>
            </w:r>
          </w:p>
        </w:tc>
        <w:tc>
          <w:tcPr>
            <w:tcW w:w="100" w:type="dxa"/>
            <w:vAlign w:val="bottom"/>
          </w:tcPr>
          <w:p>
            <w:pPr>
              <w:spacing w:after="0"/>
              <w:rPr>
                <w:sz w:val="24"/>
                <w:szCs w:val="24"/>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(251)</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80"/>
        </w:trPr>
        <w:tc>
          <w:tcPr>
            <w:tcW w:w="3960" w:type="dxa"/>
            <w:vAlign w:val="bottom"/>
            <w:gridSpan w:val="2"/>
          </w:tcPr>
          <w:p>
            <w:pPr>
              <w:spacing w:after="0"/>
              <w:rPr>
                <w:sz w:val="20"/>
                <w:szCs w:val="20"/>
                <w:color w:val="auto"/>
              </w:rPr>
            </w:pPr>
            <w:r>
              <w:rPr>
                <w:rFonts w:ascii="Arial" w:cs="Arial" w:eastAsia="Arial" w:hAnsi="Arial"/>
                <w:sz w:val="15"/>
                <w:szCs w:val="15"/>
                <w:color w:val="auto"/>
              </w:rPr>
              <w:t>Fee and other income</w:t>
            </w:r>
          </w:p>
        </w:tc>
        <w:tc>
          <w:tcPr>
            <w:tcW w:w="3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b w:val="1"/>
                <w:bCs w:val="1"/>
                <w:color w:val="auto"/>
              </w:rPr>
              <w:t>238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154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2"/>
        </w:trPr>
        <w:tc>
          <w:tcPr>
            <w:tcW w:w="3860" w:type="dxa"/>
            <w:vAlign w:val="bottom"/>
            <w:tcBorders>
              <w:top w:val="single" w:sz="8" w:color="2C6937"/>
            </w:tcBorders>
          </w:tcPr>
          <w:p>
            <w:pPr>
              <w:ind w:left="160"/>
              <w:spacing w:after="0"/>
              <w:rPr>
                <w:sz w:val="20"/>
                <w:szCs w:val="20"/>
                <w:color w:val="auto"/>
              </w:rPr>
            </w:pPr>
            <w:r>
              <w:rPr>
                <w:rFonts w:ascii="Arial" w:cs="Arial" w:eastAsia="Arial" w:hAnsi="Arial"/>
                <w:sz w:val="15"/>
                <w:szCs w:val="15"/>
                <w:color w:val="auto"/>
              </w:rPr>
              <w:t>Net revenues</w:t>
            </w:r>
          </w:p>
        </w:tc>
        <w:tc>
          <w:tcPr>
            <w:tcW w:w="100" w:type="dxa"/>
            <w:vAlign w:val="bottom"/>
          </w:tcPr>
          <w:p>
            <w:pPr>
              <w:spacing w:after="0"/>
              <w:rPr>
                <w:sz w:val="15"/>
                <w:szCs w:val="15"/>
                <w:color w:val="auto"/>
              </w:rPr>
            </w:pPr>
          </w:p>
        </w:tc>
        <w:tc>
          <w:tcPr>
            <w:tcW w:w="340" w:type="dxa"/>
            <w:vAlign w:val="bottom"/>
            <w:tcBorders>
              <w:top w:val="single" w:sz="8" w:color="2C6937"/>
            </w:tcBorders>
          </w:tcPr>
          <w:p>
            <w:pPr>
              <w:spacing w:after="0"/>
              <w:rPr>
                <w:sz w:val="15"/>
                <w:szCs w:val="15"/>
                <w:color w:val="auto"/>
              </w:rPr>
            </w:pPr>
          </w:p>
        </w:tc>
        <w:tc>
          <w:tcPr>
            <w:tcW w:w="7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18,088</w:t>
            </w:r>
          </w:p>
        </w:tc>
        <w:tc>
          <w:tcPr>
            <w:tcW w:w="8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3,545</w:t>
            </w:r>
          </w:p>
        </w:tc>
        <w:tc>
          <w:tcPr>
            <w:tcW w:w="100" w:type="dxa"/>
            <w:vAlign w:val="bottom"/>
          </w:tcPr>
          <w:p>
            <w:pPr>
              <w:spacing w:after="0"/>
              <w:rPr>
                <w:sz w:val="15"/>
                <w:szCs w:val="15"/>
                <w:color w:val="auto"/>
              </w:rPr>
            </w:pPr>
          </w:p>
        </w:tc>
        <w:tc>
          <w:tcPr>
            <w:tcW w:w="300" w:type="dxa"/>
            <w:vAlign w:val="bottom"/>
            <w:tcBorders>
              <w:top w:val="single" w:sz="8" w:color="2C6937"/>
            </w:tcBorders>
          </w:tcPr>
          <w:p>
            <w:pPr>
              <w:spacing w:after="0"/>
              <w:rPr>
                <w:sz w:val="15"/>
                <w:szCs w:val="15"/>
                <w:color w:val="auto"/>
              </w:rPr>
            </w:pPr>
          </w:p>
        </w:tc>
        <w:tc>
          <w:tcPr>
            <w:tcW w:w="82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18,255</w:t>
            </w:r>
          </w:p>
        </w:tc>
        <w:tc>
          <w:tcPr>
            <w:tcW w:w="10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ind w:right="7"/>
              <w:spacing w:after="0"/>
              <w:rPr>
                <w:sz w:val="20"/>
                <w:szCs w:val="20"/>
                <w:color w:val="auto"/>
              </w:rPr>
            </w:pPr>
            <w:r>
              <w:rPr>
                <w:rFonts w:ascii="Arial" w:cs="Arial" w:eastAsia="Arial" w:hAnsi="Arial"/>
                <w:sz w:val="15"/>
                <w:szCs w:val="15"/>
                <w:color w:val="auto"/>
              </w:rPr>
              <w:t>3,517</w:t>
            </w:r>
          </w:p>
        </w:tc>
        <w:tc>
          <w:tcPr>
            <w:tcW w:w="100" w:type="dxa"/>
            <w:vAlign w:val="bottom"/>
          </w:tcPr>
          <w:p>
            <w:pPr>
              <w:spacing w:after="0"/>
              <w:rPr>
                <w:sz w:val="15"/>
                <w:szCs w:val="15"/>
                <w:color w:val="auto"/>
              </w:rPr>
            </w:pPr>
          </w:p>
        </w:tc>
        <w:tc>
          <w:tcPr>
            <w:tcW w:w="320" w:type="dxa"/>
            <w:vAlign w:val="bottom"/>
            <w:tcBorders>
              <w:top w:val="single" w:sz="8" w:color="2C6937"/>
            </w:tcBorders>
          </w:tcPr>
          <w:p>
            <w:pPr>
              <w:spacing w:after="0"/>
              <w:rPr>
                <w:sz w:val="15"/>
                <w:szCs w:val="15"/>
                <w:color w:val="auto"/>
              </w:rPr>
            </w:pPr>
          </w:p>
        </w:tc>
        <w:tc>
          <w:tcPr>
            <w:tcW w:w="80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(167)</w:t>
            </w:r>
          </w:p>
        </w:tc>
        <w:tc>
          <w:tcPr>
            <w:tcW w:w="8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28</w:t>
            </w:r>
          </w:p>
        </w:tc>
      </w:tr>
      <w:tr>
        <w:trPr>
          <w:trHeight w:val="200"/>
        </w:trPr>
        <w:tc>
          <w:tcPr>
            <w:tcW w:w="3960" w:type="dxa"/>
            <w:vAlign w:val="bottom"/>
            <w:gridSpan w:val="2"/>
          </w:tcPr>
          <w:p>
            <w:pPr>
              <w:spacing w:after="0"/>
              <w:rPr>
                <w:sz w:val="20"/>
                <w:szCs w:val="20"/>
                <w:color w:val="auto"/>
              </w:rPr>
            </w:pPr>
            <w:r>
              <w:rPr>
                <w:rFonts w:ascii="Arial" w:cs="Arial" w:eastAsia="Arial" w:hAnsi="Arial"/>
                <w:sz w:val="15"/>
                <w:szCs w:val="15"/>
                <w:color w:val="auto"/>
              </w:rPr>
              <w:t>(Provision) benefit for credit losses</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(1,030)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1,334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549</w:t>
            </w:r>
          </w:p>
        </w:tc>
      </w:tr>
      <w:tr>
        <w:trPr>
          <w:trHeight w:val="309"/>
        </w:trPr>
        <w:tc>
          <w:tcPr>
            <w:tcW w:w="3960" w:type="dxa"/>
            <w:vAlign w:val="bottom"/>
            <w:gridSpan w:val="2"/>
          </w:tcPr>
          <w:p>
            <w:pPr>
              <w:spacing w:after="0"/>
              <w:rPr>
                <w:sz w:val="20"/>
                <w:szCs w:val="20"/>
                <w:color w:val="auto"/>
              </w:rPr>
            </w:pPr>
            <w:r>
              <w:rPr>
                <w:rFonts w:ascii="Arial" w:cs="Arial" w:eastAsia="Arial" w:hAnsi="Arial"/>
                <w:sz w:val="15"/>
                <w:szCs w:val="15"/>
                <w:color w:val="auto"/>
              </w:rPr>
              <w:t>Fair value gains (losses), net</w:t>
            </w:r>
          </w:p>
        </w:tc>
        <w:tc>
          <w:tcPr>
            <w:tcW w:w="3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b w:val="1"/>
                <w:bCs w:val="1"/>
                <w:color w:val="auto"/>
              </w:rPr>
              <w:t>257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90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930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(673)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303"/>
        </w:trPr>
        <w:tc>
          <w:tcPr>
            <w:tcW w:w="3960" w:type="dxa"/>
            <w:vAlign w:val="bottom"/>
            <w:gridSpan w:val="2"/>
          </w:tcPr>
          <w:p>
            <w:pPr>
              <w:spacing w:after="0"/>
              <w:rPr>
                <w:sz w:val="20"/>
                <w:szCs w:val="20"/>
                <w:color w:val="auto"/>
              </w:rPr>
            </w:pPr>
            <w:r>
              <w:rPr>
                <w:rFonts w:ascii="Arial" w:cs="Arial" w:eastAsia="Arial" w:hAnsi="Arial"/>
                <w:sz w:val="15"/>
                <w:szCs w:val="15"/>
                <w:color w:val="auto"/>
              </w:rPr>
              <w:t>Investment gains (losses), net</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47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192"/>
        </w:trPr>
        <w:tc>
          <w:tcPr>
            <w:tcW w:w="3960" w:type="dxa"/>
            <w:vAlign w:val="bottom"/>
            <w:gridSpan w:val="2"/>
          </w:tcPr>
          <w:p>
            <w:pPr>
              <w:spacing w:after="0"/>
              <w:rPr>
                <w:sz w:val="20"/>
                <w:szCs w:val="20"/>
                <w:color w:val="auto"/>
              </w:rPr>
            </w:pPr>
            <w:r>
              <w:rPr>
                <w:rFonts w:ascii="Arial" w:cs="Arial" w:eastAsia="Arial" w:hAnsi="Arial"/>
                <w:sz w:val="15"/>
                <w:szCs w:val="15"/>
                <w:color w:val="auto"/>
              </w:rPr>
              <w:t>Non-interest expense:</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5"/>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Administrative expenses</w:t>
            </w:r>
            <w:r>
              <w:rPr>
                <w:rFonts w:ascii="Arial" w:cs="Arial" w:eastAsia="Arial" w:hAnsi="Arial"/>
                <w:sz w:val="18"/>
                <w:szCs w:val="18"/>
                <w:color w:val="auto"/>
                <w:vertAlign w:val="superscript"/>
              </w:rPr>
              <w:t>(3)</w:t>
            </w: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(2,168)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(490)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84"/>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Legislative assessments</w:t>
            </w:r>
            <w:r>
              <w:rPr>
                <w:rFonts w:ascii="Arial" w:cs="Arial" w:eastAsia="Arial" w:hAnsi="Arial"/>
                <w:sz w:val="18"/>
                <w:szCs w:val="18"/>
                <w:color w:val="auto"/>
                <w:vertAlign w:val="superscript"/>
              </w:rPr>
              <w:t>(4)</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(2,767)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(2,785)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75"/>
        </w:trPr>
        <w:tc>
          <w:tcPr>
            <w:tcW w:w="3960" w:type="dxa"/>
            <w:vAlign w:val="bottom"/>
            <w:gridSpan w:val="2"/>
          </w:tcPr>
          <w:p>
            <w:pPr>
              <w:ind w:left="10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(5)</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(1,055)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98"/>
        </w:trPr>
        <w:tc>
          <w:tcPr>
            <w:tcW w:w="3960" w:type="dxa"/>
            <w:vAlign w:val="bottom"/>
            <w:gridSpan w:val="2"/>
          </w:tcPr>
          <w:p>
            <w:pPr>
              <w:ind w:left="100"/>
              <w:spacing w:after="0" w:line="198"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18"/>
                <w:szCs w:val="18"/>
                <w:color w:val="auto"/>
                <w:vertAlign w:val="superscript"/>
              </w:rPr>
              <w:t>(6)</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320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(235)</w:t>
            </w:r>
          </w:p>
        </w:tc>
      </w:tr>
      <w:tr>
        <w:trPr>
          <w:trHeight w:val="186"/>
        </w:trPr>
        <w:tc>
          <w:tcPr>
            <w:tcW w:w="3860" w:type="dxa"/>
            <w:vAlign w:val="bottom"/>
            <w:tcBorders>
              <w:top w:val="single" w:sz="8" w:color="2C6937"/>
              <w:bottom w:val="single" w:sz="8" w:color="2C6937"/>
            </w:tcBorders>
          </w:tcPr>
          <w:p>
            <w:pPr>
              <w:ind w:left="22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6"/>
                <w:szCs w:val="16"/>
                <w:color w:val="auto"/>
              </w:rPr>
            </w:pPr>
          </w:p>
        </w:tc>
        <w:tc>
          <w:tcPr>
            <w:tcW w:w="340" w:type="dxa"/>
            <w:vAlign w:val="bottom"/>
            <w:tcBorders>
              <w:top w:val="single" w:sz="8" w:color="2C6937"/>
              <w:bottom w:val="single" w:sz="8" w:color="2C6937"/>
            </w:tcBorders>
          </w:tcPr>
          <w:p>
            <w:pPr>
              <w:spacing w:after="0"/>
              <w:rPr>
                <w:sz w:val="16"/>
                <w:szCs w:val="16"/>
                <w:color w:val="auto"/>
              </w:rPr>
            </w:pP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(6,314)</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(776)</w:t>
            </w:r>
          </w:p>
        </w:tc>
        <w:tc>
          <w:tcPr>
            <w:tcW w:w="100" w:type="dxa"/>
            <w:vAlign w:val="bottom"/>
          </w:tcPr>
          <w:p>
            <w:pPr>
              <w:spacing w:after="0"/>
              <w:rPr>
                <w:sz w:val="16"/>
                <w:szCs w:val="16"/>
                <w:color w:val="auto"/>
              </w:rPr>
            </w:pPr>
          </w:p>
        </w:tc>
        <w:tc>
          <w:tcPr>
            <w:tcW w:w="300" w:type="dxa"/>
            <w:vAlign w:val="bottom"/>
            <w:tcBorders>
              <w:top w:val="single" w:sz="8" w:color="2C6937"/>
              <w:bottom w:val="single" w:sz="8" w:color="2C6937"/>
            </w:tcBorders>
          </w:tcPr>
          <w:p>
            <w:pPr>
              <w:spacing w:after="0"/>
              <w:rPr>
                <w:sz w:val="16"/>
                <w:szCs w:val="16"/>
                <w:color w:val="auto"/>
              </w:rPr>
            </w:pPr>
          </w:p>
        </w:tc>
        <w:tc>
          <w:tcPr>
            <w:tcW w:w="8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(6,676)</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(464)</w:t>
            </w:r>
          </w:p>
        </w:tc>
        <w:tc>
          <w:tcPr>
            <w:tcW w:w="100" w:type="dxa"/>
            <w:vAlign w:val="bottom"/>
          </w:tcPr>
          <w:p>
            <w:pPr>
              <w:spacing w:after="0"/>
              <w:rPr>
                <w:sz w:val="16"/>
                <w:szCs w:val="16"/>
                <w:color w:val="auto"/>
              </w:rPr>
            </w:pPr>
          </w:p>
        </w:tc>
        <w:tc>
          <w:tcPr>
            <w:tcW w:w="320" w:type="dxa"/>
            <w:vAlign w:val="bottom"/>
            <w:tcBorders>
              <w:top w:val="single" w:sz="8" w:color="2C6937"/>
              <w:bottom w:val="single" w:sz="8" w:color="2C6937"/>
            </w:tcBorders>
          </w:tcPr>
          <w:p>
            <w:pPr>
              <w:spacing w:after="0"/>
              <w:rPr>
                <w:sz w:val="16"/>
                <w:szCs w:val="16"/>
                <w:color w:val="auto"/>
              </w:rPr>
            </w:pPr>
          </w:p>
        </w:tc>
        <w:tc>
          <w:tcPr>
            <w:tcW w:w="80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362</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(312)</w:t>
            </w:r>
          </w:p>
        </w:tc>
      </w:tr>
      <w:tr>
        <w:trPr>
          <w:trHeight w:val="182"/>
        </w:trPr>
        <w:tc>
          <w:tcPr>
            <w:tcW w:w="3860" w:type="dxa"/>
            <w:vAlign w:val="bottom"/>
          </w:tcPr>
          <w:p>
            <w:pPr>
              <w:spacing w:after="0"/>
              <w:rPr>
                <w:sz w:val="20"/>
                <w:szCs w:val="20"/>
                <w:color w:val="auto"/>
              </w:rPr>
            </w:pPr>
            <w:r>
              <w:rPr>
                <w:rFonts w:ascii="Arial" w:cs="Arial" w:eastAsia="Arial" w:hAnsi="Arial"/>
                <w:sz w:val="15"/>
                <w:szCs w:val="15"/>
                <w:color w:val="auto"/>
              </w:rPr>
              <w:t>Income before federal income taxes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b w:val="1"/>
                <w:bCs w:val="1"/>
                <w:color w:val="auto"/>
              </w:rPr>
              <w:t>11,000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2,573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13,795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2,295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(2,795)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278</w:t>
            </w:r>
          </w:p>
        </w:tc>
      </w:tr>
      <w:tr>
        <w:trPr>
          <w:trHeight w:val="198"/>
        </w:trPr>
        <w:tc>
          <w:tcPr>
            <w:tcW w:w="3960" w:type="dxa"/>
            <w:vAlign w:val="bottom"/>
            <w:gridSpan w:val="2"/>
          </w:tcPr>
          <w:p>
            <w:pPr>
              <w:spacing w:after="0"/>
              <w:rPr>
                <w:sz w:val="20"/>
                <w:szCs w:val="20"/>
                <w:color w:val="auto"/>
              </w:rPr>
            </w:pPr>
            <w:r>
              <w:rPr>
                <w:rFonts w:ascii="Arial" w:cs="Arial" w:eastAsia="Arial" w:hAnsi="Arial"/>
                <w:sz w:val="15"/>
                <w:szCs w:val="15"/>
                <w:color w:val="auto"/>
              </w:rPr>
              <w:t>Provision for federal income taxes</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(2,261)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(2,819)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5"/>
                <w:szCs w:val="15"/>
                <w:color w:val="auto"/>
              </w:rPr>
              <w:t>558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186"/>
        </w:trPr>
        <w:tc>
          <w:tcPr>
            <w:tcW w:w="3860" w:type="dxa"/>
            <w:vAlign w:val="bottom"/>
            <w:tcBorders>
              <w:top w:val="single" w:sz="8" w:color="2C6937"/>
              <w:bottom w:val="single" w:sz="8" w:color="2C6937"/>
            </w:tcBorders>
          </w:tcPr>
          <w:p>
            <w:pPr>
              <w:ind w:left="16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6"/>
                <w:szCs w:val="16"/>
                <w:color w:val="auto"/>
              </w:rPr>
            </w:pPr>
          </w:p>
        </w:tc>
        <w:tc>
          <w:tcPr>
            <w:tcW w:w="340" w:type="dxa"/>
            <w:vAlign w:val="bottom"/>
            <w:tcBorders>
              <w:top w:val="single" w:sz="8" w:color="2C6937"/>
              <w:bottom w:val="single" w:sz="8" w:color="2C6937"/>
            </w:tcBorders>
          </w:tcPr>
          <w:p>
            <w:pPr>
              <w:jc w:val="right"/>
              <w:ind w:right="167"/>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b w:val="1"/>
                <w:bCs w:val="1"/>
                <w:color w:val="auto"/>
              </w:rPr>
              <w:t>8,739</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2,098</w:t>
            </w:r>
          </w:p>
        </w:tc>
        <w:tc>
          <w:tcPr>
            <w:tcW w:w="100" w:type="dxa"/>
            <w:vAlign w:val="bottom"/>
          </w:tcPr>
          <w:p>
            <w:pPr>
              <w:spacing w:after="0"/>
              <w:rPr>
                <w:sz w:val="16"/>
                <w:szCs w:val="16"/>
                <w:color w:val="auto"/>
              </w:rPr>
            </w:pPr>
          </w:p>
        </w:tc>
        <w:tc>
          <w:tcPr>
            <w:tcW w:w="300" w:type="dxa"/>
            <w:vAlign w:val="bottom"/>
            <w:tcBorders>
              <w:top w:val="single" w:sz="8" w:color="2C6937"/>
              <w:bottom w:val="single" w:sz="8" w:color="2C6937"/>
            </w:tcBorders>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10,976</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ind w:right="7"/>
              <w:spacing w:after="0"/>
              <w:rPr>
                <w:sz w:val="20"/>
                <w:szCs w:val="20"/>
                <w:color w:val="auto"/>
              </w:rPr>
            </w:pPr>
            <w:r>
              <w:rPr>
                <w:rFonts w:ascii="Arial" w:cs="Arial" w:eastAsia="Arial" w:hAnsi="Arial"/>
                <w:sz w:val="15"/>
                <w:szCs w:val="15"/>
                <w:color w:val="auto"/>
              </w:rPr>
              <w:t>1,872</w:t>
            </w:r>
          </w:p>
        </w:tc>
        <w:tc>
          <w:tcPr>
            <w:tcW w:w="100" w:type="dxa"/>
            <w:vAlign w:val="bottom"/>
          </w:tcPr>
          <w:p>
            <w:pPr>
              <w:spacing w:after="0"/>
              <w:rPr>
                <w:sz w:val="16"/>
                <w:szCs w:val="16"/>
                <w:color w:val="auto"/>
              </w:rPr>
            </w:pPr>
          </w:p>
        </w:tc>
        <w:tc>
          <w:tcPr>
            <w:tcW w:w="320" w:type="dxa"/>
            <w:vAlign w:val="bottom"/>
            <w:tcBorders>
              <w:top w:val="single" w:sz="8" w:color="2C6937"/>
              <w:bottom w:val="single" w:sz="8" w:color="2C6937"/>
            </w:tcBorders>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(2,237)</w:t>
            </w:r>
          </w:p>
        </w:tc>
        <w:tc>
          <w:tcPr>
            <w:tcW w:w="8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226</w:t>
            </w:r>
          </w:p>
        </w:tc>
      </w:tr>
      <w:tr>
        <w:trPr>
          <w:trHeight w:val="20"/>
        </w:trPr>
        <w:tc>
          <w:tcPr>
            <w:tcW w:w="3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80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See “Note 10, Segment Reporting” for information about our segment allocation methodology.</w:t>
      </w:r>
    </w:p>
    <w:p>
      <w:pPr>
        <w:spacing w:after="0" w:line="37" w:lineRule="exact"/>
        <w:rPr>
          <w:rFonts w:ascii="Arial" w:cs="Arial" w:eastAsia="Arial" w:hAnsi="Arial"/>
          <w:sz w:val="18"/>
          <w:szCs w:val="18"/>
          <w:color w:val="auto"/>
          <w:vertAlign w:val="superscript"/>
        </w:rPr>
      </w:pPr>
    </w:p>
    <w:p>
      <w:pPr>
        <w:ind w:left="240" w:right="80" w:hanging="237"/>
        <w:spacing w:after="0" w:line="210" w:lineRule="auto"/>
        <w:tabs>
          <w:tab w:leader="none" w:pos="233"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For single-family, includes net interest income generated by the 10 basis point guaranty fee increase we implemented pursuant to the Temporary Payroll Tax Cut Continuation Act of 2011, and as extended by the Infrastructure Investment and Jobs Act, which is paid to Treasury and not retained by us.</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Consists of salaries and employee benefits and professional services, technology and occupancy expenses.</w:t>
      </w:r>
    </w:p>
    <w:p>
      <w:pPr>
        <w:spacing w:after="0" w:line="37" w:lineRule="exact"/>
        <w:rPr>
          <w:rFonts w:ascii="Arial" w:cs="Arial" w:eastAsia="Arial" w:hAnsi="Arial"/>
          <w:sz w:val="18"/>
          <w:szCs w:val="18"/>
          <w:color w:val="auto"/>
          <w:vertAlign w:val="superscript"/>
        </w:rPr>
      </w:pPr>
    </w:p>
    <w:p>
      <w:pPr>
        <w:ind w:left="240" w:right="80" w:hanging="237"/>
        <w:spacing w:after="0" w:line="219" w:lineRule="auto"/>
        <w:tabs>
          <w:tab w:leader="none" w:pos="233"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For single-family, consists of the portion of our single-family guaranty fees that is paid to Treasury pursuant to the TCCA, affordable housing allocations and FHFA assessments. For multifamily, consists of affordable housing allocations and FHFA assessments.</w:t>
      </w:r>
    </w:p>
    <w:p>
      <w:pPr>
        <w:spacing w:after="0" w:line="22" w:lineRule="exact"/>
        <w:rPr>
          <w:rFonts w:ascii="Arial" w:cs="Arial" w:eastAsia="Arial" w:hAnsi="Arial"/>
          <w:sz w:val="18"/>
          <w:szCs w:val="18"/>
          <w:color w:val="auto"/>
          <w:vertAlign w:val="superscript"/>
        </w:rPr>
      </w:pPr>
    </w:p>
    <w:p>
      <w:pPr>
        <w:ind w:left="240" w:right="100" w:hanging="237"/>
        <w:spacing w:after="0" w:line="237" w:lineRule="auto"/>
        <w:tabs>
          <w:tab w:leader="none" w:pos="233"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Single-family credit enhancement expense consists of costs associated with our freestanding credit enhancements, which primarily include our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(“CAS”) and Credit Insurance Risk Transfer</w:t>
      </w:r>
      <w:r>
        <w:rPr>
          <w:rFonts w:ascii="Arial" w:cs="Arial" w:eastAsia="Arial" w:hAnsi="Arial"/>
          <w:sz w:val="8"/>
          <w:szCs w:val="8"/>
          <w:color w:val="auto"/>
        </w:rPr>
        <w:t>TM</w:t>
      </w:r>
      <w:r>
        <w:rPr>
          <w:rFonts w:ascii="Arial" w:cs="Arial" w:eastAsia="Arial" w:hAnsi="Arial"/>
          <w:sz w:val="14"/>
          <w:szCs w:val="14"/>
          <w:color w:val="auto"/>
        </w:rPr>
        <w:t xml:space="preserve"> (“CIRT</w:t>
      </w:r>
      <w:r>
        <w:rPr>
          <w:rFonts w:ascii="Arial" w:cs="Arial" w:eastAsia="Arial" w:hAnsi="Arial"/>
          <w:sz w:val="8"/>
          <w:szCs w:val="8"/>
          <w:color w:val="auto"/>
        </w:rPr>
        <w:t>TM</w:t>
      </w:r>
      <w:r>
        <w:rPr>
          <w:rFonts w:ascii="Arial" w:cs="Arial" w:eastAsia="Arial" w:hAnsi="Arial"/>
          <w:sz w:val="14"/>
          <w:szCs w:val="14"/>
          <w:color w:val="auto"/>
        </w:rPr>
        <w:t>”) programs, enterprise-paid mortgage insurance programs and certain lender risk-sharing programs. Multifamily credit enhancement expense primarily consists of costs associated with our Multifamily CIRT</w:t>
      </w:r>
      <w:r>
        <w:rPr>
          <w:rFonts w:ascii="Arial" w:cs="Arial" w:eastAsia="Arial" w:hAnsi="Arial"/>
          <w:sz w:val="8"/>
          <w:szCs w:val="8"/>
          <w:color w:val="auto"/>
        </w:rPr>
        <w:t>TM</w:t>
      </w:r>
      <w:r>
        <w:rPr>
          <w:rFonts w:ascii="Arial" w:cs="Arial" w:eastAsia="Arial" w:hAnsi="Arial"/>
          <w:sz w:val="14"/>
          <w:szCs w:val="14"/>
          <w:color w:val="auto"/>
        </w:rPr>
        <w:t xml:space="preserve"> (“MCIRT</w:t>
      </w:r>
      <w:r>
        <w:rPr>
          <w:rFonts w:ascii="Arial" w:cs="Arial" w:eastAsia="Arial" w:hAnsi="Arial"/>
          <w:sz w:val="8"/>
          <w:szCs w:val="8"/>
          <w:color w:val="auto"/>
        </w:rPr>
        <w:t>TM</w:t>
      </w:r>
      <w:r>
        <w:rPr>
          <w:rFonts w:ascii="Arial" w:cs="Arial" w:eastAsia="Arial" w:hAnsi="Arial"/>
          <w:sz w:val="14"/>
          <w:szCs w:val="14"/>
          <w:color w:val="auto"/>
        </w:rPr>
        <w:t>”) and Multifamily Connecticut Avenue Securities</w:t>
      </w:r>
      <w:r>
        <w:rPr>
          <w:rFonts w:ascii="Arial" w:cs="Arial" w:eastAsia="Arial" w:hAnsi="Arial"/>
          <w:sz w:val="8"/>
          <w:szCs w:val="8"/>
          <w:color w:val="auto"/>
        </w:rPr>
        <w:t>®</w:t>
      </w:r>
      <w:r>
        <w:rPr>
          <w:rFonts w:ascii="Arial" w:cs="Arial" w:eastAsia="Arial" w:hAnsi="Arial"/>
          <w:sz w:val="14"/>
          <w:szCs w:val="14"/>
          <w:color w:val="auto"/>
        </w:rPr>
        <w:t xml:space="preserve"> (“MCAS</w:t>
      </w:r>
      <w:r>
        <w:rPr>
          <w:rFonts w:ascii="Arial" w:cs="Arial" w:eastAsia="Arial" w:hAnsi="Arial"/>
          <w:sz w:val="8"/>
          <w:szCs w:val="8"/>
          <w:color w:val="auto"/>
        </w:rPr>
        <w:t>TM</w:t>
      </w:r>
      <w:r>
        <w:rPr>
          <w:rFonts w:ascii="Arial" w:cs="Arial" w:eastAsia="Arial" w:hAnsi="Arial"/>
          <w:sz w:val="14"/>
          <w:szCs w:val="14"/>
          <w:color w:val="auto"/>
        </w:rPr>
        <w:t>”) programs as well as amortization expense for certain lender risk-sharing programs. Excludes CAS transactions accounted for as debt instruments and credit risk transfer programs accounted for as derivative instruments.</w:t>
      </w:r>
    </w:p>
    <w:p>
      <w:pPr>
        <w:spacing w:after="0" w:line="27" w:lineRule="exact"/>
        <w:rPr>
          <w:rFonts w:ascii="Arial" w:cs="Arial" w:eastAsia="Arial" w:hAnsi="Arial"/>
          <w:sz w:val="18"/>
          <w:szCs w:val="18"/>
          <w:color w:val="auto"/>
          <w:vertAlign w:val="superscript"/>
        </w:rPr>
      </w:pPr>
    </w:p>
    <w:p>
      <w:pPr>
        <w:ind w:left="240" w:right="320" w:hanging="237"/>
        <w:spacing w:after="0" w:line="226" w:lineRule="auto"/>
        <w:tabs>
          <w:tab w:leader="none" w:pos="233"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Primarily consists of debt extinguishment gains (losses), foreclosed property income (expense), change in the expected benefits from our freestanding credit enhancements and gains (losses) from partnership investments.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19</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4"/>
          <w:szCs w:val="14"/>
          <w:color w:val="05314D"/>
        </w:rPr>
        <w:t>MD&amp;A | Business Segments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22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40"/>
        <w:spacing w:after="0"/>
        <w:rPr>
          <w:sz w:val="20"/>
          <w:szCs w:val="20"/>
          <w:color w:val="auto"/>
        </w:rPr>
      </w:pPr>
      <w:r>
        <w:rPr>
          <w:rFonts w:ascii="Georgia" w:cs="Georgia" w:eastAsia="Georgia" w:hAnsi="Georgia"/>
          <w:sz w:val="19"/>
          <w:szCs w:val="19"/>
          <w:b w:val="1"/>
          <w:bCs w:val="1"/>
          <w:color w:val="05314D"/>
        </w:rPr>
        <w:t>Net Interest Income</w:t>
      </w:r>
    </w:p>
    <w:p>
      <w:pPr>
        <w:spacing w:after="0" w:line="16" w:lineRule="exact"/>
        <w:rPr>
          <w:sz w:val="20"/>
          <w:szCs w:val="20"/>
          <w:color w:val="auto"/>
        </w:rPr>
      </w:pPr>
    </w:p>
    <w:p>
      <w:pPr>
        <w:ind w:left="4640"/>
        <w:spacing w:after="0"/>
        <w:rPr>
          <w:sz w:val="20"/>
          <w:szCs w:val="20"/>
          <w:color w:val="auto"/>
        </w:rPr>
      </w:pPr>
      <w:r>
        <w:rPr>
          <w:rFonts w:ascii="Georgia" w:cs="Georgia" w:eastAsia="Georgia" w:hAnsi="Georgia"/>
          <w:sz w:val="19"/>
          <w:szCs w:val="19"/>
          <w:b w:val="1"/>
          <w:bCs w:val="1"/>
          <w:color w:val="05314D"/>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105410</wp:posOffset>
            </wp:positionV>
            <wp:extent cx="5460365" cy="17272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60365" cy="172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w:t>
      </w:r>
    </w:p>
    <w:p>
      <w:pPr>
        <w:spacing w:after="0" w:line="67" w:lineRule="exact"/>
        <w:rPr>
          <w:sz w:val="20"/>
          <w:szCs w:val="20"/>
          <w:color w:val="auto"/>
        </w:rPr>
      </w:pPr>
    </w:p>
    <w:p>
      <w:pPr>
        <w:jc w:val="both"/>
        <w:ind w:right="340"/>
        <w:spacing w:after="0" w:line="281" w:lineRule="auto"/>
        <w:rPr>
          <w:sz w:val="20"/>
          <w:szCs w:val="20"/>
          <w:color w:val="auto"/>
        </w:rPr>
      </w:pPr>
      <w:r>
        <w:rPr>
          <w:rFonts w:ascii="Arial" w:cs="Arial" w:eastAsia="Arial" w:hAnsi="Arial"/>
          <w:sz w:val="16"/>
          <w:szCs w:val="16"/>
          <w:color w:val="auto"/>
        </w:rPr>
        <w:t>Net interest income decreased by $139 million in the third quarter of 2025 compared with the third quarter of 2024, and by $251 million in the first nine months of 2025 compared with the first nine months of 2024, primarily driven by lower net interest income from portfolios, partially offset by higher base guaranty fee income.</w:t>
      </w:r>
    </w:p>
    <w:p>
      <w:pPr>
        <w:spacing w:after="0" w:line="115"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w:t>
      </w:r>
    </w:p>
    <w:p>
      <w:pPr>
        <w:spacing w:after="0" w:line="80" w:lineRule="exact"/>
        <w:rPr>
          <w:sz w:val="20"/>
          <w:szCs w:val="20"/>
          <w:color w:val="auto"/>
        </w:rPr>
      </w:pPr>
    </w:p>
    <w:p>
      <w:pPr>
        <w:jc w:val="both"/>
        <w:ind w:right="100"/>
        <w:spacing w:after="0" w:line="272" w:lineRule="auto"/>
        <w:rPr>
          <w:sz w:val="20"/>
          <w:szCs w:val="20"/>
          <w:color w:val="auto"/>
        </w:rPr>
      </w:pPr>
      <w:r>
        <w:rPr>
          <w:rFonts w:ascii="Arial" w:cs="Arial" w:eastAsia="Arial" w:hAnsi="Arial"/>
          <w:sz w:val="16"/>
          <w:szCs w:val="16"/>
          <w:color w:val="auto"/>
        </w:rPr>
        <w:t>Net interest income increased by $48 million in the third quarter of 2025 compared with the third quarter of 2024, and by $25 million in the first nine months of 2025 compared with the first nine months of 2024, primarily driven by higher guaranty fee income as a result of an increase in the size of our multifamily guaranty book of business and higher yield maintenance income, partially offset by lower average charged guaranty fees.</w:t>
      </w:r>
    </w:p>
    <w:p>
      <w:pPr>
        <w:spacing w:after="0" w:line="12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(Provision) Benefit for Credit Losses</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7620</wp:posOffset>
            </wp:positionV>
            <wp:extent cx="5460365" cy="18008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6036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See “Consolidated Results of Operations—(Provision) Benefit for Credit Losses” for a discussion of our single-family and multifamily (provision) benefit for credit losses.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20</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3" w:name="page24"/>
    <w:bookmarkEnd w:id="23"/>
    <w:p>
      <w:pPr>
        <w:ind w:left="8400"/>
        <w:spacing w:after="0"/>
        <w:rPr>
          <w:sz w:val="20"/>
          <w:szCs w:val="20"/>
          <w:color w:val="auto"/>
        </w:rPr>
      </w:pPr>
      <w:r>
        <w:rPr>
          <w:rFonts w:ascii="Arial" w:cs="Arial" w:eastAsia="Arial" w:hAnsi="Arial"/>
          <w:sz w:val="13"/>
          <w:szCs w:val="13"/>
          <w:color w:val="05314D"/>
        </w:rPr>
        <w:t>MD&amp;A | Business Segments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Fair Value Gains (Losses), Net</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56515</wp:posOffset>
            </wp:positionV>
            <wp:extent cx="5460365" cy="2431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60365" cy="243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w:t>
      </w:r>
    </w:p>
    <w:p>
      <w:pPr>
        <w:spacing w:after="0" w:line="67"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Fair value losses, net in the third quarter of 2025 were primarily driven by losses on our mortgage commitment derivatives and long-term debt of consolidated trusts held at fair value, all of which were primarily due to falling interest rates during the third quarter of 2025, which were offset by gains on our trading securities.</w:t>
      </w:r>
    </w:p>
    <w:p>
      <w:pPr>
        <w:spacing w:after="0" w:line="24"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Fair value gains in the first nine months of 2025 were primarily driven by declining interest rates, resulting in gains on fixed-rate trading securities, which were offset by losses on mortgage commitment derivatives, long-term debt of consolidated trusts held at fair value and risk management derivatives.</w:t>
      </w:r>
    </w:p>
    <w:p>
      <w:pPr>
        <w:spacing w:after="0" w:line="1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Fair value losses, net in the third quarter of 2024 were primarily driven by losses on mortgage commitment derivatives, long-term debt of consolidated trusts held at fair value and risk management derivatives, all of which were primarily due to falling interest rates during the third quarter of 2024. These fair value losses were substantially offset by fair value gains on fixed-rate trading securities during the third quarter of 2024, which were also primarily due to falling interest rates during the third quarter of 2024.</w:t>
      </w:r>
    </w:p>
    <w:p>
      <w:pPr>
        <w:spacing w:after="0" w:line="3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Fair value gains, net in the first nine months of 2024 were driven by gains on fixed-rate trading securities and risk management derivatives, partially offset by losses on long-term debt of consolidated trusts held at fair value and mortgage commitment derivatives.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4" w:name="page25"/>
    <w:bookmarkEnd w:id="24"/>
    <w:p>
      <w:pPr>
        <w:jc w:val="right"/>
        <w:ind w:right="40"/>
        <w:spacing w:after="0"/>
        <w:rPr>
          <w:sz w:val="20"/>
          <w:szCs w:val="20"/>
          <w:color w:val="auto"/>
        </w:rPr>
      </w:pPr>
      <w:r>
        <w:rPr>
          <w:rFonts w:ascii="Arial" w:cs="Arial" w:eastAsia="Arial" w:hAnsi="Arial"/>
          <w:sz w:val="14"/>
          <w:szCs w:val="14"/>
          <w:color w:val="05314D"/>
        </w:rPr>
        <w:t>MD&amp;A | Business Segments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22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Other Income (Expense), Net</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56515</wp:posOffset>
            </wp:positionV>
            <wp:extent cx="5460365" cy="15716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60365" cy="157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w:t>
      </w:r>
    </w:p>
    <w:p>
      <w:pPr>
        <w:spacing w:after="0" w:line="6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Other expense, net, decreased $216 million in the third quarter of 2025 compared with the third quarter of 2024, and by $320 million in the first nine months of 2025 compared with the first nine months of 2024, primarily driven by an increase in debt extinguishment gains as a result of our purchase of single-family Fannie Mae MBS in the third quarter of 2025, as well as a decrease in our single-family foreclosed property expense as a result of a reduction in our REO properties and reduced repair costs.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w:t>
      </w:r>
    </w:p>
    <w:p>
      <w:pPr>
        <w:spacing w:after="0" w:line="80"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The shift to other expense, net of $7 million in the first nine months of 2025 from other income, net of $228 million in the first nine months of 2024 was primarily driven by a decline in our expected credit enhancement recoveries on multifamily loans. The decrease in estimated credit losses subject to credit enhancements on our multifamily guaranty book of business decreased the amount we expect to receive from our multifamily loss sharing arrangements.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22</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5" w:name="page26"/>
    <w:bookmarkEnd w:id="25"/>
    <w:p>
      <w:pPr>
        <w:ind w:left="7160"/>
        <w:spacing w:after="0"/>
        <w:rPr>
          <w:sz w:val="20"/>
          <w:szCs w:val="20"/>
          <w:color w:val="auto"/>
        </w:rPr>
      </w:pPr>
      <w:r>
        <w:rPr>
          <w:rFonts w:ascii="Arial" w:cs="Arial" w:eastAsia="Arial" w:hAnsi="Arial"/>
          <w:sz w:val="14"/>
          <w:szCs w:val="14"/>
          <w:color w:val="05314D"/>
        </w:rPr>
        <w:t>MD&amp;A | Single-Family Business | Single-Family Mortgage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Single-Family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jc w:val="both"/>
        <w:ind w:right="400"/>
        <w:spacing w:after="0" w:line="272" w:lineRule="auto"/>
        <w:rPr>
          <w:sz w:val="20"/>
          <w:szCs w:val="20"/>
          <w:color w:val="auto"/>
        </w:rPr>
      </w:pPr>
      <w:r>
        <w:rPr>
          <w:rFonts w:ascii="Arial" w:cs="Arial" w:eastAsia="Arial" w:hAnsi="Arial"/>
          <w:sz w:val="16"/>
          <w:szCs w:val="16"/>
          <w:color w:val="auto"/>
        </w:rPr>
        <w:t>This section supplements and updates information regarding our Single-Family business segment in our 2024 Form 10-K. See “MD&amp;A—Single-Family Business” in our 2024 Form 10-K for additional information regarding the primary business activities, lenders, investors and competition of our Single-Family business.</w:t>
      </w:r>
    </w:p>
    <w:p>
      <w:pPr>
        <w:spacing w:after="0" w:line="9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 Market</w:t>
      </w:r>
    </w:p>
    <w:p>
      <w:pPr>
        <w:spacing w:after="0" w:line="63"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Total housing activity modestly increased in the third quarter of 2025 compared with the second quarter of 2025. Existing home sales averaged 4.02 million units annualized in the third quarter of 2025, compared with 3.99 million units in the second quarter of 2025, according to data from the National Association of REALTORS</w:t>
      </w:r>
      <w:r>
        <w:rPr>
          <w:rFonts w:ascii="Arial" w:cs="Arial" w:eastAsia="Arial" w:hAnsi="Arial"/>
          <w:sz w:val="21"/>
          <w:szCs w:val="21"/>
          <w:color w:val="auto"/>
          <w:vertAlign w:val="superscript"/>
        </w:rPr>
        <w:t>®</w:t>
      </w:r>
      <w:r>
        <w:rPr>
          <w:rFonts w:ascii="Arial" w:cs="Arial" w:eastAsia="Arial" w:hAnsi="Arial"/>
          <w:sz w:val="16"/>
          <w:szCs w:val="16"/>
          <w:color w:val="auto"/>
        </w:rPr>
        <w:t>. According to the October forecast from our Economic and Strategic Research Group, new single-family home sales are estimated to average an annualized rate of approximately 692,000 units in the third quarter of 2025, compared with approximately 670,000 units in the second quarter of 2025.</w:t>
      </w:r>
    </w:p>
    <w:p>
      <w:pPr>
        <w:spacing w:after="0" w:line="254" w:lineRule="exact"/>
        <w:rPr>
          <w:sz w:val="20"/>
          <w:szCs w:val="20"/>
          <w:color w:val="auto"/>
        </w:rPr>
      </w:pPr>
    </w:p>
    <w:p>
      <w:pPr>
        <w:jc w:val="both"/>
        <w:ind w:right="380"/>
        <w:spacing w:after="0" w:line="270" w:lineRule="auto"/>
        <w:rPr>
          <w:sz w:val="20"/>
          <w:szCs w:val="20"/>
          <w:color w:val="auto"/>
        </w:rPr>
      </w:pPr>
      <w:r>
        <w:rPr>
          <w:rFonts w:ascii="Arial" w:cs="Arial" w:eastAsia="Arial" w:hAnsi="Arial"/>
          <w:sz w:val="16"/>
          <w:szCs w:val="16"/>
          <w:color w:val="auto"/>
        </w:rPr>
        <w:t>The U.S. weekly average 30-year fixed mortgage rate was 6.30% as of September 25, 2025, compared with 6.77% as of June 26, 2025, and averaged 6.57% in the third quarter of 2025, compared with 6.79% in the second quarter of 2025, according to Freddie Mac’s Primary Mortgage Market Survey</w:t>
      </w:r>
      <w:r>
        <w:rPr>
          <w:rFonts w:ascii="Arial" w:cs="Arial" w:eastAsia="Arial" w:hAnsi="Arial"/>
          <w:sz w:val="21"/>
          <w:szCs w:val="21"/>
          <w:color w:val="auto"/>
          <w:vertAlign w:val="superscript"/>
        </w:rPr>
        <w:t>®</w:t>
      </w:r>
      <w:r>
        <w:rPr>
          <w:rFonts w:ascii="Arial" w:cs="Arial" w:eastAsia="Arial" w:hAnsi="Arial"/>
          <w:sz w:val="16"/>
          <w:szCs w:val="16"/>
          <w:color w:val="auto"/>
        </w:rPr>
        <w:t>.</w:t>
      </w:r>
    </w:p>
    <w:p>
      <w:pPr>
        <w:spacing w:after="0" w:line="1"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Single-family mortgage market originations increased from an estimated $456 billion in the third quarter of 2024 to an estimated $493 billion in the third quarter of 2025. According to the October forecast from our Economic and Strategic Research Group, total originations in the U.S. single-family mortgage market in 2025 are forecasted to increase from 2024 levels by approximately 11%, from an estimated $1.70 trillion in 2024 to $1.88 trillion in 2025, and the amount of refinance originations in the U.S. single-family mortgage market are forecasted to increase from an estimated $364 billion in 2024 to $497 billion in 2025. Our Economic and Strategic Research Group’s October forecast is based on data available as of October 10, 2025. See “Key Market Economic Indicators” in our 2024 Form 10-K and this report for additional discussion of how housing activity can affect our financial results and the uncertainties that may affect our forecasts and expectations.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23</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jc w:val="right"/>
        <w:ind w:right="20"/>
        <w:spacing w:after="0"/>
        <w:rPr>
          <w:sz w:val="20"/>
          <w:szCs w:val="20"/>
          <w:color w:val="auto"/>
        </w:rPr>
      </w:pPr>
      <w:r>
        <w:rPr>
          <w:rFonts w:ascii="Arial" w:cs="Arial" w:eastAsia="Arial" w:hAnsi="Arial"/>
          <w:sz w:val="14"/>
          <w:szCs w:val="14"/>
          <w:color w:val="05314D"/>
        </w:rPr>
        <w:t>MD&amp;A | Single-Family Business | Single-Family Mortgage-Related Securities Issuances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Mortgage-Related Securities Issuances Share</w:t>
      </w:r>
    </w:p>
    <w:p>
      <w:pPr>
        <w:spacing w:after="0" w:line="63"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Our single-family Fannie Mae MBS issuances were $90.1 billion for the third quarter of 2025, compared with $92.3 billion for the third quarter of 2024. Based on the latest data available, the charts below display our estimated share of single-family mortgage-related securities issuances as compared with that of our primary competitors for the issuance of single-family mortgage-related securities for the periods indicated.</w:t>
      </w:r>
    </w:p>
    <w:p>
      <w:pPr>
        <w:spacing w:after="0" w:line="115"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Single-Family Mortgage-Related Securities Issuances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154940</wp:posOffset>
            </wp:positionV>
            <wp:extent cx="4715510" cy="25215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1551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160" w:type="dxa"/>
        <w:tblCellMar>
          <w:top w:w="0" w:type="dxa"/>
          <w:left w:w="0" w:type="dxa"/>
          <w:bottom w:w="0" w:type="dxa"/>
          <w:right w:w="0" w:type="dxa"/>
        </w:tblCellMar>
      </w:tblPr>
      <w:tr>
        <w:trPr>
          <w:trHeight w:val="193"/>
        </w:trPr>
        <w:tc>
          <w:tcPr>
            <w:tcW w:w="4000" w:type="dxa"/>
            <w:vAlign w:val="bottom"/>
          </w:tcPr>
          <w:p>
            <w:pPr>
              <w:spacing w:after="0"/>
              <w:rPr>
                <w:sz w:val="20"/>
                <w:szCs w:val="20"/>
                <w:color w:val="auto"/>
              </w:rPr>
            </w:pPr>
            <w:r>
              <w:rPr>
                <w:rFonts w:ascii="Arial" w:cs="Arial" w:eastAsia="Arial" w:hAnsi="Arial"/>
                <w:sz w:val="14"/>
                <w:szCs w:val="14"/>
                <w:color w:val="auto"/>
              </w:rPr>
              <w:t>Ginnie Mae</w:t>
            </w:r>
          </w:p>
        </w:tc>
        <w:tc>
          <w:tcPr>
            <w:tcW w:w="220" w:type="dxa"/>
            <w:vAlign w:val="bottom"/>
            <w:shd w:val="clear" w:color="auto" w:fill="911A5B"/>
          </w:tcPr>
          <w:p>
            <w:pPr>
              <w:spacing w:after="0"/>
              <w:rPr>
                <w:sz w:val="16"/>
                <w:szCs w:val="16"/>
                <w:color w:val="auto"/>
              </w:rPr>
            </w:pPr>
          </w:p>
        </w:tc>
        <w:tc>
          <w:tcPr>
            <w:tcW w:w="1600" w:type="dxa"/>
            <w:vAlign w:val="bottom"/>
          </w:tcPr>
          <w:p>
            <w:pPr>
              <w:ind w:left="220"/>
              <w:spacing w:after="0"/>
              <w:rPr>
                <w:sz w:val="20"/>
                <w:szCs w:val="20"/>
                <w:color w:val="auto"/>
              </w:rPr>
            </w:pPr>
            <w:r>
              <w:rPr>
                <w:rFonts w:ascii="Arial" w:cs="Arial" w:eastAsia="Arial" w:hAnsi="Arial"/>
                <w:sz w:val="14"/>
                <w:szCs w:val="14"/>
                <w:color w:val="auto"/>
                <w:w w:val="96"/>
              </w:rPr>
              <w:t>Private-label securities</w:t>
            </w:r>
          </w:p>
        </w:tc>
        <w:tc>
          <w:tcPr>
            <w:tcW w:w="0" w:type="dxa"/>
            <w:vAlign w:val="bottom"/>
          </w:tcPr>
          <w:p>
            <w:pPr>
              <w:spacing w:after="0"/>
              <w:rPr>
                <w:sz w:val="1"/>
                <w:szCs w:val="1"/>
                <w:color w:val="auto"/>
              </w:rPr>
            </w:pPr>
          </w:p>
        </w:tc>
      </w:tr>
      <w:tr>
        <w:trPr>
          <w:trHeight w:val="52"/>
        </w:trPr>
        <w:tc>
          <w:tcPr>
            <w:tcW w:w="4000" w:type="dxa"/>
            <w:vAlign w:val="bottom"/>
            <w:vMerge w:val="restart"/>
          </w:tcPr>
          <w:p>
            <w:pPr>
              <w:spacing w:after="0"/>
              <w:rPr>
                <w:sz w:val="20"/>
                <w:szCs w:val="20"/>
                <w:color w:val="auto"/>
              </w:rPr>
            </w:pPr>
            <w:r>
              <w:rPr>
                <w:rFonts w:ascii="Arial" w:cs="Arial" w:eastAsia="Arial" w:hAnsi="Arial"/>
                <w:sz w:val="14"/>
                <w:szCs w:val="14"/>
                <w:color w:val="auto"/>
              </w:rPr>
              <w:t>Fannie Mae</w:t>
            </w:r>
          </w:p>
        </w:tc>
        <w:tc>
          <w:tcPr>
            <w:tcW w:w="220" w:type="dxa"/>
            <w:vAlign w:val="bottom"/>
          </w:tcPr>
          <w:p>
            <w:pPr>
              <w:spacing w:after="0"/>
              <w:rPr>
                <w:sz w:val="4"/>
                <w:szCs w:val="4"/>
                <w:color w:val="auto"/>
              </w:rPr>
            </w:pPr>
          </w:p>
        </w:tc>
        <w:tc>
          <w:tcPr>
            <w:tcW w:w="1600" w:type="dxa"/>
            <w:vAlign w:val="bottom"/>
            <w:vMerge w:val="restart"/>
          </w:tcPr>
          <w:p>
            <w:pPr>
              <w:ind w:left="220"/>
              <w:spacing w:after="0"/>
              <w:rPr>
                <w:sz w:val="20"/>
                <w:szCs w:val="20"/>
                <w:color w:val="auto"/>
              </w:rPr>
            </w:pPr>
            <w:r>
              <w:rPr>
                <w:rFonts w:ascii="Arial" w:cs="Arial" w:eastAsia="Arial" w:hAnsi="Arial"/>
                <w:sz w:val="14"/>
                <w:szCs w:val="14"/>
                <w:color w:val="auto"/>
              </w:rPr>
              <w:t>Freddie Mac</w:t>
            </w:r>
          </w:p>
        </w:tc>
        <w:tc>
          <w:tcPr>
            <w:tcW w:w="0" w:type="dxa"/>
            <w:vAlign w:val="bottom"/>
          </w:tcPr>
          <w:p>
            <w:pPr>
              <w:spacing w:after="0"/>
              <w:rPr>
                <w:sz w:val="1"/>
                <w:szCs w:val="1"/>
                <w:color w:val="auto"/>
              </w:rPr>
            </w:pPr>
          </w:p>
        </w:tc>
      </w:tr>
      <w:tr>
        <w:trPr>
          <w:trHeight w:val="193"/>
        </w:trPr>
        <w:tc>
          <w:tcPr>
            <w:tcW w:w="4000" w:type="dxa"/>
            <w:vAlign w:val="bottom"/>
            <w:vMerge w:val="continue"/>
          </w:tcPr>
          <w:p>
            <w:pPr>
              <w:spacing w:after="0"/>
              <w:rPr>
                <w:sz w:val="16"/>
                <w:szCs w:val="16"/>
                <w:color w:val="auto"/>
              </w:rPr>
            </w:pPr>
          </w:p>
        </w:tc>
        <w:tc>
          <w:tcPr>
            <w:tcW w:w="220" w:type="dxa"/>
            <w:vAlign w:val="bottom"/>
            <w:shd w:val="clear" w:color="auto" w:fill="5587A6"/>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-121920</wp:posOffset>
            </wp:positionV>
            <wp:extent cx="139065" cy="1225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9065" cy="122555"/>
                    </a:xfrm>
                    <a:prstGeom prst="rect">
                      <a:avLst/>
                    </a:prstGeom>
                    <a:noFill/>
                  </pic:spPr>
                </pic:pic>
              </a:graphicData>
            </a:graphic>
          </wp:anchor>
        </w:drawing>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market share is influenced by various factors, including the pricing of single-family loans and the competitive market environment. When making pricing and acquisition decisions for single-family loans, we must consider a mix of often competing factors, such as competitive market dynamics, our capital requirements, our housing mission requirements and UMBS market liquidity objectives. Balancing these considerations can sometimes create challenges that impact our ability to compete effectively in the marketplace. For a discussion of factors that affect or could affect our business, our competitive environment, demand for our MBS, or the liquidity and market value of our MBS, as well as the risks associated with our conservatorship, our higher capital requirements relative to that of our primary competitor, our housing mission requirements, the UMBS market and the performance of our MBS, see “Business—Conservatorship and Treasury Agreements,” “Business—Legislation and Regulation,” “Risk Factors” and “MD&amp;A—Single-Family Business— Single-Family Competition” in our 2024 Form 10-K, as well as “Legislation and Regulation” in our First and Second Quarter 2025 Form 10-Qs and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24</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7" w:name="page28"/>
    <w:bookmarkEnd w:id="27"/>
    <w:p>
      <w:pPr>
        <w:ind w:left="7160"/>
        <w:spacing w:after="0"/>
        <w:rPr>
          <w:sz w:val="20"/>
          <w:szCs w:val="20"/>
          <w:color w:val="auto"/>
        </w:rPr>
      </w:pPr>
      <w:r>
        <w:rPr>
          <w:rFonts w:ascii="Arial" w:cs="Arial" w:eastAsia="Arial" w:hAnsi="Arial"/>
          <w:sz w:val="14"/>
          <w:szCs w:val="14"/>
          <w:color w:val="05314D"/>
        </w:rPr>
        <w:t>MD&amp;A | Single-Family Business | Single-Family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Business Metrics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Select Business Metrics</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charts below display our average charged guaranty fees, net of TCCA fees, on our single-family conventional guaranty book of business and on new single-family conventional loan acquisitions, along with our average single-family conventional guaranty book of business and our single-family conventional loan acquisitions for the periods presented.</w:t>
      </w:r>
    </w:p>
    <w:p>
      <w:pPr>
        <w:spacing w:after="0" w:line="3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Select Single-Family Business Metrics</w:t>
      </w:r>
      <w:r>
        <w:rPr>
          <w:rFonts w:ascii="Georgia" w:cs="Georgia" w:eastAsia="Georgia" w:hAnsi="Georgia"/>
          <w:sz w:val="24"/>
          <w:szCs w:val="24"/>
          <w:b w:val="1"/>
          <w:bCs w:val="1"/>
          <w:color w:val="05314D"/>
          <w:vertAlign w:val="superscript"/>
        </w:rPr>
        <w:t>(1)</w:t>
      </w:r>
    </w:p>
    <w:p>
      <w:pPr>
        <w:jc w:val="center"/>
        <w:spacing w:after="0" w:line="237" w:lineRule="auto"/>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64770</wp:posOffset>
            </wp:positionV>
            <wp:extent cx="5591175" cy="18503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91175" cy="185039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180" w:right="400"/>
        <w:spacing w:after="0" w:line="295" w:lineRule="auto"/>
        <w:rPr>
          <w:sz w:val="20"/>
          <w:szCs w:val="20"/>
          <w:color w:val="auto"/>
        </w:rPr>
      </w:pPr>
      <w:r>
        <w:rPr>
          <w:rFonts w:ascii="Arial" w:cs="Arial" w:eastAsia="Arial" w:hAnsi="Arial"/>
          <w:sz w:val="14"/>
          <w:szCs w:val="14"/>
          <w:color w:val="auto"/>
        </w:rPr>
        <w:t>Average charged guaranty fee on single-family conventional guaranty book of business, net of TCCA fees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37465</wp:posOffset>
            </wp:positionV>
            <wp:extent cx="147320" cy="984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7320" cy="98425"/>
                    </a:xfrm>
                    <a:prstGeom prst="rect">
                      <a:avLst/>
                    </a:prstGeom>
                    <a:noFill/>
                  </pic:spPr>
                </pic:pic>
              </a:graphicData>
            </a:graphic>
          </wp:anchor>
        </w:drawing>
      </w:r>
    </w:p>
    <w:p>
      <w:pPr>
        <w:spacing w:after="0" w:line="58" w:lineRule="exact"/>
        <w:rPr>
          <w:sz w:val="20"/>
          <w:szCs w:val="20"/>
          <w:color w:val="auto"/>
        </w:rPr>
      </w:pPr>
    </w:p>
    <w:p>
      <w:pPr>
        <w:ind w:left="1180" w:right="680"/>
        <w:spacing w:after="0" w:line="295" w:lineRule="auto"/>
        <w:rPr>
          <w:sz w:val="20"/>
          <w:szCs w:val="20"/>
          <w:color w:val="auto"/>
        </w:rPr>
      </w:pPr>
      <w:r>
        <w:rPr>
          <w:rFonts w:ascii="Arial" w:cs="Arial" w:eastAsia="Arial" w:hAnsi="Arial"/>
          <w:sz w:val="14"/>
          <w:szCs w:val="14"/>
          <w:color w:val="auto"/>
        </w:rPr>
        <w:t>Average charged guaranty fee on new single-family conventional acquisitions, net of TCCA fees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Average single-family conventional guaranty book of business</w:t>
      </w:r>
      <w:r>
        <w:rPr>
          <w:rFonts w:ascii="Arial" w:cs="Arial" w:eastAsia="Arial" w:hAnsi="Arial"/>
          <w:sz w:val="16"/>
          <w:szCs w:val="1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201295</wp:posOffset>
            </wp:positionV>
            <wp:extent cx="155575" cy="984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5575" cy="9842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Single-family conventional acquisitions</w:t>
      </w:r>
    </w:p>
    <w:p>
      <w:pPr>
        <w:spacing w:after="0" w:line="380" w:lineRule="exact"/>
        <w:rPr>
          <w:sz w:val="20"/>
          <w:szCs w:val="20"/>
          <w:color w:val="auto"/>
        </w:rPr>
      </w:pPr>
    </w:p>
    <w:p>
      <w:pPr>
        <w:sectPr>
          <w:pgSz w:w="11900" w:h="16838" w:orient="portrait"/>
          <w:cols w:equalWidth="0" w:num="2">
            <w:col w:w="5800" w:space="720"/>
            <w:col w:w="4720"/>
          </w:cols>
          <w:pgMar w:left="320" w:top="248" w:right="339" w:bottom="1440" w:gutter="0" w:footer="0" w:header="0"/>
          <w:type w:val="continuous"/>
        </w:sectPr>
      </w:pPr>
    </w:p>
    <w:p>
      <w:pPr>
        <w:ind w:left="240" w:right="260" w:hanging="236"/>
        <w:spacing w:after="0" w:line="226" w:lineRule="auto"/>
        <w:tabs>
          <w:tab w:leader="none" w:pos="27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For information reported in this “Single-Family Business” section, our single-family conventional guaranty book of business is measured using the unpaid principal balance of our mortgage loans underlying Fannie Mae MBS outstanding.</w:t>
      </w:r>
    </w:p>
    <w:p>
      <w:pPr>
        <w:spacing w:after="0" w:line="1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1"/>
        </w:numPr>
        <w:rPr>
          <w:rFonts w:ascii="Arial" w:cs="Arial" w:eastAsia="Arial" w:hAnsi="Arial"/>
          <w:sz w:val="9"/>
          <w:szCs w:val="9"/>
          <w:color w:val="auto"/>
        </w:rPr>
      </w:pPr>
      <w:r>
        <w:rPr>
          <w:rFonts w:ascii="Arial" w:cs="Arial" w:eastAsia="Arial" w:hAnsi="Arial"/>
          <w:sz w:val="14"/>
          <w:szCs w:val="14"/>
          <w:color w:val="auto"/>
        </w:rPr>
        <w:t>Excludes the impact of a 10 basis point guaranty fee increase implemented pursuant to the TCCA, the incremental revenue from which is paid to Treasury and not retained by us.</w:t>
      </w:r>
    </w:p>
    <w:p>
      <w:pPr>
        <w:spacing w:after="0" w:line="45" w:lineRule="exact"/>
        <w:rPr>
          <w:rFonts w:ascii="Arial" w:cs="Arial" w:eastAsia="Arial" w:hAnsi="Arial"/>
          <w:sz w:val="9"/>
          <w:szCs w:val="9"/>
          <w:color w:val="auto"/>
        </w:rPr>
      </w:pPr>
    </w:p>
    <w:p>
      <w:pPr>
        <w:ind w:left="240" w:right="140" w:hanging="237"/>
        <w:spacing w:after="0" w:line="264" w:lineRule="auto"/>
        <w:tabs>
          <w:tab w:leader="none" w:pos="270" w:val="left"/>
        </w:tabs>
        <w:numPr>
          <w:ilvl w:val="0"/>
          <w:numId w:val="21"/>
        </w:numPr>
        <w:rPr>
          <w:rFonts w:ascii="Arial" w:cs="Arial" w:eastAsia="Arial" w:hAnsi="Arial"/>
          <w:sz w:val="9"/>
          <w:szCs w:val="9"/>
          <w:color w:val="auto"/>
        </w:rPr>
      </w:pPr>
      <w:r>
        <w:rPr>
          <w:rFonts w:ascii="Arial" w:cs="Arial" w:eastAsia="Arial" w:hAnsi="Arial"/>
          <w:sz w:val="14"/>
          <w:szCs w:val="14"/>
          <w:color w:val="auto"/>
        </w:rPr>
        <w:t>Our single-family conventional guaranty book of business primarily consists of single-family conventional mortgage loans underlying Fannie Mae MBS outstanding. It also includes single-family conventional mortgage loans of Fannie Mae held in our retained mortgage portfolio, and other credit enhancements that we provide on single-family conventional mortgage assets. Our average single-family conventional guaranty book of business is based on the average of quarter-end balances.</w:t>
      </w:r>
    </w:p>
    <w:p>
      <w:pPr>
        <w:spacing w:after="0" w:line="34"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Our single-family conventional loan acquisition volumes remained at low levels in the third quarter of 2025. Housing affordability constraints, limited supply, and market competition continued to put downward pressure on the volume of purchase loans we acquired. In addition, the average 30-year fixed-rate mortgage rate in third quarter of 2025 remained higher than the interest rates of most outstanding single-family loans, resulting in low refinancing volumes.</w:t>
      </w:r>
    </w:p>
    <w:p>
      <w:pPr>
        <w:spacing w:after="0" w:line="3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Average charged guaranty fee on newly acquired conventional single-family loans is a metric management uses to measure the amount we earn as compensation for the credit risk we manage and to assess our return. Average charged guaranty fee represents, on an annualized basis, the average of the base guaranty fees charged during the period for our single-family conventional guaranty arrangements, which we receive monthly over the life of the loan, plus the recognition of any upfront cash payments, including loan-level price adjustments, based on an estimated average life at the time of acquisition.</w:t>
      </w:r>
    </w:p>
    <w:p>
      <w:pPr>
        <w:spacing w:after="0" w:line="33"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Our average charged guaranty fee on newly acquired conventional single-family loans, net of TCCA fees increased in the third quarter of 2025 compared with the third quarter of 2024, primarily as a result of a shift in the profile of loans we acquired to loans with higher upfront fees, as well as higher base guaranty fees on new single-family loan acquisitions.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28" w:name="page29"/>
    <w:bookmarkEnd w:id="28"/>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Single-Family Mortgage Credit Risk Management</w:t>
      </w:r>
    </w:p>
    <w:p>
      <w:pPr>
        <w:spacing w:after="0" w:line="63" w:lineRule="exact"/>
        <w:rPr>
          <w:sz w:val="20"/>
          <w:szCs w:val="20"/>
          <w:color w:val="auto"/>
        </w:rPr>
      </w:pPr>
    </w:p>
    <w:p>
      <w:pPr>
        <w:ind w:right="400"/>
        <w:spacing w:after="0" w:line="281" w:lineRule="auto"/>
        <w:rPr>
          <w:sz w:val="20"/>
          <w:szCs w:val="20"/>
          <w:color w:val="auto"/>
        </w:rPr>
      </w:pPr>
      <w:r>
        <w:rPr>
          <w:rFonts w:ascii="Arial" w:cs="Arial" w:eastAsia="Arial" w:hAnsi="Arial"/>
          <w:sz w:val="16"/>
          <w:szCs w:val="16"/>
          <w:color w:val="auto"/>
        </w:rPr>
        <w:t>This section updates our discussion of single-family mortgage credit risk management in our 2024 Form 10-K. For additional information on our single-family acquisition and servicing policies, underwriting and servicing standards, quality control process, repurchase requests, and representation and warranty framework, see “MD&amp;A—Single-Family Business—Single-Family Mortgage Credit Risk Management” in our 2024 Form 10-K.</w:t>
      </w:r>
    </w:p>
    <w:p>
      <w:pPr>
        <w:spacing w:after="0" w:line="66" w:lineRule="exact"/>
        <w:rPr>
          <w:sz w:val="20"/>
          <w:szCs w:val="20"/>
          <w:color w:val="auto"/>
        </w:rPr>
      </w:pPr>
    </w:p>
    <w:p>
      <w:pPr>
        <w:ind w:right="2100"/>
        <w:spacing w:after="0" w:line="342" w:lineRule="auto"/>
        <w:rPr>
          <w:sz w:val="20"/>
          <w:szCs w:val="20"/>
          <w:color w:val="auto"/>
        </w:rPr>
      </w:pPr>
      <w:r>
        <w:rPr>
          <w:rFonts w:ascii="Georgia" w:cs="Georgia" w:eastAsia="Georgia" w:hAnsi="Georgia"/>
          <w:sz w:val="19"/>
          <w:szCs w:val="19"/>
          <w:b w:val="1"/>
          <w:bCs w:val="1"/>
          <w:i w:val="1"/>
          <w:iCs w:val="1"/>
          <w:color w:val="05314D"/>
        </w:rPr>
        <w:t xml:space="preserve">Single-Family Acquisition and Servicing Policies and Underwriting and Servicing Standards </w:t>
      </w:r>
      <w:r>
        <w:rPr>
          <w:rFonts w:ascii="Georgia" w:cs="Georgia" w:eastAsia="Georgia" w:hAnsi="Georgia"/>
          <w:sz w:val="19"/>
          <w:szCs w:val="19"/>
          <w:i w:val="1"/>
          <w:iCs w:val="1"/>
          <w:color w:val="05314D"/>
        </w:rPr>
        <w:t>New Credit Score Models</w:t>
      </w:r>
    </w:p>
    <w:p>
      <w:pPr>
        <w:ind w:right="360"/>
        <w:spacing w:after="0" w:line="230" w:lineRule="auto"/>
        <w:rPr>
          <w:sz w:val="20"/>
          <w:szCs w:val="20"/>
          <w:color w:val="auto"/>
        </w:rPr>
      </w:pPr>
      <w:r>
        <w:rPr>
          <w:rFonts w:ascii="Arial" w:cs="Arial" w:eastAsia="Arial" w:hAnsi="Arial"/>
          <w:sz w:val="16"/>
          <w:szCs w:val="16"/>
          <w:color w:val="auto"/>
        </w:rPr>
        <w:t>Fannie Mae uses credit scores to provide a foundation for risk-based pricing, and support disclosures to investors. We currently use the “classic FICO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Score” from Fair Isaac Corporation as our credit score model, which FHFA has approved.</w:t>
      </w:r>
    </w:p>
    <w:p>
      <w:pPr>
        <w:spacing w:after="0" w:line="56" w:lineRule="exact"/>
        <w:rPr>
          <w:sz w:val="20"/>
          <w:szCs w:val="20"/>
          <w:color w:val="auto"/>
        </w:rPr>
      </w:pPr>
    </w:p>
    <w:p>
      <w:pPr>
        <w:ind w:right="80"/>
        <w:spacing w:after="0" w:line="235" w:lineRule="auto"/>
        <w:rPr>
          <w:sz w:val="20"/>
          <w:szCs w:val="20"/>
          <w:color w:val="auto"/>
        </w:rPr>
      </w:pPr>
      <w:r>
        <w:rPr>
          <w:rFonts w:ascii="Arial" w:cs="Arial" w:eastAsia="Arial" w:hAnsi="Arial"/>
          <w:sz w:val="16"/>
          <w:szCs w:val="16"/>
          <w:color w:val="auto"/>
        </w:rPr>
        <w:t>In October 2022, FHFA announced the validation and approval of two new credit score models for use by Fannie Mae and Freddie Mac: the FICO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Score 10T credit score model and the VantageScore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4.0 credit score model. In July 2025, FHFA announced that Fannie Mae and Freddie Mac are moving forward with an interim phase in the transition to the new credit score models, in which we will permit lenders to deliver mortgage loans using a credit score generated by either the classic FICO Score model or the VantageScore 4.0 model as we continue to work towards full implementation of modernized credit scoring and credit reporting. FHFA also announced that implementation efforts are underway with respect to the FICO 10T credit score model, and that Fannie Mae and Freddie Mac expect to be able to publish historical FICO 10T data and adopt scores from the model at a later date.</w:t>
      </w:r>
    </w:p>
    <w:p>
      <w:pPr>
        <w:spacing w:after="0" w:line="57"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We will update our Selling Guide and make additional changes to support the adoption of VantageScore 4.0 in the near future. During the interim phase, we will accept either classic FICO Score or VantageScore 4.0 credit scores on a given loan, but not both. FHFA has advised that the inclusion of VantageScore 4.0 credit scores during the interim phase will not change our current tri-merge credit reporting requirement.</w:t>
      </w:r>
    </w:p>
    <w:p>
      <w:pPr>
        <w:spacing w:after="0" w:line="6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Guaranty Book Diversification and Monitoring</w:t>
      </w:r>
    </w:p>
    <w:p>
      <w:pPr>
        <w:spacing w:after="0" w:line="80"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The following table displays our single-family conventional business volumes and our single-family conventional guaranty book of business, based on certain key risk characteristics that we use to evaluate the risk profile and credit quality of our single-family loans. For a description of the key risk characteristics of our single-family conventional guaranty book of business, see “MD&amp;A—Single-Family Business—Single-Family Mortgage Credit Risk Management—Single-Family Guaranty Book Diversification and Monitoring—Overview” in our 2024 Form 10-K.</w:t>
      </w:r>
    </w:p>
    <w:p>
      <w:pPr>
        <w:spacing w:after="0" w:line="35"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We provide additional information on the credit characteristics of our single-family loans in our quarterly earnings presentations and financial supplements, which we furnish to the Securities and Exchange Commission (the “SEC”) with current reports on Form 8-K and make available on our website. Information in our quarterly earnings presentations and financial supplements is not incorporated by reference into this report.</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29" w:name="page30"/>
    <w:bookmarkEnd w:id="29"/>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Single-Family Conventional Business Volume and Guaranty Book of Business</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60" w:type="dxa"/>
            <w:vAlign w:val="bottom"/>
            <w:gridSpan w:val="10"/>
          </w:tcPr>
          <w:p>
            <w:pPr>
              <w:jc w:val="right"/>
              <w:ind w:right="251"/>
              <w:spacing w:after="0"/>
              <w:rPr>
                <w:sz w:val="20"/>
                <w:szCs w:val="20"/>
                <w:color w:val="auto"/>
              </w:rPr>
            </w:pPr>
            <w:r>
              <w:rPr>
                <w:rFonts w:ascii="Arial" w:cs="Arial" w:eastAsia="Arial" w:hAnsi="Arial"/>
                <w:sz w:val="14"/>
                <w:szCs w:val="14"/>
                <w:b w:val="1"/>
                <w:bCs w:val="1"/>
                <w:color w:val="auto"/>
              </w:rPr>
              <w:t>Percent of Single-Family Conventional Business Volume at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00" w:type="dxa"/>
            <w:vAlign w:val="bottom"/>
            <w:tcBorders>
              <w:bottom w:val="single" w:sz="8" w:color="2C6937"/>
            </w:tcBorders>
          </w:tcPr>
          <w:p>
            <w:pPr>
              <w:spacing w:after="0"/>
              <w:rPr>
                <w:sz w:val="17"/>
                <w:szCs w:val="17"/>
                <w:color w:val="auto"/>
              </w:rPr>
            </w:pPr>
          </w:p>
        </w:tc>
        <w:tc>
          <w:tcPr>
            <w:tcW w:w="24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920" w:type="dxa"/>
            <w:vAlign w:val="bottom"/>
            <w:tcBorders>
              <w:bottom w:val="single" w:sz="8" w:color="2C6937"/>
            </w:tcBorders>
            <w:gridSpan w:val="4"/>
          </w:tcPr>
          <w:p>
            <w:pPr>
              <w:jc w:val="right"/>
              <w:ind w:right="571"/>
              <w:spacing w:after="0"/>
              <w:rPr>
                <w:sz w:val="20"/>
                <w:szCs w:val="20"/>
                <w:color w:val="auto"/>
              </w:rPr>
            </w:pPr>
            <w:r>
              <w:rPr>
                <w:rFonts w:ascii="Arial" w:cs="Arial" w:eastAsia="Arial" w:hAnsi="Arial"/>
                <w:sz w:val="14"/>
                <w:szCs w:val="14"/>
                <w:b w:val="1"/>
                <w:bCs w:val="1"/>
                <w:color w:val="auto"/>
              </w:rPr>
              <w:t>Acquisition</w:t>
            </w:r>
            <w:r>
              <w:rPr>
                <w:rFonts w:ascii="Arial" w:cs="Arial" w:eastAsia="Arial" w:hAnsi="Arial"/>
                <w:sz w:val="17"/>
                <w:szCs w:val="17"/>
                <w:b w:val="1"/>
                <w:bCs w:val="1"/>
                <w:color w:val="auto"/>
                <w:vertAlign w:val="superscript"/>
              </w:rPr>
              <w:t>(2)</w:t>
            </w:r>
          </w:p>
        </w:tc>
        <w:tc>
          <w:tcPr>
            <w:tcW w:w="24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gridSpan w:val="4"/>
            <w:vMerge w:val="restart"/>
          </w:tcPr>
          <w:p>
            <w:pPr>
              <w:jc w:val="center"/>
              <w:ind w:left="51"/>
              <w:spacing w:after="0"/>
              <w:rPr>
                <w:sz w:val="20"/>
                <w:szCs w:val="20"/>
                <w:color w:val="auto"/>
              </w:rPr>
            </w:pPr>
            <w:r>
              <w:rPr>
                <w:rFonts w:ascii="Arial" w:cs="Arial" w:eastAsia="Arial" w:hAnsi="Arial"/>
                <w:sz w:val="14"/>
                <w:szCs w:val="14"/>
                <w:b w:val="1"/>
                <w:bCs w:val="1"/>
                <w:color w:val="auto"/>
                <w:w w:val="98"/>
              </w:rPr>
              <w:t>Percent of Single-Family Conventional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4"/>
            <w:vMerge w:val="restart"/>
          </w:tcPr>
          <w:p>
            <w:pPr>
              <w:jc w:val="right"/>
              <w:ind w:right="51"/>
              <w:spacing w:after="0"/>
              <w:rPr>
                <w:sz w:val="20"/>
                <w:szCs w:val="20"/>
                <w:color w:val="auto"/>
              </w:rPr>
            </w:pPr>
            <w:r>
              <w:rPr>
                <w:rFonts w:ascii="Arial" w:cs="Arial" w:eastAsia="Arial" w:hAnsi="Arial"/>
                <w:sz w:val="14"/>
                <w:szCs w:val="14"/>
                <w:b w:val="1"/>
                <w:bCs w:val="1"/>
                <w:color w:val="auto"/>
                <w:w w:val="96"/>
              </w:rPr>
              <w:t>For the Three Months Ended</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4"/>
            <w:vMerge w:val="restart"/>
          </w:tcPr>
          <w:p>
            <w:pPr>
              <w:jc w:val="right"/>
              <w:ind w:right="111"/>
              <w:spacing w:after="0"/>
              <w:rPr>
                <w:sz w:val="20"/>
                <w:szCs w:val="20"/>
                <w:color w:val="auto"/>
              </w:rPr>
            </w:pPr>
            <w:r>
              <w:rPr>
                <w:rFonts w:ascii="Arial" w:cs="Arial" w:eastAsia="Arial" w:hAnsi="Arial"/>
                <w:sz w:val="14"/>
                <w:szCs w:val="14"/>
                <w:b w:val="1"/>
                <w:bCs w:val="1"/>
                <w:color w:val="auto"/>
                <w:w w:val="98"/>
              </w:rPr>
              <w:t>For the Nine Months Ended</w:t>
            </w: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40" w:type="dxa"/>
            <w:vAlign w:val="bottom"/>
            <w:gridSpan w:val="4"/>
          </w:tcPr>
          <w:p>
            <w:pPr>
              <w:jc w:val="center"/>
              <w:ind w:left="51"/>
              <w:spacing w:after="0" w:line="141" w:lineRule="exact"/>
              <w:rPr>
                <w:sz w:val="20"/>
                <w:szCs w:val="20"/>
                <w:color w:val="auto"/>
              </w:rPr>
            </w:pPr>
            <w:r>
              <w:rPr>
                <w:rFonts w:ascii="Arial" w:cs="Arial" w:eastAsia="Arial" w:hAnsi="Arial"/>
                <w:sz w:val="13"/>
                <w:szCs w:val="13"/>
                <w:b w:val="1"/>
                <w:bCs w:val="1"/>
                <w:color w:val="auto"/>
              </w:rPr>
              <w:t>Guaranty Book of Business</w:t>
            </w:r>
            <w:r>
              <w:rPr>
                <w:rFonts w:ascii="Arial" w:cs="Arial" w:eastAsia="Arial" w:hAnsi="Arial"/>
                <w:sz w:val="16"/>
                <w:szCs w:val="16"/>
                <w:b w:val="1"/>
                <w:bCs w:val="1"/>
                <w:color w:val="auto"/>
                <w:vertAlign w:val="superscript"/>
              </w:rPr>
              <w:t>(3)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980" w:type="dxa"/>
            <w:vAlign w:val="bottom"/>
            <w:tcBorders>
              <w:bottom w:val="single" w:sz="8" w:color="2C6937"/>
            </w:tcBorders>
            <w:gridSpan w:val="4"/>
          </w:tcPr>
          <w:p>
            <w:pPr>
              <w:jc w:val="right"/>
              <w:ind w:right="511"/>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2000" w:type="dxa"/>
            <w:vAlign w:val="bottom"/>
            <w:tcBorders>
              <w:bottom w:val="single" w:sz="8" w:color="2C6937"/>
            </w:tcBorders>
            <w:gridSpan w:val="4"/>
          </w:tcPr>
          <w:p>
            <w:pPr>
              <w:jc w:val="right"/>
              <w:ind w:right="531"/>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1540" w:type="dxa"/>
            <w:vAlign w:val="bottom"/>
            <w:tcBorders>
              <w:bottom w:val="single" w:sz="8" w:color="2C6937"/>
            </w:tcBorders>
          </w:tcPr>
          <w:p>
            <w:pPr>
              <w:spacing w:after="0"/>
              <w:rPr>
                <w:sz w:val="15"/>
                <w:szCs w:val="15"/>
                <w:color w:val="auto"/>
              </w:rPr>
            </w:pPr>
          </w:p>
        </w:tc>
        <w:tc>
          <w:tcPr>
            <w:tcW w:w="440" w:type="dxa"/>
            <w:vAlign w:val="bottom"/>
            <w:tcBorders>
              <w:bottom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7"/>
              </w:rPr>
              <w:t>As of</w:t>
            </w:r>
          </w:p>
        </w:tc>
        <w:tc>
          <w:tcPr>
            <w:tcW w:w="1460" w:type="dxa"/>
            <w:vAlign w:val="bottom"/>
            <w:tcBorders>
              <w:bottom w:val="single" w:sz="8" w:color="2C6937"/>
            </w:tcBorders>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0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54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46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w w:val="98"/>
              </w:rPr>
              <w:t>December 31, 2024</w:t>
            </w:r>
          </w:p>
        </w:tc>
        <w:tc>
          <w:tcPr>
            <w:tcW w:w="40" w:type="dxa"/>
            <w:vAlign w:val="bottom"/>
            <w:tcBorders>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Original LTV ratio:</w:t>
            </w:r>
            <w:r>
              <w:rPr>
                <w:rFonts w:ascii="Arial" w:cs="Arial" w:eastAsia="Arial" w:hAnsi="Arial"/>
                <w:sz w:val="17"/>
                <w:szCs w:val="17"/>
                <w:b w:val="1"/>
                <w:bCs w:val="1"/>
                <w:color w:val="auto"/>
                <w:vertAlign w:val="superscript"/>
              </w:rPr>
              <w:t>(4)</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24</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90.01% to 95%</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95.01% to 100%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2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5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5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40" w:type="dxa"/>
            <w:vAlign w:val="bottom"/>
            <w:shd w:val="clear" w:color="auto" w:fill="CBC8C3"/>
          </w:tcPr>
          <w:p>
            <w:pPr>
              <w:spacing w:after="0"/>
              <w:rPr>
                <w:sz w:val="18"/>
                <w:szCs w:val="18"/>
                <w:color w:val="auto"/>
              </w:rPr>
            </w:pPr>
          </w:p>
        </w:tc>
        <w:tc>
          <w:tcPr>
            <w:tcW w:w="80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77</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shd w:val="clear" w:color="auto" w:fill="CBC8C3"/>
          </w:tcPr>
          <w:p>
            <w:pPr>
              <w:spacing w:after="0"/>
              <w:rPr>
                <w:sz w:val="18"/>
                <w:szCs w:val="18"/>
                <w:color w:val="auto"/>
              </w:rPr>
            </w:pPr>
          </w:p>
        </w:tc>
        <w:tc>
          <w:tcPr>
            <w:tcW w:w="7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77</w:t>
            </w:r>
          </w:p>
        </w:tc>
        <w:tc>
          <w:tcPr>
            <w:tcW w:w="2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20" w:type="dxa"/>
            <w:vAlign w:val="bottom"/>
            <w:shd w:val="clear" w:color="auto" w:fill="CBC8C3"/>
          </w:tcPr>
          <w:p>
            <w:pPr>
              <w:spacing w:after="0"/>
              <w:rPr>
                <w:sz w:val="18"/>
                <w:szCs w:val="18"/>
                <w:color w:val="auto"/>
              </w:rPr>
            </w:pPr>
          </w:p>
        </w:tc>
        <w:tc>
          <w:tcPr>
            <w:tcW w:w="82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77</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8"/>
                <w:szCs w:val="18"/>
                <w:color w:val="auto"/>
              </w:rPr>
            </w:pPr>
          </w:p>
        </w:tc>
        <w:tc>
          <w:tcPr>
            <w:tcW w:w="7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60" w:type="dxa"/>
            <w:vAlign w:val="bottom"/>
            <w:shd w:val="clear" w:color="auto" w:fill="CBC8C3"/>
          </w:tcPr>
          <w:p>
            <w:pPr>
              <w:spacing w:after="0"/>
              <w:rPr>
                <w:sz w:val="18"/>
                <w:szCs w:val="18"/>
                <w:color w:val="auto"/>
              </w:rPr>
            </w:pPr>
          </w:p>
        </w:tc>
        <w:tc>
          <w:tcPr>
            <w:tcW w:w="15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74</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73</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18"/>
        </w:trPr>
        <w:tc>
          <w:tcPr>
            <w:tcW w:w="2620" w:type="dxa"/>
            <w:vAlign w:val="bottom"/>
            <w:gridSpan w:val="3"/>
          </w:tcPr>
          <w:p>
            <w:pPr>
              <w:ind w:left="20"/>
              <w:spacing w:after="0"/>
              <w:rPr>
                <w:sz w:val="20"/>
                <w:szCs w:val="20"/>
                <w:color w:val="auto"/>
              </w:rPr>
            </w:pPr>
            <w:r>
              <w:rPr>
                <w:rFonts w:ascii="Arial" w:cs="Arial" w:eastAsia="Arial" w:hAnsi="Arial"/>
                <w:sz w:val="14"/>
                <w:szCs w:val="14"/>
                <w:color w:val="auto"/>
              </w:rPr>
              <w:t>Average loan amount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336,504</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332,039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334,654</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330,682</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210,274</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209,326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gridSpan w:val="3"/>
          </w:tcPr>
          <w:p>
            <w:pPr>
              <w:ind w:left="20"/>
              <w:spacing w:after="0"/>
              <w:rPr>
                <w:sz w:val="20"/>
                <w:szCs w:val="20"/>
                <w:color w:val="auto"/>
              </w:rPr>
            </w:pPr>
            <w:r>
              <w:rPr>
                <w:rFonts w:ascii="Arial" w:cs="Arial" w:eastAsia="Arial" w:hAnsi="Arial"/>
                <w:sz w:val="14"/>
                <w:szCs w:val="14"/>
                <w:color w:val="auto"/>
              </w:rPr>
              <w:t>Loan count (in thousands)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268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713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17,049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17,281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 mark-to-market LTV ratio:</w:t>
            </w:r>
            <w:r>
              <w:rPr>
                <w:rFonts w:ascii="Arial" w:cs="Arial" w:eastAsia="Arial" w:hAnsi="Arial"/>
                <w:sz w:val="17"/>
                <w:szCs w:val="17"/>
                <w:b w:val="1"/>
                <w:bCs w:val="1"/>
                <w:color w:val="auto"/>
                <w:vertAlign w:val="superscript"/>
              </w:rPr>
              <w:t>(5)</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68</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69</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60.01% to 70%</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70.01% to 80%</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80.01% to 90%</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90.01% to 100%</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2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5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50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80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bottom w:val="single" w:sz="8" w:color="CBC8C3"/>
            </w:tcBorders>
          </w:tcPr>
          <w:p>
            <w:pPr>
              <w:spacing w:after="0" w:line="20" w:lineRule="exact"/>
              <w:rPr>
                <w:sz w:val="1"/>
                <w:szCs w:val="1"/>
                <w:color w:val="auto"/>
              </w:rPr>
            </w:pPr>
          </w:p>
        </w:tc>
        <w:tc>
          <w:tcPr>
            <w:tcW w:w="720" w:type="dxa"/>
            <w:vAlign w:val="bottom"/>
            <w:tcBorders>
              <w:bottom w:val="single" w:sz="8" w:color="CBC8C3"/>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120" w:type="dxa"/>
            <w:vAlign w:val="bottom"/>
            <w:tcBorders>
              <w:bottom w:val="single" w:sz="8" w:color="CBC8C3"/>
            </w:tcBorders>
          </w:tcPr>
          <w:p>
            <w:pPr>
              <w:spacing w:after="0" w:line="20" w:lineRule="exact"/>
              <w:rPr>
                <w:sz w:val="1"/>
                <w:szCs w:val="1"/>
                <w:color w:val="auto"/>
              </w:rPr>
            </w:pPr>
          </w:p>
        </w:tc>
        <w:tc>
          <w:tcPr>
            <w:tcW w:w="82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bottom w:val="single" w:sz="8" w:color="CBC8C3"/>
            </w:tcBorders>
          </w:tcPr>
          <w:p>
            <w:pPr>
              <w:spacing w:after="0" w:line="20" w:lineRule="exact"/>
              <w:rPr>
                <w:sz w:val="1"/>
                <w:szCs w:val="1"/>
                <w:color w:val="auto"/>
              </w:rPr>
            </w:pPr>
          </w:p>
        </w:tc>
        <w:tc>
          <w:tcPr>
            <w:tcW w:w="740" w:type="dxa"/>
            <w:vAlign w:val="bottom"/>
            <w:tcBorders>
              <w:bottom w:val="single" w:sz="8" w:color="CBC8C3"/>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5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40" w:type="dxa"/>
            <w:vAlign w:val="bottom"/>
            <w:shd w:val="clear" w:color="auto" w:fill="CBC8C3"/>
          </w:tcPr>
          <w:p>
            <w:pPr>
              <w:spacing w:after="0"/>
              <w:rPr>
                <w:sz w:val="18"/>
                <w:szCs w:val="18"/>
                <w:color w:val="auto"/>
              </w:rPr>
            </w:pPr>
          </w:p>
        </w:tc>
        <w:tc>
          <w:tcPr>
            <w:tcW w:w="80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220" w:type="dxa"/>
            <w:vAlign w:val="bottom"/>
            <w:shd w:val="clear" w:color="auto" w:fill="CBC8C3"/>
          </w:tcPr>
          <w:p>
            <w:pPr>
              <w:spacing w:after="0"/>
              <w:rPr>
                <w:sz w:val="18"/>
                <w:szCs w:val="18"/>
                <w:color w:val="auto"/>
              </w:rPr>
            </w:pPr>
          </w:p>
        </w:tc>
        <w:tc>
          <w:tcPr>
            <w:tcW w:w="720" w:type="dxa"/>
            <w:vAlign w:val="bottom"/>
            <w:shd w:val="clear" w:color="auto" w:fill="CBC8C3"/>
          </w:tcPr>
          <w:p>
            <w:pPr>
              <w:spacing w:after="0"/>
              <w:rPr>
                <w:sz w:val="18"/>
                <w:szCs w:val="18"/>
                <w:color w:val="auto"/>
              </w:rPr>
            </w:pPr>
          </w:p>
        </w:tc>
        <w:tc>
          <w:tcPr>
            <w:tcW w:w="260" w:type="dxa"/>
            <w:vAlign w:val="bottom"/>
            <w:shd w:val="clear" w:color="auto" w:fill="CBC8C3"/>
          </w:tcPr>
          <w:p>
            <w:pPr>
              <w:spacing w:after="0"/>
              <w:rPr>
                <w:sz w:val="18"/>
                <w:szCs w:val="18"/>
                <w:color w:val="auto"/>
              </w:rPr>
            </w:pPr>
          </w:p>
        </w:tc>
        <w:tc>
          <w:tcPr>
            <w:tcW w:w="120" w:type="dxa"/>
            <w:vAlign w:val="bottom"/>
            <w:shd w:val="clear" w:color="auto" w:fill="CBC8C3"/>
          </w:tcPr>
          <w:p>
            <w:pPr>
              <w:spacing w:after="0"/>
              <w:rPr>
                <w:sz w:val="18"/>
                <w:szCs w:val="18"/>
                <w:color w:val="auto"/>
              </w:rPr>
            </w:pPr>
          </w:p>
        </w:tc>
        <w:tc>
          <w:tcPr>
            <w:tcW w:w="82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200" w:type="dxa"/>
            <w:vAlign w:val="bottom"/>
            <w:shd w:val="clear" w:color="auto" w:fill="CBC8C3"/>
          </w:tcPr>
          <w:p>
            <w:pPr>
              <w:spacing w:after="0"/>
              <w:rPr>
                <w:sz w:val="18"/>
                <w:szCs w:val="18"/>
                <w:color w:val="auto"/>
              </w:rPr>
            </w:pPr>
          </w:p>
        </w:tc>
        <w:tc>
          <w:tcPr>
            <w:tcW w:w="740" w:type="dxa"/>
            <w:vAlign w:val="bottom"/>
            <w:shd w:val="clear" w:color="auto" w:fill="CBC8C3"/>
          </w:tcPr>
          <w:p>
            <w:pPr>
              <w:spacing w:after="0"/>
              <w:rPr>
                <w:sz w:val="18"/>
                <w:szCs w:val="18"/>
                <w:color w:val="auto"/>
              </w:rPr>
            </w:pPr>
          </w:p>
        </w:tc>
        <w:tc>
          <w:tcPr>
            <w:tcW w:w="240" w:type="dxa"/>
            <w:vAlign w:val="bottom"/>
            <w:shd w:val="clear" w:color="auto" w:fill="CBC8C3"/>
          </w:tcPr>
          <w:p>
            <w:pPr>
              <w:spacing w:after="0"/>
              <w:rPr>
                <w:sz w:val="18"/>
                <w:szCs w:val="18"/>
                <w:color w:val="auto"/>
              </w:rPr>
            </w:pPr>
          </w:p>
        </w:tc>
        <w:tc>
          <w:tcPr>
            <w:tcW w:w="160" w:type="dxa"/>
            <w:vAlign w:val="bottom"/>
            <w:shd w:val="clear" w:color="auto" w:fill="CBC8C3"/>
          </w:tcPr>
          <w:p>
            <w:pPr>
              <w:spacing w:after="0"/>
              <w:rPr>
                <w:sz w:val="18"/>
                <w:szCs w:val="18"/>
                <w:color w:val="auto"/>
              </w:rPr>
            </w:pPr>
          </w:p>
        </w:tc>
        <w:tc>
          <w:tcPr>
            <w:tcW w:w="15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50</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50</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82"/>
        </w:trPr>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FICO credit score at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52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(6)</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620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17"/>
                <w:szCs w:val="17"/>
                <w:color w:val="auto"/>
              </w:rPr>
            </w:pPr>
          </w:p>
        </w:tc>
        <w:tc>
          <w:tcPr>
            <w:tcW w:w="1740" w:type="dxa"/>
            <w:vAlign w:val="bottom"/>
            <w:gridSpan w:val="4"/>
          </w:tcPr>
          <w:p>
            <w:pPr>
              <w:jc w:val="right"/>
              <w:ind w:right="6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620 to &lt; 660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660 to &lt; 680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680 to &lt; 700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700 to &lt; 740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2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color w:val="auto"/>
              </w:rPr>
              <w:t>&gt;= 740</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70</w:t>
            </w:r>
          </w:p>
        </w:tc>
        <w:tc>
          <w:tcPr>
            <w:tcW w:w="24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72</w:t>
            </w:r>
          </w:p>
        </w:tc>
        <w:tc>
          <w:tcPr>
            <w:tcW w:w="26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71</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72</w:t>
            </w:r>
          </w:p>
        </w:tc>
        <w:tc>
          <w:tcPr>
            <w:tcW w:w="24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5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67</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67</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5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40" w:type="dxa"/>
            <w:vAlign w:val="bottom"/>
            <w:shd w:val="clear" w:color="auto" w:fill="CBC8C3"/>
          </w:tcPr>
          <w:p>
            <w:pPr>
              <w:spacing w:after="0"/>
              <w:rPr>
                <w:sz w:val="18"/>
                <w:szCs w:val="18"/>
                <w:color w:val="auto"/>
              </w:rPr>
            </w:pPr>
          </w:p>
        </w:tc>
        <w:tc>
          <w:tcPr>
            <w:tcW w:w="80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756</w:t>
            </w:r>
          </w:p>
        </w:tc>
        <w:tc>
          <w:tcPr>
            <w:tcW w:w="240" w:type="dxa"/>
            <w:vAlign w:val="bottom"/>
            <w:shd w:val="clear" w:color="auto" w:fill="CBC8C3"/>
          </w:tcPr>
          <w:p>
            <w:pPr>
              <w:spacing w:after="0"/>
              <w:rPr>
                <w:sz w:val="18"/>
                <w:szCs w:val="18"/>
                <w:color w:val="auto"/>
              </w:rPr>
            </w:pPr>
          </w:p>
        </w:tc>
        <w:tc>
          <w:tcPr>
            <w:tcW w:w="220" w:type="dxa"/>
            <w:vAlign w:val="bottom"/>
            <w:shd w:val="clear" w:color="auto" w:fill="CBC8C3"/>
          </w:tcPr>
          <w:p>
            <w:pPr>
              <w:spacing w:after="0"/>
              <w:rPr>
                <w:sz w:val="18"/>
                <w:szCs w:val="18"/>
                <w:color w:val="auto"/>
              </w:rPr>
            </w:pPr>
          </w:p>
        </w:tc>
        <w:tc>
          <w:tcPr>
            <w:tcW w:w="7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759</w:t>
            </w:r>
          </w:p>
        </w:tc>
        <w:tc>
          <w:tcPr>
            <w:tcW w:w="260" w:type="dxa"/>
            <w:vAlign w:val="bottom"/>
            <w:shd w:val="clear" w:color="auto" w:fill="CBC8C3"/>
          </w:tcPr>
          <w:p>
            <w:pPr>
              <w:spacing w:after="0"/>
              <w:rPr>
                <w:sz w:val="18"/>
                <w:szCs w:val="18"/>
                <w:color w:val="auto"/>
              </w:rPr>
            </w:pPr>
          </w:p>
        </w:tc>
        <w:tc>
          <w:tcPr>
            <w:tcW w:w="120" w:type="dxa"/>
            <w:vAlign w:val="bottom"/>
            <w:shd w:val="clear" w:color="auto" w:fill="CBC8C3"/>
          </w:tcPr>
          <w:p>
            <w:pPr>
              <w:spacing w:after="0"/>
              <w:rPr>
                <w:sz w:val="18"/>
                <w:szCs w:val="18"/>
                <w:color w:val="auto"/>
              </w:rPr>
            </w:pPr>
          </w:p>
        </w:tc>
        <w:tc>
          <w:tcPr>
            <w:tcW w:w="82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756</w:t>
            </w:r>
          </w:p>
        </w:tc>
        <w:tc>
          <w:tcPr>
            <w:tcW w:w="240" w:type="dxa"/>
            <w:vAlign w:val="bottom"/>
            <w:shd w:val="clear" w:color="auto" w:fill="CBC8C3"/>
          </w:tcPr>
          <w:p>
            <w:pPr>
              <w:spacing w:after="0"/>
              <w:rPr>
                <w:sz w:val="18"/>
                <w:szCs w:val="18"/>
                <w:color w:val="auto"/>
              </w:rPr>
            </w:pPr>
          </w:p>
        </w:tc>
        <w:tc>
          <w:tcPr>
            <w:tcW w:w="200" w:type="dxa"/>
            <w:vAlign w:val="bottom"/>
            <w:shd w:val="clear" w:color="auto" w:fill="CBC8C3"/>
          </w:tcPr>
          <w:p>
            <w:pPr>
              <w:spacing w:after="0"/>
              <w:rPr>
                <w:sz w:val="18"/>
                <w:szCs w:val="18"/>
                <w:color w:val="auto"/>
              </w:rPr>
            </w:pPr>
          </w:p>
        </w:tc>
        <w:tc>
          <w:tcPr>
            <w:tcW w:w="7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758</w:t>
            </w:r>
          </w:p>
        </w:tc>
        <w:tc>
          <w:tcPr>
            <w:tcW w:w="240" w:type="dxa"/>
            <w:vAlign w:val="bottom"/>
            <w:shd w:val="clear" w:color="auto" w:fill="CBC8C3"/>
          </w:tcPr>
          <w:p>
            <w:pPr>
              <w:spacing w:after="0"/>
              <w:rPr>
                <w:sz w:val="18"/>
                <w:szCs w:val="18"/>
                <w:color w:val="auto"/>
              </w:rPr>
            </w:pPr>
          </w:p>
        </w:tc>
        <w:tc>
          <w:tcPr>
            <w:tcW w:w="160" w:type="dxa"/>
            <w:vAlign w:val="bottom"/>
            <w:shd w:val="clear" w:color="auto" w:fill="CBC8C3"/>
          </w:tcPr>
          <w:p>
            <w:pPr>
              <w:spacing w:after="0"/>
              <w:rPr>
                <w:sz w:val="18"/>
                <w:szCs w:val="18"/>
                <w:color w:val="auto"/>
              </w:rPr>
            </w:pPr>
          </w:p>
        </w:tc>
        <w:tc>
          <w:tcPr>
            <w:tcW w:w="15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753</w:t>
            </w:r>
          </w:p>
        </w:tc>
        <w:tc>
          <w:tcPr>
            <w:tcW w:w="240" w:type="dxa"/>
            <w:vAlign w:val="bottom"/>
            <w:shd w:val="clear" w:color="auto" w:fill="CBC8C3"/>
          </w:tcPr>
          <w:p>
            <w:pPr>
              <w:spacing w:after="0"/>
              <w:rPr>
                <w:sz w:val="18"/>
                <w:szCs w:val="18"/>
                <w:color w:val="auto"/>
              </w:rPr>
            </w:pP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753</w:t>
            </w:r>
          </w:p>
        </w:tc>
        <w:tc>
          <w:tcPr>
            <w:tcW w:w="40" w:type="dxa"/>
            <w:vAlign w:val="bottom"/>
            <w:shd w:val="clear" w:color="auto" w:fill="CBC8C3"/>
          </w:tcPr>
          <w:p>
            <w:pPr>
              <w:spacing w:after="0"/>
              <w:rPr>
                <w:sz w:val="18"/>
                <w:szCs w:val="18"/>
                <w:color w:val="auto"/>
              </w:rPr>
            </w:pPr>
          </w:p>
        </w:tc>
        <w:tc>
          <w:tcPr>
            <w:tcW w:w="140" w:type="dxa"/>
            <w:vAlign w:val="bottom"/>
            <w:shd w:val="clear" w:color="auto" w:fill="CBC8C3"/>
          </w:tcPr>
          <w:p>
            <w:pPr>
              <w:spacing w:after="0"/>
              <w:rPr>
                <w:sz w:val="18"/>
                <w:szCs w:val="18"/>
                <w:color w:val="auto"/>
              </w:rPr>
            </w:pPr>
          </w:p>
        </w:tc>
        <w:tc>
          <w:tcPr>
            <w:tcW w:w="100" w:type="dxa"/>
            <w:vAlign w:val="bottom"/>
            <w:shd w:val="clear" w:color="auto" w:fill="CBC8C3"/>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Debt-to-income (“DTI”) ratio at</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52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origination:</w:t>
            </w:r>
            <w:r>
              <w:rPr>
                <w:rFonts w:ascii="Arial" w:cs="Arial" w:eastAsia="Arial" w:hAnsi="Arial"/>
                <w:sz w:val="17"/>
                <w:szCs w:val="17"/>
                <w:b w:val="1"/>
                <w:bCs w:val="1"/>
                <w:color w:val="auto"/>
                <w:vertAlign w:val="superscript"/>
              </w:rPr>
              <w:t>(7)</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&lt;= 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63</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73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74</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43.01% to 45%</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Borders>
              <w:bottom w:val="single" w:sz="8" w:color="2C6937"/>
            </w:tcBorders>
          </w:tcPr>
          <w:p>
            <w:pPr>
              <w:spacing w:after="0"/>
              <w:rPr>
                <w:sz w:val="19"/>
                <w:szCs w:val="19"/>
                <w:color w:val="auto"/>
              </w:rPr>
            </w:pPr>
          </w:p>
        </w:tc>
        <w:tc>
          <w:tcPr>
            <w:tcW w:w="2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Greater than 45%</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28</w:t>
            </w:r>
          </w:p>
        </w:tc>
        <w:tc>
          <w:tcPr>
            <w:tcW w:w="240" w:type="dxa"/>
            <w:vAlign w:val="bottom"/>
          </w:tcPr>
          <w:p>
            <w:pPr>
              <w:spacing w:after="0"/>
              <w:rPr>
                <w:sz w:val="19"/>
                <w:szCs w:val="19"/>
                <w:color w:val="auto"/>
              </w:rPr>
            </w:pPr>
          </w:p>
        </w:tc>
        <w:tc>
          <w:tcPr>
            <w:tcW w:w="220" w:type="dxa"/>
            <w:vAlign w:val="bottom"/>
            <w:tcBorders>
              <w:bottom w:val="single" w:sz="8" w:color="2C6937"/>
            </w:tcBorders>
          </w:tcPr>
          <w:p>
            <w:pPr>
              <w:spacing w:after="0"/>
              <w:rPr>
                <w:sz w:val="19"/>
                <w:szCs w:val="19"/>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15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w:t>
            </w:r>
          </w:p>
        </w:tc>
        <w:tc>
          <w:tcPr>
            <w:tcW w:w="40" w:type="dxa"/>
            <w:vAlign w:val="bottom"/>
            <w:tcBorders>
              <w:bottom w:val="single" w:sz="8" w:color="2C6937"/>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540" w:type="dxa"/>
            <w:vAlign w:val="bottom"/>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2C6937"/>
              <w:bottom w:val="single" w:sz="8" w:color="2C6937"/>
            </w:tcBorders>
          </w:tcPr>
          <w:p>
            <w:pPr>
              <w:spacing w:after="0" w:line="20" w:lineRule="exact"/>
              <w:rPr>
                <w:sz w:val="1"/>
                <w:szCs w:val="1"/>
                <w:color w:val="auto"/>
              </w:rPr>
            </w:pPr>
          </w:p>
        </w:tc>
        <w:tc>
          <w:tcPr>
            <w:tcW w:w="2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bottom w:val="single" w:sz="8" w:color="CBC8C3"/>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5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bottom w:val="single" w:sz="8" w:color="CBC8C3"/>
            </w:tcBorders>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Borders>
              <w:bottom w:val="single" w:sz="8" w:color="CBC8C3"/>
            </w:tcBorders>
          </w:tcPr>
          <w:p>
            <w:pPr>
              <w:spacing w:after="0" w:line="20" w:lineRule="exact"/>
              <w:rPr>
                <w:sz w:val="1"/>
                <w:szCs w:val="1"/>
                <w:color w:val="auto"/>
              </w:rPr>
            </w:pPr>
          </w:p>
        </w:tc>
        <w:tc>
          <w:tcPr>
            <w:tcW w:w="100" w:type="dxa"/>
            <w:vAlign w:val="bottom"/>
            <w:tcBorders>
              <w:bottom w:val="single" w:sz="8" w:color="CBC8C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shd w:val="clear" w:color="auto" w:fill="CBC8C3"/>
          </w:tcPr>
          <w:p>
            <w:pPr>
              <w:spacing w:after="0"/>
              <w:rPr>
                <w:sz w:val="18"/>
                <w:szCs w:val="18"/>
                <w:color w:val="auto"/>
              </w:rPr>
            </w:pPr>
          </w:p>
        </w:tc>
        <w:tc>
          <w:tcPr>
            <w:tcW w:w="2520" w:type="dxa"/>
            <w:vAlign w:val="bottom"/>
            <w:gridSpan w:val="2"/>
            <w:shd w:val="clear" w:color="auto" w:fill="CBC8C3"/>
          </w:tcPr>
          <w:p>
            <w:pPr>
              <w:ind w:left="120"/>
              <w:spacing w:after="0"/>
              <w:rPr>
                <w:sz w:val="20"/>
                <w:szCs w:val="20"/>
                <w:color w:val="auto"/>
              </w:rPr>
            </w:pPr>
            <w:r>
              <w:rPr>
                <w:rFonts w:ascii="Arial" w:cs="Arial" w:eastAsia="Arial" w:hAnsi="Arial"/>
                <w:sz w:val="14"/>
                <w:szCs w:val="14"/>
                <w:b w:val="1"/>
                <w:bCs w:val="1"/>
                <w:i w:val="1"/>
                <w:iCs w:val="1"/>
                <w:color w:val="auto"/>
              </w:rPr>
              <w:t>Weighted average</w:t>
            </w:r>
          </w:p>
        </w:tc>
        <w:tc>
          <w:tcPr>
            <w:tcW w:w="140" w:type="dxa"/>
            <w:vAlign w:val="bottom"/>
            <w:shd w:val="clear" w:color="auto" w:fill="CBC8C3"/>
          </w:tcPr>
          <w:p>
            <w:pPr>
              <w:spacing w:after="0"/>
              <w:rPr>
                <w:sz w:val="18"/>
                <w:szCs w:val="18"/>
                <w:color w:val="auto"/>
              </w:rPr>
            </w:pPr>
          </w:p>
        </w:tc>
        <w:tc>
          <w:tcPr>
            <w:tcW w:w="80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38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shd w:val="clear" w:color="auto" w:fill="CBC8C3"/>
          </w:tcPr>
          <w:p>
            <w:pPr>
              <w:spacing w:after="0"/>
              <w:rPr>
                <w:sz w:val="18"/>
                <w:szCs w:val="18"/>
                <w:color w:val="auto"/>
              </w:rPr>
            </w:pPr>
          </w:p>
        </w:tc>
        <w:tc>
          <w:tcPr>
            <w:tcW w:w="72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38</w:t>
            </w:r>
          </w:p>
        </w:tc>
        <w:tc>
          <w:tcPr>
            <w:tcW w:w="2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20" w:type="dxa"/>
            <w:vAlign w:val="bottom"/>
            <w:shd w:val="clear" w:color="auto" w:fill="CBC8C3"/>
          </w:tcPr>
          <w:p>
            <w:pPr>
              <w:spacing w:after="0"/>
              <w:rPr>
                <w:sz w:val="18"/>
                <w:szCs w:val="18"/>
                <w:color w:val="auto"/>
              </w:rPr>
            </w:pPr>
          </w:p>
        </w:tc>
        <w:tc>
          <w:tcPr>
            <w:tcW w:w="82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38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200" w:type="dxa"/>
            <w:vAlign w:val="bottom"/>
            <w:shd w:val="clear" w:color="auto" w:fill="CBC8C3"/>
          </w:tcPr>
          <w:p>
            <w:pPr>
              <w:spacing w:after="0"/>
              <w:rPr>
                <w:sz w:val="18"/>
                <w:szCs w:val="18"/>
                <w:color w:val="auto"/>
              </w:rPr>
            </w:pPr>
          </w:p>
        </w:tc>
        <w:tc>
          <w:tcPr>
            <w:tcW w:w="7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38</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160" w:type="dxa"/>
            <w:vAlign w:val="bottom"/>
            <w:shd w:val="clear" w:color="auto" w:fill="CBC8C3"/>
          </w:tcPr>
          <w:p>
            <w:pPr>
              <w:spacing w:after="0"/>
              <w:rPr>
                <w:sz w:val="18"/>
                <w:szCs w:val="18"/>
                <w:color w:val="auto"/>
              </w:rPr>
            </w:pPr>
          </w:p>
        </w:tc>
        <w:tc>
          <w:tcPr>
            <w:tcW w:w="1540" w:type="dxa"/>
            <w:vAlign w:val="bottom"/>
            <w:shd w:val="clear" w:color="auto" w:fill="CBC8C3"/>
          </w:tcPr>
          <w:p>
            <w:pPr>
              <w:jc w:val="right"/>
              <w:ind w:right="11"/>
              <w:spacing w:after="0"/>
              <w:rPr>
                <w:sz w:val="20"/>
                <w:szCs w:val="20"/>
                <w:color w:val="auto"/>
              </w:rPr>
            </w:pPr>
            <w:r>
              <w:rPr>
                <w:rFonts w:ascii="Arial" w:cs="Arial" w:eastAsia="Arial" w:hAnsi="Arial"/>
                <w:sz w:val="14"/>
                <w:szCs w:val="14"/>
                <w:b w:val="1"/>
                <w:bCs w:val="1"/>
                <w:i w:val="1"/>
                <w:iCs w:val="1"/>
                <w:color w:val="auto"/>
              </w:rPr>
              <w:t>36</w:t>
            </w:r>
          </w:p>
        </w:tc>
        <w:tc>
          <w:tcPr>
            <w:tcW w:w="24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w:t>
            </w:r>
          </w:p>
        </w:tc>
        <w:tc>
          <w:tcPr>
            <w:tcW w:w="200" w:type="dxa"/>
            <w:vAlign w:val="bottom"/>
            <w:shd w:val="clear" w:color="auto" w:fill="CBC8C3"/>
          </w:tcPr>
          <w:p>
            <w:pPr>
              <w:spacing w:after="0"/>
              <w:rPr>
                <w:sz w:val="18"/>
                <w:szCs w:val="18"/>
                <w:color w:val="auto"/>
              </w:rPr>
            </w:pPr>
          </w:p>
        </w:tc>
        <w:tc>
          <w:tcPr>
            <w:tcW w:w="1460" w:type="dxa"/>
            <w:vAlign w:val="bottom"/>
            <w:shd w:val="clear" w:color="auto" w:fill="CBC8C3"/>
          </w:tcPr>
          <w:p>
            <w:pPr>
              <w:jc w:val="right"/>
              <w:spacing w:after="0"/>
              <w:rPr>
                <w:sz w:val="20"/>
                <w:szCs w:val="20"/>
                <w:color w:val="auto"/>
              </w:rPr>
            </w:pPr>
            <w:r>
              <w:rPr>
                <w:rFonts w:ascii="Arial" w:cs="Arial" w:eastAsia="Arial" w:hAnsi="Arial"/>
                <w:sz w:val="14"/>
                <w:szCs w:val="14"/>
                <w:i w:val="1"/>
                <w:iCs w:val="1"/>
                <w:color w:val="auto"/>
              </w:rPr>
              <w:t>35</w:t>
            </w:r>
          </w:p>
        </w:tc>
        <w:tc>
          <w:tcPr>
            <w:tcW w:w="280" w:type="dxa"/>
            <w:vAlign w:val="bottom"/>
            <w:gridSpan w:val="3"/>
            <w:shd w:val="clear" w:color="auto" w:fill="CBC8C3"/>
          </w:tcPr>
          <w:p>
            <w:pPr>
              <w:jc w:val="right"/>
              <w:ind w:right="60"/>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722"/>
        </w:trPr>
        <w:tc>
          <w:tcPr>
            <w:tcW w:w="100" w:type="dxa"/>
            <w:vAlign w:val="bottom"/>
          </w:tcPr>
          <w:p>
            <w:pPr>
              <w:spacing w:after="0"/>
              <w:rPr>
                <w:sz w:val="24"/>
                <w:szCs w:val="24"/>
                <w:color w:val="auto"/>
              </w:rPr>
            </w:pPr>
          </w:p>
        </w:tc>
        <w:tc>
          <w:tcPr>
            <w:tcW w:w="2660" w:type="dxa"/>
            <w:vAlign w:val="bottom"/>
            <w:tcBorders>
              <w:bottom w:val="single" w:sz="8" w:color="CBC8C3"/>
            </w:tcBorders>
            <w:gridSpan w:val="3"/>
          </w:tcPr>
          <w:p>
            <w:pPr>
              <w:spacing w:after="0"/>
              <w:rPr>
                <w:sz w:val="24"/>
                <w:szCs w:val="24"/>
                <w:color w:val="auto"/>
              </w:rPr>
            </w:pPr>
          </w:p>
        </w:tc>
        <w:tc>
          <w:tcPr>
            <w:tcW w:w="80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20" w:type="dxa"/>
            <w:vAlign w:val="bottom"/>
            <w:tcBorders>
              <w:bottom w:val="single" w:sz="8" w:color="CBC8C3"/>
            </w:tcBorders>
          </w:tcPr>
          <w:p>
            <w:pPr>
              <w:spacing w:after="0"/>
              <w:rPr>
                <w:sz w:val="24"/>
                <w:szCs w:val="24"/>
                <w:color w:val="auto"/>
              </w:rPr>
            </w:pPr>
          </w:p>
        </w:tc>
        <w:tc>
          <w:tcPr>
            <w:tcW w:w="720" w:type="dxa"/>
            <w:vAlign w:val="bottom"/>
            <w:tcBorders>
              <w:bottom w:val="single" w:sz="8" w:color="CBC8C3"/>
            </w:tcBorders>
          </w:tcPr>
          <w:p>
            <w:pPr>
              <w:spacing w:after="0"/>
              <w:rPr>
                <w:sz w:val="24"/>
                <w:szCs w:val="24"/>
                <w:color w:val="auto"/>
              </w:rPr>
            </w:pPr>
          </w:p>
        </w:tc>
        <w:tc>
          <w:tcPr>
            <w:tcW w:w="260" w:type="dxa"/>
            <w:vAlign w:val="bottom"/>
            <w:tcBorders>
              <w:bottom w:val="single" w:sz="8" w:color="CBC8C3"/>
            </w:tcBorders>
          </w:tcPr>
          <w:p>
            <w:pPr>
              <w:spacing w:after="0"/>
              <w:rPr>
                <w:sz w:val="24"/>
                <w:szCs w:val="24"/>
                <w:color w:val="auto"/>
              </w:rPr>
            </w:pPr>
          </w:p>
        </w:tc>
        <w:tc>
          <w:tcPr>
            <w:tcW w:w="120" w:type="dxa"/>
            <w:vAlign w:val="bottom"/>
            <w:tcBorders>
              <w:bottom w:val="single" w:sz="8" w:color="CBC8C3"/>
            </w:tcBorders>
          </w:tcPr>
          <w:p>
            <w:pPr>
              <w:spacing w:after="0"/>
              <w:rPr>
                <w:sz w:val="24"/>
                <w:szCs w:val="24"/>
                <w:color w:val="auto"/>
              </w:rPr>
            </w:pPr>
          </w:p>
        </w:tc>
        <w:tc>
          <w:tcPr>
            <w:tcW w:w="82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00" w:type="dxa"/>
            <w:vAlign w:val="bottom"/>
            <w:tcBorders>
              <w:bottom w:val="single" w:sz="8" w:color="CBC8C3"/>
            </w:tcBorders>
          </w:tcPr>
          <w:p>
            <w:pPr>
              <w:spacing w:after="0"/>
              <w:rPr>
                <w:sz w:val="24"/>
                <w:szCs w:val="24"/>
                <w:color w:val="auto"/>
              </w:rPr>
            </w:pPr>
          </w:p>
        </w:tc>
        <w:tc>
          <w:tcPr>
            <w:tcW w:w="74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160" w:type="dxa"/>
            <w:vAlign w:val="bottom"/>
            <w:tcBorders>
              <w:bottom w:val="single" w:sz="8" w:color="CBC8C3"/>
            </w:tcBorders>
          </w:tcPr>
          <w:p>
            <w:pPr>
              <w:spacing w:after="0"/>
              <w:rPr>
                <w:sz w:val="24"/>
                <w:szCs w:val="24"/>
                <w:color w:val="auto"/>
              </w:rPr>
            </w:pPr>
          </w:p>
        </w:tc>
        <w:tc>
          <w:tcPr>
            <w:tcW w:w="1540" w:type="dxa"/>
            <w:vAlign w:val="bottom"/>
            <w:tcBorders>
              <w:bottom w:val="single" w:sz="8" w:color="CBC8C3"/>
            </w:tcBorders>
          </w:tcPr>
          <w:p>
            <w:pPr>
              <w:spacing w:after="0"/>
              <w:rPr>
                <w:sz w:val="24"/>
                <w:szCs w:val="24"/>
                <w:color w:val="auto"/>
              </w:rPr>
            </w:pPr>
          </w:p>
        </w:tc>
        <w:tc>
          <w:tcPr>
            <w:tcW w:w="240" w:type="dxa"/>
            <w:vAlign w:val="bottom"/>
            <w:tcBorders>
              <w:bottom w:val="single" w:sz="8" w:color="CBC8C3"/>
            </w:tcBorders>
          </w:tcPr>
          <w:p>
            <w:pPr>
              <w:spacing w:after="0"/>
              <w:rPr>
                <w:sz w:val="24"/>
                <w:szCs w:val="24"/>
                <w:color w:val="auto"/>
              </w:rPr>
            </w:pPr>
          </w:p>
        </w:tc>
        <w:tc>
          <w:tcPr>
            <w:tcW w:w="200" w:type="dxa"/>
            <w:vAlign w:val="bottom"/>
            <w:tcBorders>
              <w:bottom w:val="single" w:sz="8" w:color="CBC8C3"/>
            </w:tcBorders>
          </w:tcPr>
          <w:p>
            <w:pPr>
              <w:spacing w:after="0"/>
              <w:rPr>
                <w:sz w:val="24"/>
                <w:szCs w:val="24"/>
                <w:color w:val="auto"/>
              </w:rPr>
            </w:pPr>
          </w:p>
        </w:tc>
        <w:tc>
          <w:tcPr>
            <w:tcW w:w="1460" w:type="dxa"/>
            <w:vAlign w:val="bottom"/>
            <w:tcBorders>
              <w:bottom w:val="single" w:sz="8" w:color="CBC8C3"/>
            </w:tcBorders>
          </w:tcPr>
          <w:p>
            <w:pPr>
              <w:spacing w:after="0"/>
              <w:rPr>
                <w:sz w:val="24"/>
                <w:szCs w:val="24"/>
                <w:color w:val="auto"/>
              </w:rPr>
            </w:pPr>
          </w:p>
        </w:tc>
        <w:tc>
          <w:tcPr>
            <w:tcW w:w="180" w:type="dxa"/>
            <w:vAlign w:val="bottom"/>
            <w:tcBorders>
              <w:bottom w:val="single" w:sz="8" w:color="CBC8C3"/>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2660" w:type="dxa"/>
            <w:vAlign w:val="bottom"/>
            <w:gridSpan w:val="3"/>
          </w:tcPr>
          <w:p>
            <w:pPr>
              <w:ind w:left="20"/>
              <w:spacing w:after="0"/>
              <w:rPr>
                <w:sz w:val="20"/>
                <w:szCs w:val="20"/>
                <w:color w:val="auto"/>
              </w:rPr>
            </w:pPr>
            <w:r>
              <w:rPr>
                <w:rFonts w:ascii="Arial" w:cs="Arial" w:eastAsia="Arial" w:hAnsi="Arial"/>
                <w:sz w:val="14"/>
                <w:szCs w:val="14"/>
                <w:color w:val="05314D"/>
                <w:w w:val="97"/>
              </w:rPr>
              <w:t>Fannie Mae Third Quarter 2025 Form 10-Q</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05314D"/>
                <w:w w:val="89"/>
              </w:rPr>
              <w:t>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24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0" w:name="page31"/>
    <w:bookmarkEnd w:id="30"/>
    <w:p>
      <w:pPr>
        <w:ind w:left="6060"/>
        <w:spacing w:after="0"/>
        <w:rPr>
          <w:sz w:val="20"/>
          <w:szCs w:val="20"/>
          <w:color w:val="auto"/>
        </w:rPr>
      </w:pPr>
      <w:r>
        <w:rPr>
          <w:rFonts w:ascii="Arial" w:cs="Arial" w:eastAsia="Arial" w:hAnsi="Arial"/>
          <w:sz w:val="13"/>
          <w:szCs w:val="13"/>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24130</wp:posOffset>
            </wp:positionV>
            <wp:extent cx="69996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80" w:type="dxa"/>
            <w:vAlign w:val="bottom"/>
            <w:gridSpan w:val="9"/>
          </w:tcPr>
          <w:p>
            <w:pPr>
              <w:jc w:val="right"/>
              <w:ind w:right="251"/>
              <w:spacing w:after="0"/>
              <w:rPr>
                <w:sz w:val="20"/>
                <w:szCs w:val="20"/>
                <w:color w:val="auto"/>
              </w:rPr>
            </w:pPr>
            <w:r>
              <w:rPr>
                <w:rFonts w:ascii="Arial" w:cs="Arial" w:eastAsia="Arial" w:hAnsi="Arial"/>
                <w:sz w:val="14"/>
                <w:szCs w:val="14"/>
                <w:b w:val="1"/>
                <w:bCs w:val="1"/>
                <w:color w:val="auto"/>
              </w:rPr>
              <w:t>Percent of Single-Family Conventional Business Volume at</w:t>
            </w:r>
          </w:p>
        </w:tc>
        <w:tc>
          <w:tcPr>
            <w:tcW w:w="200" w:type="dxa"/>
            <w:vAlign w:val="bottom"/>
          </w:tcPr>
          <w:p>
            <w:pPr>
              <w:spacing w:after="0"/>
              <w:rPr>
                <w:sz w:val="14"/>
                <w:szCs w:val="14"/>
                <w:color w:val="auto"/>
              </w:rPr>
            </w:pPr>
          </w:p>
        </w:tc>
      </w:tr>
      <w:tr>
        <w:trPr>
          <w:trHeight w:val="205"/>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2C6937"/>
            </w:tcBorders>
          </w:tcPr>
          <w:p>
            <w:pPr>
              <w:spacing w:after="0"/>
              <w:rPr>
                <w:sz w:val="17"/>
                <w:szCs w:val="17"/>
                <w:color w:val="auto"/>
              </w:rPr>
            </w:pPr>
          </w:p>
        </w:tc>
        <w:tc>
          <w:tcPr>
            <w:tcW w:w="300" w:type="dxa"/>
            <w:vAlign w:val="bottom"/>
            <w:tcBorders>
              <w:bottom w:val="single" w:sz="8" w:color="2C6937"/>
            </w:tcBorders>
          </w:tcPr>
          <w:p>
            <w:pPr>
              <w:spacing w:after="0"/>
              <w:rPr>
                <w:sz w:val="17"/>
                <w:szCs w:val="17"/>
                <w:color w:val="auto"/>
              </w:rPr>
            </w:pPr>
          </w:p>
        </w:tc>
        <w:tc>
          <w:tcPr>
            <w:tcW w:w="26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spacing w:after="0"/>
              <w:rPr>
                <w:sz w:val="17"/>
                <w:szCs w:val="17"/>
                <w:color w:val="auto"/>
              </w:rPr>
            </w:pPr>
          </w:p>
        </w:tc>
        <w:tc>
          <w:tcPr>
            <w:tcW w:w="1500" w:type="dxa"/>
            <w:vAlign w:val="bottom"/>
            <w:tcBorders>
              <w:bottom w:val="single" w:sz="8" w:color="2C6937"/>
            </w:tcBorders>
            <w:gridSpan w:val="3"/>
          </w:tcPr>
          <w:p>
            <w:pPr>
              <w:jc w:val="right"/>
              <w:ind w:right="551"/>
              <w:spacing w:after="0"/>
              <w:rPr>
                <w:sz w:val="20"/>
                <w:szCs w:val="20"/>
                <w:color w:val="auto"/>
              </w:rPr>
            </w:pPr>
            <w:r>
              <w:rPr>
                <w:rFonts w:ascii="Arial" w:cs="Arial" w:eastAsia="Arial" w:hAnsi="Arial"/>
                <w:sz w:val="14"/>
                <w:szCs w:val="14"/>
                <w:b w:val="1"/>
                <w:bCs w:val="1"/>
                <w:color w:val="auto"/>
                <w:w w:val="95"/>
              </w:rPr>
              <w:t>Acquisition</w:t>
            </w:r>
            <w:r>
              <w:rPr>
                <w:rFonts w:ascii="Arial" w:cs="Arial" w:eastAsia="Arial" w:hAnsi="Arial"/>
                <w:sz w:val="17"/>
                <w:szCs w:val="17"/>
                <w:b w:val="1"/>
                <w:bCs w:val="1"/>
                <w:color w:val="auto"/>
                <w:w w:val="95"/>
                <w:vertAlign w:val="superscript"/>
              </w:rPr>
              <w:t>(2)</w:t>
            </w:r>
          </w:p>
        </w:tc>
        <w:tc>
          <w:tcPr>
            <w:tcW w:w="24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200" w:type="dxa"/>
            <w:vAlign w:val="bottom"/>
          </w:tcPr>
          <w:p>
            <w:pPr>
              <w:spacing w:after="0"/>
              <w:rPr>
                <w:sz w:val="17"/>
                <w:szCs w:val="17"/>
                <w:color w:val="auto"/>
              </w:rPr>
            </w:pPr>
          </w:p>
        </w:tc>
      </w:tr>
      <w:tr>
        <w:trPr>
          <w:trHeight w:val="151"/>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center"/>
              <w:spacing w:after="0" w:line="151" w:lineRule="exact"/>
              <w:rPr>
                <w:sz w:val="20"/>
                <w:szCs w:val="20"/>
                <w:color w:val="auto"/>
              </w:rPr>
            </w:pPr>
            <w:r>
              <w:rPr>
                <w:rFonts w:ascii="Arial" w:cs="Arial" w:eastAsia="Arial" w:hAnsi="Arial"/>
                <w:sz w:val="14"/>
                <w:szCs w:val="14"/>
                <w:b w:val="1"/>
                <w:bCs w:val="1"/>
                <w:color w:val="auto"/>
                <w:w w:val="97"/>
              </w:rPr>
              <w:t>For the Three Months Ended</w:t>
            </w:r>
          </w:p>
        </w:tc>
        <w:tc>
          <w:tcPr>
            <w:tcW w:w="240" w:type="dxa"/>
            <w:vAlign w:val="bottom"/>
          </w:tcPr>
          <w:p>
            <w:pPr>
              <w:spacing w:after="0"/>
              <w:rPr>
                <w:sz w:val="13"/>
                <w:szCs w:val="13"/>
                <w:color w:val="auto"/>
              </w:rPr>
            </w:pPr>
          </w:p>
        </w:tc>
        <w:tc>
          <w:tcPr>
            <w:tcW w:w="2120" w:type="dxa"/>
            <w:vAlign w:val="bottom"/>
            <w:gridSpan w:val="3"/>
          </w:tcPr>
          <w:p>
            <w:pPr>
              <w:jc w:val="center"/>
              <w:spacing w:after="0" w:line="151" w:lineRule="exact"/>
              <w:rPr>
                <w:sz w:val="20"/>
                <w:szCs w:val="20"/>
                <w:color w:val="auto"/>
              </w:rPr>
            </w:pPr>
            <w:r>
              <w:rPr>
                <w:rFonts w:ascii="Arial" w:cs="Arial" w:eastAsia="Arial" w:hAnsi="Arial"/>
                <w:sz w:val="14"/>
                <w:szCs w:val="14"/>
                <w:b w:val="1"/>
                <w:bCs w:val="1"/>
                <w:color w:val="auto"/>
                <w:w w:val="97"/>
              </w:rPr>
              <w:t>For the Nine Months Ended</w:t>
            </w:r>
          </w:p>
        </w:tc>
        <w:tc>
          <w:tcPr>
            <w:tcW w:w="200" w:type="dxa"/>
            <w:vAlign w:val="bottom"/>
          </w:tcPr>
          <w:p>
            <w:pPr>
              <w:spacing w:after="0"/>
              <w:rPr>
                <w:sz w:val="13"/>
                <w:szCs w:val="13"/>
                <w:color w:val="auto"/>
              </w:rPr>
            </w:pPr>
          </w:p>
        </w:tc>
      </w:tr>
      <w:tr>
        <w:trPr>
          <w:trHeight w:val="189"/>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2C6937"/>
            </w:tcBorders>
            <w:gridSpan w:val="4"/>
          </w:tcPr>
          <w:p>
            <w:pPr>
              <w:jc w:val="center"/>
              <w:ind w:left="231"/>
              <w:spacing w:after="0"/>
              <w:rPr>
                <w:sz w:val="20"/>
                <w:szCs w:val="20"/>
                <w:color w:val="auto"/>
              </w:rPr>
            </w:pPr>
            <w:r>
              <w:rPr>
                <w:rFonts w:ascii="Arial" w:cs="Arial" w:eastAsia="Arial" w:hAnsi="Arial"/>
                <w:sz w:val="14"/>
                <w:szCs w:val="14"/>
                <w:b w:val="1"/>
                <w:bCs w:val="1"/>
                <w:color w:val="auto"/>
                <w:w w:val="98"/>
              </w:rPr>
              <w:t>September 30,</w:t>
            </w:r>
          </w:p>
        </w:tc>
        <w:tc>
          <w:tcPr>
            <w:tcW w:w="32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8"/>
              </w:rPr>
              <w:t>September 30,</w:t>
            </w:r>
          </w:p>
        </w:tc>
        <w:tc>
          <w:tcPr>
            <w:tcW w:w="200" w:type="dxa"/>
            <w:vAlign w:val="bottom"/>
          </w:tcPr>
          <w:p>
            <w:pPr>
              <w:spacing w:after="0"/>
              <w:rPr>
                <w:sz w:val="16"/>
                <w:szCs w:val="16"/>
                <w:color w:val="auto"/>
              </w:rPr>
            </w:pPr>
          </w:p>
        </w:tc>
      </w:tr>
      <w:tr>
        <w:trPr>
          <w:trHeight w:val="186"/>
        </w:trPr>
        <w:tc>
          <w:tcPr>
            <w:tcW w:w="2620" w:type="dxa"/>
            <w:vAlign w:val="bottom"/>
            <w:gridSpan w:val="2"/>
          </w:tcPr>
          <w:p>
            <w:pPr>
              <w:spacing w:after="0"/>
              <w:rPr>
                <w:sz w:val="16"/>
                <w:szCs w:val="16"/>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2C6937"/>
            </w:tcBorders>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6"/>
                <w:szCs w:val="16"/>
                <w:color w:val="auto"/>
              </w:rPr>
            </w:pPr>
          </w:p>
        </w:tc>
        <w:tc>
          <w:tcPr>
            <w:tcW w:w="940" w:type="dxa"/>
            <w:vAlign w:val="bottom"/>
            <w:tcBorders>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6"/>
                <w:szCs w:val="16"/>
                <w:color w:val="auto"/>
              </w:rPr>
            </w:pPr>
          </w:p>
        </w:tc>
      </w:tr>
      <w:tr>
        <w:trPr>
          <w:trHeight w:val="185"/>
        </w:trPr>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Product type:</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45"/>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Fixed-rate:</w:t>
            </w:r>
            <w:r>
              <w:rPr>
                <w:rFonts w:ascii="Arial" w:cs="Arial" w:eastAsia="Arial" w:hAnsi="Arial"/>
                <w:sz w:val="17"/>
                <w:szCs w:val="17"/>
                <w:color w:val="auto"/>
                <w:vertAlign w:val="superscript"/>
              </w:rPr>
              <w:t>(8)</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4"/>
        </w:trPr>
        <w:tc>
          <w:tcPr>
            <w:tcW w:w="3240" w:type="dxa"/>
            <w:vAlign w:val="bottom"/>
            <w:gridSpan w:val="3"/>
          </w:tcPr>
          <w:p>
            <w:pPr>
              <w:ind w:left="220"/>
              <w:spacing w:after="0"/>
              <w:rPr>
                <w:sz w:val="20"/>
                <w:szCs w:val="20"/>
                <w:color w:val="auto"/>
              </w:rPr>
            </w:pPr>
            <w:r>
              <w:rPr>
                <w:rFonts w:ascii="Arial" w:cs="Arial" w:eastAsia="Arial" w:hAnsi="Arial"/>
                <w:sz w:val="14"/>
                <w:szCs w:val="14"/>
                <w:color w:val="auto"/>
              </w:rPr>
              <w:t>Long-term</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96</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Intermediate-term</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8"/>
                <w:szCs w:val="18"/>
                <w:color w:val="auto"/>
              </w:rPr>
            </w:pPr>
          </w:p>
        </w:tc>
      </w:tr>
      <w:tr>
        <w:trPr>
          <w:trHeight w:val="212"/>
        </w:trPr>
        <w:tc>
          <w:tcPr>
            <w:tcW w:w="25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fixed-rate</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98</w:t>
            </w:r>
          </w:p>
        </w:tc>
        <w:tc>
          <w:tcPr>
            <w:tcW w:w="26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98</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200" w:type="dxa"/>
            <w:vAlign w:val="bottom"/>
          </w:tcPr>
          <w:p>
            <w:pPr>
              <w:spacing w:after="0"/>
              <w:rPr>
                <w:sz w:val="18"/>
                <w:szCs w:val="18"/>
                <w:color w:val="auto"/>
              </w:rPr>
            </w:pPr>
          </w:p>
        </w:tc>
      </w:tr>
      <w:tr>
        <w:trPr>
          <w:trHeight w:val="212"/>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Adjustable-rate</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8"/>
                <w:szCs w:val="18"/>
                <w:color w:val="auto"/>
              </w:rPr>
            </w:pPr>
          </w:p>
        </w:tc>
      </w:tr>
      <w:tr>
        <w:trPr>
          <w:trHeight w:val="213"/>
        </w:trPr>
        <w:tc>
          <w:tcPr>
            <w:tcW w:w="25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Number of property units: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0"/>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1 unit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97</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2-4 units</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8"/>
                <w:szCs w:val="18"/>
                <w:color w:val="auto"/>
              </w:rPr>
            </w:pPr>
          </w:p>
        </w:tc>
      </w:tr>
      <w:tr>
        <w:trPr>
          <w:trHeight w:val="213"/>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Property type:</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0"/>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Single-family homes</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92</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Condo/Co-op</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w:t>
            </w:r>
          </w:p>
        </w:tc>
        <w:tc>
          <w:tcPr>
            <w:tcW w:w="26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8"/>
                <w:szCs w:val="18"/>
                <w:color w:val="auto"/>
              </w:rPr>
            </w:pPr>
          </w:p>
        </w:tc>
      </w:tr>
      <w:tr>
        <w:trPr>
          <w:trHeight w:val="213"/>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6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Occupancy type:</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9"/>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Primary residence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93</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Second/vacation home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9"/>
                <w:szCs w:val="19"/>
                <w:color w:val="auto"/>
              </w:rPr>
            </w:pPr>
          </w:p>
        </w:tc>
      </w:tr>
      <w:tr>
        <w:trPr>
          <w:trHeight w:val="220"/>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Investor</w:t>
            </w:r>
          </w:p>
        </w:tc>
        <w:tc>
          <w:tcPr>
            <w:tcW w:w="10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9"/>
                <w:szCs w:val="19"/>
                <w:color w:val="auto"/>
              </w:rPr>
            </w:pPr>
          </w:p>
        </w:tc>
      </w:tr>
      <w:tr>
        <w:trPr>
          <w:trHeight w:val="213"/>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Loan purpose:</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2"/>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Purchase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86</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Cash-out refinance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9"/>
                <w:szCs w:val="19"/>
                <w:color w:val="auto"/>
              </w:rPr>
            </w:pPr>
          </w:p>
        </w:tc>
      </w:tr>
      <w:tr>
        <w:trPr>
          <w:trHeight w:val="220"/>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Other refinance</w:t>
            </w:r>
          </w:p>
        </w:tc>
        <w:tc>
          <w:tcPr>
            <w:tcW w:w="10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w:t>
            </w:r>
          </w:p>
        </w:tc>
        <w:tc>
          <w:tcPr>
            <w:tcW w:w="26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9"/>
                <w:szCs w:val="19"/>
                <w:color w:val="auto"/>
              </w:rPr>
            </w:pPr>
          </w:p>
        </w:tc>
      </w:tr>
      <w:tr>
        <w:trPr>
          <w:trHeight w:val="213"/>
        </w:trPr>
        <w:tc>
          <w:tcPr>
            <w:tcW w:w="252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8"/>
                <w:szCs w:val="18"/>
                <w:color w:val="auto"/>
              </w:rPr>
            </w:pPr>
          </w:p>
        </w:tc>
        <w:tc>
          <w:tcPr>
            <w:tcW w:w="620" w:type="dxa"/>
            <w:vAlign w:val="bottom"/>
            <w:tcBorders>
              <w:bottom w:val="single" w:sz="8" w:color="2C6937"/>
            </w:tcBorders>
          </w:tcPr>
          <w:p>
            <w:pPr>
              <w:spacing w:after="0"/>
              <w:rPr>
                <w:sz w:val="18"/>
                <w:szCs w:val="18"/>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94"/>
              </w:rPr>
              <w:t>100</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2C6937"/>
            </w:tcBorders>
          </w:tcPr>
          <w:p>
            <w:pPr>
              <w:spacing w:after="0"/>
              <w:rPr>
                <w:sz w:val="18"/>
                <w:szCs w:val="18"/>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9"/>
        </w:trPr>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99"/>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Midwest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Northeast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9"/>
                <w:szCs w:val="19"/>
                <w:color w:val="auto"/>
              </w:rPr>
            </w:pPr>
          </w:p>
        </w:tc>
      </w:tr>
      <w:tr>
        <w:trPr>
          <w:trHeight w:val="219"/>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Southeast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9"/>
                <w:szCs w:val="19"/>
                <w:color w:val="auto"/>
              </w:rPr>
            </w:pPr>
          </w:p>
        </w:tc>
      </w:tr>
      <w:tr>
        <w:trPr>
          <w:trHeight w:val="219"/>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Southwest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9"/>
                <w:szCs w:val="19"/>
                <w:color w:val="auto"/>
              </w:rPr>
            </w:pPr>
          </w:p>
        </w:tc>
      </w:tr>
      <w:tr>
        <w:trPr>
          <w:trHeight w:val="220"/>
        </w:trPr>
        <w:tc>
          <w:tcPr>
            <w:tcW w:w="25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10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19</w:t>
            </w:r>
          </w:p>
        </w:tc>
        <w:tc>
          <w:tcPr>
            <w:tcW w:w="260" w:type="dxa"/>
            <w:vAlign w:val="bottom"/>
          </w:tcPr>
          <w:p>
            <w:pPr>
              <w:spacing w:after="0"/>
              <w:rPr>
                <w:sz w:val="19"/>
                <w:szCs w:val="19"/>
                <w:color w:val="auto"/>
              </w:rPr>
            </w:pPr>
          </w:p>
        </w:tc>
        <w:tc>
          <w:tcPr>
            <w:tcW w:w="620" w:type="dxa"/>
            <w:vAlign w:val="bottom"/>
            <w:tcBorders>
              <w:bottom w:val="single" w:sz="8" w:color="2C6937"/>
            </w:tcBorders>
          </w:tcPr>
          <w:p>
            <w:pPr>
              <w:spacing w:after="0"/>
              <w:rPr>
                <w:sz w:val="19"/>
                <w:szCs w:val="19"/>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9"/>
                <w:szCs w:val="19"/>
                <w:color w:val="auto"/>
              </w:rPr>
            </w:pPr>
          </w:p>
        </w:tc>
      </w:tr>
      <w:tr>
        <w:trPr>
          <w:trHeight w:val="213"/>
        </w:trPr>
        <w:tc>
          <w:tcPr>
            <w:tcW w:w="3240" w:type="dxa"/>
            <w:vAlign w:val="bottom"/>
            <w:gridSpan w:val="3"/>
          </w:tcPr>
          <w:p>
            <w:pPr>
              <w:ind w:left="220"/>
              <w:spacing w:after="0"/>
              <w:rPr>
                <w:sz w:val="20"/>
                <w:szCs w:val="20"/>
                <w:color w:val="auto"/>
              </w:rPr>
            </w:pPr>
            <w:r>
              <w:rPr>
                <w:rFonts w:ascii="Arial" w:cs="Arial" w:eastAsia="Arial" w:hAnsi="Arial"/>
                <w:sz w:val="14"/>
                <w:szCs w:val="14"/>
                <w:color w:val="auto"/>
              </w:rPr>
              <w:t>Total</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4"/>
              </w:rPr>
              <w:t>100</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5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24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Origination year:</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3"/>
        </w:trPr>
        <w:tc>
          <w:tcPr>
            <w:tcW w:w="3240" w:type="dxa"/>
            <w:vAlign w:val="bottom"/>
            <w:gridSpan w:val="3"/>
          </w:tcPr>
          <w:p>
            <w:pPr>
              <w:ind w:left="120"/>
              <w:spacing w:after="0"/>
              <w:rPr>
                <w:sz w:val="20"/>
                <w:szCs w:val="20"/>
                <w:color w:val="auto"/>
              </w:rPr>
            </w:pPr>
            <w:r>
              <w:rPr>
                <w:rFonts w:ascii="Arial" w:cs="Arial" w:eastAsia="Arial" w:hAnsi="Arial"/>
                <w:sz w:val="14"/>
                <w:szCs w:val="14"/>
                <w:color w:val="auto"/>
              </w:rPr>
              <w:t>2019 and prior</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2520" w:type="dxa"/>
            <w:vAlign w:val="bottom"/>
          </w:tcPr>
          <w:p>
            <w:pPr>
              <w:ind w:left="1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3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2021</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2022</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2023</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2024</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5963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5963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96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5963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spacing w:after="0" w:line="193" w:lineRule="exact"/>
        <w:rPr>
          <w:sz w:val="20"/>
          <w:szCs w:val="20"/>
          <w:color w:val="auto"/>
        </w:rPr>
      </w:pPr>
    </w:p>
    <w:p>
      <w:pPr>
        <w:ind w:left="200" w:hanging="197"/>
        <w:spacing w:after="0"/>
        <w:tabs>
          <w:tab w:leader="none" w:pos="2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business volume or guaranty book of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Percent of Single-Family Conventional</w:t>
      </w:r>
    </w:p>
    <w:p>
      <w:pPr>
        <w:ind w:left="980"/>
        <w:spacing w:after="0" w:line="183" w:lineRule="auto"/>
        <w:rPr>
          <w:sz w:val="20"/>
          <w:szCs w:val="20"/>
          <w:color w:val="auto"/>
        </w:rPr>
      </w:pPr>
      <w:r>
        <w:rPr>
          <w:rFonts w:ascii="Arial" w:cs="Arial" w:eastAsia="Arial" w:hAnsi="Arial"/>
          <w:sz w:val="14"/>
          <w:szCs w:val="14"/>
          <w:b w:val="1"/>
          <w:bCs w:val="1"/>
          <w:color w:val="auto"/>
        </w:rPr>
        <w:t>Guaranty Book of Business</w:t>
      </w:r>
      <w:r>
        <w:rPr>
          <w:rFonts w:ascii="Arial" w:cs="Arial" w:eastAsia="Arial" w:hAnsi="Arial"/>
          <w:sz w:val="17"/>
          <w:szCs w:val="17"/>
          <w:b w:val="1"/>
          <w:bCs w:val="1"/>
          <w:color w:val="auto"/>
          <w:vertAlign w:val="superscript"/>
        </w:rPr>
        <w:t>(3)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Borders>
              <w:top w:val="single" w:sz="8" w:color="2C6937"/>
              <w:bottom w:val="single" w:sz="8" w:color="2C6937"/>
            </w:tcBorders>
          </w:tcPr>
          <w:p>
            <w:pPr>
              <w:jc w:val="right"/>
              <w:ind w:right="151"/>
              <w:spacing w:after="0"/>
              <w:rPr>
                <w:sz w:val="20"/>
                <w:szCs w:val="20"/>
                <w:color w:val="auto"/>
              </w:rPr>
            </w:pPr>
            <w:r>
              <w:rPr>
                <w:rFonts w:ascii="Arial" w:cs="Arial" w:eastAsia="Arial" w:hAnsi="Arial"/>
                <w:sz w:val="14"/>
                <w:szCs w:val="14"/>
                <w:b w:val="1"/>
                <w:bCs w:val="1"/>
                <w:color w:val="auto"/>
              </w:rPr>
              <w:t>September 30, 2025</w:t>
            </w:r>
          </w:p>
        </w:tc>
        <w:tc>
          <w:tcPr>
            <w:tcW w:w="240" w:type="dxa"/>
            <w:vAlign w:val="bottom"/>
            <w:tcBorders>
              <w:top w:val="single" w:sz="8" w:color="2C6937"/>
            </w:tcBorders>
          </w:tcPr>
          <w:p>
            <w:pPr>
              <w:spacing w:after="0"/>
              <w:rPr>
                <w:sz w:val="16"/>
                <w:szCs w:val="16"/>
                <w:color w:val="auto"/>
              </w:rPr>
            </w:pPr>
          </w:p>
        </w:tc>
        <w:tc>
          <w:tcPr>
            <w:tcW w:w="170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Borders>
              <w:top w:val="single" w:sz="8" w:color="2C6937"/>
            </w:tcBorders>
          </w:tcPr>
          <w:p>
            <w:pPr>
              <w:spacing w:after="0"/>
              <w:rPr>
                <w:sz w:val="16"/>
                <w:szCs w:val="16"/>
                <w:color w:val="auto"/>
              </w:rPr>
            </w:pPr>
          </w:p>
        </w:tc>
      </w:tr>
      <w:tr>
        <w:trPr>
          <w:trHeight w:val="636"/>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89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9"/>
                <w:szCs w:val="19"/>
                <w:color w:val="auto"/>
              </w:rPr>
            </w:pPr>
          </w:p>
        </w:tc>
      </w:tr>
      <w:tr>
        <w:trPr>
          <w:trHeight w:val="212"/>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spacing w:after="0"/>
              <w:rPr>
                <w:sz w:val="18"/>
                <w:szCs w:val="18"/>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99</w:t>
            </w:r>
          </w:p>
        </w:tc>
        <w:tc>
          <w:tcPr>
            <w:tcW w:w="240" w:type="dxa"/>
            <w:vAlign w:val="bottom"/>
          </w:tcPr>
          <w:p>
            <w:pPr>
              <w:spacing w:after="0"/>
              <w:rPr>
                <w:sz w:val="18"/>
                <w:szCs w:val="18"/>
                <w:color w:val="auto"/>
              </w:rPr>
            </w:pPr>
          </w:p>
        </w:tc>
      </w:tr>
      <w:tr>
        <w:trPr>
          <w:trHeight w:val="212"/>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8"/>
                <w:szCs w:val="18"/>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8"/>
                <w:szCs w:val="18"/>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97</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3"/>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91</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9"/>
                <w:szCs w:val="19"/>
                <w:color w:val="auto"/>
              </w:rPr>
            </w:pP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50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48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9"/>
                <w:szCs w:val="19"/>
                <w:color w:val="auto"/>
              </w:rPr>
            </w:pP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31</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14</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9"/>
                <w:szCs w:val="19"/>
                <w:color w:val="auto"/>
              </w:rPr>
            </w:pP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28</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8"/>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21</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26</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7</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9"/>
                <w:szCs w:val="19"/>
                <w:color w:val="auto"/>
              </w:rPr>
            </w:pPr>
          </w:p>
        </w:tc>
      </w:tr>
      <w:tr>
        <w:trPr>
          <w:trHeight w:val="219"/>
        </w:trPr>
        <w:tc>
          <w:tcPr>
            <w:tcW w:w="1700" w:type="dxa"/>
            <w:vAlign w:val="bottom"/>
          </w:tcPr>
          <w:p>
            <w:pPr>
              <w:jc w:val="right"/>
              <w:ind w:right="11"/>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9"/>
                <w:szCs w:val="19"/>
                <w:color w:val="auto"/>
              </w:rPr>
            </w:pPr>
          </w:p>
        </w:tc>
      </w:tr>
      <w:tr>
        <w:trPr>
          <w:trHeight w:val="220"/>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rPr>
                <w:sz w:val="19"/>
                <w:szCs w:val="19"/>
                <w:color w:val="auto"/>
              </w:rPr>
            </w:pP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r>
      <w:tr>
        <w:trPr>
          <w:trHeight w:val="213"/>
        </w:trPr>
        <w:tc>
          <w:tcPr>
            <w:tcW w:w="17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482" w:lineRule="exact"/>
        <w:rPr>
          <w:sz w:val="20"/>
          <w:szCs w:val="20"/>
          <w:color w:val="auto"/>
        </w:rPr>
      </w:pPr>
    </w:p>
    <w:p>
      <w:pPr>
        <w:sectPr>
          <w:pgSz w:w="11900" w:h="16838" w:orient="portrait"/>
          <w:cols w:equalWidth="0" w:num="2">
            <w:col w:w="7300" w:space="60"/>
            <w:col w:w="3880"/>
          </w:cols>
          <w:pgMar w:left="320" w:top="248" w:right="3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31" w:name="page32"/>
    <w:bookmarkEnd w:id="31"/>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hanging="217"/>
        <w:spacing w:after="0"/>
        <w:tabs>
          <w:tab w:leader="none" w:pos="2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Second-lien mortgage loans held by third parties are not reflected in the original LTV or the estimated mark-to-market LTV ratios in this table.</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single-family loans for each category at time of acquisition.</w:t>
      </w:r>
    </w:p>
    <w:p>
      <w:pPr>
        <w:spacing w:after="0" w:line="38" w:lineRule="exact"/>
        <w:rPr>
          <w:rFonts w:ascii="Arial" w:cs="Arial" w:eastAsia="Arial" w:hAnsi="Arial"/>
          <w:sz w:val="18"/>
          <w:szCs w:val="18"/>
          <w:color w:val="auto"/>
          <w:vertAlign w:val="superscript"/>
        </w:rPr>
      </w:pPr>
    </w:p>
    <w:p>
      <w:pPr>
        <w:ind w:left="240" w:right="160" w:hanging="237"/>
        <w:spacing w:after="0" w:line="219" w:lineRule="auto"/>
        <w:tabs>
          <w:tab w:leader="none" w:pos="233"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unpaid principal balance of single-family loans for each category divided by the aggregate unpaid principal balance of loans in our single-family conventional guaranty book of business as of the end of each period.</w:t>
      </w:r>
    </w:p>
    <w:p>
      <w:pPr>
        <w:spacing w:after="0" w:line="13" w:lineRule="exact"/>
        <w:rPr>
          <w:rFonts w:ascii="Arial" w:cs="Arial" w:eastAsia="Arial" w:hAnsi="Arial"/>
          <w:sz w:val="18"/>
          <w:szCs w:val="18"/>
          <w:color w:val="auto"/>
          <w:vertAlign w:val="superscript"/>
        </w:rPr>
      </w:pPr>
    </w:p>
    <w:p>
      <w:pPr>
        <w:ind w:left="240" w:right="240" w:hanging="237"/>
        <w:spacing w:after="0" w:line="275" w:lineRule="auto"/>
        <w:tabs>
          <w:tab w:leader="none" w:pos="233" w:val="left"/>
        </w:tabs>
        <w:numPr>
          <w:ilvl w:val="0"/>
          <w:numId w:val="23"/>
        </w:numPr>
        <w:rPr>
          <w:rFonts w:ascii="Arial" w:cs="Arial" w:eastAsia="Arial" w:hAnsi="Arial"/>
          <w:sz w:val="9"/>
          <w:szCs w:val="9"/>
          <w:color w:val="auto"/>
        </w:rPr>
      </w:pPr>
      <w:r>
        <w:rPr>
          <w:rFonts w:ascii="Arial" w:cs="Arial" w:eastAsia="Arial" w:hAnsi="Arial"/>
          <w:sz w:val="14"/>
          <w:szCs w:val="14"/>
          <w:color w:val="auto"/>
        </w:rPr>
        <w:t>The original LTV ratio generally is based on the original unpaid principal balance of the loan divided by the appraised property value reported to us at the time of acquisition of the loan. Excludes loans for which this information is not readily available.</w:t>
      </w:r>
    </w:p>
    <w:p>
      <w:pPr>
        <w:spacing w:after="0" w:line="4" w:lineRule="exact"/>
        <w:rPr>
          <w:rFonts w:ascii="Arial" w:cs="Arial" w:eastAsia="Arial" w:hAnsi="Arial"/>
          <w:sz w:val="9"/>
          <w:szCs w:val="9"/>
          <w:color w:val="auto"/>
        </w:rPr>
      </w:pPr>
    </w:p>
    <w:p>
      <w:pPr>
        <w:ind w:left="240" w:right="20" w:hanging="237"/>
        <w:spacing w:after="0" w:line="244" w:lineRule="auto"/>
        <w:tabs>
          <w:tab w:leader="none" w:pos="233" w:val="left"/>
        </w:tabs>
        <w:numPr>
          <w:ilvl w:val="0"/>
          <w:numId w:val="23"/>
        </w:numPr>
        <w:rPr>
          <w:rFonts w:ascii="Arial" w:cs="Arial" w:eastAsia="Arial" w:hAnsi="Arial"/>
          <w:sz w:val="17"/>
          <w:szCs w:val="17"/>
          <w:color w:val="auto"/>
          <w:vertAlign w:val="superscript"/>
        </w:rPr>
      </w:pPr>
      <w:r>
        <w:rPr>
          <w:rFonts w:ascii="Arial" w:cs="Arial" w:eastAsia="Arial" w:hAnsi="Arial"/>
          <w:sz w:val="13"/>
          <w:szCs w:val="13"/>
          <w:color w:val="auto"/>
        </w:rPr>
        <w:t>The aggregate estimated mark-to-market LTV ratio is based on the unpaid principal balance of the loan as of the end of each reported period divided by the estimated current value of the property, which we calculate using an internal valuation model that estimates periodic changes in home value. Excludes loans for which this information is not readily available.</w:t>
      </w:r>
    </w:p>
    <w:p>
      <w:pPr>
        <w:spacing w:after="0" w:line="23" w:lineRule="exact"/>
        <w:rPr>
          <w:rFonts w:ascii="Arial" w:cs="Arial" w:eastAsia="Arial" w:hAnsi="Arial"/>
          <w:sz w:val="17"/>
          <w:szCs w:val="17"/>
          <w:color w:val="auto"/>
          <w:vertAlign w:val="superscript"/>
        </w:rPr>
      </w:pPr>
    </w:p>
    <w:p>
      <w:pPr>
        <w:ind w:left="240" w:right="240" w:hanging="237"/>
        <w:spacing w:after="0" w:line="218" w:lineRule="auto"/>
        <w:tabs>
          <w:tab w:leader="none" w:pos="233"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Loans with unavailable FICO credit scores represent less than 0.5% of single-family conventional business volume or guaranty book of business, and therefore are not presented separately in this table.</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23"/>
        </w:numPr>
        <w:rPr>
          <w:rFonts w:ascii="Arial" w:cs="Arial" w:eastAsia="Arial" w:hAnsi="Arial"/>
          <w:sz w:val="9"/>
          <w:szCs w:val="9"/>
          <w:color w:val="auto"/>
        </w:rPr>
      </w:pPr>
      <w:r>
        <w:rPr>
          <w:rFonts w:ascii="Arial" w:cs="Arial" w:eastAsia="Arial" w:hAnsi="Arial"/>
          <w:sz w:val="14"/>
          <w:szCs w:val="14"/>
          <w:color w:val="auto"/>
        </w:rPr>
        <w:t>Excludes loans for which this information is not readily available.</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Long-term fixed-rate consists of mortgage loans with maturities greater than 15 years, while intermediate-term fixed-rate loans have maturities equal to or less than 15 years.</w:t>
      </w:r>
    </w:p>
    <w:p>
      <w:pPr>
        <w:spacing w:after="0" w:line="29" w:lineRule="exact"/>
        <w:rPr>
          <w:rFonts w:ascii="Arial" w:cs="Arial" w:eastAsia="Arial" w:hAnsi="Arial"/>
          <w:sz w:val="18"/>
          <w:szCs w:val="18"/>
          <w:color w:val="auto"/>
          <w:vertAlign w:val="superscript"/>
        </w:rPr>
      </w:pPr>
    </w:p>
    <w:p>
      <w:pPr>
        <w:ind w:left="240" w:right="160" w:hanging="237"/>
        <w:spacing w:after="0" w:line="239" w:lineRule="auto"/>
        <w:tabs>
          <w:tab w:leader="none" w:pos="233" w:val="left"/>
        </w:tabs>
        <w:numPr>
          <w:ilvl w:val="0"/>
          <w:numId w:val="23"/>
        </w:numPr>
        <w:rPr>
          <w:rFonts w:ascii="Arial" w:cs="Arial" w:eastAsia="Arial" w:hAnsi="Arial"/>
          <w:sz w:val="17"/>
          <w:szCs w:val="17"/>
          <w:color w:val="auto"/>
          <w:vertAlign w:val="superscript"/>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5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For a discussion of factors that may impact the volume and credit characteristics of loans we acquire in the future, see “MD&amp;A—Single-Family Business— Single-Family Mortgage Credit Risk Management—Single-Family Guaranty Book Diversification and Monitoring” in our 2024 Form 10-K. In this section of our 2024 Form 10-K, we also provide more information on the credit characteristics of loans in our single-family conventional guaranty book of business, including high-balance loans and adjustable-rate mortgages.</w:t>
      </w:r>
    </w:p>
    <w:p>
      <w:pPr>
        <w:spacing w:after="0" w:line="7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Credit Enhancement and Transfer of Mortgage Credit Risk</w:t>
      </w:r>
    </w:p>
    <w:p>
      <w:pPr>
        <w:spacing w:after="0" w:line="8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charter generally requires credit enhancement on any single-family conventional mortgage loan that we purchase or securitize if it has an LTV ratio over 80% at the time of acquisition. We generally achieve this through primary mortgage insurance. We also enter into various other types of transactions in which we transfer mortgage credit risk to third parties. For a discussion of our exposure to and management of the counterparty credit risk associated with the providers of these credit enhancements, see “MD&amp;A—Risk Management—Institutional Counterparty Credit Risk Management,” “Note 14, Concentrations of Credit Risk” and “Risk Factors—Credit Risk” in our 2024 Form 10-K.</w:t>
      </w:r>
    </w:p>
    <w:p>
      <w:pPr>
        <w:spacing w:after="0" w:line="3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table below displays information about loans in our single-family conventional guaranty book of business covered by one or more forms of credit enhancement, including mortgage insurance or a credit risk transfer transaction. The risk in force of our back-end credit risk transfer transactions, which refers to the maximum amount of losses that could be absorbed by investors in those transactions, was approximately $41 billion as of September 30, 2025, compared with approximately $43 billion as of December 31, 2024. Our mortgage insurance risk in force, which refers to our maximum potential loss recovery under the applicable mortgage insurance policies in force, was approximately $202 billion as of September 30, 2025 and December 31, 2024.</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Loans with Credit Enhancement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560" w:type="dxa"/>
            <w:vAlign w:val="bottom"/>
            <w:tcBorders>
              <w:bottom w:val="single" w:sz="8" w:color="2C6937"/>
            </w:tcBorders>
          </w:tcPr>
          <w:p>
            <w:pPr>
              <w:spacing w:after="0"/>
              <w:rPr>
                <w:sz w:val="17"/>
                <w:szCs w:val="17"/>
                <w:color w:val="auto"/>
              </w:rPr>
            </w:pPr>
          </w:p>
        </w:tc>
      </w:tr>
      <w:tr>
        <w:trPr>
          <w:trHeight w:val="193"/>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645"/>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560" w:type="dxa"/>
            <w:vAlign w:val="bottom"/>
            <w:tcBorders>
              <w:bottom w:val="single" w:sz="8" w:color="2C6937"/>
            </w:tcBorders>
            <w:gridSpan w:val="3"/>
          </w:tcPr>
          <w:p>
            <w:pPr>
              <w:jc w:val="right"/>
              <w:ind w:right="664"/>
              <w:spacing w:after="0"/>
              <w:rPr>
                <w:sz w:val="20"/>
                <w:szCs w:val="20"/>
                <w:color w:val="auto"/>
              </w:rPr>
            </w:pPr>
            <w:r>
              <w:rPr>
                <w:rFonts w:ascii="Arial" w:cs="Arial" w:eastAsia="Arial" w:hAnsi="Arial"/>
                <w:sz w:val="14"/>
                <w:szCs w:val="14"/>
                <w:b w:val="1"/>
                <w:bCs w:val="1"/>
                <w:color w:val="auto"/>
              </w:rPr>
              <w:t>December 31, 2024</w:t>
            </w:r>
          </w:p>
        </w:tc>
      </w:tr>
      <w:tr>
        <w:trPr>
          <w:trHeight w:val="178"/>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Percentage of Single-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Percentage of Single-</w:t>
            </w:r>
          </w:p>
        </w:tc>
      </w:tr>
      <w:tr>
        <w:trPr>
          <w:trHeight w:val="155"/>
        </w:trPr>
        <w:tc>
          <w:tcPr>
            <w:tcW w:w="5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6"/>
              </w:rPr>
              <w:t>Unpaid</w:t>
            </w:r>
          </w:p>
        </w:tc>
        <w:tc>
          <w:tcPr>
            <w:tcW w:w="16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Family Conventional</w:t>
            </w:r>
          </w:p>
        </w:tc>
        <w:tc>
          <w:tcPr>
            <w:tcW w:w="180" w:type="dxa"/>
            <w:vAlign w:val="bottom"/>
          </w:tcPr>
          <w:p>
            <w:pPr>
              <w:spacing w:after="0"/>
              <w:rPr>
                <w:sz w:val="13"/>
                <w:szCs w:val="13"/>
                <w:color w:val="auto"/>
              </w:rPr>
            </w:pPr>
          </w:p>
        </w:tc>
        <w:tc>
          <w:tcPr>
            <w:tcW w:w="10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6"/>
              </w:rPr>
              <w:t>Unpaid</w:t>
            </w:r>
          </w:p>
        </w:tc>
        <w:tc>
          <w:tcPr>
            <w:tcW w:w="15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Family Conventional</w:t>
            </w:r>
          </w:p>
        </w:tc>
      </w:tr>
      <w:tr>
        <w:trPr>
          <w:trHeight w:val="168"/>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Principal</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Guaranty Book of</w:t>
            </w:r>
          </w:p>
        </w:tc>
        <w:tc>
          <w:tcPr>
            <w:tcW w:w="1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Principal</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8"/>
              </w:rPr>
              <w:t>Guaranty Book of</w:t>
            </w:r>
          </w:p>
        </w:tc>
      </w:tr>
      <w:tr>
        <w:trPr>
          <w:trHeight w:val="196"/>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center"/>
              <w:ind w:right="104"/>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5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Business</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center"/>
              <w:ind w:right="84"/>
              <w:spacing w:after="0"/>
              <w:rPr>
                <w:sz w:val="20"/>
                <w:szCs w:val="20"/>
                <w:color w:val="auto"/>
              </w:rPr>
            </w:pPr>
            <w:r>
              <w:rPr>
                <w:rFonts w:ascii="Arial" w:cs="Arial" w:eastAsia="Arial" w:hAnsi="Arial"/>
                <w:sz w:val="14"/>
                <w:szCs w:val="14"/>
                <w:b w:val="1"/>
                <w:bCs w:val="1"/>
                <w:color w:val="auto"/>
                <w:w w:val="96"/>
              </w:rPr>
              <w:t>Balance</w:t>
            </w:r>
          </w:p>
        </w:tc>
        <w:tc>
          <w:tcPr>
            <w:tcW w:w="120" w:type="dxa"/>
            <w:vAlign w:val="bottom"/>
          </w:tcPr>
          <w:p>
            <w:pPr>
              <w:spacing w:after="0"/>
              <w:rPr>
                <w:sz w:val="17"/>
                <w:szCs w:val="17"/>
                <w:color w:val="auto"/>
              </w:rPr>
            </w:pP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Business</w:t>
            </w:r>
          </w:p>
        </w:tc>
      </w:tr>
      <w:tr>
        <w:trPr>
          <w:trHeight w:val="192"/>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ind w:left="940"/>
              <w:spacing w:after="0"/>
              <w:rPr>
                <w:sz w:val="20"/>
                <w:szCs w:val="20"/>
                <w:color w:val="auto"/>
              </w:rPr>
            </w:pPr>
            <w:r>
              <w:rPr>
                <w:rFonts w:ascii="Arial" w:cs="Arial" w:eastAsia="Arial" w:hAnsi="Arial"/>
                <w:sz w:val="14"/>
                <w:szCs w:val="14"/>
                <w:b w:val="1"/>
                <w:bCs w:val="1"/>
                <w:color w:val="auto"/>
              </w:rPr>
              <w:t>(Dollars in billions)</w:t>
            </w:r>
          </w:p>
        </w:tc>
        <w:tc>
          <w:tcPr>
            <w:tcW w:w="1560" w:type="dxa"/>
            <w:vAlign w:val="bottom"/>
          </w:tcPr>
          <w:p>
            <w:pPr>
              <w:spacing w:after="0"/>
              <w:rPr>
                <w:sz w:val="16"/>
                <w:szCs w:val="16"/>
                <w:color w:val="auto"/>
              </w:rPr>
            </w:pPr>
          </w:p>
        </w:tc>
      </w:tr>
      <w:tr>
        <w:trPr>
          <w:trHeight w:val="24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Primary mortgage insurance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758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21 %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Connecticut Avenue Securities</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873</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23</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Credit Insurance Risk Transfer</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431</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12</w:t>
            </w:r>
          </w:p>
        </w:tc>
      </w:tr>
      <w:tr>
        <w:trPr>
          <w:trHeight w:val="232"/>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29</w:t>
            </w:r>
          </w:p>
        </w:tc>
        <w:tc>
          <w:tcPr>
            <w:tcW w:w="100" w:type="dxa"/>
            <w:vAlign w:val="bottom"/>
          </w:tcPr>
          <w:p>
            <w:pPr>
              <w:spacing w:after="0"/>
              <w:rPr>
                <w:sz w:val="20"/>
                <w:szCs w:val="20"/>
                <w:color w:val="auto"/>
              </w:rPr>
            </w:pPr>
          </w:p>
        </w:tc>
        <w:tc>
          <w:tcPr>
            <w:tcW w:w="1580" w:type="dxa"/>
            <w:vAlign w:val="bottom"/>
          </w:tcPr>
          <w:p>
            <w:pPr>
              <w:jc w:val="right"/>
              <w:ind w:right="145"/>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w:t>
            </w:r>
          </w:p>
        </w:tc>
      </w:tr>
      <w:tr>
        <w:trPr>
          <w:trHeight w:val="234"/>
        </w:trPr>
        <w:tc>
          <w:tcPr>
            <w:tcW w:w="55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Less: Loans covered by multiple credit enhancements</w:t>
            </w:r>
          </w:p>
        </w:tc>
        <w:tc>
          <w:tcPr>
            <w:tcW w:w="14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b w:val="1"/>
                <w:bCs w:val="1"/>
                <w:color w:val="auto"/>
              </w:rPr>
              <w:t>(419)</w:t>
            </w:r>
          </w:p>
        </w:tc>
        <w:tc>
          <w:tcPr>
            <w:tcW w:w="100" w:type="dxa"/>
            <w:vAlign w:val="bottom"/>
          </w:tcPr>
          <w:p>
            <w:pPr>
              <w:spacing w:after="0"/>
              <w:rPr>
                <w:sz w:val="20"/>
                <w:szCs w:val="20"/>
                <w:color w:val="auto"/>
              </w:rPr>
            </w:pPr>
          </w:p>
        </w:tc>
        <w:tc>
          <w:tcPr>
            <w:tcW w:w="1580" w:type="dxa"/>
            <w:vAlign w:val="bottom"/>
            <w:tcBorders>
              <w:bottom w:val="single" w:sz="8" w:color="2C6937"/>
            </w:tcBorders>
          </w:tcPr>
          <w:p>
            <w:pPr>
              <w:jc w:val="right"/>
              <w:ind w:right="105"/>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0"/>
                <w:szCs w:val="20"/>
                <w:color w:val="auto"/>
              </w:rPr>
            </w:pPr>
          </w:p>
        </w:tc>
        <w:tc>
          <w:tcPr>
            <w:tcW w:w="1560" w:type="dxa"/>
            <w:vAlign w:val="bottom"/>
            <w:tcBorders>
              <w:bottom w:val="single" w:sz="8" w:color="2C6937"/>
            </w:tcBorders>
          </w:tcPr>
          <w:p>
            <w:pPr>
              <w:jc w:val="right"/>
              <w:ind w:right="84"/>
              <w:spacing w:after="0"/>
              <w:rPr>
                <w:sz w:val="20"/>
                <w:szCs w:val="20"/>
                <w:color w:val="auto"/>
              </w:rPr>
            </w:pPr>
            <w:r>
              <w:rPr>
                <w:rFonts w:ascii="Arial" w:cs="Arial" w:eastAsia="Arial" w:hAnsi="Arial"/>
                <w:sz w:val="16"/>
                <w:szCs w:val="16"/>
                <w:color w:val="auto"/>
              </w:rPr>
              <w:t>(11)</w:t>
            </w:r>
          </w:p>
        </w:tc>
      </w:tr>
      <w:tr>
        <w:trPr>
          <w:trHeight w:val="225"/>
        </w:trPr>
        <w:tc>
          <w:tcPr>
            <w:tcW w:w="5660" w:type="dxa"/>
            <w:vAlign w:val="bottom"/>
            <w:gridSpan w:val="2"/>
          </w:tcPr>
          <w:p>
            <w:pPr>
              <w:ind w:left="320"/>
              <w:spacing w:after="0"/>
              <w:rPr>
                <w:sz w:val="20"/>
                <w:szCs w:val="20"/>
                <w:color w:val="auto"/>
              </w:rPr>
            </w:pPr>
            <w:r>
              <w:rPr>
                <w:rFonts w:ascii="Arial" w:cs="Arial" w:eastAsia="Arial" w:hAnsi="Arial"/>
                <w:sz w:val="15"/>
                <w:szCs w:val="15"/>
                <w:color w:val="auto"/>
              </w:rPr>
              <w:t>Total single-family loans with credit enhancement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1,672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47 %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1,667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1"/>
        </w:trPr>
        <w:tc>
          <w:tcPr>
            <w:tcW w:w="552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29</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2" w:name="page33"/>
    <w:bookmarkEnd w:id="32"/>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As of September 30, 2025 and December 31, 2024, the loans in our single-family conventional guaranty book of business that were currently without credit enhancement consisted primarily of loans with an LTV ratio less than or equal to 60% or loans with an original maturity of 20 years or less. See “MD&amp;A— Single-Family Business—Single-Family Credit Enhancement and Transfer of Mortgage Credit Risk" in our 2024 Form 10-K for more information about our single-family loans without credit enhancements.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Transfer of Mortgage Credit Risk</w:t>
      </w:r>
    </w:p>
    <w:p>
      <w:pPr>
        <w:spacing w:after="0" w:line="67"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In addition to primary mortgage insurance, our Single-Family business has developed other risk-sharing capabilities to transfer portions of our single-family mortgage credit risk to the private market. Our two primary single-family credit risk transfer programs are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(“CAS”) and Credit Insurance Risk Transfer™ (“CIRT™”). For a description of our single-family credit risk transfer transactions, see "MD&amp;A—Single-Family Business— Single-Family Mortgage Credit Risk Management—Single-Family Credit Enhancement and Transfer of Mortgage Credit Risk" in our 2024 Form 10-K.</w:t>
      </w:r>
    </w:p>
    <w:p>
      <w:pPr>
        <w:spacing w:after="0" w:line="50"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In the first nine months of 2025, we transferred a portion of the mortgage credit risk on single-family mortgage loans with an unpaid principal balance of $162.6 billion at the time of the transactions.</w:t>
      </w:r>
    </w:p>
    <w:p>
      <w:pPr>
        <w:spacing w:after="0" w:line="15"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We provide a portion of the guaranty fee to investors in our credit risk transfer transactions as compensation for their taking on a share of the credit risk of the related loans. We record the substantial majority of expenses related to our credit risk transfer transactions in “Credit enhancement expense” within our condensed consolidated statements of operations and comprehensive income. In the first nine months of 2025, we paid $1.1 billion in premiums on our outstanding single-family credit risk transfer transactions.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Problem Loan Management</w:t>
      </w:r>
    </w:p>
    <w:p>
      <w:pPr>
        <w:spacing w:after="0" w:line="11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Overview</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problem loan management strategies focus primarily on reducing defaults to avoid losses that would otherwise occur and pursuing foreclosure alternatives to mitigate the severity of the losses we incur. See “MD&amp;A—Single-Family Business—Single-Family Mortgage Credit Risk Management— Single-Family Problem Loan Management” in our 2024 Form 10-K for a discussion of delinquency statistics on our problem loans, efforts undertaken to manage our problem loans, metrics regarding our loan workout activities, real estate owned (“REO”) management and other single-family credit-related information. The discussion below updates some of that information. We also provide ongoing credit performance information on loans underlying single-family Fannie Mae MBS and loans covered by single-family credit risk transfer transactions. For loans backing Fannie Mae MBS, see the “Forbearance and Delinquency Dashboard” available in the MBS section of our Data Dynamics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which is available at www.fanniemae.com/datadynamics. For loans covered by credit risk transfer transactions, see the “Deal Performance Data” report available in the CAS and CIRT sections of the tool. Information on our website is not incorporated into this report. Information in Data Dynamics 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30</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3" w:name="page34"/>
    <w:bookmarkEnd w:id="33"/>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69996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Georgia" w:cs="Georgia" w:eastAsia="Georgia" w:hAnsi="Georgia"/>
          <w:sz w:val="19"/>
          <w:szCs w:val="19"/>
          <w:i w:val="1"/>
          <w:iCs w:val="1"/>
          <w:color w:val="05314D"/>
        </w:rPr>
        <w:t>Delinquency</w:t>
      </w:r>
    </w:p>
    <w:p>
      <w:pPr>
        <w:spacing w:after="0" w:line="80" w:lineRule="exact"/>
        <w:rPr>
          <w:sz w:val="20"/>
          <w:szCs w:val="20"/>
          <w:color w:val="auto"/>
        </w:rPr>
      </w:pPr>
    </w:p>
    <w:p>
      <w:pPr>
        <w:ind w:left="20" w:right="20"/>
        <w:spacing w:after="0" w:line="263" w:lineRule="auto"/>
        <w:rPr>
          <w:sz w:val="20"/>
          <w:szCs w:val="20"/>
          <w:color w:val="auto"/>
        </w:rPr>
      </w:pPr>
      <w:r>
        <w:rPr>
          <w:rFonts w:ascii="Arial" w:cs="Arial" w:eastAsia="Arial" w:hAnsi="Arial"/>
          <w:sz w:val="16"/>
          <w:szCs w:val="16"/>
          <w:color w:val="auto"/>
        </w:rPr>
        <w:t>The tables below display the delinquency status of loans and changes in the volume of seriously delinquent loans in our single-family conventional guaranty book of business based on the number of loans. Single-family seriously delinquent loans are loans that are 90 days or more past due or in the foreclosure process. Our single-family serious delinquency rate is expressed as a percentage of our single-family conventional guaranty book of business based on loan count. Management monitors the single-family serious delinquency rate as an indicator of potential future credit losses and loss mitigation activities. Serious delinquency rates are reflective of our performance in assessing and managing credit risk associated with single-family loans in our guaranty book of business. A higher serious delinquency rate may result in a higher allowance for loan losses.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Delinquency Status and Activity of Single-Family Conventional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38735</wp:posOffset>
            </wp:positionV>
            <wp:extent cx="713867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9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920" w:type="dxa"/>
            <w:vAlign w:val="bottom"/>
            <w:tcBorders>
              <w:bottom w:val="single" w:sz="8" w:color="2C6937"/>
            </w:tcBorders>
            <w:gridSpan w:val="3"/>
          </w:tcPr>
          <w:p>
            <w:pPr>
              <w:jc w:val="center"/>
              <w:ind w:right="220"/>
              <w:spacing w:after="0"/>
              <w:rPr>
                <w:sz w:val="20"/>
                <w:szCs w:val="20"/>
                <w:color w:val="auto"/>
              </w:rPr>
            </w:pPr>
            <w:r>
              <w:rPr>
                <w:rFonts w:ascii="Arial" w:cs="Arial" w:eastAsia="Arial" w:hAnsi="Arial"/>
                <w:sz w:val="14"/>
                <w:szCs w:val="14"/>
                <w:b w:val="1"/>
                <w:bCs w:val="1"/>
                <w:color w:val="auto"/>
                <w:w w:val="97"/>
              </w:rPr>
              <w:t>As of</w:t>
            </w:r>
          </w:p>
        </w:tc>
        <w:tc>
          <w:tcPr>
            <w:tcW w:w="2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020" w:type="dxa"/>
            <w:vAlign w:val="bottom"/>
            <w:gridSpan w:val="2"/>
          </w:tcPr>
          <w:p>
            <w:pPr>
              <w:ind w:left="320"/>
              <w:spacing w:after="0"/>
              <w:rPr>
                <w:sz w:val="20"/>
                <w:szCs w:val="20"/>
                <w:color w:val="auto"/>
              </w:rPr>
            </w:pPr>
            <w:r>
              <w:rPr>
                <w:rFonts w:ascii="Arial" w:cs="Arial" w:eastAsia="Arial" w:hAnsi="Arial"/>
                <w:sz w:val="14"/>
                <w:szCs w:val="14"/>
                <w:b w:val="1"/>
                <w:bCs w:val="1"/>
                <w:color w:val="auto"/>
              </w:rPr>
              <w:t>September 30, 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December 31, 2024</w:t>
            </w:r>
          </w:p>
        </w:tc>
        <w:tc>
          <w:tcPr>
            <w:tcW w:w="20" w:type="dxa"/>
            <w:vAlign w:val="bottom"/>
          </w:tcPr>
          <w:p>
            <w:pPr>
              <w:spacing w:after="0"/>
              <w:rPr>
                <w:sz w:val="16"/>
                <w:szCs w:val="16"/>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September 30, 2024</w:t>
            </w:r>
          </w:p>
        </w:tc>
        <w:tc>
          <w:tcPr>
            <w:tcW w:w="0" w:type="dxa"/>
            <w:vAlign w:val="bottom"/>
          </w:tcPr>
          <w:p>
            <w:pPr>
              <w:spacing w:after="0"/>
              <w:rPr>
                <w:sz w:val="1"/>
                <w:szCs w:val="1"/>
                <w:color w:val="auto"/>
              </w:rPr>
            </w:pPr>
          </w:p>
        </w:tc>
      </w:tr>
      <w:tr>
        <w:trPr>
          <w:trHeight w:val="207"/>
        </w:trPr>
        <w:tc>
          <w:tcPr>
            <w:tcW w:w="5240" w:type="dxa"/>
            <w:vAlign w:val="bottom"/>
            <w:gridSpan w:val="2"/>
          </w:tcPr>
          <w:p>
            <w:pPr>
              <w:spacing w:after="0"/>
              <w:rPr>
                <w:sz w:val="20"/>
                <w:szCs w:val="20"/>
                <w:color w:val="auto"/>
              </w:rPr>
            </w:pPr>
            <w:r>
              <w:rPr>
                <w:rFonts w:ascii="Arial" w:cs="Arial" w:eastAsia="Arial" w:hAnsi="Arial"/>
                <w:sz w:val="15"/>
                <w:szCs w:val="15"/>
                <w:b w:val="1"/>
                <w:bCs w:val="1"/>
                <w:color w:val="auto"/>
              </w:rPr>
              <w:t>Delinquency status:</w:t>
            </w:r>
          </w:p>
        </w:tc>
        <w:tc>
          <w:tcPr>
            <w:tcW w:w="192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2C6937"/>
            </w:tcBorders>
          </w:tcPr>
          <w:p>
            <w:pPr>
              <w:spacing w:after="0"/>
              <w:rPr>
                <w:sz w:val="18"/>
                <w:szCs w:val="18"/>
                <w:color w:val="auto"/>
              </w:rPr>
            </w:pPr>
          </w:p>
        </w:tc>
        <w:tc>
          <w:tcPr>
            <w:tcW w:w="100" w:type="dxa"/>
            <w:vAlign w:val="bottom"/>
            <w:tcBorders>
              <w:top w:val="single" w:sz="8" w:color="2C6937"/>
            </w:tcBorders>
          </w:tcPr>
          <w:p>
            <w:pPr>
              <w:spacing w:after="0"/>
              <w:rPr>
                <w:sz w:val="18"/>
                <w:szCs w:val="18"/>
                <w:color w:val="auto"/>
              </w:rPr>
            </w:pPr>
          </w:p>
        </w:tc>
        <w:tc>
          <w:tcPr>
            <w:tcW w:w="1800" w:type="dxa"/>
            <w:vAlign w:val="bottom"/>
            <w:tcBorders>
              <w:top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2C6937"/>
            </w:tcBorders>
          </w:tcPr>
          <w:p>
            <w:pPr>
              <w:spacing w:after="0"/>
              <w:rPr>
                <w:sz w:val="18"/>
                <w:szCs w:val="18"/>
                <w:color w:val="auto"/>
              </w:rPr>
            </w:pPr>
          </w:p>
        </w:tc>
        <w:tc>
          <w:tcPr>
            <w:tcW w:w="1860" w:type="dxa"/>
            <w:vAlign w:val="bottom"/>
            <w:tcBorders>
              <w:top w:val="single" w:sz="8" w:color="2C6937"/>
            </w:tcBorders>
          </w:tcPr>
          <w:p>
            <w:pPr>
              <w:spacing w:after="0"/>
              <w:rPr>
                <w:sz w:val="18"/>
                <w:szCs w:val="18"/>
                <w:color w:val="auto"/>
              </w:rPr>
            </w:pPr>
          </w:p>
        </w:tc>
        <w:tc>
          <w:tcPr>
            <w:tcW w:w="40" w:type="dxa"/>
            <w:vAlign w:val="bottom"/>
            <w:tcBorders>
              <w:top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20" w:type="dxa"/>
            <w:vAlign w:val="bottom"/>
          </w:tcPr>
          <w:p>
            <w:pPr>
              <w:ind w:left="140"/>
              <w:spacing w:after="0"/>
              <w:rPr>
                <w:sz w:val="20"/>
                <w:szCs w:val="20"/>
                <w:color w:val="auto"/>
              </w:rPr>
            </w:pPr>
            <w:r>
              <w:rPr>
                <w:rFonts w:ascii="Arial" w:cs="Arial" w:eastAsia="Arial" w:hAnsi="Arial"/>
                <w:sz w:val="15"/>
                <w:szCs w:val="15"/>
                <w:color w:val="auto"/>
              </w:rPr>
              <w:t>30 to 59 days delinquent</w:t>
            </w: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1.00 %</w:t>
            </w:r>
          </w:p>
        </w:tc>
        <w:tc>
          <w:tcPr>
            <w:tcW w:w="10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5"/>
                <w:szCs w:val="15"/>
                <w:color w:val="auto"/>
              </w:rPr>
              <w:t>1.05 %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20" w:type="dxa"/>
            <w:vAlign w:val="bottom"/>
            <w:gridSpan w:val="3"/>
          </w:tcPr>
          <w:p>
            <w:pPr>
              <w:jc w:val="right"/>
              <w:ind w:right="20"/>
              <w:spacing w:after="0"/>
              <w:rPr>
                <w:sz w:val="20"/>
                <w:szCs w:val="20"/>
                <w:color w:val="auto"/>
              </w:rPr>
            </w:pPr>
            <w:r>
              <w:rPr>
                <w:rFonts w:ascii="Arial" w:cs="Arial" w:eastAsia="Arial" w:hAnsi="Arial"/>
                <w:sz w:val="15"/>
                <w:szCs w:val="15"/>
                <w:color w:val="auto"/>
              </w:rPr>
              <w:t>1.02 %</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20" w:type="dxa"/>
            <w:vAlign w:val="bottom"/>
          </w:tcPr>
          <w:p>
            <w:pPr>
              <w:ind w:left="140"/>
              <w:spacing w:after="0"/>
              <w:rPr>
                <w:sz w:val="20"/>
                <w:szCs w:val="20"/>
                <w:color w:val="auto"/>
              </w:rPr>
            </w:pPr>
            <w:r>
              <w:rPr>
                <w:rFonts w:ascii="Arial" w:cs="Arial" w:eastAsia="Arial" w:hAnsi="Arial"/>
                <w:sz w:val="15"/>
                <w:szCs w:val="15"/>
                <w:color w:val="auto"/>
              </w:rPr>
              <w:t>60 to 89 days delinquent</w:t>
            </w:r>
          </w:p>
        </w:tc>
        <w:tc>
          <w:tcPr>
            <w:tcW w:w="1920" w:type="dxa"/>
            <w:vAlign w:val="bottom"/>
          </w:tcPr>
          <w:p>
            <w:pPr>
              <w:jc w:val="right"/>
              <w:ind w:right="124"/>
              <w:spacing w:after="0"/>
              <w:rPr>
                <w:sz w:val="20"/>
                <w:szCs w:val="20"/>
                <w:color w:val="auto"/>
              </w:rPr>
            </w:pPr>
            <w:r>
              <w:rPr>
                <w:rFonts w:ascii="Arial" w:cs="Arial" w:eastAsia="Arial" w:hAnsi="Arial"/>
                <w:sz w:val="15"/>
                <w:szCs w:val="15"/>
                <w:b w:val="1"/>
                <w:bCs w:val="1"/>
                <w:color w:val="auto"/>
              </w:rPr>
              <w:t>0.27</w:t>
            </w:r>
          </w:p>
        </w:tc>
        <w:tc>
          <w:tcPr>
            <w:tcW w:w="100" w:type="dxa"/>
            <w:vAlign w:val="bottom"/>
          </w:tcPr>
          <w:p>
            <w:pPr>
              <w:spacing w:after="0"/>
              <w:rPr>
                <w:sz w:val="20"/>
                <w:szCs w:val="20"/>
                <w:color w:val="auto"/>
              </w:rPr>
            </w:pPr>
          </w:p>
        </w:tc>
        <w:tc>
          <w:tcPr>
            <w:tcW w:w="1920" w:type="dxa"/>
            <w:vAlign w:val="bottom"/>
            <w:gridSpan w:val="3"/>
          </w:tcPr>
          <w:p>
            <w:pPr>
              <w:jc w:val="right"/>
              <w:ind w:right="108"/>
              <w:spacing w:after="0"/>
              <w:rPr>
                <w:sz w:val="20"/>
                <w:szCs w:val="20"/>
                <w:color w:val="auto"/>
              </w:rPr>
            </w:pPr>
            <w:r>
              <w:rPr>
                <w:rFonts w:ascii="Arial" w:cs="Arial" w:eastAsia="Arial" w:hAnsi="Arial"/>
                <w:sz w:val="15"/>
                <w:szCs w:val="15"/>
                <w:color w:val="auto"/>
              </w:rPr>
              <w:t>0.29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7"/>
              <w:spacing w:after="0"/>
              <w:rPr>
                <w:sz w:val="20"/>
                <w:szCs w:val="20"/>
                <w:color w:val="auto"/>
              </w:rPr>
            </w:pPr>
            <w:r>
              <w:rPr>
                <w:rFonts w:ascii="Arial" w:cs="Arial" w:eastAsia="Arial" w:hAnsi="Arial"/>
                <w:sz w:val="15"/>
                <w:szCs w:val="15"/>
                <w:color w:val="auto"/>
              </w:rPr>
              <w:t>0.26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20" w:type="dxa"/>
            <w:vAlign w:val="bottom"/>
          </w:tcPr>
          <w:p>
            <w:pPr>
              <w:ind w:left="140"/>
              <w:spacing w:after="0"/>
              <w:rPr>
                <w:sz w:val="20"/>
                <w:szCs w:val="20"/>
                <w:color w:val="auto"/>
              </w:rPr>
            </w:pPr>
            <w:r>
              <w:rPr>
                <w:rFonts w:ascii="Arial" w:cs="Arial" w:eastAsia="Arial" w:hAnsi="Arial"/>
                <w:sz w:val="15"/>
                <w:szCs w:val="15"/>
                <w:color w:val="auto"/>
              </w:rPr>
              <w:t>Seriously delinquent (“SDQ”):</w:t>
            </w:r>
          </w:p>
        </w:tc>
        <w:tc>
          <w:tcPr>
            <w:tcW w:w="1920" w:type="dxa"/>
            <w:vAlign w:val="bottom"/>
          </w:tcPr>
          <w:p>
            <w:pPr>
              <w:jc w:val="right"/>
              <w:ind w:right="124"/>
              <w:spacing w:after="0"/>
              <w:rPr>
                <w:sz w:val="20"/>
                <w:szCs w:val="20"/>
                <w:color w:val="auto"/>
              </w:rPr>
            </w:pPr>
            <w:r>
              <w:rPr>
                <w:rFonts w:ascii="Arial" w:cs="Arial" w:eastAsia="Arial" w:hAnsi="Arial"/>
                <w:sz w:val="15"/>
                <w:szCs w:val="15"/>
                <w:b w:val="1"/>
                <w:bCs w:val="1"/>
                <w:color w:val="auto"/>
              </w:rPr>
              <w:t>0.54</w:t>
            </w:r>
          </w:p>
        </w:tc>
        <w:tc>
          <w:tcPr>
            <w:tcW w:w="100" w:type="dxa"/>
            <w:vAlign w:val="bottom"/>
          </w:tcPr>
          <w:p>
            <w:pPr>
              <w:spacing w:after="0"/>
              <w:rPr>
                <w:sz w:val="20"/>
                <w:szCs w:val="20"/>
                <w:color w:val="auto"/>
              </w:rPr>
            </w:pPr>
          </w:p>
        </w:tc>
        <w:tc>
          <w:tcPr>
            <w:tcW w:w="1920" w:type="dxa"/>
            <w:vAlign w:val="bottom"/>
            <w:gridSpan w:val="3"/>
          </w:tcPr>
          <w:p>
            <w:pPr>
              <w:jc w:val="right"/>
              <w:ind w:right="108"/>
              <w:spacing w:after="0"/>
              <w:rPr>
                <w:sz w:val="20"/>
                <w:szCs w:val="20"/>
                <w:color w:val="auto"/>
              </w:rPr>
            </w:pPr>
            <w:r>
              <w:rPr>
                <w:rFonts w:ascii="Arial" w:cs="Arial" w:eastAsia="Arial" w:hAnsi="Arial"/>
                <w:sz w:val="15"/>
                <w:szCs w:val="15"/>
                <w:color w:val="auto"/>
              </w:rPr>
              <w:t>0.56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7"/>
              <w:spacing w:after="0"/>
              <w:rPr>
                <w:sz w:val="20"/>
                <w:szCs w:val="20"/>
                <w:color w:val="auto"/>
              </w:rPr>
            </w:pPr>
            <w:r>
              <w:rPr>
                <w:rFonts w:ascii="Arial" w:cs="Arial" w:eastAsia="Arial" w:hAnsi="Arial"/>
                <w:sz w:val="15"/>
                <w:szCs w:val="15"/>
                <w:color w:val="auto"/>
              </w:rPr>
              <w:t>0.52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tcPr>
          <w:p>
            <w:pPr>
              <w:ind w:left="280"/>
              <w:spacing w:after="0"/>
              <w:rPr>
                <w:sz w:val="20"/>
                <w:szCs w:val="20"/>
                <w:color w:val="auto"/>
              </w:rPr>
            </w:pPr>
            <w:r>
              <w:rPr>
                <w:rFonts w:ascii="Arial" w:cs="Arial" w:eastAsia="Arial" w:hAnsi="Arial"/>
                <w:sz w:val="15"/>
                <w:szCs w:val="15"/>
                <w:color w:val="auto"/>
              </w:rPr>
              <w:t>Percentage of SDQ loans that have been delinquent for more than</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20" w:type="dxa"/>
            <w:vAlign w:val="bottom"/>
          </w:tcPr>
          <w:p>
            <w:pPr>
              <w:ind w:left="440"/>
              <w:spacing w:after="0"/>
              <w:rPr>
                <w:sz w:val="20"/>
                <w:szCs w:val="20"/>
                <w:color w:val="auto"/>
              </w:rPr>
            </w:pPr>
            <w:r>
              <w:rPr>
                <w:rFonts w:ascii="Arial" w:cs="Arial" w:eastAsia="Arial" w:hAnsi="Arial"/>
                <w:sz w:val="15"/>
                <w:szCs w:val="15"/>
                <w:color w:val="auto"/>
              </w:rPr>
              <w:t>180 days</w:t>
            </w:r>
          </w:p>
        </w:tc>
        <w:tc>
          <w:tcPr>
            <w:tcW w:w="1920" w:type="dxa"/>
            <w:vAlign w:val="bottom"/>
          </w:tcPr>
          <w:p>
            <w:pPr>
              <w:jc w:val="right"/>
              <w:ind w:right="124"/>
              <w:spacing w:after="0"/>
              <w:rPr>
                <w:sz w:val="20"/>
                <w:szCs w:val="20"/>
                <w:color w:val="auto"/>
              </w:rPr>
            </w:pPr>
            <w:r>
              <w:rPr>
                <w:rFonts w:ascii="Arial" w:cs="Arial" w:eastAsia="Arial" w:hAnsi="Arial"/>
                <w:sz w:val="15"/>
                <w:szCs w:val="15"/>
                <w:b w:val="1"/>
                <w:bCs w:val="1"/>
                <w:color w:val="auto"/>
              </w:rPr>
              <w:t>45</w:t>
            </w:r>
          </w:p>
        </w:tc>
        <w:tc>
          <w:tcPr>
            <w:tcW w:w="100" w:type="dxa"/>
            <w:vAlign w:val="bottom"/>
          </w:tcPr>
          <w:p>
            <w:pPr>
              <w:spacing w:after="0"/>
              <w:rPr>
                <w:sz w:val="20"/>
                <w:szCs w:val="20"/>
                <w:color w:val="auto"/>
              </w:rPr>
            </w:pPr>
          </w:p>
        </w:tc>
        <w:tc>
          <w:tcPr>
            <w:tcW w:w="1920" w:type="dxa"/>
            <w:vAlign w:val="bottom"/>
            <w:gridSpan w:val="3"/>
          </w:tcPr>
          <w:p>
            <w:pPr>
              <w:jc w:val="right"/>
              <w:ind w:right="108"/>
              <w:spacing w:after="0"/>
              <w:rPr>
                <w:sz w:val="20"/>
                <w:szCs w:val="20"/>
                <w:color w:val="auto"/>
              </w:rPr>
            </w:pPr>
            <w:r>
              <w:rPr>
                <w:rFonts w:ascii="Arial" w:cs="Arial" w:eastAsia="Arial" w:hAnsi="Arial"/>
                <w:sz w:val="15"/>
                <w:szCs w:val="15"/>
                <w:color w:val="auto"/>
              </w:rPr>
              <w:t>41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7"/>
              <w:spacing w:after="0"/>
              <w:rPr>
                <w:sz w:val="20"/>
                <w:szCs w:val="20"/>
                <w:color w:val="auto"/>
              </w:rPr>
            </w:pPr>
            <w:r>
              <w:rPr>
                <w:rFonts w:ascii="Arial" w:cs="Arial" w:eastAsia="Arial" w:hAnsi="Arial"/>
                <w:sz w:val="15"/>
                <w:szCs w:val="15"/>
                <w:color w:val="auto"/>
              </w:rPr>
              <w:t>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tcPr>
          <w:p>
            <w:pPr>
              <w:ind w:left="280"/>
              <w:spacing w:after="0"/>
              <w:rPr>
                <w:sz w:val="20"/>
                <w:szCs w:val="20"/>
                <w:color w:val="auto"/>
              </w:rPr>
            </w:pPr>
            <w:r>
              <w:rPr>
                <w:rFonts w:ascii="Arial" w:cs="Arial" w:eastAsia="Arial" w:hAnsi="Arial"/>
                <w:sz w:val="15"/>
                <w:szCs w:val="15"/>
                <w:color w:val="auto"/>
              </w:rPr>
              <w:t>Percentage of SDQ loans that have been delinquent for more than two</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20" w:type="dxa"/>
            <w:vAlign w:val="bottom"/>
          </w:tcPr>
          <w:p>
            <w:pPr>
              <w:ind w:left="440"/>
              <w:spacing w:after="0"/>
              <w:rPr>
                <w:sz w:val="20"/>
                <w:szCs w:val="20"/>
                <w:color w:val="auto"/>
              </w:rPr>
            </w:pPr>
            <w:r>
              <w:rPr>
                <w:rFonts w:ascii="Arial" w:cs="Arial" w:eastAsia="Arial" w:hAnsi="Arial"/>
                <w:sz w:val="15"/>
                <w:szCs w:val="15"/>
                <w:color w:val="auto"/>
              </w:rPr>
              <w:t>years</w:t>
            </w:r>
          </w:p>
        </w:tc>
        <w:tc>
          <w:tcPr>
            <w:tcW w:w="1920" w:type="dxa"/>
            <w:vAlign w:val="bottom"/>
          </w:tcPr>
          <w:p>
            <w:pPr>
              <w:jc w:val="right"/>
              <w:ind w:right="124"/>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0"/>
                <w:szCs w:val="20"/>
                <w:color w:val="auto"/>
              </w:rPr>
            </w:pPr>
          </w:p>
        </w:tc>
        <w:tc>
          <w:tcPr>
            <w:tcW w:w="1920" w:type="dxa"/>
            <w:vAlign w:val="bottom"/>
            <w:gridSpan w:val="3"/>
          </w:tcPr>
          <w:p>
            <w:pPr>
              <w:jc w:val="right"/>
              <w:ind w:right="108"/>
              <w:spacing w:after="0"/>
              <w:rPr>
                <w:sz w:val="20"/>
                <w:szCs w:val="20"/>
                <w:color w:val="auto"/>
              </w:rPr>
            </w:pPr>
            <w:r>
              <w:rPr>
                <w:rFonts w:ascii="Arial" w:cs="Arial" w:eastAsia="Arial" w:hAnsi="Arial"/>
                <w:sz w:val="15"/>
                <w:szCs w:val="15"/>
                <w:color w:val="auto"/>
              </w:rPr>
              <w:t>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ind w:right="87"/>
              <w:spacing w:after="0"/>
              <w:rPr>
                <w:sz w:val="20"/>
                <w:szCs w:val="20"/>
                <w:color w:val="auto"/>
              </w:rPr>
            </w:pPr>
            <w:r>
              <w:rPr>
                <w:rFonts w:ascii="Arial" w:cs="Arial" w:eastAsia="Arial" w:hAnsi="Arial"/>
                <w:sz w:val="15"/>
                <w:szCs w:val="15"/>
                <w:color w:val="auto"/>
              </w:rPr>
              <w:t>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Borders>
              <w:bottom w:val="single" w:sz="8" w:color="2C6937"/>
            </w:tcBorders>
            <w:gridSpan w:val="5"/>
          </w:tcPr>
          <w:p>
            <w:pPr>
              <w:jc w:val="right"/>
              <w:ind w:right="447"/>
              <w:spacing w:after="0"/>
              <w:rPr>
                <w:sz w:val="20"/>
                <w:szCs w:val="20"/>
                <w:color w:val="auto"/>
              </w:rPr>
            </w:pPr>
            <w:r>
              <w:rPr>
                <w:rFonts w:ascii="Arial" w:cs="Arial" w:eastAsia="Arial" w:hAnsi="Arial"/>
                <w:sz w:val="14"/>
                <w:szCs w:val="14"/>
                <w:b w:val="1"/>
                <w:bCs w:val="1"/>
                <w:color w:val="auto"/>
              </w:rPr>
              <w:t>For the Nine Months Ended September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1800" w:type="dxa"/>
            <w:vAlign w:val="bottom"/>
            <w:tcBorders>
              <w:bottom w:val="single" w:sz="8" w:color="2C6937"/>
            </w:tcBorders>
          </w:tcPr>
          <w:p>
            <w:pPr>
              <w:jc w:val="right"/>
              <w:ind w:right="648"/>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2C6937"/>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Borders>
              <w:bottom w:val="single" w:sz="8" w:color="2C6937"/>
            </w:tcBorders>
          </w:tcPr>
          <w:p>
            <w:pPr>
              <w:jc w:val="right"/>
              <w:ind w:right="687"/>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5"/>
                <w:szCs w:val="15"/>
                <w:b w:val="1"/>
                <w:bCs w:val="1"/>
                <w:color w:val="auto"/>
              </w:rPr>
              <w:t>Single-family SDQ loans (number of loans):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97,129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5"/>
                <w:szCs w:val="15"/>
                <w:color w:val="auto"/>
              </w:rPr>
              <w:t>Beginning balance</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96,479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20" w:type="dxa"/>
            <w:vAlign w:val="bottom"/>
          </w:tcPr>
          <w:p>
            <w:pPr>
              <w:ind w:left="320"/>
              <w:spacing w:after="0"/>
              <w:rPr>
                <w:sz w:val="20"/>
                <w:szCs w:val="20"/>
                <w:color w:val="auto"/>
              </w:rPr>
            </w:pPr>
            <w:r>
              <w:rPr>
                <w:rFonts w:ascii="Arial" w:cs="Arial" w:eastAsia="Arial" w:hAnsi="Arial"/>
                <w:sz w:val="15"/>
                <w:szCs w:val="15"/>
                <w:color w:val="auto"/>
              </w:rPr>
              <w:t>Additions</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5"/>
                <w:szCs w:val="15"/>
                <w:b w:val="1"/>
                <w:bCs w:val="1"/>
                <w:color w:val="auto"/>
              </w:rPr>
              <w:t>135,778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128,936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5"/>
                <w:szCs w:val="15"/>
                <w:color w:val="auto"/>
              </w:rPr>
              <w:t>Removals: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20" w:type="dxa"/>
            <w:vAlign w:val="bottom"/>
          </w:tcPr>
          <w:p>
            <w:pPr>
              <w:ind w:left="480"/>
              <w:spacing w:after="0"/>
              <w:rPr>
                <w:sz w:val="20"/>
                <w:szCs w:val="20"/>
                <w:color w:val="auto"/>
              </w:rPr>
            </w:pPr>
            <w:r>
              <w:rPr>
                <w:rFonts w:ascii="Arial" w:cs="Arial" w:eastAsia="Arial" w:hAnsi="Arial"/>
                <w:sz w:val="15"/>
                <w:szCs w:val="15"/>
                <w:color w:val="auto"/>
              </w:rPr>
              <w:t>Modifications and other loan workouts</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(60,234)</w:t>
            </w:r>
          </w:p>
        </w:tc>
        <w:tc>
          <w:tcPr>
            <w:tcW w:w="6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(56,872)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20" w:type="dxa"/>
            <w:vAlign w:val="bottom"/>
          </w:tcPr>
          <w:p>
            <w:pPr>
              <w:ind w:left="480"/>
              <w:spacing w:after="0"/>
              <w:rPr>
                <w:sz w:val="20"/>
                <w:szCs w:val="20"/>
                <w:color w:val="auto"/>
              </w:rPr>
            </w:pPr>
            <w:r>
              <w:rPr>
                <w:rFonts w:ascii="Arial" w:cs="Arial" w:eastAsia="Arial" w:hAnsi="Arial"/>
                <w:sz w:val="15"/>
                <w:szCs w:val="15"/>
                <w:color w:val="auto"/>
              </w:rPr>
              <w:t>Liquidations and sales</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4"/>
          </w:tcPr>
          <w:p>
            <w:pPr>
              <w:jc w:val="right"/>
              <w:ind w:right="20"/>
              <w:spacing w:after="0"/>
              <w:rPr>
                <w:sz w:val="20"/>
                <w:szCs w:val="20"/>
                <w:color w:val="auto"/>
              </w:rPr>
            </w:pPr>
            <w:r>
              <w:rPr>
                <w:rFonts w:ascii="Arial" w:cs="Arial" w:eastAsia="Arial" w:hAnsi="Arial"/>
                <w:sz w:val="15"/>
                <w:szCs w:val="15"/>
                <w:b w:val="1"/>
                <w:bCs w:val="1"/>
                <w:color w:val="auto"/>
              </w:rPr>
              <w:t>(32,986)</w:t>
            </w:r>
          </w:p>
        </w:tc>
        <w:tc>
          <w:tcPr>
            <w:tcW w:w="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(21,699)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2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Cured or less than 90 days delinquent</w:t>
            </w:r>
          </w:p>
        </w:tc>
        <w:tc>
          <w:tcPr>
            <w:tcW w:w="19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b w:val="1"/>
                <w:bCs w:val="1"/>
                <w:color w:val="auto"/>
              </w:rPr>
              <w:t>(47,761)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(57,340)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 removals</w:t>
            </w:r>
          </w:p>
        </w:tc>
        <w:tc>
          <w:tcPr>
            <w:tcW w:w="19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b w:val="1"/>
                <w:bCs w:val="1"/>
                <w:color w:val="auto"/>
              </w:rPr>
              <w:t>(140,981)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(135,911)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20" w:type="dxa"/>
            <w:vAlign w:val="bottom"/>
          </w:tcPr>
          <w:p>
            <w:pPr>
              <w:ind w:left="20"/>
              <w:spacing w:after="0"/>
              <w:rPr>
                <w:sz w:val="20"/>
                <w:szCs w:val="20"/>
                <w:color w:val="auto"/>
              </w:rPr>
            </w:pPr>
            <w:r>
              <w:rPr>
                <w:rFonts w:ascii="Arial" w:cs="Arial" w:eastAsia="Arial" w:hAnsi="Arial"/>
                <w:sz w:val="15"/>
                <w:szCs w:val="15"/>
                <w:color w:val="auto"/>
              </w:rPr>
              <w:t>Ending balance</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b w:val="1"/>
                <w:bCs w:val="1"/>
                <w:color w:val="auto"/>
              </w:rPr>
              <w:t>91,926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89,504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2C6937"/>
              <w:bottom w:val="single" w:sz="8" w:color="2C6937"/>
            </w:tcBorders>
          </w:tcPr>
          <w:p>
            <w:pPr>
              <w:spacing w:after="0" w:line="20" w:lineRule="exact"/>
              <w:rPr>
                <w:sz w:val="1"/>
                <w:szCs w:val="1"/>
                <w:color w:val="auto"/>
              </w:rPr>
            </w:pPr>
          </w:p>
        </w:tc>
        <w:tc>
          <w:tcPr>
            <w:tcW w:w="1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 w:right="40"/>
        <w:spacing w:after="0" w:line="261" w:lineRule="auto"/>
        <w:rPr>
          <w:sz w:val="20"/>
          <w:szCs w:val="20"/>
          <w:color w:val="auto"/>
        </w:rPr>
      </w:pPr>
      <w:r>
        <w:rPr>
          <w:rFonts w:ascii="Arial" w:cs="Arial" w:eastAsia="Arial" w:hAnsi="Arial"/>
          <w:sz w:val="16"/>
          <w:szCs w:val="16"/>
          <w:color w:val="auto"/>
        </w:rPr>
        <w:t>Our single-family serious delinquency rate as of September 30, 2025 increased by 2 basis points compared with September 30, 2024, but decreased by 2 basis points compared with December 31, 2024, and continues to remain low relative to historic levels. The increase in our single-family serious delinquency rate compared to the prior-year period was primarily driven by higher delinquencies in states impacted by hurricane activity toward the end of 2024, which reached its peak in the first quarter of 2025. For information about factors that affect our single-family serious delinquency rate, see “MD&amp;A— Single-Family Business—Single-Family Mortgage Credit Risk Management—Single-Family Problem Loan Management” in our 2024 Form 10-K. See “Note 11, Concentrations of Credit Risk” and the table below for additional information on the delinquency status and serious delinquency rates for specified loan categories of our single-family conventional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48" w:right="339" w:bottom="1440" w:gutter="0" w:footer="0" w:header="0"/>
        </w:sectPr>
      </w:pPr>
    </w:p>
    <w:bookmarkStart w:id="34" w:name="page35"/>
    <w:bookmarkEnd w:id="34"/>
    <w:p>
      <w:pPr>
        <w:ind w:left="608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69996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right="100"/>
        <w:spacing w:after="0" w:line="293" w:lineRule="auto"/>
        <w:rPr>
          <w:sz w:val="20"/>
          <w:szCs w:val="20"/>
          <w:color w:val="auto"/>
        </w:rPr>
      </w:pPr>
      <w:r>
        <w:rPr>
          <w:rFonts w:ascii="Arial" w:cs="Arial" w:eastAsia="Arial" w:hAnsi="Arial"/>
          <w:sz w:val="16"/>
          <w:szCs w:val="16"/>
          <w:color w:val="auto"/>
        </w:rPr>
        <w:t>The table below displays the serious delinquency rates for, and the percentage of our seriously delinquent single-family conventional loans represented by, the specified loan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05314D"/>
        </w:rPr>
        <w:t>Single-Family Conventional Seriously Delinquent Loan Concentration Analysis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1360" w:type="dxa"/>
            <w:vAlign w:val="bottom"/>
            <w:tcBorders>
              <w:top w:val="single" w:sz="8" w:color="2C6937"/>
            </w:tcBorders>
          </w:tcPr>
          <w:p>
            <w:pPr>
              <w:spacing w:after="0"/>
              <w:rPr>
                <w:sz w:val="18"/>
                <w:szCs w:val="18"/>
                <w:color w:val="auto"/>
              </w:rPr>
            </w:pPr>
          </w:p>
        </w:tc>
        <w:tc>
          <w:tcPr>
            <w:tcW w:w="11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20" w:type="dxa"/>
            <w:vAlign w:val="bottom"/>
            <w:tcBorders>
              <w:top w:val="single" w:sz="8" w:color="2C6937"/>
              <w:bottom w:val="single" w:sz="8" w:color="2C6937"/>
            </w:tcBorders>
          </w:tcPr>
          <w:p>
            <w:pPr>
              <w:spacing w:after="0"/>
              <w:rPr>
                <w:sz w:val="18"/>
                <w:szCs w:val="18"/>
                <w:color w:val="auto"/>
              </w:rPr>
            </w:pPr>
          </w:p>
        </w:tc>
        <w:tc>
          <w:tcPr>
            <w:tcW w:w="94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6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60" w:type="dxa"/>
            <w:vAlign w:val="bottom"/>
            <w:tcBorders>
              <w:top w:val="single" w:sz="8" w:color="2C6937"/>
              <w:bottom w:val="single" w:sz="8" w:color="2C6937"/>
            </w:tcBorders>
            <w:gridSpan w:val="2"/>
          </w:tcPr>
          <w:p>
            <w:pPr>
              <w:ind w:left="240"/>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10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80" w:type="dxa"/>
            <w:vAlign w:val="bottom"/>
            <w:tcBorders>
              <w:top w:val="single" w:sz="8" w:color="2C6937"/>
              <w:bottom w:val="single" w:sz="8" w:color="2C6937"/>
            </w:tcBorders>
          </w:tcPr>
          <w:p>
            <w:pPr>
              <w:spacing w:after="0"/>
              <w:rPr>
                <w:sz w:val="18"/>
                <w:szCs w:val="18"/>
                <w:color w:val="auto"/>
              </w:rPr>
            </w:pPr>
          </w:p>
        </w:tc>
        <w:tc>
          <w:tcPr>
            <w:tcW w:w="100" w:type="dxa"/>
            <w:vAlign w:val="bottom"/>
            <w:tcBorders>
              <w:top w:val="single" w:sz="8" w:color="2C6937"/>
              <w:bottom w:val="single" w:sz="8" w:color="2C6937"/>
            </w:tcBorders>
          </w:tcPr>
          <w:p>
            <w:pPr>
              <w:spacing w:after="0"/>
              <w:rPr>
                <w:sz w:val="18"/>
                <w:szCs w:val="18"/>
                <w:color w:val="auto"/>
              </w:rPr>
            </w:pPr>
          </w:p>
        </w:tc>
        <w:tc>
          <w:tcPr>
            <w:tcW w:w="960" w:type="dxa"/>
            <w:vAlign w:val="bottom"/>
            <w:tcBorders>
              <w:top w:val="single" w:sz="8" w:color="2C6937"/>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2340" w:type="dxa"/>
            <w:vAlign w:val="bottom"/>
            <w:tcBorders>
              <w:bottom w:val="single" w:sz="8" w:color="2C6937"/>
            </w:tcBorders>
            <w:gridSpan w:val="4"/>
          </w:tcPr>
          <w:p>
            <w:pPr>
              <w:ind w:left="1000"/>
              <w:spacing w:after="0"/>
              <w:rPr>
                <w:sz w:val="20"/>
                <w:szCs w:val="20"/>
                <w:color w:val="auto"/>
              </w:rPr>
            </w:pPr>
            <w:r>
              <w:rPr>
                <w:rFonts w:ascii="Arial" w:cs="Arial" w:eastAsia="Arial" w:hAnsi="Arial"/>
                <w:sz w:val="14"/>
                <w:szCs w:val="14"/>
                <w:b w:val="1"/>
                <w:bCs w:val="1"/>
                <w:color w:val="auto"/>
              </w:rPr>
              <w:t>September 30, 2025</w:t>
            </w:r>
          </w:p>
        </w:tc>
        <w:tc>
          <w:tcPr>
            <w:tcW w:w="94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2C6937"/>
            </w:tcBorders>
            <w:gridSpan w:val="4"/>
          </w:tcPr>
          <w:p>
            <w:pPr>
              <w:ind w:left="920"/>
              <w:spacing w:after="0"/>
              <w:rPr>
                <w:sz w:val="20"/>
                <w:szCs w:val="20"/>
                <w:color w:val="auto"/>
              </w:rPr>
            </w:pPr>
            <w:r>
              <w:rPr>
                <w:rFonts w:ascii="Arial" w:cs="Arial" w:eastAsia="Arial" w:hAnsi="Arial"/>
                <w:sz w:val="14"/>
                <w:szCs w:val="14"/>
                <w:b w:val="1"/>
                <w:bCs w:val="1"/>
                <w:color w:val="auto"/>
              </w:rPr>
              <w:t>December 31, 2024</w:t>
            </w:r>
          </w:p>
        </w:tc>
        <w:tc>
          <w:tcPr>
            <w:tcW w:w="9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Borders>
              <w:bottom w:val="single" w:sz="8" w:color="2C6937"/>
            </w:tcBorders>
            <w:gridSpan w:val="4"/>
          </w:tcPr>
          <w:p>
            <w:pPr>
              <w:ind w:left="920"/>
              <w:spacing w:after="0"/>
              <w:rPr>
                <w:sz w:val="20"/>
                <w:szCs w:val="20"/>
                <w:color w:val="auto"/>
              </w:rPr>
            </w:pPr>
            <w:r>
              <w:rPr>
                <w:rFonts w:ascii="Arial" w:cs="Arial" w:eastAsia="Arial" w:hAnsi="Arial"/>
                <w:sz w:val="14"/>
                <w:szCs w:val="14"/>
                <w:b w:val="1"/>
                <w:bCs w:val="1"/>
                <w:color w:val="auto"/>
              </w:rPr>
              <w:t>September 30, 2024</w:t>
            </w:r>
          </w:p>
        </w:tc>
        <w:tc>
          <w:tcPr>
            <w:tcW w:w="9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Percentage of</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Percentage of</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Percentage of</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rPr>
              <w:t>Percentage of Book</w:t>
            </w: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Seriously</w:t>
            </w:r>
          </w:p>
        </w:tc>
        <w:tc>
          <w:tcPr>
            <w:tcW w:w="104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auto"/>
              </w:rPr>
              <w:t>Serious</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rPr>
              <w:t>Percentage of Book</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Seriously</w:t>
            </w:r>
          </w:p>
        </w:tc>
        <w:tc>
          <w:tcPr>
            <w:tcW w:w="106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auto"/>
              </w:rPr>
              <w:t>Serious</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rPr>
              <w:t>Percentage of Book</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Seriously</w:t>
            </w:r>
          </w:p>
        </w:tc>
        <w:tc>
          <w:tcPr>
            <w:tcW w:w="96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Serious</w:t>
            </w:r>
          </w:p>
        </w:tc>
        <w:tc>
          <w:tcPr>
            <w:tcW w:w="0" w:type="dxa"/>
            <w:vAlign w:val="bottom"/>
          </w:tcPr>
          <w:p>
            <w:pPr>
              <w:spacing w:after="0"/>
              <w:rPr>
                <w:sz w:val="1"/>
                <w:szCs w:val="1"/>
                <w:color w:val="auto"/>
              </w:rPr>
            </w:pPr>
          </w:p>
        </w:tc>
      </w:tr>
      <w:tr>
        <w:trPr>
          <w:trHeight w:val="114"/>
        </w:trPr>
        <w:tc>
          <w:tcPr>
            <w:tcW w:w="13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104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Delinquent</w:t>
            </w:r>
          </w:p>
        </w:tc>
        <w:tc>
          <w:tcPr>
            <w:tcW w:w="10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Delinquent</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36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Arial" w:cs="Arial" w:eastAsia="Arial" w:hAnsi="Arial"/>
                <w:sz w:val="10"/>
                <w:szCs w:val="10"/>
                <w:b w:val="1"/>
                <w:bCs w:val="1"/>
                <w:color w:val="auto"/>
              </w:rPr>
              <w:t>Outstanding</w:t>
            </w:r>
            <w:r>
              <w:rPr>
                <w:rFonts w:ascii="Arial" w:cs="Arial" w:eastAsia="Arial" w:hAnsi="Arial"/>
                <w:sz w:val="13"/>
                <w:szCs w:val="13"/>
                <w:b w:val="1"/>
                <w:bCs w:val="1"/>
                <w:color w:val="auto"/>
                <w:vertAlign w:val="superscript"/>
              </w:rPr>
              <w:t>(1)</w:t>
            </w:r>
          </w:p>
        </w:tc>
        <w:tc>
          <w:tcPr>
            <w:tcW w:w="10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Loans</w:t>
            </w:r>
            <w:r>
              <w:rPr>
                <w:rFonts w:ascii="Arial" w:cs="Arial" w:eastAsia="Arial" w:hAnsi="Arial"/>
                <w:sz w:val="13"/>
                <w:szCs w:val="13"/>
                <w:b w:val="1"/>
                <w:bCs w:val="1"/>
                <w:color w:val="auto"/>
                <w:w w:val="94"/>
                <w:vertAlign w:val="superscript"/>
              </w:rPr>
              <w:t>(2)</w:t>
            </w:r>
          </w:p>
        </w:tc>
        <w:tc>
          <w:tcPr>
            <w:tcW w:w="1040" w:type="dxa"/>
            <w:vAlign w:val="bottom"/>
            <w:gridSpan w:val="2"/>
          </w:tcPr>
          <w:p>
            <w:pPr>
              <w:ind w:left="40"/>
              <w:spacing w:after="0"/>
              <w:rPr>
                <w:sz w:val="20"/>
                <w:szCs w:val="20"/>
                <w:color w:val="auto"/>
              </w:rPr>
            </w:pPr>
            <w:r>
              <w:rPr>
                <w:rFonts w:ascii="Arial" w:cs="Arial" w:eastAsia="Arial" w:hAnsi="Arial"/>
                <w:sz w:val="10"/>
                <w:szCs w:val="10"/>
                <w:b w:val="1"/>
                <w:bCs w:val="1"/>
                <w:color w:val="auto"/>
              </w:rPr>
              <w:t>Delinquency Rate</w:t>
            </w:r>
          </w:p>
        </w:tc>
        <w:tc>
          <w:tcPr>
            <w:tcW w:w="11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Outstanding</w:t>
            </w:r>
            <w:r>
              <w:rPr>
                <w:rFonts w:ascii="Arial" w:cs="Arial" w:eastAsia="Arial" w:hAnsi="Arial"/>
                <w:sz w:val="13"/>
                <w:szCs w:val="13"/>
                <w:b w:val="1"/>
                <w:bCs w:val="1"/>
                <w:color w:val="auto"/>
                <w:w w:val="97"/>
                <w:vertAlign w:val="superscript"/>
              </w:rPr>
              <w:t>(1)</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Loans</w:t>
            </w:r>
            <w:r>
              <w:rPr>
                <w:rFonts w:ascii="Arial" w:cs="Arial" w:eastAsia="Arial" w:hAnsi="Arial"/>
                <w:sz w:val="13"/>
                <w:szCs w:val="13"/>
                <w:b w:val="1"/>
                <w:bCs w:val="1"/>
                <w:color w:val="auto"/>
                <w:w w:val="94"/>
                <w:vertAlign w:val="superscript"/>
              </w:rPr>
              <w:t>(2)</w:t>
            </w:r>
          </w:p>
        </w:tc>
        <w:tc>
          <w:tcPr>
            <w:tcW w:w="1060" w:type="dxa"/>
            <w:vAlign w:val="bottom"/>
            <w:gridSpan w:val="2"/>
          </w:tcPr>
          <w:p>
            <w:pPr>
              <w:ind w:left="40"/>
              <w:spacing w:after="0"/>
              <w:rPr>
                <w:sz w:val="20"/>
                <w:szCs w:val="20"/>
                <w:color w:val="auto"/>
              </w:rPr>
            </w:pPr>
            <w:r>
              <w:rPr>
                <w:rFonts w:ascii="Arial" w:cs="Arial" w:eastAsia="Arial" w:hAnsi="Arial"/>
                <w:sz w:val="10"/>
                <w:szCs w:val="10"/>
                <w:b w:val="1"/>
                <w:bCs w:val="1"/>
                <w:color w:val="auto"/>
              </w:rPr>
              <w:t>Delinquency Rate</w:t>
            </w:r>
          </w:p>
        </w:tc>
        <w:tc>
          <w:tcPr>
            <w:tcW w:w="11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Outstanding</w:t>
            </w:r>
            <w:r>
              <w:rPr>
                <w:rFonts w:ascii="Arial" w:cs="Arial" w:eastAsia="Arial" w:hAnsi="Arial"/>
                <w:sz w:val="13"/>
                <w:szCs w:val="13"/>
                <w:b w:val="1"/>
                <w:bCs w:val="1"/>
                <w:color w:val="auto"/>
                <w:w w:val="97"/>
                <w:vertAlign w:val="superscript"/>
              </w:rPr>
              <w:t>(1)</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Loans</w:t>
            </w:r>
            <w:r>
              <w:rPr>
                <w:rFonts w:ascii="Arial" w:cs="Arial" w:eastAsia="Arial" w:hAnsi="Arial"/>
                <w:sz w:val="13"/>
                <w:szCs w:val="13"/>
                <w:b w:val="1"/>
                <w:bCs w:val="1"/>
                <w:color w:val="auto"/>
                <w:w w:val="94"/>
                <w:vertAlign w:val="superscript"/>
              </w:rPr>
              <w:t>(2)</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Delinquency Rate</w:t>
            </w:r>
          </w:p>
        </w:tc>
        <w:tc>
          <w:tcPr>
            <w:tcW w:w="0" w:type="dxa"/>
            <w:vAlign w:val="bottom"/>
          </w:tcPr>
          <w:p>
            <w:pPr>
              <w:spacing w:after="0"/>
              <w:rPr>
                <w:sz w:val="1"/>
                <w:szCs w:val="1"/>
                <w:color w:val="auto"/>
              </w:rPr>
            </w:pPr>
          </w:p>
        </w:tc>
      </w:tr>
      <w:tr>
        <w:trPr>
          <w:trHeight w:val="153"/>
        </w:trPr>
        <w:tc>
          <w:tcPr>
            <w:tcW w:w="1360" w:type="dxa"/>
            <w:vAlign w:val="bottom"/>
          </w:tcPr>
          <w:p>
            <w:pPr>
              <w:ind w:left="20"/>
              <w:spacing w:after="0"/>
              <w:rPr>
                <w:sz w:val="20"/>
                <w:szCs w:val="20"/>
                <w:color w:val="auto"/>
              </w:rPr>
            </w:pPr>
            <w:r>
              <w:rPr>
                <w:rFonts w:ascii="Arial" w:cs="Arial" w:eastAsia="Arial" w:hAnsi="Arial"/>
                <w:sz w:val="12"/>
                <w:szCs w:val="12"/>
                <w:b w:val="1"/>
                <w:bCs w:val="1"/>
                <w:color w:val="auto"/>
              </w:rPr>
              <w:t>States:</w:t>
            </w:r>
          </w:p>
        </w:tc>
        <w:tc>
          <w:tcPr>
            <w:tcW w:w="118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2C6937"/>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2C6937"/>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2C6937"/>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2C6937"/>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360" w:type="dxa"/>
            <w:vAlign w:val="bottom"/>
          </w:tcPr>
          <w:p>
            <w:pPr>
              <w:ind w:left="120"/>
              <w:spacing w:after="0"/>
              <w:rPr>
                <w:sz w:val="20"/>
                <w:szCs w:val="20"/>
                <w:color w:val="auto"/>
              </w:rPr>
            </w:pPr>
            <w:r>
              <w:rPr>
                <w:rFonts w:ascii="Arial" w:cs="Arial" w:eastAsia="Arial" w:hAnsi="Arial"/>
                <w:sz w:val="12"/>
                <w:szCs w:val="12"/>
                <w:color w:val="auto"/>
              </w:rPr>
              <w:t>California</w:t>
            </w: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18 %</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9 %</w:t>
            </w:r>
          </w:p>
        </w:tc>
        <w:tc>
          <w:tcPr>
            <w:tcW w:w="12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0.43 %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19 %</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9 %</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0.41 %</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19 %</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10 %</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0.39 %</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Florida</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6</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0.81</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0.96</w:t>
            </w:r>
          </w:p>
        </w:tc>
        <w:tc>
          <w:tcPr>
            <w:tcW w:w="100" w:type="dxa"/>
            <w:vAlign w:val="bottom"/>
          </w:tcPr>
          <w:p>
            <w:pPr>
              <w:spacing w:after="0"/>
              <w:rPr>
                <w:sz w:val="16"/>
                <w:szCs w:val="16"/>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0.68</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Illinois</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0.68</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0.69</w:t>
            </w:r>
          </w:p>
        </w:tc>
        <w:tc>
          <w:tcPr>
            <w:tcW w:w="100" w:type="dxa"/>
            <w:vAlign w:val="bottom"/>
          </w:tcPr>
          <w:p>
            <w:pPr>
              <w:spacing w:after="0"/>
              <w:rPr>
                <w:sz w:val="16"/>
                <w:szCs w:val="16"/>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0.66</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New York</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6</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0.75</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0.79</w:t>
            </w:r>
          </w:p>
        </w:tc>
        <w:tc>
          <w:tcPr>
            <w:tcW w:w="100" w:type="dxa"/>
            <w:vAlign w:val="bottom"/>
          </w:tcPr>
          <w:p>
            <w:pPr>
              <w:spacing w:after="0"/>
              <w:rPr>
                <w:sz w:val="16"/>
                <w:szCs w:val="16"/>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6"/>
                <w:szCs w:val="16"/>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0.80</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Texas</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0.68</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0.73</w:t>
            </w:r>
          </w:p>
        </w:tc>
        <w:tc>
          <w:tcPr>
            <w:tcW w:w="100" w:type="dxa"/>
            <w:vAlign w:val="bottom"/>
          </w:tcPr>
          <w:p>
            <w:pPr>
              <w:spacing w:after="0"/>
              <w:rPr>
                <w:sz w:val="16"/>
                <w:szCs w:val="16"/>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6"/>
                <w:szCs w:val="16"/>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0.69</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All other states</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61</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60</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0.50</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0.51</w:t>
            </w:r>
          </w:p>
        </w:tc>
        <w:tc>
          <w:tcPr>
            <w:tcW w:w="100" w:type="dxa"/>
            <w:vAlign w:val="bottom"/>
          </w:tcPr>
          <w:p>
            <w:pPr>
              <w:spacing w:after="0"/>
              <w:rPr>
                <w:sz w:val="16"/>
                <w:szCs w:val="16"/>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6"/>
                <w:szCs w:val="16"/>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0.48</w:t>
            </w:r>
          </w:p>
        </w:tc>
        <w:tc>
          <w:tcPr>
            <w:tcW w:w="0" w:type="dxa"/>
            <w:vAlign w:val="bottom"/>
          </w:tcPr>
          <w:p>
            <w:pPr>
              <w:spacing w:after="0"/>
              <w:rPr>
                <w:sz w:val="1"/>
                <w:szCs w:val="1"/>
                <w:color w:val="auto"/>
              </w:rPr>
            </w:pPr>
          </w:p>
        </w:tc>
      </w:tr>
      <w:tr>
        <w:trPr>
          <w:trHeight w:val="170"/>
        </w:trPr>
        <w:tc>
          <w:tcPr>
            <w:tcW w:w="1360" w:type="dxa"/>
            <w:vAlign w:val="bottom"/>
          </w:tcPr>
          <w:p>
            <w:pPr>
              <w:ind w:left="20"/>
              <w:spacing w:after="0"/>
              <w:rPr>
                <w:sz w:val="20"/>
                <w:szCs w:val="20"/>
                <w:color w:val="auto"/>
              </w:rPr>
            </w:pPr>
            <w:r>
              <w:rPr>
                <w:rFonts w:ascii="Arial" w:cs="Arial" w:eastAsia="Arial" w:hAnsi="Arial"/>
                <w:sz w:val="12"/>
                <w:szCs w:val="12"/>
                <w:b w:val="1"/>
                <w:bCs w:val="1"/>
                <w:color w:val="auto"/>
              </w:rPr>
              <w:t>Estimated mark-to-</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Borders>
              <w:bottom w:val="single" w:sz="8" w:color="2C6937"/>
            </w:tcBorders>
          </w:tcPr>
          <w:p>
            <w:pPr>
              <w:ind w:left="120"/>
              <w:spacing w:after="0"/>
              <w:rPr>
                <w:sz w:val="20"/>
                <w:szCs w:val="20"/>
                <w:color w:val="auto"/>
              </w:rPr>
            </w:pPr>
            <w:r>
              <w:rPr>
                <w:rFonts w:ascii="Arial" w:cs="Arial" w:eastAsia="Arial" w:hAnsi="Arial"/>
                <w:sz w:val="12"/>
                <w:szCs w:val="12"/>
                <w:b w:val="1"/>
                <w:bCs w:val="1"/>
                <w:color w:val="auto"/>
              </w:rPr>
              <w:t>market LTV ratio:</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120"/>
              <w:spacing w:after="0"/>
              <w:rPr>
                <w:sz w:val="20"/>
                <w:szCs w:val="20"/>
                <w:color w:val="auto"/>
              </w:rPr>
            </w:pPr>
            <w:r>
              <w:rPr>
                <w:rFonts w:ascii="Arial" w:cs="Arial" w:eastAsia="Arial" w:hAnsi="Arial"/>
                <w:sz w:val="12"/>
                <w:szCs w:val="12"/>
                <w:color w:val="auto"/>
              </w:rPr>
              <w:t>&lt;= 60%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68</w:t>
            </w:r>
          </w:p>
        </w:tc>
        <w:tc>
          <w:tcPr>
            <w:tcW w:w="1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66</w:t>
            </w:r>
          </w:p>
        </w:tc>
        <w:tc>
          <w:tcPr>
            <w:tcW w:w="12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0.45</w:t>
            </w:r>
          </w:p>
        </w:tc>
        <w:tc>
          <w:tcPr>
            <w:tcW w:w="100" w:type="dxa"/>
            <w:vAlign w:val="bottom"/>
          </w:tcPr>
          <w:p>
            <w:pPr>
              <w:spacing w:after="0"/>
              <w:rPr>
                <w:sz w:val="15"/>
                <w:szCs w:val="15"/>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0.47</w:t>
            </w:r>
          </w:p>
        </w:tc>
        <w:tc>
          <w:tcPr>
            <w:tcW w:w="100" w:type="dxa"/>
            <w:vAlign w:val="bottom"/>
          </w:tcPr>
          <w:p>
            <w:pPr>
              <w:spacing w:after="0"/>
              <w:rPr>
                <w:sz w:val="15"/>
                <w:szCs w:val="15"/>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5"/>
                <w:szCs w:val="15"/>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69</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0.45</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60.01% to 70%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11</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14</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0.92</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0.94</w:t>
            </w:r>
          </w:p>
        </w:tc>
        <w:tc>
          <w:tcPr>
            <w:tcW w:w="100" w:type="dxa"/>
            <w:vAlign w:val="bottom"/>
          </w:tcPr>
          <w:p>
            <w:pPr>
              <w:spacing w:after="0"/>
              <w:rPr>
                <w:sz w:val="16"/>
                <w:szCs w:val="16"/>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6"/>
                <w:szCs w:val="16"/>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0.83</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70.01% to 80%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10</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0.81</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0.85</w:t>
            </w:r>
          </w:p>
        </w:tc>
        <w:tc>
          <w:tcPr>
            <w:tcW w:w="100" w:type="dxa"/>
            <w:vAlign w:val="bottom"/>
          </w:tcPr>
          <w:p>
            <w:pPr>
              <w:spacing w:after="0"/>
              <w:rPr>
                <w:sz w:val="16"/>
                <w:szCs w:val="16"/>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6"/>
                <w:szCs w:val="16"/>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0.74</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80.01% to 90%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7</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7</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0.94</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0.97</w:t>
            </w:r>
          </w:p>
        </w:tc>
        <w:tc>
          <w:tcPr>
            <w:tcW w:w="100" w:type="dxa"/>
            <w:vAlign w:val="bottom"/>
          </w:tcPr>
          <w:p>
            <w:pPr>
              <w:spacing w:after="0"/>
              <w:rPr>
                <w:sz w:val="16"/>
                <w:szCs w:val="16"/>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6"/>
                <w:szCs w:val="16"/>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0.85</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90.01% to 100%</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0.87</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0.77</w:t>
            </w:r>
          </w:p>
        </w:tc>
        <w:tc>
          <w:tcPr>
            <w:tcW w:w="100" w:type="dxa"/>
            <w:vAlign w:val="bottom"/>
          </w:tcPr>
          <w:p>
            <w:pPr>
              <w:spacing w:after="0"/>
              <w:rPr>
                <w:sz w:val="16"/>
                <w:szCs w:val="16"/>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6"/>
                <w:szCs w:val="16"/>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0.62</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Greater than 100%</w:t>
            </w:r>
          </w:p>
        </w:tc>
        <w:tc>
          <w:tcPr>
            <w:tcW w:w="118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6"/>
                <w:szCs w:val="16"/>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3.46</w:t>
            </w:r>
          </w:p>
        </w:tc>
        <w:tc>
          <w:tcPr>
            <w:tcW w:w="100" w:type="dxa"/>
            <w:vAlign w:val="bottom"/>
          </w:tcPr>
          <w:p>
            <w:pPr>
              <w:spacing w:after="0"/>
              <w:rPr>
                <w:sz w:val="16"/>
                <w:szCs w:val="16"/>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2.82</w:t>
            </w:r>
          </w:p>
        </w:tc>
        <w:tc>
          <w:tcPr>
            <w:tcW w:w="100" w:type="dxa"/>
            <w:vAlign w:val="bottom"/>
          </w:tcPr>
          <w:p>
            <w:pPr>
              <w:spacing w:after="0"/>
              <w:rPr>
                <w:sz w:val="16"/>
                <w:szCs w:val="16"/>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3.43</w:t>
            </w:r>
          </w:p>
        </w:tc>
        <w:tc>
          <w:tcPr>
            <w:tcW w:w="0" w:type="dxa"/>
            <w:vAlign w:val="bottom"/>
          </w:tcPr>
          <w:p>
            <w:pPr>
              <w:spacing w:after="0"/>
              <w:rPr>
                <w:sz w:val="1"/>
                <w:szCs w:val="1"/>
                <w:color w:val="auto"/>
              </w:rPr>
            </w:pPr>
          </w:p>
        </w:tc>
      </w:tr>
      <w:tr>
        <w:trPr>
          <w:trHeight w:val="201"/>
        </w:trPr>
        <w:tc>
          <w:tcPr>
            <w:tcW w:w="1360" w:type="dxa"/>
            <w:vAlign w:val="bottom"/>
            <w:tcBorders>
              <w:bottom w:val="single" w:sz="8" w:color="2C6937"/>
            </w:tcBorders>
          </w:tcPr>
          <w:p>
            <w:pPr>
              <w:ind w:left="20"/>
              <w:spacing w:after="0"/>
              <w:rPr>
                <w:sz w:val="20"/>
                <w:szCs w:val="20"/>
                <w:color w:val="auto"/>
              </w:rPr>
            </w:pPr>
            <w:r>
              <w:rPr>
                <w:rFonts w:ascii="Arial" w:cs="Arial" w:eastAsia="Arial" w:hAnsi="Arial"/>
                <w:sz w:val="12"/>
                <w:szCs w:val="12"/>
                <w:b w:val="1"/>
                <w:bCs w:val="1"/>
                <w:color w:val="auto"/>
              </w:rPr>
              <w:t>Credit enhanced:</w:t>
            </w:r>
            <w:r>
              <w:rPr>
                <w:rFonts w:ascii="Arial" w:cs="Arial" w:eastAsia="Arial" w:hAnsi="Arial"/>
                <w:sz w:val="15"/>
                <w:szCs w:val="15"/>
                <w:b w:val="1"/>
                <w:bCs w:val="1"/>
                <w:color w:val="auto"/>
                <w:vertAlign w:val="superscript"/>
              </w:rPr>
              <w:t>(3)</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60" w:type="dxa"/>
            <w:vAlign w:val="bottom"/>
          </w:tcPr>
          <w:p>
            <w:pPr>
              <w:ind w:left="120"/>
              <w:spacing w:after="0"/>
              <w:rPr>
                <w:sz w:val="20"/>
                <w:szCs w:val="20"/>
                <w:color w:val="auto"/>
              </w:rPr>
            </w:pPr>
            <w:r>
              <w:rPr>
                <w:rFonts w:ascii="Arial" w:cs="Arial" w:eastAsia="Arial" w:hAnsi="Arial"/>
                <w:sz w:val="12"/>
                <w:szCs w:val="12"/>
                <w:color w:val="auto"/>
              </w:rPr>
              <w:t>Primary MI &amp; other</w:t>
            </w:r>
            <w:r>
              <w:rPr>
                <w:rFonts w:ascii="Arial" w:cs="Arial" w:eastAsia="Arial" w:hAnsi="Arial"/>
                <w:sz w:val="15"/>
                <w:szCs w:val="15"/>
                <w:color w:val="auto"/>
                <w:vertAlign w:val="superscript"/>
              </w:rPr>
              <w:t>(4)</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21</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35</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1.16</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1.17</w:t>
            </w:r>
          </w:p>
        </w:tc>
        <w:tc>
          <w:tcPr>
            <w:tcW w:w="100" w:type="dxa"/>
            <w:vAlign w:val="bottom"/>
          </w:tcPr>
          <w:p>
            <w:pPr>
              <w:spacing w:after="0"/>
              <w:rPr>
                <w:sz w:val="16"/>
                <w:szCs w:val="16"/>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6"/>
                <w:szCs w:val="16"/>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93"/>
        </w:trPr>
        <w:tc>
          <w:tcPr>
            <w:tcW w:w="1360" w:type="dxa"/>
            <w:vAlign w:val="bottom"/>
          </w:tcPr>
          <w:p>
            <w:pPr>
              <w:ind w:left="120"/>
              <w:spacing w:after="0"/>
              <w:rPr>
                <w:sz w:val="20"/>
                <w:szCs w:val="20"/>
                <w:color w:val="auto"/>
              </w:rPr>
            </w:pPr>
            <w:r>
              <w:rPr>
                <w:rFonts w:ascii="Arial" w:cs="Arial" w:eastAsia="Arial" w:hAnsi="Arial"/>
                <w:sz w:val="12"/>
                <w:szCs w:val="12"/>
                <w:color w:val="auto"/>
              </w:rPr>
              <w:t>Credit risk transfer</w:t>
            </w:r>
            <w:r>
              <w:rPr>
                <w:rFonts w:ascii="Arial" w:cs="Arial" w:eastAsia="Arial" w:hAnsi="Arial"/>
                <w:sz w:val="15"/>
                <w:szCs w:val="15"/>
                <w:color w:val="auto"/>
                <w:vertAlign w:val="superscript"/>
              </w:rPr>
              <w:t>(5)</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37</w:t>
            </w:r>
          </w:p>
        </w:tc>
        <w:tc>
          <w:tcPr>
            <w:tcW w:w="100" w:type="dxa"/>
            <w:vAlign w:val="bottom"/>
          </w:tcPr>
          <w:p>
            <w:pPr>
              <w:spacing w:after="0"/>
              <w:rPr>
                <w:sz w:val="16"/>
                <w:szCs w:val="16"/>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32</w:t>
            </w:r>
          </w:p>
        </w:tc>
        <w:tc>
          <w:tcPr>
            <w:tcW w:w="12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0.57</w:t>
            </w:r>
          </w:p>
        </w:tc>
        <w:tc>
          <w:tcPr>
            <w:tcW w:w="10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0.61</w:t>
            </w:r>
          </w:p>
        </w:tc>
        <w:tc>
          <w:tcPr>
            <w:tcW w:w="100" w:type="dxa"/>
            <w:vAlign w:val="bottom"/>
          </w:tcPr>
          <w:p>
            <w:pPr>
              <w:spacing w:after="0"/>
              <w:rPr>
                <w:sz w:val="16"/>
                <w:szCs w:val="16"/>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6"/>
                <w:szCs w:val="16"/>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0.52</w:t>
            </w:r>
          </w:p>
        </w:tc>
        <w:tc>
          <w:tcPr>
            <w:tcW w:w="0" w:type="dxa"/>
            <w:vAlign w:val="bottom"/>
          </w:tcPr>
          <w:p>
            <w:pPr>
              <w:spacing w:after="0"/>
              <w:rPr>
                <w:sz w:val="1"/>
                <w:szCs w:val="1"/>
                <w:color w:val="auto"/>
              </w:rPr>
            </w:pPr>
          </w:p>
        </w:tc>
      </w:tr>
      <w:tr>
        <w:trPr>
          <w:trHeight w:val="178"/>
        </w:trPr>
        <w:tc>
          <w:tcPr>
            <w:tcW w:w="1360" w:type="dxa"/>
            <w:vAlign w:val="bottom"/>
          </w:tcPr>
          <w:p>
            <w:pPr>
              <w:ind w:left="120"/>
              <w:spacing w:after="0"/>
              <w:rPr>
                <w:sz w:val="20"/>
                <w:szCs w:val="20"/>
                <w:color w:val="auto"/>
              </w:rPr>
            </w:pPr>
            <w:r>
              <w:rPr>
                <w:rFonts w:ascii="Arial" w:cs="Arial" w:eastAsia="Arial" w:hAnsi="Arial"/>
                <w:sz w:val="12"/>
                <w:szCs w:val="12"/>
                <w:color w:val="auto"/>
              </w:rPr>
              <w:t>Non-credit enhanced</w:t>
            </w:r>
          </w:p>
        </w:tc>
        <w:tc>
          <w:tcPr>
            <w:tcW w:w="1180" w:type="dxa"/>
            <w:vAlign w:val="bottom"/>
          </w:tcPr>
          <w:p>
            <w:pPr>
              <w:jc w:val="right"/>
              <w:ind w:right="100"/>
              <w:spacing w:after="0"/>
              <w:rPr>
                <w:sz w:val="20"/>
                <w:szCs w:val="20"/>
                <w:color w:val="auto"/>
              </w:rPr>
            </w:pPr>
            <w:r>
              <w:rPr>
                <w:rFonts w:ascii="Arial" w:cs="Arial" w:eastAsia="Arial" w:hAnsi="Arial"/>
                <w:sz w:val="12"/>
                <w:szCs w:val="12"/>
                <w:b w:val="1"/>
                <w:bCs w:val="1"/>
                <w:color w:val="auto"/>
              </w:rPr>
              <w:t>53</w:t>
            </w:r>
          </w:p>
        </w:tc>
        <w:tc>
          <w:tcPr>
            <w:tcW w:w="10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b w:val="1"/>
                <w:bCs w:val="1"/>
                <w:color w:val="auto"/>
              </w:rPr>
              <w:t>49</w:t>
            </w:r>
          </w:p>
        </w:tc>
        <w:tc>
          <w:tcPr>
            <w:tcW w:w="12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Arial" w:cs="Arial" w:eastAsia="Arial" w:hAnsi="Arial"/>
                <w:sz w:val="12"/>
                <w:szCs w:val="12"/>
                <w:b w:val="1"/>
                <w:bCs w:val="1"/>
                <w:color w:val="auto"/>
              </w:rPr>
              <w:t>0.42</w:t>
            </w:r>
          </w:p>
        </w:tc>
        <w:tc>
          <w:tcPr>
            <w:tcW w:w="100" w:type="dxa"/>
            <w:vAlign w:val="bottom"/>
          </w:tcPr>
          <w:p>
            <w:pPr>
              <w:spacing w:after="0"/>
              <w:rPr>
                <w:sz w:val="15"/>
                <w:szCs w:val="15"/>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0.44</w:t>
            </w:r>
          </w:p>
        </w:tc>
        <w:tc>
          <w:tcPr>
            <w:tcW w:w="100" w:type="dxa"/>
            <w:vAlign w:val="bottom"/>
          </w:tcPr>
          <w:p>
            <w:pPr>
              <w:spacing w:after="0"/>
              <w:rPr>
                <w:sz w:val="15"/>
                <w:szCs w:val="15"/>
                <w:color w:val="auto"/>
              </w:rPr>
            </w:pPr>
          </w:p>
        </w:tc>
        <w:tc>
          <w:tcPr>
            <w:tcW w:w="1080" w:type="dxa"/>
            <w:vAlign w:val="bottom"/>
          </w:tcPr>
          <w:p>
            <w:pPr>
              <w:jc w:val="right"/>
              <w:ind w:right="120"/>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5"/>
                <w:szCs w:val="15"/>
                <w:color w:val="auto"/>
              </w:rPr>
            </w:pPr>
          </w:p>
        </w:tc>
        <w:tc>
          <w:tcPr>
            <w:tcW w:w="980" w:type="dxa"/>
            <w:vAlign w:val="bottom"/>
          </w:tcPr>
          <w:p>
            <w:pPr>
              <w:jc w:val="right"/>
              <w:ind w:right="102"/>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5"/>
                <w:szCs w:val="15"/>
                <w:color w:val="auto"/>
              </w:rPr>
            </w:pPr>
          </w:p>
        </w:tc>
        <w:tc>
          <w:tcPr>
            <w:tcW w:w="960" w:type="dxa"/>
            <w:vAlign w:val="bottom"/>
          </w:tcPr>
          <w:p>
            <w:pPr>
              <w:ind w:left="560"/>
              <w:spacing w:after="0"/>
              <w:rPr>
                <w:sz w:val="20"/>
                <w:szCs w:val="20"/>
                <w:color w:val="auto"/>
              </w:rPr>
            </w:pPr>
            <w:r>
              <w:rPr>
                <w:rFonts w:ascii="Arial" w:cs="Arial" w:eastAsia="Arial" w:hAnsi="Arial"/>
                <w:sz w:val="12"/>
                <w:szCs w:val="12"/>
                <w:color w:val="auto"/>
              </w:rPr>
              <w:t>0.42</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40" w:hanging="217"/>
        <w:spacing w:after="0"/>
        <w:tabs>
          <w:tab w:leader="none" w:pos="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45" w:lineRule="exact"/>
        <w:rPr>
          <w:sz w:val="20"/>
          <w:szCs w:val="20"/>
          <w:color w:val="auto"/>
        </w:rPr>
      </w:pPr>
    </w:p>
    <w:p>
      <w:pPr>
        <w:ind w:left="260" w:right="560" w:hanging="237"/>
        <w:spacing w:after="0" w:line="226" w:lineRule="auto"/>
        <w:tabs>
          <w:tab w:leader="none" w:pos="253"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Percentage of book amounts represent the unpaid principal balance of loans for each category divided by the unpaid principal balance of our total single-family conventional guaranty book of business.</w:t>
      </w:r>
    </w:p>
    <w:p>
      <w:pPr>
        <w:spacing w:after="0" w:line="27" w:lineRule="exact"/>
        <w:rPr>
          <w:rFonts w:ascii="Arial" w:cs="Arial" w:eastAsia="Arial" w:hAnsi="Arial"/>
          <w:sz w:val="18"/>
          <w:szCs w:val="18"/>
          <w:color w:val="auto"/>
          <w:vertAlign w:val="superscript"/>
        </w:rPr>
      </w:pPr>
    </w:p>
    <w:p>
      <w:pPr>
        <w:ind w:left="260" w:right="320" w:hanging="237"/>
        <w:spacing w:after="0" w:line="218" w:lineRule="auto"/>
        <w:tabs>
          <w:tab w:leader="none" w:pos="253"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number of single-family loans that were seriously delinquent for each category divided by the total number of single-family conventional loans that were seriously delinquent.</w:t>
      </w:r>
    </w:p>
    <w:p>
      <w:pPr>
        <w:spacing w:after="0" w:line="26" w:lineRule="exact"/>
        <w:rPr>
          <w:rFonts w:ascii="Arial" w:cs="Arial" w:eastAsia="Arial" w:hAnsi="Arial"/>
          <w:sz w:val="18"/>
          <w:szCs w:val="18"/>
          <w:color w:val="auto"/>
          <w:vertAlign w:val="superscript"/>
        </w:rPr>
      </w:pPr>
    </w:p>
    <w:p>
      <w:pPr>
        <w:ind w:left="260" w:right="180" w:hanging="237"/>
        <w:spacing w:after="0" w:line="233" w:lineRule="auto"/>
        <w:tabs>
          <w:tab w:leader="none" w:pos="253"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The credit-enhanced categories are not mutually exclusive. A loan with primary mortgage insurance that is also covered by a credit risk transfer transaction will be included in both the “Primary MI &amp; other” category and the “Credit risk transfer” category. As a result, the “Credit enhanced” and “Non-credit enhanced” categories do not sum to 100%. The total percentage of our single-family conventional guaranty book of business with some form of credit enhancement as of September 30, 2025 was 47%.</w:t>
      </w:r>
    </w:p>
    <w:p>
      <w:pPr>
        <w:spacing w:after="0" w:line="27" w:lineRule="exact"/>
        <w:rPr>
          <w:rFonts w:ascii="Arial" w:cs="Arial" w:eastAsia="Arial" w:hAnsi="Arial"/>
          <w:sz w:val="18"/>
          <w:szCs w:val="18"/>
          <w:color w:val="auto"/>
          <w:vertAlign w:val="superscript"/>
        </w:rPr>
      </w:pPr>
    </w:p>
    <w:p>
      <w:pPr>
        <w:ind w:left="260" w:right="140" w:hanging="237"/>
        <w:spacing w:after="0" w:line="228" w:lineRule="auto"/>
        <w:tabs>
          <w:tab w:leader="none" w:pos="253"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an agreement used to reduce credit risk by requiring primary mortgage insurance, collateral, letters of credit, corporate guarantees, or other agreements to provide an entity with some assurance that it will be compensated to some degree in the event of a financial loss. Excludes loans covered by credit risk transfer transactions unless such loans are also covered by primary mortgage insurance.</w:t>
      </w:r>
    </w:p>
    <w:p>
      <w:pPr>
        <w:spacing w:after="0" w:line="26" w:lineRule="exact"/>
        <w:rPr>
          <w:rFonts w:ascii="Arial" w:cs="Arial" w:eastAsia="Arial" w:hAnsi="Arial"/>
          <w:sz w:val="18"/>
          <w:szCs w:val="18"/>
          <w:color w:val="auto"/>
          <w:vertAlign w:val="superscript"/>
        </w:rPr>
      </w:pPr>
    </w:p>
    <w:p>
      <w:pPr>
        <w:ind w:left="260" w:right="160" w:hanging="237"/>
        <w:spacing w:after="0" w:line="233" w:lineRule="auto"/>
        <w:tabs>
          <w:tab w:leader="none" w:pos="253"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Refers to loans included in reference pools for credit risk transfer transactions, including loans in these transactions that are also covered by primary mortgage insurance. For CAS and some lender risk-sharing transactions, this represents the outstanding unpaid principal balance of the underlying loans on the single-family mortgage credit book, not the outstanding reference pool, as of the specified date.</w:t>
      </w:r>
    </w:p>
    <w:p>
      <w:pPr>
        <w:spacing w:after="0" w:line="79" w:lineRule="exact"/>
        <w:rPr>
          <w:sz w:val="20"/>
          <w:szCs w:val="20"/>
          <w:color w:val="auto"/>
        </w:rPr>
      </w:pPr>
    </w:p>
    <w:p>
      <w:pPr>
        <w:ind w:left="20"/>
        <w:spacing w:after="0"/>
        <w:rPr>
          <w:sz w:val="20"/>
          <w:szCs w:val="20"/>
          <w:color w:val="auto"/>
        </w:rPr>
      </w:pPr>
      <w:r>
        <w:rPr>
          <w:rFonts w:ascii="Georgia" w:cs="Georgia" w:eastAsia="Georgia" w:hAnsi="Georgia"/>
          <w:sz w:val="19"/>
          <w:szCs w:val="19"/>
          <w:i w:val="1"/>
          <w:iCs w:val="1"/>
          <w:color w:val="05314D"/>
        </w:rPr>
        <w:t>Forbearance Plans and Loan Workouts</w:t>
      </w:r>
    </w:p>
    <w:p>
      <w:pPr>
        <w:spacing w:after="0" w:line="106" w:lineRule="exact"/>
        <w:rPr>
          <w:sz w:val="20"/>
          <w:szCs w:val="20"/>
          <w:color w:val="auto"/>
        </w:rPr>
      </w:pPr>
    </w:p>
    <w:p>
      <w:pPr>
        <w:ind w:left="20" w:right="100"/>
        <w:spacing w:after="0" w:line="271" w:lineRule="auto"/>
        <w:rPr>
          <w:sz w:val="20"/>
          <w:szCs w:val="20"/>
          <w:color w:val="auto"/>
        </w:rPr>
      </w:pPr>
      <w:r>
        <w:rPr>
          <w:rFonts w:ascii="Arial" w:cs="Arial" w:eastAsia="Arial" w:hAnsi="Arial"/>
          <w:sz w:val="16"/>
          <w:szCs w:val="16"/>
          <w:color w:val="auto"/>
        </w:rPr>
        <w:t>As a part of our credit risk management efforts, we offer several types of loss mitigation options to help homeowners stay in their home or to otherwise avoid foreclosure. Loss mitigation options can consist of a forbearance plan or a loan workout. Our loan workouts reflect additional types of home retention solutions that help reinstate loans to current status, including repayment plans, payment deferrals, and loan modifications. Our loan workouts also include foreclosure alternatives, such as short sales and deeds-in-lieu of foreclosure.</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00" w:top="248" w:right="339" w:bottom="1440" w:gutter="0" w:footer="0" w:header="0"/>
        </w:sectPr>
      </w:pPr>
    </w:p>
    <w:bookmarkStart w:id="35" w:name="page36"/>
    <w:bookmarkEnd w:id="35"/>
    <w:p>
      <w:pPr>
        <w:jc w:val="right"/>
        <w:ind w:right="12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380"/>
        <w:spacing w:after="0" w:line="293" w:lineRule="auto"/>
        <w:rPr>
          <w:sz w:val="20"/>
          <w:szCs w:val="20"/>
          <w:color w:val="auto"/>
        </w:rPr>
      </w:pPr>
      <w:r>
        <w:rPr>
          <w:rFonts w:ascii="Arial" w:cs="Arial" w:eastAsia="Arial" w:hAnsi="Arial"/>
          <w:sz w:val="16"/>
          <w:szCs w:val="16"/>
          <w:color w:val="auto"/>
        </w:rPr>
        <w:t>As of September 30, 2025, the unpaid principal balance of single-family loans in forbearance was $5.2 billion, or 0.1% of our single-family conventional guaranty book of business, compared with $8.0 billion, or 0.2% of our single-family conventional guaranty book of business, as of December 31, 2024.</w:t>
      </w:r>
    </w:p>
    <w:p>
      <w:pPr>
        <w:spacing w:after="0" w:line="15"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The chart below displays the unpaid principal balance of our completed single-family loan workouts by type, as well as the number of loan workouts. This table does not include loans in an active forbearance arrangement, trial modifications, and repayment plans that have been initiated but not completed.</w:t>
      </w:r>
    </w:p>
    <w:p>
      <w:pPr>
        <w:spacing w:after="0" w:line="41"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Completed Loan Workout Activity</w:t>
      </w:r>
    </w:p>
    <w:p>
      <w:pPr>
        <w:spacing w:after="0" w:line="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15240</wp:posOffset>
            </wp:positionV>
            <wp:extent cx="5721985" cy="29800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21985" cy="298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0" w:hanging="217"/>
        <w:spacing w:after="0"/>
        <w:tabs>
          <w:tab w:leader="none" w:pos="2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Excludes approximately 22,300 loans and 17,500 loans in a trial modification period that was not yet complete as of September 30, 2025 and 2024, respectively.</w:t>
      </w:r>
    </w:p>
    <w:p>
      <w:pPr>
        <w:spacing w:after="0" w:line="25" w:lineRule="exact"/>
        <w:rPr>
          <w:rFonts w:ascii="Arial" w:cs="Arial" w:eastAsia="Arial" w:hAnsi="Arial"/>
          <w:sz w:val="18"/>
          <w:szCs w:val="18"/>
          <w:color w:val="auto"/>
          <w:vertAlign w:val="superscript"/>
        </w:rPr>
      </w:pPr>
    </w:p>
    <w:p>
      <w:pPr>
        <w:ind w:left="240" w:right="780" w:hanging="237"/>
        <w:spacing w:after="0" w:line="260" w:lineRule="auto"/>
        <w:tabs>
          <w:tab w:leader="none" w:pos="233" w:val="left"/>
        </w:tabs>
        <w:numPr>
          <w:ilvl w:val="0"/>
          <w:numId w:val="26"/>
        </w:numPr>
        <w:rPr>
          <w:rFonts w:ascii="Arial" w:cs="Arial" w:eastAsia="Arial" w:hAnsi="Arial"/>
          <w:sz w:val="9"/>
          <w:szCs w:val="9"/>
          <w:color w:val="auto"/>
        </w:rPr>
      </w:pPr>
      <w:r>
        <w:rPr>
          <w:rFonts w:ascii="Arial" w:cs="Arial" w:eastAsia="Arial" w:hAnsi="Arial"/>
          <w:sz w:val="14"/>
          <w:szCs w:val="14"/>
          <w:color w:val="auto"/>
        </w:rPr>
        <w:t>Other was $714 million and $578 million for the first nine months of 2025 and the first nine months of 2024, respectively. Other includes repayment plans and foreclosure alternatives. Repayment plans reflect only those plans associated with loans that were 60 days or more delinquent at the execution of the plan.</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6" w:name="page37"/>
    <w:bookmarkEnd w:id="36"/>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 REO Management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If a loan defaults, we may acquire the property through foreclosure or a deed-in-lieu of foreclosure. The table below displays our REO activity by region.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Regional REO acquisition trends generally follow a pattern that is similar to, but lags, that of regional delinquency trends.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Single-Family REO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67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3240" w:type="dxa"/>
            <w:vAlign w:val="bottom"/>
            <w:tcBorders>
              <w:bottom w:val="single" w:sz="8" w:color="2C6937"/>
            </w:tcBorders>
            <w:gridSpan w:val="5"/>
          </w:tcPr>
          <w:p>
            <w:pPr>
              <w:jc w:val="right"/>
              <w:ind w:right="183"/>
              <w:spacing w:after="0"/>
              <w:rPr>
                <w:sz w:val="20"/>
                <w:szCs w:val="20"/>
                <w:color w:val="auto"/>
              </w:rPr>
            </w:pPr>
            <w:r>
              <w:rPr>
                <w:rFonts w:ascii="Arial" w:cs="Arial" w:eastAsia="Arial" w:hAnsi="Arial"/>
                <w:sz w:val="14"/>
                <w:szCs w:val="14"/>
                <w:b w:val="1"/>
                <w:bCs w:val="1"/>
                <w:color w:val="auto"/>
              </w:rPr>
              <w:t>For the Nine Months Ended September 30,</w:t>
            </w:r>
          </w:p>
        </w:tc>
        <w:tc>
          <w:tcPr>
            <w:tcW w:w="260" w:type="dxa"/>
            <w:vAlign w:val="bottom"/>
            <w:tcBorders>
              <w:bottom w:val="single" w:sz="8" w:color="2C6937"/>
            </w:tcBorders>
          </w:tcPr>
          <w:p>
            <w:pPr>
              <w:spacing w:after="0"/>
              <w:rPr>
                <w:sz w:val="16"/>
                <w:szCs w:val="16"/>
                <w:color w:val="auto"/>
              </w:rPr>
            </w:pPr>
          </w:p>
        </w:tc>
      </w:tr>
      <w:tr>
        <w:trPr>
          <w:trHeight w:val="185"/>
        </w:trPr>
        <w:tc>
          <w:tcPr>
            <w:tcW w:w="7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tcPr>
          <w:p>
            <w:pPr>
              <w:jc w:val="right"/>
              <w:ind w:right="444"/>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jc w:val="right"/>
              <w:ind w:right="443"/>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2C6937"/>
            </w:tcBorders>
          </w:tcPr>
          <w:p>
            <w:pPr>
              <w:spacing w:after="0"/>
              <w:rPr>
                <w:sz w:val="16"/>
                <w:szCs w:val="16"/>
                <w:color w:val="auto"/>
              </w:rPr>
            </w:pPr>
          </w:p>
        </w:tc>
      </w:tr>
      <w:tr>
        <w:trPr>
          <w:trHeight w:val="207"/>
        </w:trPr>
        <w:tc>
          <w:tcPr>
            <w:tcW w:w="7420" w:type="dxa"/>
            <w:vAlign w:val="bottom"/>
            <w:gridSpan w:val="2"/>
          </w:tcPr>
          <w:p>
            <w:pPr>
              <w:ind w:left="20"/>
              <w:spacing w:after="0"/>
              <w:rPr>
                <w:sz w:val="20"/>
                <w:szCs w:val="20"/>
                <w:color w:val="auto"/>
              </w:rPr>
            </w:pPr>
            <w:r>
              <w:rPr>
                <w:rFonts w:ascii="Arial" w:cs="Arial" w:eastAsia="Arial" w:hAnsi="Arial"/>
                <w:sz w:val="15"/>
                <w:szCs w:val="15"/>
                <w:b w:val="1"/>
                <w:bCs w:val="1"/>
                <w:color w:val="auto"/>
              </w:rPr>
              <w:t>Single-family REO properties (number of properties):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50"/>
        </w:trPr>
        <w:tc>
          <w:tcPr>
            <w:tcW w:w="7420" w:type="dxa"/>
            <w:vAlign w:val="bottom"/>
            <w:gridSpan w:val="2"/>
          </w:tcPr>
          <w:p>
            <w:pPr>
              <w:ind w:left="180"/>
              <w:spacing w:after="0"/>
              <w:rPr>
                <w:sz w:val="20"/>
                <w:szCs w:val="20"/>
                <w:color w:val="auto"/>
              </w:rPr>
            </w:pPr>
            <w:r>
              <w:rPr>
                <w:rFonts w:ascii="Arial" w:cs="Arial" w:eastAsia="Arial" w:hAnsi="Arial"/>
                <w:sz w:val="15"/>
                <w:szCs w:val="15"/>
                <w:color w:val="auto"/>
              </w:rPr>
              <w:t>Beginning of period inventory of single-family REO properties</w:t>
            </w:r>
            <w:r>
              <w:rPr>
                <w:rFonts w:ascii="Arial" w:cs="Arial" w:eastAsia="Arial" w:hAnsi="Arial"/>
                <w:sz w:val="20"/>
                <w:szCs w:val="20"/>
                <w:color w:val="auto"/>
                <w:vertAlign w:val="superscript"/>
              </w:rPr>
              <w:t>(1)</w:t>
            </w:r>
          </w:p>
        </w:tc>
        <w:tc>
          <w:tcPr>
            <w:tcW w:w="320" w:type="dxa"/>
            <w:vAlign w:val="bottom"/>
          </w:tcPr>
          <w:p>
            <w:pPr>
              <w:spacing w:after="0"/>
              <w:rPr>
                <w:sz w:val="21"/>
                <w:szCs w:val="21"/>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5,895</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8,403</w:t>
            </w:r>
          </w:p>
        </w:tc>
        <w:tc>
          <w:tcPr>
            <w:tcW w:w="260" w:type="dxa"/>
            <w:vAlign w:val="bottom"/>
          </w:tcPr>
          <w:p>
            <w:pPr>
              <w:spacing w:after="0"/>
              <w:rPr>
                <w:sz w:val="21"/>
                <w:szCs w:val="21"/>
                <w:color w:val="auto"/>
              </w:rPr>
            </w:pPr>
          </w:p>
        </w:tc>
      </w:tr>
      <w:tr>
        <w:trPr>
          <w:trHeight w:val="234"/>
        </w:trPr>
        <w:tc>
          <w:tcPr>
            <w:tcW w:w="7420" w:type="dxa"/>
            <w:vAlign w:val="bottom"/>
            <w:gridSpan w:val="2"/>
          </w:tcPr>
          <w:p>
            <w:pPr>
              <w:ind w:left="320"/>
              <w:spacing w:after="0"/>
              <w:rPr>
                <w:sz w:val="20"/>
                <w:szCs w:val="20"/>
                <w:color w:val="auto"/>
              </w:rPr>
            </w:pPr>
            <w:r>
              <w:rPr>
                <w:rFonts w:ascii="Arial" w:cs="Arial" w:eastAsia="Arial" w:hAnsi="Arial"/>
                <w:sz w:val="15"/>
                <w:szCs w:val="15"/>
                <w:b w:val="1"/>
                <w:bCs w:val="1"/>
                <w:color w:val="auto"/>
              </w:rPr>
              <w:t>Acquisitions by geographic area:</w:t>
            </w:r>
            <w:r>
              <w:rPr>
                <w:rFonts w:ascii="Arial" w:cs="Arial" w:eastAsia="Arial" w:hAnsi="Arial"/>
                <w:sz w:val="20"/>
                <w:szCs w:val="20"/>
                <w:b w:val="1"/>
                <w:bCs w:val="1"/>
                <w:color w:val="auto"/>
                <w:vertAlign w:val="superscript"/>
              </w:rPr>
              <w:t>(2)</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25"/>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Midwest</w:t>
            </w:r>
          </w:p>
        </w:tc>
        <w:tc>
          <w:tcPr>
            <w:tcW w:w="320" w:type="dxa"/>
            <w:vAlign w:val="bottom"/>
          </w:tcPr>
          <w:p>
            <w:pPr>
              <w:spacing w:after="0"/>
              <w:rPr>
                <w:sz w:val="19"/>
                <w:szCs w:val="19"/>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517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702</w:t>
            </w:r>
          </w:p>
        </w:tc>
        <w:tc>
          <w:tcPr>
            <w:tcW w:w="260" w:type="dxa"/>
            <w:vAlign w:val="bottom"/>
          </w:tcPr>
          <w:p>
            <w:pPr>
              <w:spacing w:after="0"/>
              <w:rPr>
                <w:sz w:val="19"/>
                <w:szCs w:val="19"/>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Northeast</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252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389</w:t>
            </w:r>
          </w:p>
        </w:tc>
        <w:tc>
          <w:tcPr>
            <w:tcW w:w="260" w:type="dxa"/>
            <w:vAlign w:val="bottom"/>
          </w:tcPr>
          <w:p>
            <w:pPr>
              <w:spacing w:after="0"/>
              <w:rPr>
                <w:sz w:val="20"/>
                <w:szCs w:val="20"/>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Southeast</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556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491</w:t>
            </w:r>
          </w:p>
        </w:tc>
        <w:tc>
          <w:tcPr>
            <w:tcW w:w="260" w:type="dxa"/>
            <w:vAlign w:val="bottom"/>
          </w:tcPr>
          <w:p>
            <w:pPr>
              <w:spacing w:after="0"/>
              <w:rPr>
                <w:sz w:val="20"/>
                <w:szCs w:val="20"/>
                <w:color w:val="auto"/>
              </w:rPr>
            </w:pPr>
          </w:p>
        </w:tc>
      </w:tr>
      <w:tr>
        <w:trPr>
          <w:trHeight w:val="232"/>
        </w:trPr>
        <w:tc>
          <w:tcPr>
            <w:tcW w:w="7420" w:type="dxa"/>
            <w:vAlign w:val="bottom"/>
            <w:gridSpan w:val="2"/>
          </w:tcPr>
          <w:p>
            <w:pPr>
              <w:ind w:left="480"/>
              <w:spacing w:after="0"/>
              <w:rPr>
                <w:sz w:val="20"/>
                <w:szCs w:val="20"/>
                <w:color w:val="auto"/>
              </w:rPr>
            </w:pPr>
            <w:r>
              <w:rPr>
                <w:rFonts w:ascii="Arial" w:cs="Arial" w:eastAsia="Arial" w:hAnsi="Arial"/>
                <w:sz w:val="15"/>
                <w:szCs w:val="15"/>
                <w:color w:val="auto"/>
              </w:rPr>
              <w:t>Southwest</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556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461</w:t>
            </w:r>
          </w:p>
        </w:tc>
        <w:tc>
          <w:tcPr>
            <w:tcW w:w="260" w:type="dxa"/>
            <w:vAlign w:val="bottom"/>
          </w:tcPr>
          <w:p>
            <w:pPr>
              <w:spacing w:after="0"/>
              <w:rPr>
                <w:sz w:val="20"/>
                <w:szCs w:val="20"/>
                <w:color w:val="auto"/>
              </w:rPr>
            </w:pPr>
          </w:p>
        </w:tc>
      </w:tr>
      <w:tr>
        <w:trPr>
          <w:trHeight w:val="226"/>
        </w:trPr>
        <w:tc>
          <w:tcPr>
            <w:tcW w:w="7280" w:type="dxa"/>
            <w:vAlign w:val="bottom"/>
            <w:tcBorders>
              <w:bottom w:val="single" w:sz="8" w:color="2C6937"/>
            </w:tcBorders>
          </w:tcPr>
          <w:p>
            <w:pPr>
              <w:ind w:left="480"/>
              <w:spacing w:after="0"/>
              <w:rPr>
                <w:sz w:val="20"/>
                <w:szCs w:val="20"/>
                <w:color w:val="auto"/>
              </w:rPr>
            </w:pPr>
            <w:r>
              <w:rPr>
                <w:rFonts w:ascii="Arial" w:cs="Arial" w:eastAsia="Arial" w:hAnsi="Arial"/>
                <w:sz w:val="15"/>
                <w:szCs w:val="15"/>
                <w:color w:val="auto"/>
              </w:rPr>
              <w:t>West</w:t>
            </w:r>
          </w:p>
        </w:tc>
        <w:tc>
          <w:tcPr>
            <w:tcW w:w="14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12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268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271</w:t>
            </w:r>
          </w:p>
        </w:tc>
        <w:tc>
          <w:tcPr>
            <w:tcW w:w="260" w:type="dxa"/>
            <w:vAlign w:val="bottom"/>
          </w:tcPr>
          <w:p>
            <w:pPr>
              <w:spacing w:after="0"/>
              <w:rPr>
                <w:sz w:val="19"/>
                <w:szCs w:val="19"/>
                <w:color w:val="auto"/>
              </w:rPr>
            </w:pPr>
          </w:p>
        </w:tc>
      </w:tr>
      <w:tr>
        <w:trPr>
          <w:trHeight w:val="239"/>
        </w:trPr>
        <w:tc>
          <w:tcPr>
            <w:tcW w:w="7420" w:type="dxa"/>
            <w:vAlign w:val="bottom"/>
            <w:gridSpan w:val="2"/>
          </w:tcPr>
          <w:p>
            <w:pPr>
              <w:ind w:left="320"/>
              <w:spacing w:after="0"/>
              <w:rPr>
                <w:sz w:val="20"/>
                <w:szCs w:val="20"/>
                <w:color w:val="auto"/>
              </w:rPr>
            </w:pPr>
            <w:r>
              <w:rPr>
                <w:rFonts w:ascii="Arial" w:cs="Arial" w:eastAsia="Arial" w:hAnsi="Arial"/>
                <w:sz w:val="15"/>
                <w:szCs w:val="15"/>
                <w:color w:val="auto"/>
              </w:rPr>
              <w:t>Total REO acquisitions</w:t>
            </w:r>
            <w:r>
              <w:rPr>
                <w:rFonts w:ascii="Arial" w:cs="Arial" w:eastAsia="Arial" w:hAnsi="Arial"/>
                <w:sz w:val="20"/>
                <w:szCs w:val="20"/>
                <w:color w:val="auto"/>
                <w:vertAlign w:val="superscript"/>
              </w:rPr>
              <w:t>(1)</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2,149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2,314</w:t>
            </w:r>
          </w:p>
        </w:tc>
        <w:tc>
          <w:tcPr>
            <w:tcW w:w="260" w:type="dxa"/>
            <w:vAlign w:val="bottom"/>
          </w:tcPr>
          <w:p>
            <w:pPr>
              <w:spacing w:after="0"/>
              <w:rPr>
                <w:sz w:val="20"/>
                <w:szCs w:val="20"/>
                <w:color w:val="auto"/>
              </w:rPr>
            </w:pPr>
          </w:p>
        </w:tc>
      </w:tr>
      <w:tr>
        <w:trPr>
          <w:trHeight w:val="218"/>
        </w:trPr>
        <w:tc>
          <w:tcPr>
            <w:tcW w:w="728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Dispositions of REO</w:t>
            </w:r>
          </w:p>
        </w:tc>
        <w:tc>
          <w:tcPr>
            <w:tcW w:w="140" w:type="dxa"/>
            <w:vAlign w:val="bottom"/>
          </w:tcPr>
          <w:p>
            <w:pPr>
              <w:spacing w:after="0"/>
              <w:rPr>
                <w:sz w:val="18"/>
                <w:szCs w:val="18"/>
                <w:color w:val="auto"/>
              </w:rPr>
            </w:pPr>
          </w:p>
        </w:tc>
        <w:tc>
          <w:tcPr>
            <w:tcW w:w="320" w:type="dxa"/>
            <w:vAlign w:val="bottom"/>
            <w:tcBorders>
              <w:bottom w:val="single" w:sz="8" w:color="2C6937"/>
            </w:tcBorders>
          </w:tcPr>
          <w:p>
            <w:pPr>
              <w:spacing w:after="0"/>
              <w:rPr>
                <w:sz w:val="18"/>
                <w:szCs w:val="18"/>
                <w:color w:val="auto"/>
              </w:rPr>
            </w:pPr>
          </w:p>
        </w:tc>
        <w:tc>
          <w:tcPr>
            <w:tcW w:w="12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(3,548)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(4,236)</w:t>
            </w:r>
          </w:p>
        </w:tc>
        <w:tc>
          <w:tcPr>
            <w:tcW w:w="260" w:type="dxa"/>
            <w:vAlign w:val="bottom"/>
          </w:tcPr>
          <w:p>
            <w:pPr>
              <w:spacing w:after="0"/>
              <w:rPr>
                <w:sz w:val="18"/>
                <w:szCs w:val="18"/>
                <w:color w:val="auto"/>
              </w:rPr>
            </w:pPr>
          </w:p>
        </w:tc>
      </w:tr>
      <w:tr>
        <w:trPr>
          <w:trHeight w:val="225"/>
        </w:trPr>
        <w:tc>
          <w:tcPr>
            <w:tcW w:w="7280" w:type="dxa"/>
            <w:vAlign w:val="bottom"/>
            <w:tcBorders>
              <w:bottom w:val="single" w:sz="8" w:color="2C6937"/>
            </w:tcBorders>
          </w:tcPr>
          <w:p>
            <w:pPr>
              <w:ind w:left="180"/>
              <w:spacing w:after="0" w:line="225" w:lineRule="exact"/>
              <w:rPr>
                <w:sz w:val="20"/>
                <w:szCs w:val="20"/>
                <w:color w:val="auto"/>
              </w:rPr>
            </w:pPr>
            <w:r>
              <w:rPr>
                <w:rFonts w:ascii="Arial" w:cs="Arial" w:eastAsia="Arial" w:hAnsi="Arial"/>
                <w:sz w:val="15"/>
                <w:szCs w:val="15"/>
                <w:color w:val="auto"/>
              </w:rPr>
              <w:t>End of period inventory of single-family REO properties</w:t>
            </w:r>
            <w:r>
              <w:rPr>
                <w:rFonts w:ascii="Arial" w:cs="Arial" w:eastAsia="Arial" w:hAnsi="Arial"/>
                <w:sz w:val="20"/>
                <w:szCs w:val="20"/>
                <w:color w:val="auto"/>
                <w:vertAlign w:val="superscript"/>
              </w:rPr>
              <w:t>(1)</w:t>
            </w:r>
          </w:p>
        </w:tc>
        <w:tc>
          <w:tcPr>
            <w:tcW w:w="14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12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b w:val="1"/>
                <w:bCs w:val="1"/>
                <w:color w:val="auto"/>
              </w:rPr>
              <w:t>4,496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6,481</w:t>
            </w:r>
          </w:p>
        </w:tc>
        <w:tc>
          <w:tcPr>
            <w:tcW w:w="260" w:type="dxa"/>
            <w:vAlign w:val="bottom"/>
          </w:tcPr>
          <w:p>
            <w:pPr>
              <w:spacing w:after="0"/>
              <w:rPr>
                <w:sz w:val="19"/>
                <w:szCs w:val="19"/>
                <w:color w:val="auto"/>
              </w:rPr>
            </w:pPr>
          </w:p>
        </w:tc>
      </w:tr>
      <w:tr>
        <w:trPr>
          <w:trHeight w:val="20"/>
        </w:trPr>
        <w:tc>
          <w:tcPr>
            <w:tcW w:w="728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128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Carrying value of single-family REO properties (dollars in millions)</w:t>
            </w:r>
          </w:p>
        </w:tc>
        <w:tc>
          <w:tcPr>
            <w:tcW w:w="320" w:type="dxa"/>
            <w:vAlign w:val="bottom"/>
          </w:tcPr>
          <w:p>
            <w:pPr>
              <w:jc w:val="right"/>
              <w:ind w:right="123"/>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831</w:t>
            </w:r>
          </w:p>
        </w:tc>
        <w:tc>
          <w:tcPr>
            <w:tcW w:w="80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1,157</w:t>
            </w:r>
          </w:p>
        </w:tc>
        <w:tc>
          <w:tcPr>
            <w:tcW w:w="260" w:type="dxa"/>
            <w:vAlign w:val="bottom"/>
          </w:tcPr>
          <w:p>
            <w:pPr>
              <w:spacing w:after="0"/>
              <w:rPr>
                <w:sz w:val="20"/>
                <w:szCs w:val="20"/>
                <w:color w:val="auto"/>
              </w:rPr>
            </w:pPr>
          </w:p>
        </w:tc>
      </w:tr>
      <w:tr>
        <w:trPr>
          <w:trHeight w:val="239"/>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Single-family foreclosure rate</w:t>
            </w:r>
            <w:r>
              <w:rPr>
                <w:rFonts w:ascii="Arial" w:cs="Arial" w:eastAsia="Arial" w:hAnsi="Arial"/>
                <w:sz w:val="20"/>
                <w:szCs w:val="20"/>
                <w:color w:val="auto"/>
                <w:vertAlign w:val="superscript"/>
              </w:rPr>
              <w:t>(3)</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0.02</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0.02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unpaid principal balance</w:t>
            </w:r>
            <w:r>
              <w:rPr>
                <w:rFonts w:ascii="Arial" w:cs="Arial" w:eastAsia="Arial" w:hAnsi="Arial"/>
                <w:sz w:val="20"/>
                <w:szCs w:val="20"/>
                <w:color w:val="auto"/>
                <w:vertAlign w:val="superscript"/>
              </w:rPr>
              <w:t>(4)</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140</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142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REO net sales price to unpaid principal balance and costs to repair</w:t>
            </w:r>
            <w:r>
              <w:rPr>
                <w:rFonts w:ascii="Arial" w:cs="Arial" w:eastAsia="Arial" w:hAnsi="Arial"/>
                <w:sz w:val="20"/>
                <w:szCs w:val="20"/>
                <w:color w:val="auto"/>
                <w:vertAlign w:val="superscript"/>
              </w:rPr>
              <w:t>(5)</w:t>
            </w:r>
          </w:p>
        </w:tc>
        <w:tc>
          <w:tcPr>
            <w:tcW w:w="32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82</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1"/>
        </w:trPr>
        <w:tc>
          <w:tcPr>
            <w:tcW w:w="7420" w:type="dxa"/>
            <w:vAlign w:val="bottom"/>
            <w:gridSpan w:val="2"/>
          </w:tcPr>
          <w:p>
            <w:pPr>
              <w:ind w:left="20"/>
              <w:spacing w:after="0"/>
              <w:rPr>
                <w:sz w:val="20"/>
                <w:szCs w:val="20"/>
                <w:color w:val="auto"/>
              </w:rPr>
            </w:pPr>
            <w:r>
              <w:rPr>
                <w:rFonts w:ascii="Arial" w:cs="Arial" w:eastAsia="Arial" w:hAnsi="Arial"/>
                <w:sz w:val="15"/>
                <w:szCs w:val="15"/>
                <w:color w:val="auto"/>
              </w:rPr>
              <w:t>Short sales net sales price to unpaid principal balance</w:t>
            </w:r>
            <w:r>
              <w:rPr>
                <w:rFonts w:ascii="Arial" w:cs="Arial" w:eastAsia="Arial" w:hAnsi="Arial"/>
                <w:sz w:val="20"/>
                <w:szCs w:val="20"/>
                <w:color w:val="auto"/>
                <w:vertAlign w:val="superscript"/>
              </w:rPr>
              <w:t>(6)</w:t>
            </w:r>
          </w:p>
        </w:tc>
        <w:tc>
          <w:tcPr>
            <w:tcW w:w="320" w:type="dxa"/>
            <w:vAlign w:val="bottom"/>
          </w:tcPr>
          <w:p>
            <w:pPr>
              <w:spacing w:after="0"/>
              <w:rPr>
                <w:sz w:val="23"/>
                <w:szCs w:val="23"/>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b w:val="1"/>
                <w:bCs w:val="1"/>
                <w:color w:val="auto"/>
              </w:rPr>
              <w:t>84</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90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42" w:lineRule="exact"/>
        <w:rPr>
          <w:sz w:val="20"/>
          <w:szCs w:val="20"/>
          <w:color w:val="auto"/>
        </w:rPr>
      </w:pPr>
    </w:p>
    <w:p>
      <w:pPr>
        <w:ind w:left="220" w:hanging="217"/>
        <w:spacing w:after="0"/>
        <w:tabs>
          <w:tab w:leader="none" w:pos="2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Consists of held-for sale and held-for-use properties, which are reported in our condensed consolidated balance sheets as a component of “Other assets.”</w:t>
      </w:r>
    </w:p>
    <w:p>
      <w:pPr>
        <w:spacing w:after="0" w:line="37" w:lineRule="exact"/>
        <w:rPr>
          <w:rFonts w:ascii="Arial" w:cs="Arial" w:eastAsia="Arial" w:hAnsi="Arial"/>
          <w:sz w:val="18"/>
          <w:szCs w:val="18"/>
          <w:color w:val="auto"/>
          <w:vertAlign w:val="superscript"/>
        </w:rPr>
      </w:pPr>
    </w:p>
    <w:p>
      <w:pPr>
        <w:ind w:left="220" w:hanging="217"/>
        <w:spacing w:after="0" w:line="206" w:lineRule="auto"/>
        <w:tabs>
          <w:tab w:leader="none" w:pos="220" w:val="left"/>
        </w:tabs>
        <w:numPr>
          <w:ilvl w:val="0"/>
          <w:numId w:val="27"/>
        </w:numPr>
        <w:rPr>
          <w:rFonts w:ascii="Arial" w:cs="Arial" w:eastAsia="Arial" w:hAnsi="Arial"/>
          <w:sz w:val="17"/>
          <w:szCs w:val="17"/>
          <w:color w:val="auto"/>
          <w:vertAlign w:val="superscript"/>
        </w:rPr>
      </w:pPr>
      <w:r>
        <w:rPr>
          <w:rFonts w:ascii="Arial" w:cs="Arial" w:eastAsia="Arial" w:hAnsi="Arial"/>
          <w:sz w:val="13"/>
          <w:szCs w:val="13"/>
          <w:color w:val="auto"/>
        </w:rPr>
        <w:t>See footnote 9 to the “Key Risk Characteristics of Single-Family Conventional Business Volume and Guaranty Book of Business” table for states included in each geographic region.</w:t>
      </w:r>
    </w:p>
    <w:p>
      <w:pPr>
        <w:spacing w:after="0" w:line="25" w:lineRule="exact"/>
        <w:rPr>
          <w:rFonts w:ascii="Arial" w:cs="Arial" w:eastAsia="Arial" w:hAnsi="Arial"/>
          <w:sz w:val="17"/>
          <w:szCs w:val="17"/>
          <w:color w:val="auto"/>
          <w:vertAlign w:val="superscript"/>
        </w:rPr>
      </w:pPr>
    </w:p>
    <w:p>
      <w:pPr>
        <w:ind w:left="240" w:right="60" w:hanging="237"/>
        <w:spacing w:after="0" w:line="260" w:lineRule="auto"/>
        <w:tabs>
          <w:tab w:leader="none" w:pos="233" w:val="left"/>
        </w:tabs>
        <w:numPr>
          <w:ilvl w:val="0"/>
          <w:numId w:val="27"/>
        </w:numPr>
        <w:rPr>
          <w:rFonts w:ascii="Arial" w:cs="Arial" w:eastAsia="Arial" w:hAnsi="Arial"/>
          <w:sz w:val="9"/>
          <w:szCs w:val="9"/>
          <w:color w:val="auto"/>
        </w:rPr>
      </w:pPr>
      <w:r>
        <w:rPr>
          <w:rFonts w:ascii="Arial" w:cs="Arial" w:eastAsia="Arial" w:hAnsi="Arial"/>
          <w:sz w:val="14"/>
          <w:szCs w:val="14"/>
          <w:color w:val="auto"/>
        </w:rPr>
        <w:t>Estimated based on the annualized total number of properties acquired through foreclosure or deeds-in-lieu of foreclosure as a percentage of the total number of loans in our single-family conventional guaranty book of business as of the end of each period.</w:t>
      </w:r>
    </w:p>
    <w:p>
      <w:pPr>
        <w:spacing w:after="0" w:line="13" w:lineRule="exact"/>
        <w:rPr>
          <w:rFonts w:ascii="Arial" w:cs="Arial" w:eastAsia="Arial" w:hAnsi="Arial"/>
          <w:sz w:val="9"/>
          <w:szCs w:val="9"/>
          <w:color w:val="auto"/>
        </w:rPr>
      </w:pPr>
    </w:p>
    <w:p>
      <w:pPr>
        <w:ind w:left="240" w:right="160" w:hanging="237"/>
        <w:spacing w:after="0" w:line="233" w:lineRule="auto"/>
        <w:tabs>
          <w:tab w:leader="none" w:pos="233"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unpaid principal balance of the related loans at the time of foreclosure. Net sales price represents the contract sales price less selling costs for the property and other charges paid by the seller at closing, and excludes the costs associated with any property repairs.</w:t>
      </w:r>
    </w:p>
    <w:p>
      <w:pPr>
        <w:spacing w:after="0" w:line="15" w:lineRule="exact"/>
        <w:rPr>
          <w:rFonts w:ascii="Arial" w:cs="Arial" w:eastAsia="Arial" w:hAnsi="Arial"/>
          <w:sz w:val="18"/>
          <w:szCs w:val="18"/>
          <w:color w:val="auto"/>
          <w:vertAlign w:val="superscript"/>
        </w:rPr>
      </w:pPr>
    </w:p>
    <w:p>
      <w:pPr>
        <w:ind w:left="240" w:right="180" w:hanging="237"/>
        <w:spacing w:after="0" w:line="264" w:lineRule="auto"/>
        <w:tabs>
          <w:tab w:leader="none" w:pos="233" w:val="left"/>
        </w:tabs>
        <w:numPr>
          <w:ilvl w:val="0"/>
          <w:numId w:val="27"/>
        </w:numPr>
        <w:rPr>
          <w:rFonts w:ascii="Arial" w:cs="Arial" w:eastAsia="Arial" w:hAnsi="Arial"/>
          <w:sz w:val="9"/>
          <w:szCs w:val="9"/>
          <w:color w:val="auto"/>
        </w:rPr>
      </w:pPr>
      <w:r>
        <w:rPr>
          <w:rFonts w:ascii="Arial" w:cs="Arial" w:eastAsia="Arial" w:hAnsi="Arial"/>
          <w:sz w:val="14"/>
          <w:szCs w:val="14"/>
          <w:color w:val="auto"/>
        </w:rPr>
        <w:t>Calculated as the amount of sale proceeds received on disposition of REO properties during the respective periods, excluding those subject to repurchase requests made to our sellers or servicers, divided by the aggregate unpaid principal balance of the related loans at the time of foreclosure and costs to repair the property. Net sales price represents the contract sales price less selling costs for the property and other charges paid by the seller at closing.</w:t>
      </w:r>
    </w:p>
    <w:p>
      <w:pPr>
        <w:spacing w:after="0" w:line="10" w:lineRule="exact"/>
        <w:rPr>
          <w:rFonts w:ascii="Arial" w:cs="Arial" w:eastAsia="Arial" w:hAnsi="Arial"/>
          <w:sz w:val="9"/>
          <w:szCs w:val="9"/>
          <w:color w:val="auto"/>
        </w:rPr>
      </w:pPr>
    </w:p>
    <w:p>
      <w:pPr>
        <w:ind w:left="240" w:right="140" w:hanging="237"/>
        <w:spacing w:after="0" w:line="226" w:lineRule="auto"/>
        <w:tabs>
          <w:tab w:leader="none" w:pos="233"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Calculated as the amount of sale proceeds received on properties sold in short sale transactions during the respective periods divided by the aggregate unpaid principal balance of the related loans. Net sales price includes borrower relocation incentive payments and subordinate lien(s) negotiated payoffs.</w:t>
      </w:r>
    </w:p>
    <w:p>
      <w:pPr>
        <w:spacing w:after="0" w:line="3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Our REO net sales price to unpaid principal balance, excluding costs to repair, remained elevated at 140% for the first nine months of 2025 compared to 142% for the first nine months of 2024. As a result of our previous approach to REO repairs, we made investments in the condition of properties, resulting in higher selling prices relative to the balance of the loans. When considering these costs to repair, our REO net sales price to unpaid principal balance was 82% for the first nine months of 2025 compared with 91% for the first nine months of 2024. In March 2025, FHFA directed us to revise our approach to repairing REO properties. We expect our revised approach will result in lower costs to repair REO properties than we would have incurred under our prior approach.</w:t>
      </w:r>
    </w:p>
    <w:p>
      <w:pPr>
        <w:spacing w:after="0" w:line="342"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Single-Family Credit Loss Performance Metrics and Loan Sale Performance</w:t>
      </w:r>
    </w:p>
    <w:p>
      <w:pPr>
        <w:spacing w:after="0" w:line="6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single-family credit loss performance metrics and loan sale performance measures below present information about losses or gains we realized on our single-family loans during the periods presented. For the purposes of our single-family credit loss performance metrics, credit losses or gains represent write-offs net of recoveries and foreclosed property income or expense. The amount of these losses or gains in a given period is driven by foreclosures, pre-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7" w:name="page38"/>
    <w:bookmarkEnd w:id="37"/>
    <w:p>
      <w:pPr>
        <w:ind w:left="6060"/>
        <w:spacing w:after="0"/>
        <w:rPr>
          <w:sz w:val="20"/>
          <w:szCs w:val="20"/>
          <w:color w:val="auto"/>
        </w:rPr>
      </w:pPr>
      <w:r>
        <w:rPr>
          <w:rFonts w:ascii="Arial" w:cs="Arial" w:eastAsia="Arial" w:hAnsi="Arial"/>
          <w:sz w:val="14"/>
          <w:szCs w:val="14"/>
          <w:color w:val="05314D"/>
        </w:rPr>
        <w:t>MD&amp;A | Single-Family Business | Single-Family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foreclosure sales, post-foreclosure REO activity, mortgage loan redesignations, and other events that trigger write-offs and recoveries. The single-family credit loss metrics we present are not defined terms and may not be calculated in the same manner as similarly titled measures reported by other companies. Management uses these measures to evaluate the effectiveness of our single-family credit risk management strategies in conjunction with leading indicators such as serious delinquency and forbearance rates, which are potential indicators of future realized single-family credit losses. We believe these measures provide useful information about our single-family credit performance and the factors that impact it.</w:t>
      </w:r>
    </w:p>
    <w:p>
      <w:pPr>
        <w:spacing w:after="0" w:line="38"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table below displays the components of our single-family credit loss performance metrics. Because sales of nonperforming and reperforming loans are a part of our credit loss mitigation strategy, we also provide information in the table below on our loan sale performance through the “Gains (losses) on sales and other valuation adjustments” line item.</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Single-Family Credit Loss Performance Metrics and Loan Sale Performance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20" w:type="dxa"/>
            <w:vAlign w:val="bottom"/>
            <w:tcBorders>
              <w:top w:val="single" w:sz="8" w:color="2C6937"/>
            </w:tcBorders>
          </w:tcPr>
          <w:p>
            <w:pPr>
              <w:spacing w:after="0"/>
              <w:rPr>
                <w:sz w:val="15"/>
                <w:szCs w:val="15"/>
                <w:color w:val="auto"/>
              </w:rPr>
            </w:pPr>
          </w:p>
        </w:tc>
        <w:tc>
          <w:tcPr>
            <w:tcW w:w="100" w:type="dxa"/>
            <w:vAlign w:val="bottom"/>
            <w:tcBorders>
              <w:top w:val="single" w:sz="8" w:color="2C6937"/>
            </w:tcBorders>
          </w:tcPr>
          <w:p>
            <w:pPr>
              <w:spacing w:after="0"/>
              <w:rPr>
                <w:sz w:val="15"/>
                <w:szCs w:val="15"/>
                <w:color w:val="auto"/>
              </w:rPr>
            </w:pPr>
          </w:p>
        </w:tc>
        <w:tc>
          <w:tcPr>
            <w:tcW w:w="2540" w:type="dxa"/>
            <w:vAlign w:val="bottom"/>
            <w:tcBorders>
              <w:top w:val="single" w:sz="8" w:color="2C6937"/>
            </w:tcBorders>
            <w:gridSpan w:val="6"/>
          </w:tcPr>
          <w:p>
            <w:pPr>
              <w:jc w:val="center"/>
              <w:ind w:right="80"/>
              <w:spacing w:after="0"/>
              <w:rPr>
                <w:sz w:val="20"/>
                <w:szCs w:val="20"/>
                <w:color w:val="auto"/>
              </w:rPr>
            </w:pPr>
            <w:r>
              <w:rPr>
                <w:rFonts w:ascii="Arial" w:cs="Arial" w:eastAsia="Arial" w:hAnsi="Arial"/>
                <w:sz w:val="15"/>
                <w:szCs w:val="15"/>
                <w:b w:val="1"/>
                <w:bCs w:val="1"/>
                <w:color w:val="auto"/>
              </w:rPr>
              <w:t>For the Three Months Ended</w:t>
            </w:r>
          </w:p>
        </w:tc>
        <w:tc>
          <w:tcPr>
            <w:tcW w:w="180" w:type="dxa"/>
            <w:vAlign w:val="bottom"/>
            <w:tcBorders>
              <w:top w:val="single" w:sz="8" w:color="2C6937"/>
            </w:tcBorders>
          </w:tcPr>
          <w:p>
            <w:pPr>
              <w:spacing w:after="0"/>
              <w:rPr>
                <w:sz w:val="15"/>
                <w:szCs w:val="15"/>
                <w:color w:val="auto"/>
              </w:rPr>
            </w:pPr>
          </w:p>
        </w:tc>
        <w:tc>
          <w:tcPr>
            <w:tcW w:w="2300" w:type="dxa"/>
            <w:vAlign w:val="bottom"/>
            <w:tcBorders>
              <w:top w:val="single" w:sz="8" w:color="2C6937"/>
            </w:tcBorders>
            <w:gridSpan w:val="4"/>
          </w:tcPr>
          <w:p>
            <w:pPr>
              <w:jc w:val="right"/>
              <w:ind w:right="143"/>
              <w:spacing w:after="0"/>
              <w:rPr>
                <w:sz w:val="20"/>
                <w:szCs w:val="20"/>
                <w:color w:val="auto"/>
              </w:rPr>
            </w:pPr>
            <w:r>
              <w:rPr>
                <w:rFonts w:ascii="Arial" w:cs="Arial" w:eastAsia="Arial" w:hAnsi="Arial"/>
                <w:sz w:val="15"/>
                <w:szCs w:val="15"/>
                <w:b w:val="1"/>
                <w:bCs w:val="1"/>
                <w:color w:val="auto"/>
              </w:rPr>
              <w:t>For the Nine Months Ended</w:t>
            </w:r>
          </w:p>
        </w:tc>
      </w:tr>
      <w:tr>
        <w:trPr>
          <w:trHeight w:val="206"/>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6"/>
          </w:tcPr>
          <w:p>
            <w:pPr>
              <w:jc w:val="center"/>
              <w:ind w:right="8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7"/>
                <w:szCs w:val="17"/>
                <w:color w:val="auto"/>
              </w:rPr>
            </w:pPr>
          </w:p>
        </w:tc>
        <w:tc>
          <w:tcPr>
            <w:tcW w:w="2300" w:type="dxa"/>
            <w:vAlign w:val="bottom"/>
            <w:gridSpan w:val="4"/>
          </w:tcPr>
          <w:p>
            <w:pPr>
              <w:jc w:val="right"/>
              <w:ind w:right="623"/>
              <w:spacing w:after="0"/>
              <w:rPr>
                <w:sz w:val="20"/>
                <w:szCs w:val="20"/>
                <w:color w:val="auto"/>
              </w:rPr>
            </w:pPr>
            <w:r>
              <w:rPr>
                <w:rFonts w:ascii="Arial" w:cs="Arial" w:eastAsia="Arial" w:hAnsi="Arial"/>
                <w:sz w:val="15"/>
                <w:szCs w:val="15"/>
                <w:b w:val="1"/>
                <w:bCs w:val="1"/>
                <w:color w:val="auto"/>
              </w:rPr>
              <w:t>September 30,</w:t>
            </w:r>
          </w:p>
        </w:tc>
      </w:tr>
      <w:tr>
        <w:trPr>
          <w:trHeight w:val="199"/>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2025</w:t>
            </w:r>
          </w:p>
        </w:tc>
        <w:tc>
          <w:tcPr>
            <w:tcW w:w="400" w:type="dxa"/>
            <w:vAlign w:val="bottom"/>
            <w:tcBorders>
              <w:top w:val="single" w:sz="8" w:color="2C6937"/>
              <w:bottom w:val="single" w:sz="8" w:color="2C6937"/>
            </w:tcBorders>
          </w:tcPr>
          <w:p>
            <w:pPr>
              <w:spacing w:after="0"/>
              <w:rPr>
                <w:sz w:val="17"/>
                <w:szCs w:val="17"/>
                <w:color w:val="auto"/>
              </w:rPr>
            </w:pPr>
          </w:p>
        </w:tc>
        <w:tc>
          <w:tcPr>
            <w:tcW w:w="100" w:type="dxa"/>
            <w:vAlign w:val="bottom"/>
            <w:tcBorders>
              <w:top w:val="single" w:sz="8" w:color="2C6937"/>
              <w:bottom w:val="single" w:sz="8" w:color="2C6937"/>
            </w:tcBorders>
          </w:tcPr>
          <w:p>
            <w:pPr>
              <w:spacing w:after="0"/>
              <w:rPr>
                <w:sz w:val="17"/>
                <w:szCs w:val="17"/>
                <w:color w:val="auto"/>
              </w:rPr>
            </w:pPr>
          </w:p>
        </w:tc>
        <w:tc>
          <w:tcPr>
            <w:tcW w:w="260" w:type="dxa"/>
            <w:vAlign w:val="bottom"/>
            <w:tcBorders>
              <w:top w:val="single" w:sz="8" w:color="2C6937"/>
              <w:bottom w:val="single" w:sz="8" w:color="2C6937"/>
            </w:tcBorders>
          </w:tcPr>
          <w:p>
            <w:pPr>
              <w:spacing w:after="0"/>
              <w:rPr>
                <w:sz w:val="17"/>
                <w:szCs w:val="17"/>
                <w:color w:val="auto"/>
              </w:rPr>
            </w:pPr>
          </w:p>
        </w:tc>
        <w:tc>
          <w:tcPr>
            <w:tcW w:w="920" w:type="dxa"/>
            <w:vAlign w:val="bottom"/>
            <w:tcBorders>
              <w:top w:val="single" w:sz="8" w:color="2C6937"/>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2024</w:t>
            </w:r>
          </w:p>
        </w:tc>
        <w:tc>
          <w:tcPr>
            <w:tcW w:w="80" w:type="dxa"/>
            <w:vAlign w:val="bottom"/>
            <w:tcBorders>
              <w:bottom w:val="single" w:sz="8" w:color="2C6937"/>
            </w:tcBorders>
          </w:tcPr>
          <w:p>
            <w:pPr>
              <w:spacing w:after="0"/>
              <w:rPr>
                <w:sz w:val="17"/>
                <w:szCs w:val="17"/>
                <w:color w:val="auto"/>
              </w:rPr>
            </w:pPr>
          </w:p>
        </w:tc>
        <w:tc>
          <w:tcPr>
            <w:tcW w:w="180" w:type="dxa"/>
            <w:vAlign w:val="bottom"/>
            <w:tcBorders>
              <w:top w:val="single" w:sz="8" w:color="2C6937"/>
              <w:bottom w:val="single" w:sz="8" w:color="2C6937"/>
            </w:tcBorders>
          </w:tcPr>
          <w:p>
            <w:pPr>
              <w:spacing w:after="0"/>
              <w:rPr>
                <w:sz w:val="17"/>
                <w:szCs w:val="17"/>
                <w:color w:val="auto"/>
              </w:rPr>
            </w:pPr>
          </w:p>
        </w:tc>
        <w:tc>
          <w:tcPr>
            <w:tcW w:w="1020" w:type="dxa"/>
            <w:vAlign w:val="bottom"/>
            <w:tcBorders>
              <w:top w:val="single" w:sz="8" w:color="2C6937"/>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top w:val="single" w:sz="8" w:color="2C6937"/>
              <w:bottom w:val="single" w:sz="8" w:color="2C6937"/>
            </w:tcBorders>
          </w:tcPr>
          <w:p>
            <w:pPr>
              <w:spacing w:after="0"/>
              <w:rPr>
                <w:sz w:val="17"/>
                <w:szCs w:val="17"/>
                <w:color w:val="auto"/>
              </w:rPr>
            </w:pPr>
          </w:p>
        </w:tc>
        <w:tc>
          <w:tcPr>
            <w:tcW w:w="280" w:type="dxa"/>
            <w:vAlign w:val="bottom"/>
            <w:tcBorders>
              <w:top w:val="single" w:sz="8" w:color="2C6937"/>
              <w:bottom w:val="single" w:sz="8" w:color="2C6937"/>
            </w:tcBorders>
          </w:tcPr>
          <w:p>
            <w:pPr>
              <w:spacing w:after="0"/>
              <w:rPr>
                <w:sz w:val="17"/>
                <w:szCs w:val="17"/>
                <w:color w:val="auto"/>
              </w:rPr>
            </w:pPr>
          </w:p>
        </w:tc>
        <w:tc>
          <w:tcPr>
            <w:tcW w:w="920" w:type="dxa"/>
            <w:vAlign w:val="bottom"/>
            <w:tcBorders>
              <w:top w:val="single" w:sz="8" w:color="2C6937"/>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2024</w:t>
            </w:r>
          </w:p>
        </w:tc>
      </w:tr>
      <w:tr>
        <w:trPr>
          <w:trHeight w:val="296"/>
        </w:trPr>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5"/>
          </w:tcPr>
          <w:p>
            <w:pPr>
              <w:ind w:left="260"/>
              <w:spacing w:after="0"/>
              <w:rPr>
                <w:sz w:val="20"/>
                <w:szCs w:val="20"/>
                <w:color w:val="auto"/>
              </w:rPr>
            </w:pPr>
            <w:r>
              <w:rPr>
                <w:rFonts w:ascii="Arial" w:cs="Arial" w:eastAsia="Arial" w:hAnsi="Arial"/>
                <w:sz w:val="15"/>
                <w:szCs w:val="15"/>
                <w:b w:val="1"/>
                <w:bCs w:val="1"/>
                <w:color w:val="auto"/>
              </w:rPr>
              <w:t>(Dollars in millions)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2"/>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Write-offs</w:t>
            </w:r>
          </w:p>
        </w:tc>
        <w:tc>
          <w:tcPr>
            <w:tcW w:w="780" w:type="dxa"/>
            <w:vAlign w:val="bottom"/>
          </w:tcPr>
          <w:p>
            <w:pPr>
              <w:jc w:val="right"/>
              <w:ind w:right="603"/>
              <w:spacing w:after="0"/>
              <w:rPr>
                <w:sz w:val="20"/>
                <w:szCs w:val="20"/>
                <w:color w:val="auto"/>
              </w:rPr>
            </w:pPr>
            <w:r>
              <w:rPr>
                <w:rFonts w:ascii="Arial" w:cs="Arial" w:eastAsia="Arial" w:hAnsi="Arial"/>
                <w:sz w:val="15"/>
                <w:szCs w:val="15"/>
                <w:b w:val="1"/>
                <w:bCs w:val="1"/>
                <w:color w:val="auto"/>
                <w:w w:val="95"/>
              </w:rPr>
              <w:t>$</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(143)</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(135)</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(407)</w:t>
            </w:r>
          </w:p>
        </w:tc>
        <w:tc>
          <w:tcPr>
            <w:tcW w:w="80" w:type="dxa"/>
            <w:vAlign w:val="bottom"/>
          </w:tcPr>
          <w:p>
            <w:pPr>
              <w:spacing w:after="0"/>
              <w:rPr>
                <w:sz w:val="24"/>
                <w:szCs w:val="24"/>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(357)</w:t>
            </w:r>
          </w:p>
        </w:tc>
      </w:tr>
      <w:tr>
        <w:trPr>
          <w:trHeight w:val="302"/>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Recoveries</w:t>
            </w: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48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b w:val="1"/>
                <w:bCs w:val="1"/>
                <w:color w:val="auto"/>
              </w:rPr>
              <w:t>134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184</w:t>
            </w:r>
          </w:p>
        </w:tc>
      </w:tr>
      <w:tr>
        <w:trPr>
          <w:trHeight w:val="208"/>
        </w:trPr>
        <w:tc>
          <w:tcPr>
            <w:tcW w:w="61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Foreclosed property income (expense)</w:t>
            </w:r>
          </w:p>
        </w:tc>
        <w:tc>
          <w:tcPr>
            <w:tcW w:w="100" w:type="dxa"/>
            <w:vAlign w:val="bottom"/>
          </w:tcPr>
          <w:p>
            <w:pPr>
              <w:spacing w:after="0"/>
              <w:rPr>
                <w:sz w:val="18"/>
                <w:szCs w:val="18"/>
                <w:color w:val="auto"/>
              </w:rPr>
            </w:pPr>
          </w:p>
        </w:tc>
        <w:tc>
          <w:tcPr>
            <w:tcW w:w="780" w:type="dxa"/>
            <w:vAlign w:val="bottom"/>
            <w:tcBorders>
              <w:bottom w:val="single" w:sz="8" w:color="2C6937"/>
            </w:tcBorders>
          </w:tcPr>
          <w:p>
            <w:pPr>
              <w:spacing w:after="0"/>
              <w:rPr>
                <w:sz w:val="18"/>
                <w:szCs w:val="18"/>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(43)</w:t>
            </w: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(198)</w:t>
            </w:r>
          </w:p>
        </w:tc>
        <w:tc>
          <w:tcPr>
            <w:tcW w:w="8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(294)</w:t>
            </w:r>
          </w:p>
        </w:tc>
      </w:tr>
      <w:tr>
        <w:trPr>
          <w:trHeight w:val="309"/>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Credit gains (losses)</w:t>
            </w: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(138)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(471)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(467)</w:t>
            </w:r>
          </w:p>
        </w:tc>
      </w:tr>
      <w:tr>
        <w:trPr>
          <w:trHeight w:val="303"/>
        </w:trPr>
        <w:tc>
          <w:tcPr>
            <w:tcW w:w="61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Write-offs on the redesignation of mortgage loans from HFI to HFS</w:t>
            </w:r>
            <w:r>
              <w:rPr>
                <w:rFonts w:ascii="Arial" w:cs="Arial" w:eastAsia="Arial" w:hAnsi="Arial"/>
                <w:sz w:val="20"/>
                <w:szCs w:val="20"/>
                <w:color w:val="auto"/>
                <w:vertAlign w:val="superscript"/>
              </w:rPr>
              <w:t>(1)</w:t>
            </w:r>
          </w:p>
        </w:tc>
        <w:tc>
          <w:tcPr>
            <w:tcW w:w="100" w:type="dxa"/>
            <w:vAlign w:val="bottom"/>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(97)</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(101)</w:t>
            </w:r>
          </w:p>
        </w:tc>
        <w:tc>
          <w:tcPr>
            <w:tcW w:w="8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(187)</w:t>
            </w:r>
          </w:p>
        </w:tc>
        <w:tc>
          <w:tcPr>
            <w:tcW w:w="8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(139)</w:t>
            </w:r>
          </w:p>
        </w:tc>
      </w:tr>
      <w:tr>
        <w:trPr>
          <w:trHeight w:val="231"/>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Net credit gains (losses) and write-offs on redesignations</w:t>
            </w: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(235)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(658)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(606)</w:t>
            </w:r>
          </w:p>
        </w:tc>
      </w:tr>
      <w:tr>
        <w:trPr>
          <w:trHeight w:val="303"/>
        </w:trPr>
        <w:tc>
          <w:tcPr>
            <w:tcW w:w="61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Gains (losses) on sales and other valuation adjustments</w:t>
            </w:r>
            <w:r>
              <w:rPr>
                <w:rFonts w:ascii="Arial" w:cs="Arial" w:eastAsia="Arial" w:hAnsi="Arial"/>
                <w:sz w:val="20"/>
                <w:szCs w:val="20"/>
                <w:color w:val="auto"/>
                <w:vertAlign w:val="superscript"/>
              </w:rPr>
              <w:t>(2)</w:t>
            </w:r>
          </w:p>
        </w:tc>
        <w:tc>
          <w:tcPr>
            <w:tcW w:w="100" w:type="dxa"/>
            <w:vAlign w:val="bottom"/>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(14)</w:t>
            </w:r>
          </w:p>
        </w:tc>
        <w:tc>
          <w:tcPr>
            <w:tcW w:w="80" w:type="dxa"/>
            <w:vAlign w:val="bottom"/>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9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w:t>
            </w:r>
          </w:p>
        </w:tc>
      </w:tr>
      <w:tr>
        <w:trPr>
          <w:trHeight w:val="187"/>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Net credit gains (losses), write-offs on redesignations and gains (losses) on sales and</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1"/>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other valuation adjustments</w:t>
            </w:r>
          </w:p>
        </w:tc>
        <w:tc>
          <w:tcPr>
            <w:tcW w:w="780" w:type="dxa"/>
            <w:vAlign w:val="bottom"/>
          </w:tcPr>
          <w:p>
            <w:pPr>
              <w:jc w:val="right"/>
              <w:ind w:right="603"/>
              <w:spacing w:after="0"/>
              <w:rPr>
                <w:sz w:val="20"/>
                <w:szCs w:val="20"/>
                <w:color w:val="auto"/>
              </w:rPr>
            </w:pPr>
            <w:r>
              <w:rPr>
                <w:rFonts w:ascii="Arial" w:cs="Arial" w:eastAsia="Arial" w:hAnsi="Arial"/>
                <w:sz w:val="15"/>
                <w:szCs w:val="15"/>
                <w:b w:val="1"/>
                <w:bCs w:val="1"/>
                <w:color w:val="auto"/>
                <w:w w:val="95"/>
              </w:rPr>
              <w:t>$</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(237)</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(310)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(672)</w:t>
            </w:r>
          </w:p>
        </w:tc>
        <w:tc>
          <w:tcPr>
            <w:tcW w:w="80" w:type="dxa"/>
            <w:vAlign w:val="bottom"/>
          </w:tcPr>
          <w:p>
            <w:pPr>
              <w:spacing w:after="0"/>
              <w:rPr>
                <w:sz w:val="20"/>
                <w:szCs w:val="20"/>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(619)</w:t>
            </w:r>
          </w:p>
        </w:tc>
      </w:tr>
      <w:tr>
        <w:trPr>
          <w:trHeight w:val="20"/>
        </w:trPr>
        <w:tc>
          <w:tcPr>
            <w:tcW w:w="6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r>
      <w:tr>
        <w:trPr>
          <w:trHeight w:val="469"/>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80"/>
        </w:trPr>
        <w:tc>
          <w:tcPr>
            <w:tcW w:w="6220" w:type="dxa"/>
            <w:vAlign w:val="bottom"/>
            <w:gridSpan w:val="2"/>
          </w:tcPr>
          <w:p>
            <w:pPr>
              <w:ind w:left="20"/>
              <w:spacing w:after="0"/>
              <w:rPr>
                <w:sz w:val="20"/>
                <w:szCs w:val="20"/>
                <w:color w:val="auto"/>
              </w:rPr>
            </w:pPr>
            <w:r>
              <w:rPr>
                <w:rFonts w:ascii="Arial" w:cs="Arial" w:eastAsia="Arial" w:hAnsi="Arial"/>
                <w:sz w:val="15"/>
                <w:szCs w:val="15"/>
                <w:color w:val="auto"/>
              </w:rPr>
              <w:t>Net credit gains (losses), write-offs on redesignations and gains (losses) on sales and</w:t>
            </w: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1"/>
        </w:trPr>
        <w:tc>
          <w:tcPr>
            <w:tcW w:w="6220" w:type="dxa"/>
            <w:vAlign w:val="bottom"/>
            <w:gridSpan w:val="2"/>
          </w:tcPr>
          <w:p>
            <w:pPr>
              <w:ind w:left="180"/>
              <w:spacing w:after="0"/>
              <w:rPr>
                <w:sz w:val="20"/>
                <w:szCs w:val="20"/>
                <w:color w:val="auto"/>
              </w:rPr>
            </w:pPr>
            <w:r>
              <w:rPr>
                <w:rFonts w:ascii="Arial" w:cs="Arial" w:eastAsia="Arial" w:hAnsi="Arial"/>
                <w:sz w:val="15"/>
                <w:szCs w:val="15"/>
                <w:color w:val="auto"/>
              </w:rPr>
              <w:t>other valuation adjustments ratio (in bps)</w:t>
            </w:r>
            <w:r>
              <w:rPr>
                <w:rFonts w:ascii="Arial" w:cs="Arial" w:eastAsia="Arial" w:hAnsi="Arial"/>
                <w:sz w:val="20"/>
                <w:szCs w:val="20"/>
                <w:color w:val="auto"/>
                <w:vertAlign w:val="superscript"/>
              </w:rPr>
              <w:t>(4)</w:t>
            </w:r>
          </w:p>
        </w:tc>
        <w:tc>
          <w:tcPr>
            <w:tcW w:w="7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w:t>
            </w:r>
          </w:p>
        </w:tc>
      </w:tr>
    </w:tbl>
    <w:p>
      <w:pPr>
        <w:spacing w:after="0" w:line="42" w:lineRule="exact"/>
        <w:rPr>
          <w:sz w:val="20"/>
          <w:szCs w:val="20"/>
          <w:color w:val="auto"/>
        </w:rPr>
      </w:pPr>
    </w:p>
    <w:p>
      <w:pPr>
        <w:ind w:left="220" w:hanging="217"/>
        <w:spacing w:after="0"/>
        <w:tabs>
          <w:tab w:leader="none" w:pos="2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Consists of the lower of cost or fair value adjustment at time of redesignation.</w:t>
      </w:r>
    </w:p>
    <w:p>
      <w:pPr>
        <w:spacing w:after="0" w:line="37" w:lineRule="exact"/>
        <w:rPr>
          <w:rFonts w:ascii="Arial" w:cs="Arial" w:eastAsia="Arial" w:hAnsi="Arial"/>
          <w:sz w:val="18"/>
          <w:szCs w:val="18"/>
          <w:color w:val="auto"/>
          <w:vertAlign w:val="superscript"/>
        </w:rPr>
      </w:pPr>
    </w:p>
    <w:p>
      <w:pPr>
        <w:ind w:left="240" w:right="200" w:hanging="237"/>
        <w:spacing w:after="0" w:line="219" w:lineRule="auto"/>
        <w:tabs>
          <w:tab w:leader="none" w:pos="233"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Consists of gains or losses realized on the sales of nonperforming and reperforming mortgage loans during the period and temporary lower-of-cost-or-market adjustments on HFS loans, which are recognized in “Investment gains (losses), net” in our condensed consolidated statements of operations and comprehensive income.</w:t>
      </w:r>
    </w:p>
    <w:p>
      <w:pPr>
        <w:ind w:left="220" w:hanging="217"/>
        <w:spacing w:after="0"/>
        <w:tabs>
          <w:tab w:leader="none" w:pos="2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divided by the average single-family conventional guaranty book of business during the period.</w:t>
      </w:r>
    </w:p>
    <w:p>
      <w:pPr>
        <w:spacing w:after="0" w:line="37" w:lineRule="exact"/>
        <w:rPr>
          <w:rFonts w:ascii="Arial" w:cs="Arial" w:eastAsia="Arial" w:hAnsi="Arial"/>
          <w:sz w:val="18"/>
          <w:szCs w:val="18"/>
          <w:color w:val="auto"/>
          <w:vertAlign w:val="superscript"/>
        </w:rPr>
      </w:pPr>
    </w:p>
    <w:p>
      <w:pPr>
        <w:ind w:left="240" w:right="240" w:hanging="237"/>
        <w:spacing w:after="0" w:line="210" w:lineRule="auto"/>
        <w:tabs>
          <w:tab w:leader="none" w:pos="233"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“Net credit gains (losses), write-offs on redesignations and gains (losses) on sales and other valuation adjustments” divided by the average single-family conventional guaranty book of business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8" w:name="page39"/>
    <w:bookmarkEnd w:id="38"/>
    <w:p>
      <w:pPr>
        <w:ind w:left="7520"/>
        <w:spacing w:after="0"/>
        <w:rPr>
          <w:sz w:val="20"/>
          <w:szCs w:val="20"/>
          <w:color w:val="auto"/>
        </w:rPr>
      </w:pPr>
      <w:r>
        <w:rPr>
          <w:rFonts w:ascii="Arial" w:cs="Arial" w:eastAsia="Arial" w:hAnsi="Arial"/>
          <w:sz w:val="14"/>
          <w:szCs w:val="14"/>
          <w:color w:val="05314D"/>
        </w:rPr>
        <w:t>MD&amp;A | Multifamily Business | Multifamily Mortgage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Multifamily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This section supplements and updates information regarding our Multifamily business segment in our 2024 Form 10-K. See “MD&amp;A—Multifamily Business” in our 2024 Form 10-K for additional information regarding the primary business activities, lenders, investors and competition of our Multifamily business.</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LIHTC Investment Limit Increase</w:t>
      </w:r>
    </w:p>
    <w:p>
      <w:pPr>
        <w:spacing w:after="0" w:line="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We make equity investments in low income housing tax credit (“LIHTC”) partnerships that support the creation and preservation of affordable rental housing units throughout the country, as described in our 2024 Form 10-K in “MD&amp;A—Multifamily Business—Multifamily Primary Business Activities—Multifamily Activities Supporting Affordable Rental Housing—Equity Investments in Low Income Housing Tax Credit Projects.” On August 5, 2025, FHFA doubled our annual LIHTC investment limit from $1 billion to $2 billion. The increase in the LIHTC investment limit enables us to expand support for Duty to Serve-designated rural areas by directing additional equity capital to underserved and rural communities, enhancing affordable housing development in areas with limited access to traditional financing.</w:t>
      </w:r>
    </w:p>
    <w:p>
      <w:pPr>
        <w:spacing w:after="0" w:line="8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Mortgage Market</w:t>
      </w:r>
    </w:p>
    <w:p>
      <w:pPr>
        <w:spacing w:after="0" w:line="63" w:lineRule="exact"/>
        <w:rPr>
          <w:sz w:val="20"/>
          <w:szCs w:val="20"/>
          <w:color w:val="auto"/>
        </w:rPr>
      </w:pPr>
    </w:p>
    <w:p>
      <w:pPr>
        <w:jc w:val="both"/>
        <w:ind w:right="440"/>
        <w:spacing w:after="0" w:line="281" w:lineRule="auto"/>
        <w:rPr>
          <w:sz w:val="20"/>
          <w:szCs w:val="20"/>
          <w:color w:val="auto"/>
        </w:rPr>
      </w:pPr>
      <w:r>
        <w:rPr>
          <w:rFonts w:ascii="Arial" w:cs="Arial" w:eastAsia="Arial" w:hAnsi="Arial"/>
          <w:sz w:val="16"/>
          <w:szCs w:val="16"/>
          <w:color w:val="auto"/>
        </w:rPr>
        <w:t>The multifamily market saw rental demand slow moderately along with continued elevated levels of new supply entering markets in the third quarter of 2025. Modestly decreasing interest rates were associated with an increase in multifamily property sales transactions, but property valuations declined slightly during the quarter.</w:t>
      </w:r>
    </w:p>
    <w:p>
      <w:pPr>
        <w:spacing w:after="0" w:line="24" w:lineRule="exact"/>
        <w:rPr>
          <w:sz w:val="20"/>
          <w:szCs w:val="20"/>
          <w:color w:val="auto"/>
        </w:rPr>
      </w:pPr>
    </w:p>
    <w:p>
      <w:pPr>
        <w:ind w:left="620" w:right="100" w:hanging="307"/>
        <w:spacing w:after="0" w:line="272"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Vacancy rates</w:t>
      </w:r>
      <w:r>
        <w:rPr>
          <w:rFonts w:ascii="Arial" w:cs="Arial" w:eastAsia="Arial" w:hAnsi="Arial"/>
          <w:sz w:val="16"/>
          <w:szCs w:val="16"/>
          <w:color w:val="auto"/>
        </w:rPr>
        <w:t>. Based on preliminary data from Moody’s Analytics, the national multifamily vacancy rate for institutional investment-type apartment</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remained steady at around 6.5% as of September 30, 2025, compared with 6.5% as of June 30, 2025, and up from 6.1% as of September 30, 2024. The estimated average national multifamily vacancy rate over the last 15 years is approximately 5.1%.</w:t>
      </w:r>
    </w:p>
    <w:p>
      <w:pPr>
        <w:spacing w:after="0" w:line="31" w:lineRule="exact"/>
        <w:rPr>
          <w:rFonts w:ascii="Arial" w:cs="Arial" w:eastAsia="Arial" w:hAnsi="Arial"/>
          <w:sz w:val="16"/>
          <w:szCs w:val="16"/>
          <w:color w:val="auto"/>
        </w:rPr>
      </w:pPr>
    </w:p>
    <w:p>
      <w:pPr>
        <w:ind w:left="620" w:right="100" w:hanging="307"/>
        <w:spacing w:after="0" w:line="281"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Rents</w:t>
      </w:r>
      <w:r>
        <w:rPr>
          <w:rFonts w:ascii="Arial" w:cs="Arial" w:eastAsia="Arial" w:hAnsi="Arial"/>
          <w:sz w:val="16"/>
          <w:szCs w:val="16"/>
          <w:color w:val="auto"/>
        </w:rPr>
        <w:t>. Based on preliminary Moody’s Analytics data, effective rents decreased approximately 0.1% during the third quarter of 2025,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of 0.8% during the second quarter of 2025 and 0.5% during the third quarter of 2024. Effective rents have increased 1.2% from the third quarter of 2024.</w:t>
      </w:r>
    </w:p>
    <w:p>
      <w:pPr>
        <w:spacing w:after="0" w:line="24" w:lineRule="exact"/>
        <w:rPr>
          <w:rFonts w:ascii="Arial" w:cs="Arial" w:eastAsia="Arial" w:hAnsi="Arial"/>
          <w:sz w:val="16"/>
          <w:szCs w:val="16"/>
          <w:color w:val="auto"/>
        </w:rPr>
      </w:pPr>
    </w:p>
    <w:p>
      <w:pPr>
        <w:ind w:left="620" w:hanging="307"/>
        <w:spacing w:after="0" w:line="272"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Absorption</w:t>
      </w:r>
      <w:r>
        <w:rPr>
          <w:rFonts w:ascii="Arial" w:cs="Arial" w:eastAsia="Arial" w:hAnsi="Arial"/>
          <w:sz w:val="16"/>
          <w:szCs w:val="16"/>
          <w:color w:val="auto"/>
        </w:rPr>
        <w:t>. Absorption of new and existing multifamily rental units declined in the third quarter of 2025. Based on preliminary Moody’s Analytics</w:t>
      </w:r>
      <w:r>
        <w:rPr>
          <w:rFonts w:ascii="Arial" w:cs="Arial" w:eastAsia="Arial" w:hAnsi="Arial"/>
          <w:sz w:val="16"/>
          <w:szCs w:val="16"/>
          <w:i w:val="1"/>
          <w:iCs w:val="1"/>
          <w:color w:val="auto"/>
        </w:rPr>
        <w:t xml:space="preserve"> </w:t>
      </w:r>
      <w:r>
        <w:rPr>
          <w:rFonts w:ascii="Arial" w:cs="Arial" w:eastAsia="Arial" w:hAnsi="Arial"/>
          <w:sz w:val="16"/>
          <w:szCs w:val="16"/>
          <w:color w:val="auto"/>
        </w:rPr>
        <w:t>data, absorption for the three-months ended August 2025 declined 33% compared with the three-months ended May 2025 and 39% compared with the three-months ended August 2024.</w:t>
      </w:r>
    </w:p>
    <w:p>
      <w:pPr>
        <w:spacing w:after="0" w:line="31" w:lineRule="exact"/>
        <w:rPr>
          <w:rFonts w:ascii="Arial" w:cs="Arial" w:eastAsia="Arial" w:hAnsi="Arial"/>
          <w:sz w:val="16"/>
          <w:szCs w:val="16"/>
          <w:color w:val="auto"/>
        </w:rPr>
      </w:pPr>
    </w:p>
    <w:p>
      <w:pPr>
        <w:jc w:val="both"/>
        <w:ind w:left="620" w:right="400" w:hanging="307"/>
        <w:spacing w:after="0" w:line="281"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Property sales volumes. </w:t>
      </w:r>
      <w:r>
        <w:rPr>
          <w:rFonts w:ascii="Arial" w:cs="Arial" w:eastAsia="Arial" w:hAnsi="Arial"/>
          <w:sz w:val="16"/>
          <w:szCs w:val="16"/>
          <w:color w:val="auto"/>
        </w:rPr>
        <w:t>Based on preliminary MSCI RCA data, multifamily property sales for the first nine months of 2025 were $111.2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higher than the volume during the same period in 2024, but remaining below the 2015 to 2019 average levels of $117 billion for the first three quarters of the year.</w:t>
      </w:r>
    </w:p>
    <w:p>
      <w:pPr>
        <w:spacing w:after="0" w:line="24" w:lineRule="exact"/>
        <w:rPr>
          <w:rFonts w:ascii="Arial" w:cs="Arial" w:eastAsia="Arial" w:hAnsi="Arial"/>
          <w:sz w:val="16"/>
          <w:szCs w:val="16"/>
          <w:color w:val="auto"/>
        </w:rPr>
      </w:pPr>
    </w:p>
    <w:p>
      <w:pPr>
        <w:ind w:left="620" w:right="60" w:hanging="307"/>
        <w:spacing w:after="0" w:line="237"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Property values. </w:t>
      </w:r>
      <w:r>
        <w:rPr>
          <w:rFonts w:ascii="Arial" w:cs="Arial" w:eastAsia="Arial" w:hAnsi="Arial"/>
          <w:sz w:val="16"/>
          <w:szCs w:val="16"/>
          <w:color w:val="auto"/>
        </w:rPr>
        <w:t>According to data from the MSCI RCA Commercial Property Price Index (“RCA CPPI</w:t>
      </w:r>
      <w:r>
        <w:rPr>
          <w:rFonts w:ascii="Arial" w:cs="Arial" w:eastAsia="Arial" w:hAnsi="Arial"/>
          <w:sz w:val="21"/>
          <w:szCs w:val="21"/>
          <w:color w:val="auto"/>
          <w:vertAlign w:val="superscript"/>
        </w:rPr>
        <w:t>TM</w:t>
      </w:r>
      <w:r>
        <w:rPr>
          <w:rFonts w:ascii="Arial" w:cs="Arial" w:eastAsia="Arial" w:hAnsi="Arial"/>
          <w:sz w:val="16"/>
          <w:szCs w:val="16"/>
          <w:color w:val="auto"/>
        </w:rPr>
        <w:t>”), multifamily property values declined</w:t>
      </w:r>
      <w:r>
        <w:rPr>
          <w:rFonts w:ascii="Arial" w:cs="Arial" w:eastAsia="Arial" w:hAnsi="Arial"/>
          <w:sz w:val="16"/>
          <w:szCs w:val="16"/>
          <w:i w:val="1"/>
          <w:iCs w:val="1"/>
          <w:color w:val="auto"/>
        </w:rPr>
        <w:t xml:space="preserve"> </w:t>
      </w:r>
      <w:r>
        <w:rPr>
          <w:rFonts w:ascii="Arial" w:cs="Arial" w:eastAsia="Arial" w:hAnsi="Arial"/>
          <w:sz w:val="16"/>
          <w:szCs w:val="16"/>
          <w:color w:val="auto"/>
        </w:rPr>
        <w:t>19% from their peak in the second quarter of 2022 to the third quarter of 2025. Property values decreased less than 1% from the second quarter to the third quarter of 2025.</w:t>
      </w:r>
    </w:p>
    <w:p>
      <w:pPr>
        <w:spacing w:after="0" w:line="69" w:lineRule="exact"/>
        <w:rPr>
          <w:sz w:val="20"/>
          <w:szCs w:val="20"/>
          <w:color w:val="auto"/>
        </w:rPr>
      </w:pPr>
    </w:p>
    <w:p>
      <w:pPr>
        <w:jc w:val="both"/>
        <w:ind w:right="60"/>
        <w:spacing w:after="0" w:line="272" w:lineRule="auto"/>
        <w:rPr>
          <w:sz w:val="20"/>
          <w:szCs w:val="20"/>
          <w:color w:val="auto"/>
        </w:rPr>
      </w:pPr>
      <w:r>
        <w:rPr>
          <w:rFonts w:ascii="Arial" w:cs="Arial" w:eastAsia="Arial" w:hAnsi="Arial"/>
          <w:sz w:val="16"/>
          <w:szCs w:val="16"/>
          <w:color w:val="auto"/>
        </w:rPr>
        <w:t>Vacancy rates and rents are important to loan performance because multifamily loans are generally repaid from the cash flows generated by the underlying property. Several years of strong property fundamentals, low vacancy rates and rising rents helped to increase property values in most metropolitan areas, but that rent growth and vacancy rate trend reversed starting in early 2023.</w:t>
      </w:r>
    </w:p>
    <w:p>
      <w:pPr>
        <w:spacing w:after="0" w:line="3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estimate that more than 600,000 multifamily rental units were delivered to the U.S. housing market in 2024, which is well above the past 10-year average of 409,000 units delivered annually. Additionally, there were approximately 817,000 multifamily rental units underway as of August 2025, and based on recent historical trends we expect between 450,000 and 500,000 units will be completed in 2025.</w:t>
      </w:r>
    </w:p>
    <w:p>
      <w:pPr>
        <w:spacing w:after="0" w:line="2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Despite elevated levels of new supply, we expect vacancy rates will remain generally steady for the remainder of 2025, and we expect cumulative rent growth below 2.0% for the year if renter household formation continues at its recent pace and elevated single-family housing prices in many places continue to keep a number of tenants renting longer. If job growth slows substantially, lower demand could push up vacancies and limit rent growth potential.</w:t>
      </w:r>
    </w:p>
    <w:p>
      <w:pPr>
        <w:spacing w:after="0" w:line="3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Property value is important to credit quality because when a multifamily loan matures, a borrower may be required to make up any value shortfalls if the value estimate has declined below the unpaid principal balance and the borrower needs new financing for the property. A borrower may default on its loan if the unpaid principal balance of the loan is significantly higher than the current property value.</w:t>
      </w:r>
    </w:p>
    <w:p>
      <w:pPr>
        <w:spacing w:after="0" w:line="24"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Multifamily property capitalization rates, the indicated rate of return on investment for commercial properties sold during the quarter, were estimated at 5.6% in the third quarter of 2025, up slightly from the second quarter of 2025, but the same level as in the third quarter of 2024. Multifamily capitalization rates increased substantially between the first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36</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39" w:name="page40"/>
    <w:bookmarkEnd w:id="39"/>
    <w:p>
      <w:pPr>
        <w:ind w:left="7420"/>
        <w:spacing w:after="0"/>
        <w:rPr>
          <w:sz w:val="20"/>
          <w:szCs w:val="20"/>
          <w:color w:val="auto"/>
        </w:rPr>
      </w:pPr>
      <w:r>
        <w:rPr>
          <w:rFonts w:ascii="Arial" w:cs="Arial" w:eastAsia="Arial" w:hAnsi="Arial"/>
          <w:sz w:val="14"/>
          <w:szCs w:val="14"/>
          <w:color w:val="05314D"/>
        </w:rPr>
        <w:t>MD&amp;A | Multifamily Business | Multifamily Mortgage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96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120"/>
        <w:spacing w:after="0" w:line="293" w:lineRule="auto"/>
        <w:rPr>
          <w:sz w:val="20"/>
          <w:szCs w:val="20"/>
          <w:color w:val="auto"/>
        </w:rPr>
      </w:pPr>
      <w:r>
        <w:rPr>
          <w:rFonts w:ascii="Arial" w:cs="Arial" w:eastAsia="Arial" w:hAnsi="Arial"/>
          <w:sz w:val="16"/>
          <w:szCs w:val="16"/>
          <w:color w:val="auto"/>
        </w:rPr>
        <w:t>quarter of 2022 and 2024 but have averaged around 5.5% since then, with the spread between multifamily capitalization rates and 10-year Treasury rates, which is an important consideration for commercial real estate investors, remaining significantly narrower than the spread that was observed prior to 2022.</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Business Metrics</w:t>
      </w:r>
    </w:p>
    <w:p>
      <w:pPr>
        <w:spacing w:after="0" w:line="11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New Business Volume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displays our new multifamily loan acquisitions by unpaid principal balance and number of units financed.</w:t>
      </w:r>
    </w:p>
    <w:p>
      <w:pPr>
        <w:spacing w:after="0" w:line="178"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Multifamily New Business Volume</w:t>
      </w:r>
    </w:p>
    <w:p>
      <w:pPr>
        <w:spacing w:after="0" w:line="1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212090</wp:posOffset>
            </wp:positionV>
            <wp:extent cx="5460365" cy="16370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6036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40" w:hanging="237"/>
        <w:spacing w:after="0" w:line="233" w:lineRule="auto"/>
        <w:tabs>
          <w:tab w:leader="none" w:pos="233"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Reflects unpaid principal balance of new multifamily loans securitized or purchased as well as credit enhancements provided during the period. These figures will not agree to Fannie Mae MBS issued during the period, as Fannie Mae MBS issued also include portfolio securitizations and certain conversions that result in a new Fannie Mae MBS issuance without a newly created loan and exclude bond or mortgage loan credit enhancements.</w:t>
      </w:r>
    </w:p>
    <w:p>
      <w:pPr>
        <w:spacing w:after="0" w:line="2"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Reflects new units financed by first liens and excludes manufactured housing rentals.</w:t>
      </w:r>
    </w:p>
    <w:p>
      <w:pPr>
        <w:spacing w:after="0" w:line="53"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Multifamily business volumes increased by 47% in the first nine months of 2025 compared with the first nine months of 2024, primarily reflecting increased market activity. For 2025, FHFA has capped our multifamily loan purchases at $73 billion. FHFA has exempted from the volume cap loans financing workforce housing properties meeting specified criteria that preserve long-term affordability for the properties.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37</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0" w:name="page41"/>
    <w:bookmarkEnd w:id="40"/>
    <w:p>
      <w:pPr>
        <w:ind w:left="7520"/>
        <w:spacing w:after="0"/>
        <w:rPr>
          <w:sz w:val="20"/>
          <w:szCs w:val="20"/>
          <w:color w:val="auto"/>
        </w:rPr>
      </w:pPr>
      <w:r>
        <w:rPr>
          <w:rFonts w:ascii="Arial" w:cs="Arial" w:eastAsia="Arial" w:hAnsi="Arial"/>
          <w:sz w:val="14"/>
          <w:szCs w:val="14"/>
          <w:color w:val="05314D"/>
        </w:rPr>
        <w:t>MD&amp;A | Multifamily Business | Multifamily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Guaranty Book of Business and Average Charged Guaranty Fee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displays the unpaid principal balance and average charged guaranty fee related to our multifamily guaranty book of business.</w:t>
      </w:r>
    </w:p>
    <w:p>
      <w:pPr>
        <w:spacing w:after="0" w:line="126"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 xml:space="preserve">Multifamily Guaranty Book of Business </w:t>
      </w:r>
      <w:r>
        <w:rPr>
          <w:rFonts w:ascii="Georgia" w:cs="Georgia" w:eastAsia="Georgia" w:hAnsi="Georgia"/>
          <w:sz w:val="19"/>
          <w:szCs w:val="19"/>
          <w:b w:val="1"/>
          <w:bCs w:val="1"/>
          <w:color w:val="05314D"/>
        </w:rPr>
        <w:t>and Charged Fee</w:t>
      </w:r>
    </w:p>
    <w:p>
      <w:pPr>
        <w:spacing w:after="0" w:line="3" w:lineRule="exact"/>
        <w:rPr>
          <w:sz w:val="20"/>
          <w:szCs w:val="20"/>
          <w:color w:val="auto"/>
        </w:rPr>
      </w:pPr>
    </w:p>
    <w:p>
      <w:pPr>
        <w:jc w:val="center"/>
        <w:spacing w:after="0"/>
        <w:rPr>
          <w:sz w:val="20"/>
          <w:szCs w:val="20"/>
          <w:color w:val="auto"/>
        </w:rPr>
      </w:pPr>
      <w:r>
        <w:rPr>
          <w:rFonts w:ascii="Georgia" w:cs="Georgia" w:eastAsia="Georgia" w:hAnsi="Georgia"/>
          <w:sz w:val="19"/>
          <w:szCs w:val="19"/>
          <w:b w:val="1"/>
          <w:bCs w:val="1"/>
          <w:color w:val="001543"/>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64770</wp:posOffset>
            </wp:positionV>
            <wp:extent cx="5501005" cy="1964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01005" cy="196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240" w:right="100" w:hanging="237"/>
        <w:spacing w:after="0" w:line="228" w:lineRule="auto"/>
        <w:tabs>
          <w:tab w:leader="none" w:pos="233"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Our multifamily guaranty book of business primarily consists of multifamily mortgage loans underlying Fannie Mae MBS outstanding, multifamily mortgage loans of Fannie Mae held in our retained mortgage portfolio, and other credit enhancements that we provide on multifamily mortgage assets. It does not include non-Fannie Mae multifamily mortgage-related securities held in our retained mortgage portfolio for which we do not provide a guaranty.</w:t>
      </w:r>
    </w:p>
    <w:p>
      <w:pPr>
        <w:spacing w:after="0" w:line="5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multifamily guaranty book of business grew to $521.3 billion as of September 30, 2025, a 7.3% increase from September 30, 2024. The average charged guaranty fee on our multifamily guaranty book of business decreased 2.7 bps as of September 30, 2025 compared with September 30, 2024, due to lower average charged fees on our acquisitions for the fourth quarter of 2024 and the first nine months of 2025 as compared with loans in our multifamily guaranty book of business as of September 30, 2024. For additional information regarding our average charged guaranty fee, see “MD&amp;A—Multifamily Business—Multifamily Business Metrics—Multifamily Guaranty Book of Business and Average Charged Guaranty Fee” in our 2024 Form 10-K.</w:t>
      </w:r>
    </w:p>
    <w:p>
      <w:pPr>
        <w:spacing w:after="0" w:line="84"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Multifamily Mortgage Credit Risk Management</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This section supplements and updates our discussion of multifamily mortgage credit risk management in our 2024 Form 10-K in “MD&amp;A—Multifamily Business—Multifamily Mortgage Credit Risk Management.” For additional information on the primary components of our strategy for managing multifamily credit risk, the factors that influence the credit risk profile of our multifamily guaranty book of business, our multifamily acquisition policy and underwriting standards, our multifamily guaranty book diversification and monitoring, and our transfer of multifamily mortgage credit risk, as well as our reliance on representations from lenders and servicers regarding the accuracy of credit information on loans in our guaranty book of business, see the discussion in our 2024 Form 10-K.</w:t>
      </w:r>
    </w:p>
    <w:p>
      <w:pPr>
        <w:spacing w:after="0" w:line="80"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Guaranty Book Diversification and Monitoring</w:t>
      </w:r>
    </w:p>
    <w:p>
      <w:pPr>
        <w:spacing w:after="0" w:line="80"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The following table displays our multifamily business volumes and our multifamily guaranty book of business, based on certain key risk characteristics that we use to evaluate the risk profile and credit quality of our multifamily loans. For additional information on our multifamily guaranty book diversification and monitoring see “MD&amp;A—Multifamily Business—Multifamily Mortgage Credit Risk Management—Multifamily Guaranty Book Diversification and Monitoring” in our 2024 Form 10-K.</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38</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1" w:name="page42"/>
    <w:bookmarkEnd w:id="41"/>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200"/>
        <w:spacing w:after="0" w:line="272" w:lineRule="auto"/>
        <w:rPr>
          <w:sz w:val="20"/>
          <w:szCs w:val="20"/>
          <w:color w:val="auto"/>
        </w:rPr>
      </w:pPr>
      <w:r>
        <w:rPr>
          <w:rFonts w:ascii="Arial" w:cs="Arial" w:eastAsia="Arial" w:hAnsi="Arial"/>
          <w:sz w:val="16"/>
          <w:szCs w:val="16"/>
          <w:color w:val="auto"/>
        </w:rPr>
        <w:t>We provide additional information on the credit characteristics of our multifamily loans in our quarterly earnings presentations and financial supplements, which we furnish to the SEC with current reports on Form 8-K and make available on our website. Information in our quarterly earnings presentations and financial supplements is not incorporated by reference into this report.</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Key Risk Characteristics of Multifamily Business Volume and Guaranty Book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22160"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20" w:type="dxa"/>
            <w:vAlign w:val="bottom"/>
            <w:gridSpan w:val="9"/>
          </w:tcPr>
          <w:p>
            <w:pPr>
              <w:jc w:val="center"/>
              <w:ind w:left="11"/>
              <w:spacing w:after="0"/>
              <w:rPr>
                <w:sz w:val="20"/>
                <w:szCs w:val="20"/>
                <w:color w:val="auto"/>
              </w:rPr>
            </w:pPr>
            <w:r>
              <w:rPr>
                <w:rFonts w:ascii="Arial" w:cs="Arial" w:eastAsia="Arial" w:hAnsi="Arial"/>
                <w:sz w:val="14"/>
                <w:szCs w:val="14"/>
                <w:b w:val="1"/>
                <w:bCs w:val="1"/>
                <w:color w:val="auto"/>
                <w:w w:val="96"/>
              </w:rPr>
              <w:t>Multifamily Business Volume at Acquisition</w:t>
            </w:r>
            <w:r>
              <w:rPr>
                <w:rFonts w:ascii="Arial" w:cs="Arial" w:eastAsia="Arial" w:hAnsi="Arial"/>
                <w:sz w:val="17"/>
                <w:szCs w:val="17"/>
                <w:b w:val="1"/>
                <w:bCs w:val="1"/>
                <w:color w:val="auto"/>
                <w:w w:val="96"/>
                <w:vertAlign w:val="superscript"/>
              </w:rPr>
              <w:t>(1)</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2C6937"/>
            </w:tcBorders>
          </w:tcPr>
          <w:p>
            <w:pPr>
              <w:spacing w:after="0"/>
              <w:rPr>
                <w:sz w:val="3"/>
                <w:szCs w:val="3"/>
                <w:color w:val="auto"/>
              </w:rPr>
            </w:pPr>
          </w:p>
        </w:tc>
        <w:tc>
          <w:tcPr>
            <w:tcW w:w="320" w:type="dxa"/>
            <w:vAlign w:val="bottom"/>
            <w:tcBorders>
              <w:bottom w:val="single" w:sz="8" w:color="2C6937"/>
            </w:tcBorders>
          </w:tcPr>
          <w:p>
            <w:pPr>
              <w:spacing w:after="0"/>
              <w:rPr>
                <w:sz w:val="3"/>
                <w:szCs w:val="3"/>
                <w:color w:val="auto"/>
              </w:rPr>
            </w:pPr>
          </w:p>
        </w:tc>
        <w:tc>
          <w:tcPr>
            <w:tcW w:w="240" w:type="dxa"/>
            <w:vAlign w:val="bottom"/>
            <w:tcBorders>
              <w:bottom w:val="single" w:sz="8" w:color="2C6937"/>
            </w:tcBorders>
          </w:tcPr>
          <w:p>
            <w:pPr>
              <w:spacing w:after="0"/>
              <w:rPr>
                <w:sz w:val="3"/>
                <w:szCs w:val="3"/>
                <w:color w:val="auto"/>
              </w:rPr>
            </w:pPr>
          </w:p>
        </w:tc>
        <w:tc>
          <w:tcPr>
            <w:tcW w:w="660" w:type="dxa"/>
            <w:vAlign w:val="bottom"/>
            <w:tcBorders>
              <w:bottom w:val="single" w:sz="8" w:color="2C6937"/>
            </w:tcBorders>
          </w:tcPr>
          <w:p>
            <w:pPr>
              <w:spacing w:after="0"/>
              <w:rPr>
                <w:sz w:val="3"/>
                <w:szCs w:val="3"/>
                <w:color w:val="auto"/>
              </w:rPr>
            </w:pPr>
          </w:p>
        </w:tc>
        <w:tc>
          <w:tcPr>
            <w:tcW w:w="300" w:type="dxa"/>
            <w:vAlign w:val="bottom"/>
            <w:tcBorders>
              <w:bottom w:val="single" w:sz="8" w:color="2C6937"/>
            </w:tcBorders>
          </w:tcPr>
          <w:p>
            <w:pPr>
              <w:spacing w:after="0"/>
              <w:rPr>
                <w:sz w:val="3"/>
                <w:szCs w:val="3"/>
                <w:color w:val="auto"/>
              </w:rPr>
            </w:pPr>
          </w:p>
        </w:tc>
        <w:tc>
          <w:tcPr>
            <w:tcW w:w="260" w:type="dxa"/>
            <w:vAlign w:val="bottom"/>
            <w:tcBorders>
              <w:bottom w:val="single" w:sz="8" w:color="2C6937"/>
            </w:tcBorders>
          </w:tcPr>
          <w:p>
            <w:pPr>
              <w:spacing w:after="0"/>
              <w:rPr>
                <w:sz w:val="3"/>
                <w:szCs w:val="3"/>
                <w:color w:val="auto"/>
              </w:rPr>
            </w:pPr>
          </w:p>
        </w:tc>
        <w:tc>
          <w:tcPr>
            <w:tcW w:w="140" w:type="dxa"/>
            <w:vAlign w:val="bottom"/>
            <w:tcBorders>
              <w:bottom w:val="single" w:sz="8" w:color="2C6937"/>
            </w:tcBorders>
          </w:tcPr>
          <w:p>
            <w:pPr>
              <w:spacing w:after="0"/>
              <w:rPr>
                <w:sz w:val="3"/>
                <w:szCs w:val="3"/>
                <w:color w:val="auto"/>
              </w:rPr>
            </w:pPr>
          </w:p>
        </w:tc>
        <w:tc>
          <w:tcPr>
            <w:tcW w:w="820" w:type="dxa"/>
            <w:vAlign w:val="bottom"/>
            <w:tcBorders>
              <w:bottom w:val="single" w:sz="8" w:color="2C6937"/>
            </w:tcBorders>
          </w:tcPr>
          <w:p>
            <w:pPr>
              <w:spacing w:after="0"/>
              <w:rPr>
                <w:sz w:val="3"/>
                <w:szCs w:val="3"/>
                <w:color w:val="auto"/>
              </w:rPr>
            </w:pPr>
          </w:p>
        </w:tc>
        <w:tc>
          <w:tcPr>
            <w:tcW w:w="240" w:type="dxa"/>
            <w:vAlign w:val="bottom"/>
            <w:tcBorders>
              <w:bottom w:val="single" w:sz="8" w:color="2C6937"/>
            </w:tcBorders>
          </w:tcPr>
          <w:p>
            <w:pPr>
              <w:spacing w:after="0"/>
              <w:rPr>
                <w:sz w:val="3"/>
                <w:szCs w:val="3"/>
                <w:color w:val="auto"/>
              </w:rPr>
            </w:pPr>
          </w:p>
        </w:tc>
        <w:tc>
          <w:tcPr>
            <w:tcW w:w="240" w:type="dxa"/>
            <w:vAlign w:val="bottom"/>
            <w:tcBorders>
              <w:bottom w:val="single" w:sz="8" w:color="2C6937"/>
            </w:tcBorders>
          </w:tcPr>
          <w:p>
            <w:pPr>
              <w:spacing w:after="0"/>
              <w:rPr>
                <w:sz w:val="3"/>
                <w:szCs w:val="3"/>
                <w:color w:val="auto"/>
              </w:rPr>
            </w:pPr>
          </w:p>
        </w:tc>
        <w:tc>
          <w:tcPr>
            <w:tcW w:w="740" w:type="dxa"/>
            <w:vAlign w:val="bottom"/>
            <w:tcBorders>
              <w:bottom w:val="single" w:sz="8" w:color="2C6937"/>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gridSpan w:val="5"/>
            <w:vMerge w:val="restart"/>
          </w:tcPr>
          <w:p>
            <w:pPr>
              <w:jc w:val="center"/>
              <w:ind w:right="51"/>
              <w:spacing w:after="0" w:line="155" w:lineRule="exact"/>
              <w:rPr>
                <w:sz w:val="20"/>
                <w:szCs w:val="20"/>
                <w:color w:val="auto"/>
              </w:rPr>
            </w:pPr>
            <w:r>
              <w:rPr>
                <w:rFonts w:ascii="Arial" w:cs="Arial" w:eastAsia="Arial" w:hAnsi="Arial"/>
                <w:sz w:val="14"/>
                <w:szCs w:val="14"/>
                <w:b w:val="1"/>
                <w:bCs w:val="1"/>
                <w:color w:val="auto"/>
                <w:w w:val="98"/>
              </w:rPr>
              <w:t>Multifamily</w:t>
            </w: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7"/>
              </w:rPr>
              <w:t>For the Three Months Ended</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40" w:type="dxa"/>
            <w:vAlign w:val="bottom"/>
            <w:gridSpan w:val="4"/>
            <w:vMerge w:val="restart"/>
          </w:tcPr>
          <w:p>
            <w:pPr>
              <w:jc w:val="right"/>
              <w:ind w:right="131"/>
              <w:spacing w:after="0"/>
              <w:rPr>
                <w:sz w:val="20"/>
                <w:szCs w:val="20"/>
                <w:color w:val="auto"/>
              </w:rPr>
            </w:pPr>
            <w:r>
              <w:rPr>
                <w:rFonts w:ascii="Arial" w:cs="Arial" w:eastAsia="Arial" w:hAnsi="Arial"/>
                <w:sz w:val="14"/>
                <w:szCs w:val="14"/>
                <w:b w:val="1"/>
                <w:bCs w:val="1"/>
                <w:color w:val="auto"/>
                <w:w w:val="99"/>
              </w:rPr>
              <w:t>For the Nine Months Ended</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4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5"/>
          </w:tcPr>
          <w:p>
            <w:pPr>
              <w:jc w:val="center"/>
              <w:ind w:right="51"/>
              <w:spacing w:after="0" w:line="139" w:lineRule="exact"/>
              <w:rPr>
                <w:sz w:val="20"/>
                <w:szCs w:val="20"/>
                <w:color w:val="auto"/>
              </w:rPr>
            </w:pPr>
            <w:r>
              <w:rPr>
                <w:rFonts w:ascii="Arial" w:cs="Arial" w:eastAsia="Arial" w:hAnsi="Arial"/>
                <w:sz w:val="14"/>
                <w:szCs w:val="14"/>
                <w:b w:val="1"/>
                <w:bCs w:val="1"/>
                <w:color w:val="auto"/>
                <w:w w:val="99"/>
              </w:rPr>
              <w:t>Guaranty Book of Business</w:t>
            </w:r>
            <w:r>
              <w:rPr>
                <w:rFonts w:ascii="Arial" w:cs="Arial" w:eastAsia="Arial" w:hAnsi="Arial"/>
                <w:sz w:val="8"/>
                <w:szCs w:val="8"/>
                <w:b w:val="1"/>
                <w:bCs w:val="1"/>
                <w:color w:val="auto"/>
                <w:w w:val="99"/>
              </w:rPr>
              <w:t>(2)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center"/>
              <w:ind w:left="231"/>
              <w:spacing w:after="0"/>
              <w:rPr>
                <w:sz w:val="20"/>
                <w:szCs w:val="20"/>
                <w:color w:val="auto"/>
              </w:rPr>
            </w:pPr>
            <w:r>
              <w:rPr>
                <w:rFonts w:ascii="Arial" w:cs="Arial" w:eastAsia="Arial" w:hAnsi="Arial"/>
                <w:sz w:val="14"/>
                <w:szCs w:val="14"/>
                <w:b w:val="1"/>
                <w:bCs w:val="1"/>
                <w:color w:val="auto"/>
                <w:w w:val="98"/>
              </w:rPr>
              <w:t>September 30,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As of</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3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2C6937"/>
            </w:tcBorders>
          </w:tcPr>
          <w:p>
            <w:pPr>
              <w:spacing w:after="0"/>
              <w:rPr>
                <w:sz w:val="4"/>
                <w:szCs w:val="4"/>
                <w:color w:val="auto"/>
              </w:rPr>
            </w:pPr>
          </w:p>
        </w:tc>
        <w:tc>
          <w:tcPr>
            <w:tcW w:w="320" w:type="dxa"/>
            <w:vAlign w:val="bottom"/>
            <w:tcBorders>
              <w:bottom w:val="single" w:sz="8" w:color="2C6937"/>
            </w:tcBorders>
          </w:tcPr>
          <w:p>
            <w:pPr>
              <w:spacing w:after="0"/>
              <w:rPr>
                <w:sz w:val="4"/>
                <w:szCs w:val="4"/>
                <w:color w:val="auto"/>
              </w:rPr>
            </w:pPr>
          </w:p>
        </w:tc>
        <w:tc>
          <w:tcPr>
            <w:tcW w:w="240" w:type="dxa"/>
            <w:vAlign w:val="bottom"/>
            <w:tcBorders>
              <w:bottom w:val="single" w:sz="8" w:color="2C6937"/>
            </w:tcBorders>
          </w:tcPr>
          <w:p>
            <w:pPr>
              <w:spacing w:after="0"/>
              <w:rPr>
                <w:sz w:val="4"/>
                <w:szCs w:val="4"/>
                <w:color w:val="auto"/>
              </w:rPr>
            </w:pPr>
          </w:p>
        </w:tc>
        <w:tc>
          <w:tcPr>
            <w:tcW w:w="660" w:type="dxa"/>
            <w:vAlign w:val="bottom"/>
            <w:tcBorders>
              <w:bottom w:val="single" w:sz="8" w:color="2C6937"/>
            </w:tcBorders>
          </w:tcPr>
          <w:p>
            <w:pPr>
              <w:spacing w:after="0"/>
              <w:rPr>
                <w:sz w:val="4"/>
                <w:szCs w:val="4"/>
                <w:color w:val="auto"/>
              </w:rPr>
            </w:pPr>
          </w:p>
        </w:tc>
        <w:tc>
          <w:tcPr>
            <w:tcW w:w="300" w:type="dxa"/>
            <w:vAlign w:val="bottom"/>
            <w:tcBorders>
              <w:bottom w:val="single" w:sz="8" w:color="2C6937"/>
            </w:tcBorders>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Borders>
              <w:bottom w:val="single" w:sz="8" w:color="2C6937"/>
            </w:tcBorders>
          </w:tcPr>
          <w:p>
            <w:pPr>
              <w:spacing w:after="0"/>
              <w:rPr>
                <w:sz w:val="4"/>
                <w:szCs w:val="4"/>
                <w:color w:val="auto"/>
              </w:rPr>
            </w:pPr>
          </w:p>
        </w:tc>
        <w:tc>
          <w:tcPr>
            <w:tcW w:w="820" w:type="dxa"/>
            <w:vAlign w:val="bottom"/>
            <w:tcBorders>
              <w:bottom w:val="single" w:sz="8" w:color="2C6937"/>
            </w:tcBorders>
          </w:tcPr>
          <w:p>
            <w:pPr>
              <w:spacing w:after="0"/>
              <w:rPr>
                <w:sz w:val="4"/>
                <w:szCs w:val="4"/>
                <w:color w:val="auto"/>
              </w:rPr>
            </w:pPr>
          </w:p>
        </w:tc>
        <w:tc>
          <w:tcPr>
            <w:tcW w:w="240" w:type="dxa"/>
            <w:vAlign w:val="bottom"/>
            <w:tcBorders>
              <w:bottom w:val="single" w:sz="8" w:color="2C6937"/>
            </w:tcBorders>
          </w:tcPr>
          <w:p>
            <w:pPr>
              <w:spacing w:after="0"/>
              <w:rPr>
                <w:sz w:val="4"/>
                <w:szCs w:val="4"/>
                <w:color w:val="auto"/>
              </w:rPr>
            </w:pPr>
          </w:p>
        </w:tc>
        <w:tc>
          <w:tcPr>
            <w:tcW w:w="240" w:type="dxa"/>
            <w:vAlign w:val="bottom"/>
            <w:tcBorders>
              <w:bottom w:val="single" w:sz="8" w:color="2C6937"/>
            </w:tcBorders>
          </w:tcPr>
          <w:p>
            <w:pPr>
              <w:spacing w:after="0"/>
              <w:rPr>
                <w:sz w:val="4"/>
                <w:szCs w:val="4"/>
                <w:color w:val="auto"/>
              </w:rPr>
            </w:pPr>
          </w:p>
        </w:tc>
        <w:tc>
          <w:tcPr>
            <w:tcW w:w="740" w:type="dxa"/>
            <w:vAlign w:val="bottom"/>
            <w:tcBorders>
              <w:bottom w:val="single" w:sz="8" w:color="2C6937"/>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bottom w:val="single" w:sz="8" w:color="2C6937"/>
            </w:tcBorders>
          </w:tcPr>
          <w:p>
            <w:pPr>
              <w:spacing w:after="0"/>
              <w:rPr>
                <w:sz w:val="4"/>
                <w:szCs w:val="4"/>
                <w:color w:val="auto"/>
              </w:rPr>
            </w:pPr>
          </w:p>
        </w:tc>
        <w:tc>
          <w:tcPr>
            <w:tcW w:w="1080" w:type="dxa"/>
            <w:vAlign w:val="bottom"/>
            <w:tcBorders>
              <w:bottom w:val="single" w:sz="8" w:color="2C6937"/>
            </w:tcBorders>
          </w:tcPr>
          <w:p>
            <w:pPr>
              <w:spacing w:after="0"/>
              <w:rPr>
                <w:sz w:val="4"/>
                <w:szCs w:val="4"/>
                <w:color w:val="auto"/>
              </w:rPr>
            </w:pPr>
          </w:p>
        </w:tc>
        <w:tc>
          <w:tcPr>
            <w:tcW w:w="440" w:type="dxa"/>
            <w:vAlign w:val="bottom"/>
            <w:tcBorders>
              <w:bottom w:val="single" w:sz="8" w:color="2C6937"/>
            </w:tcBorders>
            <w:gridSpan w:val="3"/>
            <w:vMerge w:val="continue"/>
          </w:tcPr>
          <w:p>
            <w:pPr>
              <w:spacing w:after="0"/>
              <w:rPr>
                <w:sz w:val="4"/>
                <w:szCs w:val="4"/>
                <w:color w:val="auto"/>
              </w:rPr>
            </w:pPr>
          </w:p>
        </w:tc>
        <w:tc>
          <w:tcPr>
            <w:tcW w:w="1120" w:type="dxa"/>
            <w:vAlign w:val="bottom"/>
            <w:tcBorders>
              <w:bottom w:val="single" w:sz="8" w:color="2C6937"/>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320" w:type="dxa"/>
            <w:vAlign w:val="bottom"/>
          </w:tcPr>
          <w:p>
            <w:pPr>
              <w:spacing w:after="0"/>
              <w:rPr>
                <w:sz w:val="12"/>
                <w:szCs w:val="12"/>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51"/>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LTV ratio:</w:t>
            </w:r>
          </w:p>
        </w:tc>
        <w:tc>
          <w:tcPr>
            <w:tcW w:w="660" w:type="dxa"/>
            <w:vAlign w:val="bottom"/>
            <w:tcBorders>
              <w:top w:val="single" w:sz="8" w:color="2C6937"/>
            </w:tcBorders>
          </w:tcPr>
          <w:p>
            <w:pPr>
              <w:spacing w:after="0"/>
              <w:rPr>
                <w:sz w:val="16"/>
                <w:szCs w:val="16"/>
                <w:color w:val="auto"/>
              </w:rPr>
            </w:pPr>
          </w:p>
        </w:tc>
        <w:tc>
          <w:tcPr>
            <w:tcW w:w="320" w:type="dxa"/>
            <w:vAlign w:val="bottom"/>
            <w:tcBorders>
              <w:top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top w:val="single" w:sz="8" w:color="2C6937"/>
            </w:tcBorders>
          </w:tcPr>
          <w:p>
            <w:pPr>
              <w:spacing w:after="0"/>
              <w:rPr>
                <w:sz w:val="16"/>
                <w:szCs w:val="16"/>
                <w:color w:val="auto"/>
              </w:rPr>
            </w:pPr>
          </w:p>
        </w:tc>
        <w:tc>
          <w:tcPr>
            <w:tcW w:w="300" w:type="dxa"/>
            <w:vAlign w:val="bottom"/>
            <w:tcBorders>
              <w:top w:val="single" w:sz="8" w:color="2C6937"/>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820" w:type="dxa"/>
            <w:vAlign w:val="bottom"/>
            <w:tcBorders>
              <w:top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2C6937"/>
            </w:tcBorders>
          </w:tcPr>
          <w:p>
            <w:pPr>
              <w:spacing w:after="0"/>
              <w:rPr>
                <w:sz w:val="16"/>
                <w:szCs w:val="16"/>
                <w:color w:val="auto"/>
              </w:rPr>
            </w:pPr>
          </w:p>
        </w:tc>
        <w:tc>
          <w:tcPr>
            <w:tcW w:w="740" w:type="dxa"/>
            <w:vAlign w:val="bottom"/>
            <w:tcBorders>
              <w:top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108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1120" w:type="dxa"/>
            <w:vAlign w:val="bottom"/>
            <w:tcBorders>
              <w:top w:val="single" w:sz="8" w:color="2C6937"/>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Weighted-average original LTV ratio</w:t>
            </w:r>
          </w:p>
        </w:tc>
        <w:tc>
          <w:tcPr>
            <w:tcW w:w="6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64 %</w:t>
            </w:r>
          </w:p>
        </w:tc>
        <w:tc>
          <w:tcPr>
            <w:tcW w:w="6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61</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62 %</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63 %</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Service Coverage Ratio (“DSCR”):</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Weighted-average DSCR</w:t>
            </w:r>
            <w:r>
              <w:rPr>
                <w:rFonts w:ascii="Arial" w:cs="Arial" w:eastAsia="Arial" w:hAnsi="Arial"/>
                <w:sz w:val="17"/>
                <w:szCs w:val="17"/>
                <w:color w:val="auto"/>
                <w:vertAlign w:val="superscript"/>
              </w:rPr>
              <w:t>(3)</w:t>
            </w:r>
          </w:p>
        </w:tc>
        <w:tc>
          <w:tcPr>
            <w:tcW w:w="6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Current DSCR below 1.0</w:t>
            </w:r>
            <w:r>
              <w:rPr>
                <w:rFonts w:ascii="Arial" w:cs="Arial" w:eastAsia="Arial" w:hAnsi="Arial"/>
                <w:sz w:val="17"/>
                <w:szCs w:val="17"/>
                <w:color w:val="auto"/>
                <w:vertAlign w:val="superscript"/>
              </w:rPr>
              <w:t>(3)</w:t>
            </w: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Loan amount and count:</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Average loan amount (in millions)</w:t>
            </w:r>
          </w:p>
        </w:tc>
        <w:tc>
          <w:tcPr>
            <w:tcW w:w="660" w:type="dxa"/>
            <w:vAlign w:val="bottom"/>
          </w:tcPr>
          <w:p>
            <w:pPr>
              <w:jc w:val="right"/>
              <w:ind w:right="491"/>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90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20</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19</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4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Loan count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848</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4"/>
              </w:rPr>
              <w:t>661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2,320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1,744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30,239</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29,651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rate type:</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Fixed-rate</w:t>
            </w: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4"/>
              </w:rPr>
              <w:t>100</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2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Adjustable-rate</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w:t>
            </w:r>
          </w:p>
        </w:tc>
        <w:tc>
          <w:tcPr>
            <w:tcW w:w="6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6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94"/>
              </w:rPr>
              <w:t>100</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60" w:type="dxa"/>
            <w:vAlign w:val="bottom"/>
            <w:tcBorders>
              <w:bottom w:val="single" w:sz="8" w:color="2C6937"/>
            </w:tcBorders>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32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 type:</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Full interest-only</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65</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58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Partial interest-only</w:t>
            </w:r>
            <w:r>
              <w:rPr>
                <w:rFonts w:ascii="Arial" w:cs="Arial" w:eastAsia="Arial" w:hAnsi="Arial"/>
                <w:sz w:val="17"/>
                <w:szCs w:val="17"/>
                <w:color w:val="auto"/>
                <w:vertAlign w:val="superscript"/>
              </w:rPr>
              <w:t>(4)</w:t>
            </w:r>
          </w:p>
        </w:tc>
        <w:tc>
          <w:tcPr>
            <w:tcW w:w="6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60" w:type="dxa"/>
            <w:vAlign w:val="bottom"/>
            <w:tcBorders>
              <w:bottom w:val="single" w:sz="8" w:color="2C6937"/>
            </w:tcBorders>
          </w:tcPr>
          <w:p>
            <w:pPr>
              <w:ind w:left="140"/>
              <w:spacing w:after="0"/>
              <w:rPr>
                <w:sz w:val="20"/>
                <w:szCs w:val="20"/>
                <w:color w:val="auto"/>
              </w:rPr>
            </w:pPr>
            <w:r>
              <w:rPr>
                <w:rFonts w:ascii="Arial" w:cs="Arial" w:eastAsia="Arial" w:hAnsi="Arial"/>
                <w:sz w:val="14"/>
                <w:szCs w:val="14"/>
                <w:color w:val="auto"/>
              </w:rPr>
              <w:t>Fully amortizing</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w:t>
            </w:r>
          </w:p>
        </w:tc>
        <w:tc>
          <w:tcPr>
            <w:tcW w:w="6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6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94"/>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51"/>
              <w:spacing w:after="0"/>
              <w:rPr>
                <w:sz w:val="20"/>
                <w:szCs w:val="20"/>
                <w:color w:val="auto"/>
              </w:rPr>
            </w:pPr>
            <w:r>
              <w:rPr>
                <w:rFonts w:ascii="Arial" w:cs="Arial" w:eastAsia="Arial" w:hAnsi="Arial"/>
                <w:sz w:val="14"/>
                <w:szCs w:val="14"/>
                <w:color w:val="auto"/>
                <w:w w:val="79"/>
              </w:rPr>
              <w:t>%</w:t>
            </w: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60" w:type="dxa"/>
            <w:vAlign w:val="bottom"/>
            <w:tcBorders>
              <w:bottom w:val="single" w:sz="8" w:color="2C6937"/>
            </w:tcBorders>
          </w:tcPr>
          <w:p>
            <w:pPr>
              <w:spacing w:after="0"/>
              <w:rPr>
                <w:sz w:val="16"/>
                <w:szCs w:val="16"/>
                <w:color w:val="auto"/>
              </w:rPr>
            </w:pP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4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 class type:</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Conventional/co-op</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98</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94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Seniors housing</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Student housing</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Manufactured housing</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w:t>
            </w:r>
          </w:p>
        </w:tc>
        <w:tc>
          <w:tcPr>
            <w:tcW w:w="6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6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94"/>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51"/>
              <w:spacing w:after="0"/>
              <w:rPr>
                <w:sz w:val="20"/>
                <w:szCs w:val="20"/>
                <w:color w:val="auto"/>
              </w:rPr>
            </w:pPr>
            <w:r>
              <w:rPr>
                <w:rFonts w:ascii="Arial" w:cs="Arial" w:eastAsia="Arial" w:hAnsi="Arial"/>
                <w:sz w:val="14"/>
                <w:szCs w:val="14"/>
                <w:color w:val="auto"/>
                <w:w w:val="79"/>
              </w:rPr>
              <w:t>%</w:t>
            </w: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100</w:t>
            </w:r>
          </w:p>
        </w:tc>
        <w:tc>
          <w:tcPr>
            <w:tcW w:w="60" w:type="dxa"/>
            <w:vAlign w:val="bottom"/>
            <w:tcBorders>
              <w:bottom w:val="single" w:sz="8" w:color="2C6937"/>
            </w:tcBorders>
          </w:tcPr>
          <w:p>
            <w:pPr>
              <w:spacing w:after="0"/>
              <w:rPr>
                <w:sz w:val="16"/>
                <w:szCs w:val="16"/>
                <w:color w:val="auto"/>
              </w:rPr>
            </w:pPr>
          </w:p>
        </w:tc>
        <w:tc>
          <w:tcPr>
            <w:tcW w:w="2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w:t>
            </w:r>
          </w:p>
        </w:tc>
        <w:tc>
          <w:tcPr>
            <w:tcW w:w="14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2C6937"/>
            </w:tcBorders>
          </w:tcPr>
          <w:p>
            <w:pPr>
              <w:spacing w:after="0" w:line="20" w:lineRule="exact"/>
              <w:rPr>
                <w:sz w:val="1"/>
                <w:szCs w:val="1"/>
                <w:color w:val="auto"/>
              </w:rPr>
            </w:pPr>
          </w:p>
        </w:tc>
        <w:tc>
          <w:tcPr>
            <w:tcW w:w="300" w:type="dxa"/>
            <w:vAlign w:val="bottom"/>
            <w:tcBorders>
              <w:bottom w:val="single" w:sz="8" w:color="2C6937"/>
            </w:tcBorders>
          </w:tcPr>
          <w:p>
            <w:pPr>
              <w:spacing w:after="0" w:line="20" w:lineRule="exact"/>
              <w:rPr>
                <w:sz w:val="1"/>
                <w:szCs w:val="1"/>
                <w:color w:val="auto"/>
              </w:rPr>
            </w:pPr>
          </w:p>
        </w:tc>
        <w:tc>
          <w:tcPr>
            <w:tcW w:w="2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86"/>
        </w:trPr>
        <w:tc>
          <w:tcPr>
            <w:tcW w:w="336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Affordable</w:t>
            </w:r>
            <w:r>
              <w:rPr>
                <w:rFonts w:ascii="Arial" w:cs="Arial" w:eastAsia="Arial" w:hAnsi="Arial"/>
                <w:sz w:val="17"/>
                <w:szCs w:val="17"/>
                <w:color w:val="auto"/>
                <w:vertAlign w:val="superscript"/>
              </w:rPr>
              <w:t>(5)</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13</w:t>
            </w:r>
          </w:p>
        </w:tc>
        <w:tc>
          <w:tcPr>
            <w:tcW w:w="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40"/>
              <w:spacing w:after="0" w:line="194" w:lineRule="exact"/>
              <w:rPr>
                <w:sz w:val="20"/>
                <w:szCs w:val="20"/>
                <w:color w:val="auto"/>
              </w:rPr>
            </w:pPr>
            <w:r>
              <w:rPr>
                <w:rFonts w:ascii="Arial" w:cs="Arial" w:eastAsia="Arial" w:hAnsi="Arial"/>
                <w:sz w:val="14"/>
                <w:szCs w:val="14"/>
                <w:color w:val="auto"/>
              </w:rPr>
              <w:t>Small balance loans</w:t>
            </w:r>
            <w:r>
              <w:rPr>
                <w:rFonts w:ascii="Arial" w:cs="Arial" w:eastAsia="Arial" w:hAnsi="Arial"/>
                <w:sz w:val="17"/>
                <w:szCs w:val="17"/>
                <w:color w:val="auto"/>
                <w:vertAlign w:val="superscript"/>
              </w:rPr>
              <w:t>(6)</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36</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40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Geographic concentration:</w:t>
            </w:r>
            <w:r>
              <w:rPr>
                <w:rFonts w:ascii="Arial" w:cs="Arial" w:eastAsia="Arial" w:hAnsi="Arial"/>
                <w:sz w:val="17"/>
                <w:szCs w:val="17"/>
                <w:b w:val="1"/>
                <w:bCs w:val="1"/>
                <w:color w:val="auto"/>
                <w:vertAlign w:val="superscript"/>
              </w:rPr>
              <w:t>(7)</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Midwest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Northeast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Southeast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31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20"/>
              <w:spacing w:after="0"/>
              <w:rPr>
                <w:sz w:val="20"/>
                <w:szCs w:val="20"/>
                <w:color w:val="auto"/>
              </w:rPr>
            </w:pPr>
            <w:r>
              <w:rPr>
                <w:rFonts w:ascii="Arial" w:cs="Arial" w:eastAsia="Arial" w:hAnsi="Arial"/>
                <w:sz w:val="14"/>
                <w:szCs w:val="14"/>
                <w:color w:val="auto"/>
              </w:rPr>
              <w:t>Southwest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6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West</w:t>
            </w:r>
          </w:p>
        </w:tc>
        <w:tc>
          <w:tcPr>
            <w:tcW w:w="10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24</w:t>
            </w:r>
          </w:p>
        </w:tc>
        <w:tc>
          <w:tcPr>
            <w:tcW w:w="240" w:type="dxa"/>
            <w:vAlign w:val="bottom"/>
          </w:tcPr>
          <w:p>
            <w:pPr>
              <w:spacing w:after="0"/>
              <w:rPr>
                <w:sz w:val="16"/>
                <w:szCs w:val="16"/>
                <w:color w:val="auto"/>
              </w:rPr>
            </w:pPr>
          </w:p>
        </w:tc>
        <w:tc>
          <w:tcPr>
            <w:tcW w:w="66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22</w:t>
            </w:r>
          </w:p>
        </w:tc>
        <w:tc>
          <w:tcPr>
            <w:tcW w:w="24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23</w:t>
            </w:r>
          </w:p>
        </w:tc>
        <w:tc>
          <w:tcPr>
            <w:tcW w:w="60" w:type="dxa"/>
            <w:vAlign w:val="bottom"/>
            <w:tcBorders>
              <w:bottom w:val="single" w:sz="8" w:color="2C6937"/>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4"/>
              </w:rPr>
              <w:t>100</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w w:val="96"/>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40" w:type="dxa"/>
            <w:vAlign w:val="bottom"/>
          </w:tcPr>
          <w:p>
            <w:pPr>
              <w:jc w:val="right"/>
              <w:ind w:right="51"/>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30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2C6937"/>
              <w:bottom w:val="single" w:sz="8" w:color="2C6937"/>
            </w:tcBorders>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00" w:hanging="197"/>
        <w:spacing w:after="0"/>
        <w:tabs>
          <w:tab w:leader="none" w:pos="2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less than 0.5% of multifamily business volume or guaranty book of business.</w:t>
      </w:r>
    </w:p>
    <w:p>
      <w:pPr>
        <w:spacing w:after="0" w:line="45" w:lineRule="exact"/>
        <w:rPr>
          <w:sz w:val="20"/>
          <w:szCs w:val="20"/>
          <w:color w:val="auto"/>
        </w:rPr>
      </w:pPr>
    </w:p>
    <w:p>
      <w:pPr>
        <w:ind w:left="240" w:right="340" w:hanging="237"/>
        <w:spacing w:after="0" w:line="226" w:lineRule="auto"/>
        <w:tabs>
          <w:tab w:leader="none" w:pos="233"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multifamily loans for each category divided by the aggregate unpaid principal balance at time of acquisition, excluding small balance loans which is calculated based on loan count rather than unpaid principal balance.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39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2" w:name="page43"/>
    <w:bookmarkEnd w:id="42"/>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400" w:hanging="237"/>
        <w:spacing w:after="0" w:line="244" w:lineRule="auto"/>
        <w:tabs>
          <w:tab w:leader="none" w:pos="233" w:val="left"/>
        </w:tabs>
        <w:numPr>
          <w:ilvl w:val="0"/>
          <w:numId w:val="34"/>
        </w:numPr>
        <w:rPr>
          <w:rFonts w:ascii="Arial" w:cs="Arial" w:eastAsia="Arial" w:hAnsi="Arial"/>
          <w:sz w:val="17"/>
          <w:szCs w:val="17"/>
          <w:color w:val="auto"/>
          <w:vertAlign w:val="superscript"/>
        </w:rPr>
      </w:pPr>
      <w:r>
        <w:rPr>
          <w:rFonts w:ascii="Arial" w:cs="Arial" w:eastAsia="Arial" w:hAnsi="Arial"/>
          <w:sz w:val="13"/>
          <w:szCs w:val="13"/>
          <w:color w:val="auto"/>
        </w:rPr>
        <w:t>Calculated based on the aggregate unpaid principal balance of multifamily loans for each category divided by the aggregate unpaid principal balance of loans in our multifamily guaranty book of business as of the end of each period, excluding small balance loans which is calculated based on loan count rather than unpaid principal balance.</w:t>
      </w:r>
    </w:p>
    <w:p>
      <w:pPr>
        <w:spacing w:after="0" w:line="23" w:lineRule="exact"/>
        <w:rPr>
          <w:rFonts w:ascii="Arial" w:cs="Arial" w:eastAsia="Arial" w:hAnsi="Arial"/>
          <w:sz w:val="17"/>
          <w:szCs w:val="17"/>
          <w:color w:val="auto"/>
          <w:vertAlign w:val="superscript"/>
        </w:rPr>
      </w:pPr>
    </w:p>
    <w:p>
      <w:pPr>
        <w:ind w:left="240" w:right="140" w:hanging="237"/>
        <w:spacing w:after="0" w:line="233" w:lineRule="auto"/>
        <w:tabs>
          <w:tab w:leader="none" w:pos="233"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For our business volumes, the DSCR is calculated using the actual debt service payments for the loan. For our book of business, our estimates of current DSCRs are based on the latest available income information, including the related debt service covering a 12-month period, from quarterly and annual statements for these properties. When an annual statement is the latest statement available, it is used. When operating statement information is not available, the underwritten DSCR is used. Co-op loans are excluded from this metric.</w:t>
      </w:r>
    </w:p>
    <w:p>
      <w:pPr>
        <w:ind w:left="220" w:hanging="217"/>
        <w:spacing w:after="0"/>
        <w:tabs>
          <w:tab w:leader="none" w:pos="2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Consists of mortgage loans that were underwritten with an interest-only term, regardless of whether the loan is currently in its interest-only period.</w:t>
      </w:r>
    </w:p>
    <w:p>
      <w:pPr>
        <w:spacing w:after="0" w:line="37" w:lineRule="exact"/>
        <w:rPr>
          <w:rFonts w:ascii="Arial" w:cs="Arial" w:eastAsia="Arial" w:hAnsi="Arial"/>
          <w:sz w:val="18"/>
          <w:szCs w:val="18"/>
          <w:color w:val="auto"/>
          <w:vertAlign w:val="superscript"/>
        </w:rPr>
      </w:pPr>
    </w:p>
    <w:p>
      <w:pPr>
        <w:ind w:left="240" w:right="260" w:hanging="237"/>
        <w:spacing w:after="0" w:line="219" w:lineRule="auto"/>
        <w:tabs>
          <w:tab w:leader="none" w:pos="233"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Represents Multifamily Affordable Housing (“MAH”) loans, which are defined as financing for properties that are under an agreement that provides long-term affordability, such as properties with rent subsidies or income restrictions. MAH loans are included within the asset class categories referenced above.</w:t>
      </w:r>
    </w:p>
    <w:p>
      <w:pPr>
        <w:spacing w:after="0" w:line="13" w:lineRule="exact"/>
        <w:rPr>
          <w:rFonts w:ascii="Arial" w:cs="Arial" w:eastAsia="Arial" w:hAnsi="Arial"/>
          <w:sz w:val="18"/>
          <w:szCs w:val="18"/>
          <w:color w:val="auto"/>
          <w:vertAlign w:val="superscript"/>
        </w:rPr>
      </w:pPr>
    </w:p>
    <w:p>
      <w:pPr>
        <w:ind w:left="240" w:right="20" w:hanging="237"/>
        <w:spacing w:after="0" w:line="264" w:lineRule="auto"/>
        <w:tabs>
          <w:tab w:leader="none" w:pos="233" w:val="left"/>
        </w:tabs>
        <w:numPr>
          <w:ilvl w:val="0"/>
          <w:numId w:val="34"/>
        </w:numPr>
        <w:rPr>
          <w:rFonts w:ascii="Arial" w:cs="Arial" w:eastAsia="Arial" w:hAnsi="Arial"/>
          <w:sz w:val="9"/>
          <w:szCs w:val="9"/>
          <w:color w:val="auto"/>
        </w:rPr>
      </w:pPr>
      <w:r>
        <w:rPr>
          <w:rFonts w:ascii="Arial" w:cs="Arial" w:eastAsia="Arial" w:hAnsi="Arial"/>
          <w:sz w:val="14"/>
          <w:szCs w:val="14"/>
          <w:color w:val="auto"/>
        </w:rPr>
        <w:t>Small balance loans refer to multifamily loans with an original unpaid principal balance of up to $9 million. Small balance loans are included within the asset class categories referenced above. We present this metric in the table based on loan count rather than unpaid principal balance. Small balance loans comprised 10% of our multifamily guaranty book of business as of both September 30, 2025 and December 31, 2024, based on unpaid principal balance of the loans.</w:t>
      </w:r>
    </w:p>
    <w:p>
      <w:pPr>
        <w:spacing w:after="0" w:line="10" w:lineRule="exact"/>
        <w:rPr>
          <w:rFonts w:ascii="Arial" w:cs="Arial" w:eastAsia="Arial" w:hAnsi="Arial"/>
          <w:sz w:val="9"/>
          <w:szCs w:val="9"/>
          <w:color w:val="auto"/>
        </w:rPr>
      </w:pPr>
    </w:p>
    <w:p>
      <w:pPr>
        <w:ind w:left="240" w:right="160" w:hanging="237"/>
        <w:spacing w:after="0" w:line="244" w:lineRule="auto"/>
        <w:tabs>
          <w:tab w:leader="none" w:pos="233" w:val="left"/>
        </w:tabs>
        <w:numPr>
          <w:ilvl w:val="0"/>
          <w:numId w:val="34"/>
        </w:numPr>
        <w:rPr>
          <w:rFonts w:ascii="Arial" w:cs="Arial" w:eastAsia="Arial" w:hAnsi="Arial"/>
          <w:sz w:val="17"/>
          <w:szCs w:val="17"/>
          <w:color w:val="auto"/>
          <w:vertAlign w:val="superscript"/>
        </w:rPr>
      </w:pPr>
      <w:r>
        <w:rPr>
          <w:rFonts w:ascii="Arial" w:cs="Arial" w:eastAsia="Arial" w:hAnsi="Arial"/>
          <w:sz w:val="13"/>
          <w:szCs w:val="13"/>
          <w:color w:val="auto"/>
        </w:rPr>
        <w:t>Midwest consists of IL, IN, IA, MI, MN, NE, ND, OH, SD and WI. Northeast consists of CT, DE, ME, MA, NH, NJ, NY, PA, PR, RI, VT and VI. Southeast consists of AL, DC, FL, GA, KY, MD, MS, NC, SC, TN, VA and WV. Southwest consists of AZ, AR, CO, KS, LA, MO, NM, OK, TX and UT. West consists of AK, CA, GU, HI, ID, MT, NV, OR, WA and WY.</w:t>
      </w:r>
    </w:p>
    <w:p>
      <w:pPr>
        <w:spacing w:after="0" w:line="7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Transfer of Mortgage Credit Risk</w:t>
      </w:r>
    </w:p>
    <w:p>
      <w:pPr>
        <w:spacing w:after="0" w:line="11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Front-End Credit Risk Sharing</w:t>
      </w:r>
    </w:p>
    <w:p>
      <w:pPr>
        <w:spacing w:after="0" w:line="73"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We primarily transfer credit risk on the multifamily loans we guarantee through our Delegated Underwriting and Servicing (“DUS</w:t>
      </w:r>
      <w:r>
        <w:rPr>
          <w:rFonts w:ascii="Arial" w:cs="Arial" w:eastAsia="Arial" w:hAnsi="Arial"/>
          <w:sz w:val="21"/>
          <w:szCs w:val="21"/>
          <w:color w:val="auto"/>
          <w:vertAlign w:val="superscript"/>
        </w:rPr>
        <w:t>®</w:t>
      </w:r>
      <w:r>
        <w:rPr>
          <w:rFonts w:ascii="Arial" w:cs="Arial" w:eastAsia="Arial" w:hAnsi="Arial"/>
          <w:sz w:val="16"/>
          <w:szCs w:val="16"/>
          <w:color w:val="auto"/>
        </w:rPr>
        <w:t>”) program, which delegates to DUS lenders the ability to underwrite and service multifamily loans, in accordance with our standards and requirements. Loans serviced by DUS lenders and their affiliates represented substantially all of our multifamily guaranty book of business as of September 30, 2025 and December 31, 2024. See “MD&amp;A—Multifamily Business—Multifamily Mortgage Credit Risk Management—Multifamily Transfer of Mortgage Credit Risk</w:t>
      </w:r>
      <w:r>
        <w:rPr>
          <w:rFonts w:ascii="Arial" w:cs="Arial" w:eastAsia="Arial" w:hAnsi="Arial"/>
          <w:sz w:val="16"/>
          <w:szCs w:val="16"/>
          <w:color w:val="05314D"/>
        </w:rPr>
        <w:t>”</w:t>
      </w:r>
      <w:r>
        <w:rPr>
          <w:rFonts w:ascii="Arial" w:cs="Arial" w:eastAsia="Arial" w:hAnsi="Arial"/>
          <w:sz w:val="16"/>
          <w:szCs w:val="16"/>
          <w:color w:val="auto"/>
        </w:rPr>
        <w:t xml:space="preserve"> in our 2024 Form 10-K for a description of our DUS program.</w:t>
      </w:r>
    </w:p>
    <w:p>
      <w:pPr>
        <w:spacing w:after="0" w:line="105"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Back-End Credit Risk Sharing</w:t>
      </w:r>
    </w:p>
    <w:p>
      <w:pPr>
        <w:spacing w:after="0" w:line="67" w:lineRule="exact"/>
        <w:rPr>
          <w:sz w:val="20"/>
          <w:szCs w:val="20"/>
          <w:color w:val="auto"/>
        </w:rPr>
      </w:pPr>
    </w:p>
    <w:p>
      <w:pPr>
        <w:jc w:val="both"/>
        <w:ind w:right="20"/>
        <w:spacing w:after="0" w:line="228" w:lineRule="auto"/>
        <w:rPr>
          <w:sz w:val="20"/>
          <w:szCs w:val="20"/>
          <w:color w:val="auto"/>
        </w:rPr>
      </w:pPr>
      <w:r>
        <w:rPr>
          <w:rFonts w:ascii="Arial" w:cs="Arial" w:eastAsia="Arial" w:hAnsi="Arial"/>
          <w:sz w:val="16"/>
          <w:szCs w:val="16"/>
          <w:color w:val="auto"/>
        </w:rPr>
        <w:t>To complement our DUS front-end lender-risk sharing program, we also engage in back-end credit risk transfer transactions through our Multifamily CIRT</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(“MCIRT</w:t>
      </w:r>
      <w:r>
        <w:rPr>
          <w:rFonts w:ascii="Arial" w:cs="Arial" w:eastAsia="Arial" w:hAnsi="Arial"/>
          <w:sz w:val="21"/>
          <w:szCs w:val="21"/>
          <w:color w:val="auto"/>
          <w:vertAlign w:val="superscript"/>
        </w:rPr>
        <w:t>TM</w:t>
      </w:r>
      <w:r>
        <w:rPr>
          <w:rFonts w:ascii="Arial" w:cs="Arial" w:eastAsia="Arial" w:hAnsi="Arial"/>
          <w:sz w:val="16"/>
          <w:szCs w:val="16"/>
          <w:color w:val="auto"/>
        </w:rPr>
        <w:t>”) and Multifamily Connecticut Avenue Securities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(“MCAS</w:t>
      </w:r>
      <w:r>
        <w:rPr>
          <w:rFonts w:ascii="Arial" w:cs="Arial" w:eastAsia="Arial" w:hAnsi="Arial"/>
          <w:sz w:val="21"/>
          <w:szCs w:val="21"/>
          <w:color w:val="auto"/>
          <w:vertAlign w:val="superscript"/>
        </w:rPr>
        <w:t>TM</w:t>
      </w:r>
      <w:r>
        <w:rPr>
          <w:rFonts w:ascii="Arial" w:cs="Arial" w:eastAsia="Arial" w:hAnsi="Arial"/>
          <w:sz w:val="16"/>
          <w:szCs w:val="16"/>
          <w:color w:val="auto"/>
        </w:rPr>
        <w:t>”) programs. Our back-end MCIRT and MCAS credit risk transfer programs transfer a portion of the credit risk associated with a reference pool of multifamily mortgage loans to insurers, reinsurers, or investors. During the first nine months of 2025, we entered into two multifamily credit risk transfer transactions through our MCIRT and MCAS programs.</w:t>
      </w:r>
    </w:p>
    <w:p>
      <w:pPr>
        <w:spacing w:after="0" w:line="55"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The table below displays the total unpaid principal balance of multifamily loans and the percentage of our multifamily guaranty book of business, based on unpaid principal balance, that is covered by a back-end credit risk transfer transaction. The table does not reflect front-end lender risk-sharing arrangements, as only a small portion of our multifamily guaranty book of business is not covered by these arrangements.</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Loans in Back-End Credit Risk Transfer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2980" w:type="dxa"/>
            <w:vAlign w:val="bottom"/>
            <w:tcBorders>
              <w:bottom w:val="single" w:sz="8" w:color="2C6937"/>
            </w:tcBorders>
            <w:gridSpan w:val="3"/>
          </w:tcPr>
          <w:p>
            <w:pPr>
              <w:jc w:val="center"/>
              <w:ind w:left="1108"/>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40" w:type="dxa"/>
            <w:vAlign w:val="bottom"/>
            <w:tcBorders>
              <w:bottom w:val="single" w:sz="8" w:color="2C6937"/>
            </w:tcBorders>
          </w:tcPr>
          <w:p>
            <w:pPr>
              <w:spacing w:after="0"/>
              <w:rPr>
                <w:sz w:val="17"/>
                <w:szCs w:val="17"/>
                <w:color w:val="auto"/>
              </w:rPr>
            </w:pPr>
          </w:p>
        </w:tc>
      </w:tr>
      <w:tr>
        <w:trPr>
          <w:trHeight w:val="193"/>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2C6937"/>
            </w:tcBorders>
          </w:tcPr>
          <w:p>
            <w:pPr>
              <w:spacing w:after="0"/>
              <w:rPr>
                <w:sz w:val="16"/>
                <w:szCs w:val="16"/>
                <w:color w:val="auto"/>
              </w:rPr>
            </w:pPr>
          </w:p>
        </w:tc>
        <w:tc>
          <w:tcPr>
            <w:tcW w:w="3280" w:type="dxa"/>
            <w:vAlign w:val="bottom"/>
            <w:tcBorders>
              <w:bottom w:val="single" w:sz="8" w:color="2C6937"/>
            </w:tcBorders>
            <w:gridSpan w:val="3"/>
          </w:tcPr>
          <w:p>
            <w:pPr>
              <w:ind w:left="700"/>
              <w:spacing w:after="0"/>
              <w:rPr>
                <w:sz w:val="20"/>
                <w:szCs w:val="20"/>
                <w:color w:val="auto"/>
              </w:rPr>
            </w:pPr>
            <w:r>
              <w:rPr>
                <w:rFonts w:ascii="Arial" w:cs="Arial" w:eastAsia="Arial" w:hAnsi="Arial"/>
                <w:sz w:val="14"/>
                <w:szCs w:val="14"/>
                <w:b w:val="1"/>
                <w:bCs w:val="1"/>
                <w:color w:val="auto"/>
              </w:rPr>
              <w:t>September 30, 2025</w:t>
            </w:r>
          </w:p>
        </w:tc>
        <w:tc>
          <w:tcPr>
            <w:tcW w:w="120" w:type="dxa"/>
            <w:vAlign w:val="bottom"/>
          </w:tcPr>
          <w:p>
            <w:pPr>
              <w:spacing w:after="0"/>
              <w:rPr>
                <w:sz w:val="16"/>
                <w:szCs w:val="16"/>
                <w:color w:val="auto"/>
              </w:rPr>
            </w:pPr>
          </w:p>
        </w:tc>
        <w:tc>
          <w:tcPr>
            <w:tcW w:w="840" w:type="dxa"/>
            <w:vAlign w:val="bottom"/>
            <w:tcBorders>
              <w:bottom w:val="single" w:sz="8" w:color="2C6937"/>
            </w:tcBorders>
          </w:tcPr>
          <w:p>
            <w:pPr>
              <w:spacing w:after="0"/>
              <w:rPr>
                <w:sz w:val="16"/>
                <w:szCs w:val="16"/>
                <w:color w:val="auto"/>
              </w:rPr>
            </w:pPr>
          </w:p>
        </w:tc>
        <w:tc>
          <w:tcPr>
            <w:tcW w:w="3040" w:type="dxa"/>
            <w:vAlign w:val="bottom"/>
            <w:tcBorders>
              <w:bottom w:val="single" w:sz="8" w:color="2C6937"/>
            </w:tcBorders>
            <w:gridSpan w:val="3"/>
          </w:tcPr>
          <w:p>
            <w:pPr>
              <w:jc w:val="right"/>
              <w:ind w:right="1246"/>
              <w:spacing w:after="0"/>
              <w:rPr>
                <w:sz w:val="20"/>
                <w:szCs w:val="20"/>
                <w:color w:val="auto"/>
              </w:rPr>
            </w:pPr>
            <w:r>
              <w:rPr>
                <w:rFonts w:ascii="Arial" w:cs="Arial" w:eastAsia="Arial" w:hAnsi="Arial"/>
                <w:sz w:val="14"/>
                <w:szCs w:val="14"/>
                <w:b w:val="1"/>
                <w:bCs w:val="1"/>
                <w:color w:val="auto"/>
              </w:rPr>
              <w:t>December 31, 2024</w:t>
            </w:r>
          </w:p>
        </w:tc>
      </w:tr>
      <w:tr>
        <w:trPr>
          <w:trHeight w:val="178"/>
        </w:trPr>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Percentage of Multifamily</w:t>
            </w: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jc w:val="right"/>
              <w:ind w:right="106"/>
              <w:spacing w:after="0"/>
              <w:rPr>
                <w:sz w:val="20"/>
                <w:szCs w:val="20"/>
                <w:color w:val="auto"/>
              </w:rPr>
            </w:pPr>
            <w:r>
              <w:rPr>
                <w:rFonts w:ascii="Arial" w:cs="Arial" w:eastAsia="Arial" w:hAnsi="Arial"/>
                <w:sz w:val="14"/>
                <w:szCs w:val="14"/>
                <w:b w:val="1"/>
                <w:bCs w:val="1"/>
                <w:color w:val="auto"/>
              </w:rPr>
              <w:t>Percentage of Multifamily</w:t>
            </w:r>
          </w:p>
        </w:tc>
      </w:tr>
      <w:tr>
        <w:trPr>
          <w:trHeight w:val="196"/>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bottom w:val="single" w:sz="8" w:color="2C6937"/>
            </w:tcBorders>
            <w:gridSpan w:val="3"/>
          </w:tcPr>
          <w:p>
            <w:pPr>
              <w:ind w:left="40"/>
              <w:spacing w:after="0"/>
              <w:rPr>
                <w:sz w:val="20"/>
                <w:szCs w:val="20"/>
                <w:color w:val="auto"/>
              </w:rPr>
            </w:pPr>
            <w:r>
              <w:rPr>
                <w:rFonts w:ascii="Arial" w:cs="Arial" w:eastAsia="Arial" w:hAnsi="Arial"/>
                <w:sz w:val="14"/>
                <w:szCs w:val="14"/>
                <w:b w:val="1"/>
                <w:bCs w:val="1"/>
                <w:color w:val="auto"/>
              </w:rPr>
              <w:t>Unpaid Principal Balance</w:t>
            </w:r>
          </w:p>
        </w:tc>
        <w:tc>
          <w:tcPr>
            <w:tcW w:w="2140" w:type="dxa"/>
            <w:vAlign w:val="bottom"/>
            <w:tcBorders>
              <w:bottom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9"/>
              </w:rPr>
              <w:t>Guaranty Book of Business</w:t>
            </w:r>
          </w:p>
        </w:tc>
        <w:tc>
          <w:tcPr>
            <w:tcW w:w="1840" w:type="dxa"/>
            <w:vAlign w:val="bottom"/>
            <w:tcBorders>
              <w:bottom w:val="single" w:sz="8" w:color="2C6937"/>
            </w:tcBorders>
            <w:gridSpan w:val="3"/>
          </w:tcPr>
          <w:p>
            <w:pPr>
              <w:ind w:left="40"/>
              <w:spacing w:after="0"/>
              <w:rPr>
                <w:sz w:val="20"/>
                <w:szCs w:val="20"/>
                <w:color w:val="auto"/>
              </w:rPr>
            </w:pPr>
            <w:r>
              <w:rPr>
                <w:rFonts w:ascii="Arial" w:cs="Arial" w:eastAsia="Arial" w:hAnsi="Arial"/>
                <w:sz w:val="14"/>
                <w:szCs w:val="14"/>
                <w:b w:val="1"/>
                <w:bCs w:val="1"/>
                <w:color w:val="auto"/>
              </w:rPr>
              <w:t>Unpaid Principal Balance</w:t>
            </w:r>
          </w:p>
        </w:tc>
        <w:tc>
          <w:tcPr>
            <w:tcW w:w="2040" w:type="dxa"/>
            <w:vAlign w:val="bottom"/>
            <w:tcBorders>
              <w:bottom w:val="single" w:sz="8" w:color="2C6937"/>
            </w:tcBorders>
          </w:tcPr>
          <w:p>
            <w:pPr>
              <w:jc w:val="right"/>
              <w:ind w:right="46"/>
              <w:spacing w:after="0"/>
              <w:rPr>
                <w:sz w:val="20"/>
                <w:szCs w:val="20"/>
                <w:color w:val="auto"/>
              </w:rPr>
            </w:pPr>
            <w:r>
              <w:rPr>
                <w:rFonts w:ascii="Arial" w:cs="Arial" w:eastAsia="Arial" w:hAnsi="Arial"/>
                <w:sz w:val="14"/>
                <w:szCs w:val="14"/>
                <w:b w:val="1"/>
                <w:bCs w:val="1"/>
                <w:color w:val="auto"/>
              </w:rPr>
              <w:t>Guaranty Book of Business</w:t>
            </w:r>
          </w:p>
        </w:tc>
      </w:tr>
      <w:tr>
        <w:trPr>
          <w:trHeight w:val="205"/>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3"/>
          </w:tcPr>
          <w:p>
            <w:pPr>
              <w:jc w:val="center"/>
              <w:ind w:left="1108"/>
              <w:spacing w:after="0"/>
              <w:rPr>
                <w:sz w:val="20"/>
                <w:szCs w:val="20"/>
                <w:color w:val="auto"/>
              </w:rPr>
            </w:pPr>
            <w:r>
              <w:rPr>
                <w:rFonts w:ascii="Arial" w:cs="Arial" w:eastAsia="Arial" w:hAnsi="Arial"/>
                <w:sz w:val="14"/>
                <w:szCs w:val="14"/>
                <w:b w:val="1"/>
                <w:bCs w:val="1"/>
                <w:color w:val="auto"/>
                <w:w w:val="98"/>
              </w:rPr>
              <w:t>(Dollars in millions)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53"/>
        </w:trPr>
        <w:tc>
          <w:tcPr>
            <w:tcW w:w="3360" w:type="dxa"/>
            <w:vAlign w:val="bottom"/>
            <w:gridSpan w:val="2"/>
          </w:tcPr>
          <w:p>
            <w:pPr>
              <w:ind w:left="20"/>
              <w:spacing w:after="0"/>
              <w:rPr>
                <w:sz w:val="20"/>
                <w:szCs w:val="20"/>
                <w:color w:val="auto"/>
              </w:rPr>
            </w:pPr>
            <w:r>
              <w:rPr>
                <w:rFonts w:ascii="Arial" w:cs="Arial" w:eastAsia="Arial" w:hAnsi="Arial"/>
                <w:sz w:val="15"/>
                <w:szCs w:val="15"/>
                <w:color w:val="auto"/>
              </w:rPr>
              <w:t>MCIRT</w:t>
            </w:r>
          </w:p>
        </w:tc>
        <w:tc>
          <w:tcPr>
            <w:tcW w:w="600" w:type="dxa"/>
            <w:vAlign w:val="bottom"/>
          </w:tcPr>
          <w:p>
            <w:pPr>
              <w:jc w:val="right"/>
              <w:ind w:right="426"/>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107,712</w:t>
            </w:r>
          </w:p>
        </w:tc>
        <w:tc>
          <w:tcPr>
            <w:tcW w:w="120" w:type="dxa"/>
            <w:vAlign w:val="bottom"/>
          </w:tcPr>
          <w:p>
            <w:pPr>
              <w:spacing w:after="0"/>
              <w:rPr>
                <w:sz w:val="21"/>
                <w:szCs w:val="21"/>
                <w:color w:val="auto"/>
              </w:rPr>
            </w:pPr>
          </w:p>
        </w:tc>
        <w:tc>
          <w:tcPr>
            <w:tcW w:w="2020" w:type="dxa"/>
            <w:vAlign w:val="bottom"/>
          </w:tcPr>
          <w:p>
            <w:pPr>
              <w:ind w:left="1660"/>
              <w:spacing w:after="0"/>
              <w:rPr>
                <w:sz w:val="20"/>
                <w:szCs w:val="20"/>
                <w:color w:val="auto"/>
              </w:rPr>
            </w:pPr>
            <w:r>
              <w:rPr>
                <w:rFonts w:ascii="Arial" w:cs="Arial" w:eastAsia="Arial" w:hAnsi="Arial"/>
                <w:sz w:val="15"/>
                <w:szCs w:val="15"/>
                <w:b w:val="1"/>
                <w:bCs w:val="1"/>
                <w:color w:val="auto"/>
                <w:w w:val="99"/>
              </w:rPr>
              <w:t>21 %</w:t>
            </w:r>
          </w:p>
        </w:tc>
        <w:tc>
          <w:tcPr>
            <w:tcW w:w="120" w:type="dxa"/>
            <w:vAlign w:val="bottom"/>
          </w:tcPr>
          <w:p>
            <w:pPr>
              <w:spacing w:after="0"/>
              <w:rPr>
                <w:sz w:val="21"/>
                <w:szCs w:val="21"/>
                <w:color w:val="auto"/>
              </w:rPr>
            </w:pPr>
          </w:p>
        </w:tc>
        <w:tc>
          <w:tcPr>
            <w:tcW w:w="840" w:type="dxa"/>
            <w:vAlign w:val="bottom"/>
          </w:tcPr>
          <w:p>
            <w:pPr>
              <w:jc w:val="right"/>
              <w:ind w:right="66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101,181</w:t>
            </w:r>
          </w:p>
        </w:tc>
        <w:tc>
          <w:tcPr>
            <w:tcW w:w="1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5"/>
                <w:szCs w:val="15"/>
                <w:color w:val="auto"/>
              </w:rPr>
              <w:t>20 %</w:t>
            </w:r>
          </w:p>
        </w:tc>
      </w:tr>
      <w:tr>
        <w:trPr>
          <w:trHeight w:val="226"/>
        </w:trPr>
        <w:tc>
          <w:tcPr>
            <w:tcW w:w="3260" w:type="dxa"/>
            <w:vAlign w:val="bottom"/>
            <w:tcBorders>
              <w:bottom w:val="single" w:sz="8" w:color="216C2B"/>
            </w:tcBorders>
          </w:tcPr>
          <w:p>
            <w:pPr>
              <w:ind w:left="20"/>
              <w:spacing w:after="0"/>
              <w:rPr>
                <w:sz w:val="20"/>
                <w:szCs w:val="20"/>
                <w:color w:val="auto"/>
              </w:rPr>
            </w:pPr>
            <w:r>
              <w:rPr>
                <w:rFonts w:ascii="Arial" w:cs="Arial" w:eastAsia="Arial" w:hAnsi="Arial"/>
                <w:sz w:val="15"/>
                <w:szCs w:val="15"/>
                <w:color w:val="auto"/>
              </w:rPr>
              <w:t>MCAS</w:t>
            </w:r>
          </w:p>
        </w:tc>
        <w:tc>
          <w:tcPr>
            <w:tcW w:w="100" w:type="dxa"/>
            <w:vAlign w:val="bottom"/>
          </w:tcPr>
          <w:p>
            <w:pPr>
              <w:spacing w:after="0"/>
              <w:rPr>
                <w:sz w:val="19"/>
                <w:szCs w:val="19"/>
                <w:color w:val="auto"/>
              </w:rPr>
            </w:pPr>
          </w:p>
        </w:tc>
        <w:tc>
          <w:tcPr>
            <w:tcW w:w="600" w:type="dxa"/>
            <w:vAlign w:val="bottom"/>
            <w:tcBorders>
              <w:bottom w:val="single" w:sz="8" w:color="2C6937"/>
            </w:tcBorders>
          </w:tcPr>
          <w:p>
            <w:pPr>
              <w:spacing w:after="0"/>
              <w:rPr>
                <w:sz w:val="19"/>
                <w:szCs w:val="19"/>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67,929</w:t>
            </w:r>
          </w:p>
        </w:tc>
        <w:tc>
          <w:tcPr>
            <w:tcW w:w="120" w:type="dxa"/>
            <w:vAlign w:val="bottom"/>
          </w:tcPr>
          <w:p>
            <w:pPr>
              <w:spacing w:after="0"/>
              <w:rPr>
                <w:sz w:val="19"/>
                <w:szCs w:val="19"/>
                <w:color w:val="auto"/>
              </w:rPr>
            </w:pPr>
          </w:p>
        </w:tc>
        <w:tc>
          <w:tcPr>
            <w:tcW w:w="2020" w:type="dxa"/>
            <w:vAlign w:val="bottom"/>
            <w:tcBorders>
              <w:bottom w:val="single" w:sz="8" w:color="2C6937"/>
            </w:tcBorders>
          </w:tcPr>
          <w:p>
            <w:pPr>
              <w:ind w:left="1660"/>
              <w:spacing w:after="0"/>
              <w:rPr>
                <w:sz w:val="20"/>
                <w:szCs w:val="20"/>
                <w:color w:val="auto"/>
              </w:rPr>
            </w:pPr>
            <w:r>
              <w:rPr>
                <w:rFonts w:ascii="Arial" w:cs="Arial" w:eastAsia="Arial" w:hAnsi="Arial"/>
                <w:sz w:val="15"/>
                <w:szCs w:val="15"/>
                <w:b w:val="1"/>
                <w:bCs w:val="1"/>
                <w:color w:val="auto"/>
              </w:rPr>
              <w:t>13</w:t>
            </w:r>
          </w:p>
        </w:tc>
        <w:tc>
          <w:tcPr>
            <w:tcW w:w="120" w:type="dxa"/>
            <w:vAlign w:val="bottom"/>
          </w:tcPr>
          <w:p>
            <w:pPr>
              <w:spacing w:after="0"/>
              <w:rPr>
                <w:sz w:val="19"/>
                <w:szCs w:val="19"/>
                <w:color w:val="auto"/>
              </w:rPr>
            </w:pPr>
          </w:p>
        </w:tc>
        <w:tc>
          <w:tcPr>
            <w:tcW w:w="840" w:type="dxa"/>
            <w:vAlign w:val="bottom"/>
            <w:tcBorders>
              <w:bottom w:val="single" w:sz="8" w:color="2C6937"/>
            </w:tcBorders>
          </w:tcPr>
          <w:p>
            <w:pPr>
              <w:spacing w:after="0"/>
              <w:rPr>
                <w:sz w:val="19"/>
                <w:szCs w:val="19"/>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56,142</w:t>
            </w:r>
          </w:p>
        </w:tc>
        <w:tc>
          <w:tcPr>
            <w:tcW w:w="100" w:type="dxa"/>
            <w:vAlign w:val="bottom"/>
          </w:tcPr>
          <w:p>
            <w:pPr>
              <w:spacing w:after="0"/>
              <w:rPr>
                <w:sz w:val="19"/>
                <w:szCs w:val="19"/>
                <w:color w:val="auto"/>
              </w:rPr>
            </w:pPr>
          </w:p>
        </w:tc>
        <w:tc>
          <w:tcPr>
            <w:tcW w:w="2040" w:type="dxa"/>
            <w:vAlign w:val="bottom"/>
            <w:tcBorders>
              <w:bottom w:val="single" w:sz="8" w:color="2C6937"/>
            </w:tcBorders>
          </w:tcPr>
          <w:p>
            <w:pPr>
              <w:jc w:val="right"/>
              <w:ind w:right="126"/>
              <w:spacing w:after="0"/>
              <w:rPr>
                <w:sz w:val="20"/>
                <w:szCs w:val="20"/>
                <w:color w:val="auto"/>
              </w:rPr>
            </w:pPr>
            <w:r>
              <w:rPr>
                <w:rFonts w:ascii="Arial" w:cs="Arial" w:eastAsia="Arial" w:hAnsi="Arial"/>
                <w:sz w:val="15"/>
                <w:szCs w:val="15"/>
                <w:color w:val="auto"/>
              </w:rPr>
              <w:t>11</w:t>
            </w:r>
          </w:p>
        </w:tc>
      </w:tr>
      <w:tr>
        <w:trPr>
          <w:trHeight w:val="225"/>
        </w:trPr>
        <w:tc>
          <w:tcPr>
            <w:tcW w:w="3360" w:type="dxa"/>
            <w:vAlign w:val="bottom"/>
            <w:gridSpan w:val="2"/>
          </w:tcPr>
          <w:p>
            <w:pPr>
              <w:ind w:left="180"/>
              <w:spacing w:after="0"/>
              <w:rPr>
                <w:sz w:val="20"/>
                <w:szCs w:val="20"/>
                <w:color w:val="auto"/>
              </w:rPr>
            </w:pPr>
            <w:r>
              <w:rPr>
                <w:rFonts w:ascii="Arial" w:cs="Arial" w:eastAsia="Arial" w:hAnsi="Arial"/>
                <w:sz w:val="15"/>
                <w:szCs w:val="15"/>
                <w:color w:val="auto"/>
              </w:rPr>
              <w:t>Total</w:t>
            </w:r>
          </w:p>
        </w:tc>
        <w:tc>
          <w:tcPr>
            <w:tcW w:w="600" w:type="dxa"/>
            <w:vAlign w:val="bottom"/>
          </w:tcPr>
          <w:p>
            <w:pPr>
              <w:jc w:val="right"/>
              <w:ind w:right="426"/>
              <w:spacing w:after="0"/>
              <w:rPr>
                <w:sz w:val="20"/>
                <w:szCs w:val="20"/>
                <w:color w:val="auto"/>
              </w:rPr>
            </w:pPr>
            <w:r>
              <w:rPr>
                <w:rFonts w:ascii="Arial" w:cs="Arial" w:eastAsia="Arial" w:hAnsi="Arial"/>
                <w:sz w:val="15"/>
                <w:szCs w:val="15"/>
                <w:b w:val="1"/>
                <w:bCs w:val="1"/>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175,641</w:t>
            </w:r>
          </w:p>
        </w:tc>
        <w:tc>
          <w:tcPr>
            <w:tcW w:w="120" w:type="dxa"/>
            <w:vAlign w:val="bottom"/>
          </w:tcPr>
          <w:p>
            <w:pPr>
              <w:spacing w:after="0"/>
              <w:rPr>
                <w:sz w:val="19"/>
                <w:szCs w:val="19"/>
                <w:color w:val="auto"/>
              </w:rPr>
            </w:pPr>
          </w:p>
        </w:tc>
        <w:tc>
          <w:tcPr>
            <w:tcW w:w="2020" w:type="dxa"/>
            <w:vAlign w:val="bottom"/>
          </w:tcPr>
          <w:p>
            <w:pPr>
              <w:ind w:left="1660"/>
              <w:spacing w:after="0"/>
              <w:rPr>
                <w:sz w:val="20"/>
                <w:szCs w:val="20"/>
                <w:color w:val="auto"/>
              </w:rPr>
            </w:pPr>
            <w:r>
              <w:rPr>
                <w:rFonts w:ascii="Arial" w:cs="Arial" w:eastAsia="Arial" w:hAnsi="Arial"/>
                <w:sz w:val="15"/>
                <w:szCs w:val="15"/>
                <w:b w:val="1"/>
                <w:bCs w:val="1"/>
                <w:color w:val="auto"/>
                <w:w w:val="99"/>
              </w:rPr>
              <w:t>34 %</w:t>
            </w:r>
          </w:p>
        </w:tc>
        <w:tc>
          <w:tcPr>
            <w:tcW w:w="120" w:type="dxa"/>
            <w:vAlign w:val="bottom"/>
          </w:tcPr>
          <w:p>
            <w:pPr>
              <w:spacing w:after="0"/>
              <w:rPr>
                <w:sz w:val="19"/>
                <w:szCs w:val="19"/>
                <w:color w:val="auto"/>
              </w:rPr>
            </w:pPr>
          </w:p>
        </w:tc>
        <w:tc>
          <w:tcPr>
            <w:tcW w:w="840" w:type="dxa"/>
            <w:vAlign w:val="bottom"/>
          </w:tcPr>
          <w:p>
            <w:pPr>
              <w:jc w:val="right"/>
              <w:ind w:right="666"/>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157,323</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5"/>
                <w:szCs w:val="15"/>
                <w:color w:val="auto"/>
              </w:rPr>
              <w:t>31 %</w:t>
            </w:r>
          </w:p>
        </w:tc>
      </w:tr>
      <w:tr>
        <w:trPr>
          <w:trHeight w:val="20"/>
        </w:trPr>
        <w:tc>
          <w:tcPr>
            <w:tcW w:w="32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top w:val="single" w:sz="8" w:color="2C6937"/>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40</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3" w:name="page44"/>
    <w:bookmarkEnd w:id="43"/>
    <w:p>
      <w:pPr>
        <w:ind w:left="644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Problem Loan Management</w:t>
      </w:r>
    </w:p>
    <w:p>
      <w:pPr>
        <w:spacing w:after="0" w:line="119"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Credit Performance Statistics on Multifamily Problem Loans</w:t>
      </w:r>
    </w:p>
    <w:p>
      <w:pPr>
        <w:spacing w:after="0" w:line="6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percentage of loans in our multifamily guaranty book of business that were criticized was 6% as of September 30, 2025, compared with 7% as of December 31, 2024. Our criticized loan population remains elevated, reflecting the continued impact of the high interest rate environment on adjustable-rate mortgages. The criticized loans category substantially consists of loans classified as “Substandard” and also includes loans classified as “Special Mention” or “Doubtful.” Substandard loans are loans that have a well-defined weakness that could impact their timely full repayment. While the majority of the substandard loans in our multifamily guaranty book of business are currently making timely payments, we continue to monitor the performance of our substandard loan population. For more information on our credit quality indicators, including our population of substandard loans, see “Note 4, Mortgage Loans.”</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Our multifamily serious delinquency rate increased to 0.68% as of September 30, 2025, compared with 0.57% as of December 31, 2024. The new entrants to the seriously delinquent population consisted primarily of fixed-rate conventional loans. The impact of these new entrants was partially offset by the foreclosure of the remaining loans in a specific seniors housing portfolio that was written off in 2023. Our multifamily serious delinquency rate consists of multifamily loans that were 60 days or more past due based on unpaid principal balance, expressed as a percentage of our multifamily guaranty book of business.</w:t>
      </w:r>
    </w:p>
    <w:p>
      <w:pPr>
        <w:spacing w:after="0" w:line="40"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Management monitors the multifamily serious delinquency rate as an indicator of potential future credit losses and loss mitigation activities. Serious delinquency rates are reflective of our performance in assessing and managing credit risk associated with multifamily loans in our guaranty book of business. A higher serious delinquency rate may result in a higher allowance for loan losses. The percentage of loans in our multifamily guaranty book of business that were 180 days or more delinquent was 0.51% as of September 30, 2025, compared with 0.44% as of December 31, 2024.</w:t>
      </w:r>
    </w:p>
    <w:p>
      <w:pPr>
        <w:spacing w:after="0" w:line="33"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In addition to the credit performance information on our multifamily loans provided in this report, we provide additional information about the performance of our multifamily loans that back MBS and whole loan REMICs in the “Data Collections” section of our DUS Disclose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tool, available at www.fanniemae.com/dusdisclose. Information on our website is not incorporated into this report. Information in Data Collections may differ from similar measures presented in our financial statements and other public disclosures for a variety of reasons, including as a result of variations in the loan population covered, timing differences in reporting and other factors.</w:t>
      </w:r>
    </w:p>
    <w:p>
      <w:pPr>
        <w:spacing w:after="0" w:line="91"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REO Management</w:t>
      </w:r>
    </w:p>
    <w:p>
      <w:pPr>
        <w:spacing w:after="0" w:line="80"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As of September 30, 2025, we held 188 multifamily REO properties with a carrying value of $1.0 billion, compared with 139 properties with a carrying value of $638 million as of December 31, 2024. The increase in foreclosure activity was primarily driven by the remaining properties from a specific seniors housing portfolio that was written off in 2023.</w:t>
      </w:r>
    </w:p>
    <w:p>
      <w:pPr>
        <w:spacing w:after="0" w:line="71"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Multifamily Credit Loss Performance Metrics</w:t>
      </w:r>
    </w:p>
    <w:p>
      <w:pPr>
        <w:spacing w:after="0" w:line="80"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amount of multifamily credit losses or gains we realize in a given period is driven by foreclosures, pre-foreclosure sales, post-foreclosure REO activity and other events that trigger write-offs and recoveries. Our multifamily credit loss performance metrics are not defined terms and may not be calculated in the same manner as similarly titled measures reported by other companies. For the purposes of our multifamily credit loss performance metrics, credit losses or gains represent write-offs net of recoveries and foreclosed property income or expense. We believe our multifamily credit losses, and our multifamily credit losses net of freestanding loss-sharing arrangements, provide useful information about our multifamily credit performance because they display our multifamily credit losses in the context of our multifamily guaranty book of business, including changes to the benefit we expect to receive from loss-sharing arrangements. Management views multifamily credit losses, net of freestanding loss-sharing arrangements, as a key metric related to our multifamily business model and our strategy to share multifamily credit risk.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41</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4" w:name="page45"/>
    <w:bookmarkEnd w:id="44"/>
    <w:p>
      <w:pPr>
        <w:ind w:left="6420"/>
        <w:spacing w:after="0"/>
        <w:rPr>
          <w:sz w:val="20"/>
          <w:szCs w:val="20"/>
          <w:color w:val="auto"/>
        </w:rPr>
      </w:pPr>
      <w:r>
        <w:rPr>
          <w:rFonts w:ascii="Arial" w:cs="Arial" w:eastAsia="Arial" w:hAnsi="Arial"/>
          <w:sz w:val="14"/>
          <w:szCs w:val="14"/>
          <w:color w:val="05314D"/>
        </w:rPr>
        <w:t>MD&amp;A | Multifamily Business | Multifamily Mortgage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17145</wp:posOffset>
            </wp:positionV>
            <wp:extent cx="69748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74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table below displays the components of our multifamily credit loss performance metrics, as well as our multifamily initial write-off severity rate and write-off loan count.</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Multifamily Credit Loss Performance Metrics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20" w:type="dxa"/>
            <w:vAlign w:val="bottom"/>
            <w:tcBorders>
              <w:top w:val="single" w:sz="8" w:color="2C6937"/>
            </w:tcBorders>
          </w:tcPr>
          <w:p>
            <w:pPr>
              <w:spacing w:after="0"/>
              <w:rPr>
                <w:sz w:val="15"/>
                <w:szCs w:val="15"/>
                <w:color w:val="auto"/>
              </w:rPr>
            </w:pPr>
          </w:p>
        </w:tc>
        <w:tc>
          <w:tcPr>
            <w:tcW w:w="2840" w:type="dxa"/>
            <w:vAlign w:val="bottom"/>
            <w:tcBorders>
              <w:top w:val="single" w:sz="8" w:color="2C6937"/>
            </w:tcBorders>
            <w:gridSpan w:val="3"/>
          </w:tcPr>
          <w:p>
            <w:pPr>
              <w:jc w:val="center"/>
              <w:ind w:right="100"/>
              <w:spacing w:after="0"/>
              <w:rPr>
                <w:sz w:val="20"/>
                <w:szCs w:val="20"/>
                <w:color w:val="auto"/>
              </w:rPr>
            </w:pPr>
            <w:r>
              <w:rPr>
                <w:rFonts w:ascii="Arial" w:cs="Arial" w:eastAsia="Arial" w:hAnsi="Arial"/>
                <w:sz w:val="15"/>
                <w:szCs w:val="15"/>
                <w:b w:val="1"/>
                <w:bCs w:val="1"/>
                <w:color w:val="auto"/>
              </w:rPr>
              <w:t>For the Three Months Ended</w:t>
            </w:r>
          </w:p>
        </w:tc>
        <w:tc>
          <w:tcPr>
            <w:tcW w:w="2780" w:type="dxa"/>
            <w:vAlign w:val="bottom"/>
            <w:tcBorders>
              <w:top w:val="single" w:sz="8" w:color="2C6937"/>
            </w:tcBorders>
            <w:gridSpan w:val="2"/>
          </w:tcPr>
          <w:p>
            <w:pPr>
              <w:jc w:val="center"/>
              <w:ind w:right="203"/>
              <w:spacing w:after="0"/>
              <w:rPr>
                <w:sz w:val="20"/>
                <w:szCs w:val="20"/>
                <w:color w:val="auto"/>
              </w:rPr>
            </w:pPr>
            <w:r>
              <w:rPr>
                <w:rFonts w:ascii="Arial" w:cs="Arial" w:eastAsia="Arial" w:hAnsi="Arial"/>
                <w:sz w:val="15"/>
                <w:szCs w:val="15"/>
                <w:b w:val="1"/>
                <w:bCs w:val="1"/>
                <w:color w:val="auto"/>
              </w:rPr>
              <w:t>For the Nine Months Ended</w:t>
            </w:r>
          </w:p>
        </w:tc>
      </w:tr>
      <w:tr>
        <w:trPr>
          <w:trHeight w:val="206"/>
        </w:trPr>
        <w:tc>
          <w:tcPr>
            <w:tcW w:w="5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gridSpan w:val="2"/>
          </w:tcPr>
          <w:p>
            <w:pPr>
              <w:jc w:val="center"/>
              <w:ind w:right="940"/>
              <w:spacing w:after="0"/>
              <w:rPr>
                <w:sz w:val="20"/>
                <w:szCs w:val="20"/>
                <w:color w:val="auto"/>
              </w:rPr>
            </w:pPr>
            <w:r>
              <w:rPr>
                <w:rFonts w:ascii="Arial" w:cs="Arial" w:eastAsia="Arial" w:hAnsi="Arial"/>
                <w:sz w:val="15"/>
                <w:szCs w:val="15"/>
                <w:b w:val="1"/>
                <w:bCs w:val="1"/>
                <w:color w:val="auto"/>
              </w:rPr>
              <w:t>September 30,</w:t>
            </w:r>
          </w:p>
        </w:tc>
        <w:tc>
          <w:tcPr>
            <w:tcW w:w="1860" w:type="dxa"/>
            <w:vAlign w:val="bottom"/>
          </w:tcPr>
          <w:p>
            <w:pPr>
              <w:jc w:val="center"/>
              <w:ind w:left="563"/>
              <w:spacing w:after="0"/>
              <w:rPr>
                <w:sz w:val="20"/>
                <w:szCs w:val="20"/>
                <w:color w:val="auto"/>
              </w:rPr>
            </w:pPr>
            <w:r>
              <w:rPr>
                <w:rFonts w:ascii="Arial" w:cs="Arial" w:eastAsia="Arial" w:hAnsi="Arial"/>
                <w:sz w:val="15"/>
                <w:szCs w:val="15"/>
                <w:b w:val="1"/>
                <w:bCs w:val="1"/>
                <w:color w:val="auto"/>
              </w:rPr>
              <w:t>September 30,</w:t>
            </w:r>
          </w:p>
        </w:tc>
        <w:tc>
          <w:tcPr>
            <w:tcW w:w="920" w:type="dxa"/>
            <w:vAlign w:val="bottom"/>
          </w:tcPr>
          <w:p>
            <w:pPr>
              <w:spacing w:after="0"/>
              <w:rPr>
                <w:sz w:val="17"/>
                <w:szCs w:val="17"/>
                <w:color w:val="auto"/>
              </w:rPr>
            </w:pPr>
          </w:p>
        </w:tc>
      </w:tr>
      <w:tr>
        <w:trPr>
          <w:trHeight w:val="199"/>
        </w:trPr>
        <w:tc>
          <w:tcPr>
            <w:tcW w:w="5620" w:type="dxa"/>
            <w:vAlign w:val="bottom"/>
          </w:tcPr>
          <w:p>
            <w:pPr>
              <w:spacing w:after="0"/>
              <w:rPr>
                <w:sz w:val="17"/>
                <w:szCs w:val="17"/>
                <w:color w:val="auto"/>
              </w:rPr>
            </w:pP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2025</w:t>
            </w:r>
          </w:p>
        </w:tc>
        <w:tc>
          <w:tcPr>
            <w:tcW w:w="1900" w:type="dxa"/>
            <w:vAlign w:val="bottom"/>
            <w:tcBorders>
              <w:top w:val="single" w:sz="8" w:color="2C6937"/>
              <w:bottom w:val="single" w:sz="8" w:color="2C6937"/>
            </w:tcBorders>
          </w:tcPr>
          <w:p>
            <w:pPr>
              <w:jc w:val="right"/>
              <w:ind w:right="403"/>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2C6937"/>
            </w:tcBorders>
          </w:tcPr>
          <w:p>
            <w:pPr>
              <w:spacing w:after="0"/>
              <w:rPr>
                <w:sz w:val="17"/>
                <w:szCs w:val="17"/>
                <w:color w:val="auto"/>
              </w:rPr>
            </w:pPr>
          </w:p>
        </w:tc>
        <w:tc>
          <w:tcPr>
            <w:tcW w:w="1860" w:type="dxa"/>
            <w:vAlign w:val="bottom"/>
            <w:tcBorders>
              <w:top w:val="single" w:sz="8" w:color="2C6937"/>
              <w:bottom w:val="single" w:sz="8" w:color="2C6937"/>
            </w:tcBorders>
          </w:tcPr>
          <w:p>
            <w:pPr>
              <w:jc w:val="right"/>
              <w:ind w:right="943"/>
              <w:spacing w:after="0"/>
              <w:rPr>
                <w:sz w:val="20"/>
                <w:szCs w:val="20"/>
                <w:color w:val="auto"/>
              </w:rPr>
            </w:pPr>
            <w:r>
              <w:rPr>
                <w:rFonts w:ascii="Arial" w:cs="Arial" w:eastAsia="Arial" w:hAnsi="Arial"/>
                <w:sz w:val="15"/>
                <w:szCs w:val="15"/>
                <w:b w:val="1"/>
                <w:bCs w:val="1"/>
                <w:color w:val="auto"/>
              </w:rPr>
              <w:t>2025</w:t>
            </w:r>
          </w:p>
        </w:tc>
        <w:tc>
          <w:tcPr>
            <w:tcW w:w="920" w:type="dxa"/>
            <w:vAlign w:val="bottom"/>
            <w:tcBorders>
              <w:top w:val="single" w:sz="8" w:color="2C6937"/>
              <w:bottom w:val="single" w:sz="8" w:color="2C6937"/>
            </w:tcBorders>
          </w:tcPr>
          <w:p>
            <w:pPr>
              <w:jc w:val="right"/>
              <w:ind w:right="423"/>
              <w:spacing w:after="0"/>
              <w:rPr>
                <w:sz w:val="20"/>
                <w:szCs w:val="20"/>
                <w:color w:val="auto"/>
              </w:rPr>
            </w:pPr>
            <w:r>
              <w:rPr>
                <w:rFonts w:ascii="Arial" w:cs="Arial" w:eastAsia="Arial" w:hAnsi="Arial"/>
                <w:sz w:val="15"/>
                <w:szCs w:val="15"/>
                <w:b w:val="1"/>
                <w:bCs w:val="1"/>
                <w:color w:val="auto"/>
              </w:rPr>
              <w:t>2024</w:t>
            </w:r>
          </w:p>
        </w:tc>
      </w:tr>
    </w:tbl>
    <w:p>
      <w:pPr>
        <w:spacing w:after="0" w:line="89" w:lineRule="exact"/>
        <w:rPr>
          <w:sz w:val="20"/>
          <w:szCs w:val="20"/>
          <w:color w:val="auto"/>
        </w:rPr>
      </w:pPr>
    </w:p>
    <w:p>
      <w:pPr>
        <w:ind w:left="7720"/>
        <w:spacing w:after="0"/>
        <w:rPr>
          <w:sz w:val="20"/>
          <w:szCs w:val="20"/>
          <w:color w:val="auto"/>
        </w:rPr>
      </w:pPr>
      <w:r>
        <w:rPr>
          <w:rFonts w:ascii="Arial" w:cs="Arial" w:eastAsia="Arial" w:hAnsi="Arial"/>
          <w:sz w:val="15"/>
          <w:szCs w:val="15"/>
          <w:b w:val="1"/>
          <w:bCs w:val="1"/>
          <w:color w:val="auto"/>
        </w:rPr>
        <w:t>(Dollars in millions)</w:t>
      </w:r>
    </w:p>
    <w:p>
      <w:pPr>
        <w:sectPr>
          <w:pgSz w:w="11900" w:h="16838" w:orient="portrait"/>
          <w:cols w:equalWidth="0" w:num="1">
            <w:col w:w="11240"/>
          </w:cols>
          <w:pgMar w:left="320" w:top="248" w:right="339" w:bottom="1440" w:gutter="0" w:footer="0" w:header="0"/>
        </w:sectPr>
      </w:pPr>
    </w:p>
    <w:p>
      <w:pPr>
        <w:spacing w:after="0" w:line="139" w:lineRule="exact"/>
        <w:rPr>
          <w:sz w:val="20"/>
          <w:szCs w:val="20"/>
          <w:color w:val="auto"/>
        </w:rPr>
      </w:pPr>
    </w:p>
    <w:p>
      <w:pPr>
        <w:ind w:left="20"/>
        <w:spacing w:after="0"/>
        <w:rPr>
          <w:sz w:val="20"/>
          <w:szCs w:val="20"/>
          <w:color w:val="auto"/>
        </w:rPr>
      </w:pPr>
      <w:r>
        <w:rPr>
          <w:rFonts w:ascii="Arial" w:cs="Arial" w:eastAsia="Arial" w:hAnsi="Arial"/>
          <w:sz w:val="15"/>
          <w:szCs w:val="15"/>
          <w:color w:val="auto"/>
        </w:rPr>
        <w:t>Write-offs</w:t>
      </w:r>
      <w:r>
        <w:rPr>
          <w:rFonts w:ascii="Arial" w:cs="Arial" w:eastAsia="Arial" w:hAnsi="Arial"/>
          <w:sz w:val="20"/>
          <w:szCs w:val="20"/>
          <w:color w:val="auto"/>
          <w:vertAlign w:val="superscript"/>
        </w:rPr>
        <w:t>(1)</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Recoveries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Foreclosed property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35039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Credit gains (losses)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Change in expected benefits from freestanding loss-sharing arrangements</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35039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Credit gains (losses), net of freestanding loss-sharing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35039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039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wp:posOffset>
            </wp:positionV>
            <wp:extent cx="35039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5"/>
          <w:szCs w:val="15"/>
          <w:color w:val="auto"/>
        </w:rPr>
        <w:t>Credit gain (loss) ratio (in bps)</w:t>
      </w:r>
      <w:r>
        <w:rPr>
          <w:rFonts w:ascii="Arial" w:cs="Arial" w:eastAsia="Arial" w:hAnsi="Arial"/>
          <w:sz w:val="20"/>
          <w:szCs w:val="20"/>
          <w:color w:val="auto"/>
          <w:vertAlign w:val="superscript"/>
        </w:rPr>
        <w:t>(3)</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5"/>
          <w:szCs w:val="15"/>
          <w:color w:val="auto"/>
        </w:rPr>
        <w:t>Credit gain (loss) ratio, net of freestanding loss-sharing arrangements (in bps)</w:t>
      </w:r>
      <w:r>
        <w:rPr>
          <w:rFonts w:ascii="Arial" w:cs="Arial" w:eastAsia="Arial" w:hAnsi="Arial"/>
          <w:sz w:val="20"/>
          <w:szCs w:val="20"/>
          <w:color w:val="auto"/>
          <w:vertAlign w:val="superscript"/>
        </w:rPr>
        <w:t>(2)</w:t>
      </w:r>
    </w:p>
    <w:p>
      <w:pPr>
        <w:ind w:left="180"/>
        <w:spacing w:after="0"/>
        <w:rPr>
          <w:sz w:val="20"/>
          <w:szCs w:val="20"/>
          <w:color w:val="auto"/>
        </w:rPr>
      </w:pPr>
      <w:r>
        <w:rPr>
          <w:rFonts w:ascii="Arial" w:cs="Arial" w:eastAsia="Arial" w:hAnsi="Arial"/>
          <w:sz w:val="10"/>
          <w:szCs w:val="10"/>
          <w:color w:val="auto"/>
        </w:rPr>
        <w:t>(3)</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 initial write-off severity rate on liquidated loans</w:t>
      </w:r>
      <w:r>
        <w:rPr>
          <w:rFonts w:ascii="Arial" w:cs="Arial" w:eastAsia="Arial" w:hAnsi="Arial"/>
          <w:sz w:val="20"/>
          <w:szCs w:val="20"/>
          <w:color w:val="auto"/>
          <w:vertAlign w:val="superscript"/>
        </w:rPr>
        <w:t>(4)(5)</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 write-off loan count on liquidated loans</w:t>
      </w:r>
      <w:r>
        <w:rPr>
          <w:rFonts w:ascii="Arial" w:cs="Arial" w:eastAsia="Arial" w:hAnsi="Arial"/>
          <w:sz w:val="20"/>
          <w:szCs w:val="20"/>
          <w:color w:val="auto"/>
          <w:vertAlign w:val="superscript"/>
        </w:rPr>
        <w:t>(6)</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360" w:type="dxa"/>
            <w:vAlign w:val="bottom"/>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(167)</w:t>
            </w:r>
          </w:p>
        </w:tc>
        <w:tc>
          <w:tcPr>
            <w:tcW w:w="380" w:type="dxa"/>
            <w:vAlign w:val="bottom"/>
          </w:tcPr>
          <w:p>
            <w:pPr>
              <w:spacing w:after="0"/>
              <w:rPr>
                <w:sz w:val="18"/>
                <w:szCs w:val="18"/>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(224)</w:t>
            </w:r>
          </w:p>
        </w:tc>
        <w:tc>
          <w:tcPr>
            <w:tcW w:w="360" w:type="dxa"/>
            <w:vAlign w:val="bottom"/>
          </w:tcPr>
          <w:p>
            <w:pPr>
              <w:spacing w:after="0"/>
              <w:rPr>
                <w:sz w:val="18"/>
                <w:szCs w:val="18"/>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(350)</w:t>
            </w:r>
          </w:p>
        </w:tc>
        <w:tc>
          <w:tcPr>
            <w:tcW w:w="380" w:type="dxa"/>
            <w:vAlign w:val="bottom"/>
          </w:tcPr>
          <w:p>
            <w:pPr>
              <w:spacing w:after="0"/>
              <w:rPr>
                <w:sz w:val="18"/>
                <w:szCs w:val="18"/>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(395)</w:t>
            </w:r>
          </w:p>
        </w:tc>
        <w:tc>
          <w:tcPr>
            <w:tcW w:w="160" w:type="dxa"/>
            <w:vAlign w:val="bottom"/>
          </w:tcPr>
          <w:p>
            <w:pPr>
              <w:spacing w:after="0"/>
              <w:rPr>
                <w:sz w:val="18"/>
                <w:szCs w:val="18"/>
                <w:color w:val="auto"/>
              </w:rPr>
            </w:pPr>
          </w:p>
        </w:tc>
      </w:tr>
      <w:tr>
        <w:trPr>
          <w:trHeight w:val="309"/>
        </w:trPr>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48</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b w:val="1"/>
                <w:bCs w:val="1"/>
                <w:color w:val="auto"/>
              </w:rPr>
              <w:t>86</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81</w:t>
            </w:r>
          </w:p>
        </w:tc>
        <w:tc>
          <w:tcPr>
            <w:tcW w:w="160" w:type="dxa"/>
            <w:vAlign w:val="bottom"/>
          </w:tcPr>
          <w:p>
            <w:pPr>
              <w:spacing w:after="0"/>
              <w:rPr>
                <w:sz w:val="24"/>
                <w:szCs w:val="24"/>
                <w:color w:val="auto"/>
              </w:rPr>
            </w:pPr>
          </w:p>
        </w:tc>
      </w:tr>
      <w:tr>
        <w:trPr>
          <w:trHeight w:val="303"/>
        </w:trPr>
        <w:tc>
          <w:tcPr>
            <w:tcW w:w="36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w:t>
            </w:r>
          </w:p>
        </w:tc>
        <w:tc>
          <w:tcPr>
            <w:tcW w:w="38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(47)</w:t>
            </w:r>
          </w:p>
        </w:tc>
        <w:tc>
          <w:tcPr>
            <w:tcW w:w="36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(109)</w:t>
            </w:r>
          </w:p>
        </w:tc>
        <w:tc>
          <w:tcPr>
            <w:tcW w:w="38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(92)</w:t>
            </w:r>
          </w:p>
        </w:tc>
        <w:tc>
          <w:tcPr>
            <w:tcW w:w="160" w:type="dxa"/>
            <w:vAlign w:val="bottom"/>
          </w:tcPr>
          <w:p>
            <w:pPr>
              <w:spacing w:after="0"/>
              <w:rPr>
                <w:sz w:val="24"/>
                <w:szCs w:val="24"/>
                <w:color w:val="auto"/>
              </w:rPr>
            </w:pPr>
          </w:p>
        </w:tc>
      </w:tr>
      <w:tr>
        <w:trPr>
          <w:trHeight w:val="309"/>
        </w:trPr>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(161)</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(223)</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(373)</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(406)</w:t>
            </w:r>
          </w:p>
        </w:tc>
        <w:tc>
          <w:tcPr>
            <w:tcW w:w="160" w:type="dxa"/>
            <w:vAlign w:val="bottom"/>
          </w:tcPr>
          <w:p>
            <w:pPr>
              <w:spacing w:after="0"/>
              <w:rPr>
                <w:sz w:val="24"/>
                <w:szCs w:val="24"/>
                <w:color w:val="auto"/>
              </w:rPr>
            </w:pPr>
          </w:p>
        </w:tc>
      </w:tr>
      <w:tr>
        <w:trPr>
          <w:trHeight w:val="303"/>
        </w:trPr>
        <w:tc>
          <w:tcPr>
            <w:tcW w:w="36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60</w:t>
            </w:r>
          </w:p>
        </w:tc>
        <w:tc>
          <w:tcPr>
            <w:tcW w:w="38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w:t>
            </w:r>
          </w:p>
        </w:tc>
        <w:tc>
          <w:tcPr>
            <w:tcW w:w="36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125</w:t>
            </w:r>
          </w:p>
        </w:tc>
        <w:tc>
          <w:tcPr>
            <w:tcW w:w="38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109</w:t>
            </w:r>
          </w:p>
        </w:tc>
        <w:tc>
          <w:tcPr>
            <w:tcW w:w="160" w:type="dxa"/>
            <w:vAlign w:val="bottom"/>
          </w:tcPr>
          <w:p>
            <w:pPr>
              <w:spacing w:after="0"/>
              <w:rPr>
                <w:sz w:val="24"/>
                <w:szCs w:val="24"/>
                <w:color w:val="auto"/>
              </w:rPr>
            </w:pPr>
          </w:p>
        </w:tc>
      </w:tr>
      <w:tr>
        <w:trPr>
          <w:trHeight w:val="302"/>
        </w:trPr>
        <w:tc>
          <w:tcPr>
            <w:tcW w:w="3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(101)</w:t>
            </w:r>
          </w:p>
        </w:tc>
        <w:tc>
          <w:tcPr>
            <w:tcW w:w="380" w:type="dxa"/>
            <w:vAlign w:val="bottom"/>
          </w:tcPr>
          <w:p>
            <w:pPr>
              <w:spacing w:after="0"/>
              <w:rPr>
                <w:sz w:val="24"/>
                <w:szCs w:val="24"/>
                <w:color w:val="auto"/>
              </w:rPr>
            </w:pPr>
          </w:p>
        </w:tc>
        <w:tc>
          <w:tcPr>
            <w:tcW w:w="3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(167)</w:t>
            </w:r>
          </w:p>
        </w:tc>
        <w:tc>
          <w:tcPr>
            <w:tcW w:w="360" w:type="dxa"/>
            <w:vAlign w:val="bottom"/>
          </w:tcPr>
          <w:p>
            <w:pPr>
              <w:spacing w:after="0"/>
              <w:rPr>
                <w:sz w:val="24"/>
                <w:szCs w:val="24"/>
                <w:color w:val="auto"/>
              </w:rPr>
            </w:pPr>
          </w:p>
        </w:tc>
        <w:tc>
          <w:tcPr>
            <w:tcW w:w="380" w:type="dxa"/>
            <w:vAlign w:val="bottom"/>
            <w:tcBorders>
              <w:bottom w:val="single" w:sz="8" w:color="2C6937"/>
            </w:tcBorders>
          </w:tcPr>
          <w:p>
            <w:pPr>
              <w:jc w:val="right"/>
              <w:ind w:right="203"/>
              <w:spacing w:after="0"/>
              <w:rPr>
                <w:sz w:val="20"/>
                <w:szCs w:val="20"/>
                <w:color w:val="auto"/>
              </w:rPr>
            </w:pPr>
            <w:r>
              <w:rPr>
                <w:rFonts w:ascii="Arial" w:cs="Arial" w:eastAsia="Arial" w:hAnsi="Arial"/>
                <w:sz w:val="15"/>
                <w:szCs w:val="15"/>
                <w:b w:val="1"/>
                <w:bCs w:val="1"/>
                <w:color w:val="auto"/>
                <w:w w:val="95"/>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(248)</w:t>
            </w:r>
          </w:p>
        </w:tc>
        <w:tc>
          <w:tcPr>
            <w:tcW w:w="380" w:type="dxa"/>
            <w:vAlign w:val="bottom"/>
          </w:tcPr>
          <w:p>
            <w:pPr>
              <w:spacing w:after="0"/>
              <w:rPr>
                <w:sz w:val="24"/>
                <w:szCs w:val="24"/>
                <w:color w:val="auto"/>
              </w:rPr>
            </w:pPr>
          </w:p>
        </w:tc>
        <w:tc>
          <w:tcPr>
            <w:tcW w:w="3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(297)</w:t>
            </w:r>
          </w:p>
        </w:tc>
        <w:tc>
          <w:tcPr>
            <w:tcW w:w="160" w:type="dxa"/>
            <w:vAlign w:val="bottom"/>
          </w:tcPr>
          <w:p>
            <w:pPr>
              <w:spacing w:after="0"/>
              <w:rPr>
                <w:sz w:val="24"/>
                <w:szCs w:val="24"/>
                <w:color w:val="auto"/>
              </w:rPr>
            </w:pPr>
          </w:p>
        </w:tc>
      </w:tr>
      <w:tr>
        <w:trPr>
          <w:trHeight w:val="20"/>
        </w:trPr>
        <w:tc>
          <w:tcPr>
            <w:tcW w:w="36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39"/>
        </w:trPr>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(12.5)</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(18.5)</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(9.8)</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(11.3)</w:t>
            </w:r>
          </w:p>
        </w:tc>
        <w:tc>
          <w:tcPr>
            <w:tcW w:w="160" w:type="dxa"/>
            <w:vAlign w:val="bottom"/>
          </w:tcPr>
          <w:p>
            <w:pPr>
              <w:spacing w:after="0"/>
              <w:rPr>
                <w:sz w:val="24"/>
                <w:szCs w:val="24"/>
                <w:color w:val="auto"/>
              </w:rPr>
            </w:pPr>
          </w:p>
        </w:tc>
      </w:tr>
      <w:tr>
        <w:trPr>
          <w:trHeight w:val="438"/>
        </w:trPr>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(7.8)</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(13.8)</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(6.5)</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(8.3)</w:t>
            </w:r>
          </w:p>
        </w:tc>
        <w:tc>
          <w:tcPr>
            <w:tcW w:w="160" w:type="dxa"/>
            <w:vAlign w:val="bottom"/>
          </w:tcPr>
          <w:p>
            <w:pPr>
              <w:spacing w:after="0"/>
              <w:rPr>
                <w:sz w:val="24"/>
                <w:szCs w:val="24"/>
                <w:color w:val="auto"/>
              </w:rPr>
            </w:pPr>
          </w:p>
        </w:tc>
      </w:tr>
      <w:tr>
        <w:trPr>
          <w:trHeight w:val="309"/>
        </w:trPr>
        <w:tc>
          <w:tcPr>
            <w:tcW w:w="3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22.2 %</w:t>
            </w:r>
          </w:p>
        </w:tc>
        <w:tc>
          <w:tcPr>
            <w:tcW w:w="3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16.3 %</w:t>
            </w:r>
          </w:p>
        </w:tc>
        <w:tc>
          <w:tcPr>
            <w:tcW w:w="3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26.0 %</w:t>
            </w:r>
          </w:p>
        </w:tc>
        <w:tc>
          <w:tcPr>
            <w:tcW w:w="3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21.1 %</w:t>
            </w:r>
          </w:p>
        </w:tc>
      </w:tr>
      <w:tr>
        <w:trPr>
          <w:trHeight w:val="309"/>
        </w:trPr>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23</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Arial" w:cs="Arial" w:eastAsia="Arial" w:hAnsi="Arial"/>
                <w:sz w:val="15"/>
                <w:szCs w:val="15"/>
                <w:b w:val="1"/>
                <w:bCs w:val="1"/>
                <w:color w:val="auto"/>
              </w:rPr>
              <w:t>55</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16</w:t>
            </w:r>
          </w:p>
        </w:tc>
        <w:tc>
          <w:tcPr>
            <w:tcW w:w="160" w:type="dxa"/>
            <w:vAlign w:val="bottom"/>
          </w:tcPr>
          <w:p>
            <w:pPr>
              <w:spacing w:after="0"/>
              <w:rPr>
                <w:sz w:val="24"/>
                <w:szCs w:val="24"/>
                <w:color w:val="auto"/>
              </w:rPr>
            </w:pPr>
          </w:p>
        </w:tc>
      </w:tr>
    </w:tbl>
    <w:p>
      <w:pPr>
        <w:spacing w:after="0" w:line="115" w:lineRule="exact"/>
        <w:rPr>
          <w:sz w:val="20"/>
          <w:szCs w:val="20"/>
          <w:color w:val="auto"/>
        </w:rPr>
      </w:pPr>
    </w:p>
    <w:p>
      <w:pPr>
        <w:sectPr>
          <w:pgSz w:w="11900" w:h="16838" w:orient="portrait"/>
          <w:cols w:equalWidth="0" w:num="2">
            <w:col w:w="5460" w:space="160"/>
            <w:col w:w="5620"/>
          </w:cols>
          <w:pgMar w:left="320" w:top="248" w:right="339" w:bottom="1440" w:gutter="0" w:footer="0" w:header="0"/>
          <w:type w:val="continuous"/>
        </w:sectPr>
      </w:pPr>
    </w:p>
    <w:p>
      <w:pPr>
        <w:ind w:left="240" w:right="500" w:hanging="237"/>
        <w:spacing w:after="0" w:line="226" w:lineRule="auto"/>
        <w:tabs>
          <w:tab w:leader="none" w:pos="233"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Represents write-offs at a liquidation event, which includes foreclosure, a deed-in-lieu of foreclosure or a short-sale, as well as write-offs prior to a liquidation event. Write-offs associated with non-REO sales are net of loss sharing.</w:t>
      </w:r>
    </w:p>
    <w:p>
      <w:pPr>
        <w:spacing w:after="0" w:line="27" w:lineRule="exact"/>
        <w:rPr>
          <w:rFonts w:ascii="Arial" w:cs="Arial" w:eastAsia="Arial" w:hAnsi="Arial"/>
          <w:sz w:val="18"/>
          <w:szCs w:val="18"/>
          <w:color w:val="auto"/>
          <w:vertAlign w:val="superscript"/>
        </w:rPr>
      </w:pPr>
    </w:p>
    <w:p>
      <w:pPr>
        <w:ind w:left="240" w:right="180" w:hanging="237"/>
        <w:spacing w:after="0" w:line="228" w:lineRule="auto"/>
        <w:tabs>
          <w:tab w:leader="none" w:pos="233"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Represents changes to the benefit we expect to receive only from write-offs as a result of certain freestanding loss-sharing arrangements, primarily multifamily DUS lender risk-sharing transactions. Changes to the expected benefits we will receive are recorded in “Other income (expense), net” in our condensed consolidated statements of operations and comprehensive income.</w:t>
      </w:r>
    </w:p>
    <w:p>
      <w:pPr>
        <w:spacing w:after="0" w:line="26" w:lineRule="exact"/>
        <w:rPr>
          <w:rFonts w:ascii="Arial" w:cs="Arial" w:eastAsia="Arial" w:hAnsi="Arial"/>
          <w:sz w:val="18"/>
          <w:szCs w:val="18"/>
          <w:color w:val="auto"/>
          <w:vertAlign w:val="superscript"/>
        </w:rPr>
      </w:pPr>
    </w:p>
    <w:p>
      <w:pPr>
        <w:ind w:left="240" w:right="120" w:hanging="237"/>
        <w:spacing w:after="0" w:line="226" w:lineRule="auto"/>
        <w:tabs>
          <w:tab w:leader="none" w:pos="233"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annualized amount of “Credit gains (losses)” and “Credit gains (losses), net of freestanding loss-sharing arrangements,” divided by the average multifamily guaranty book of business during the period.</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Rate is calculated as the initial write-off amount divided by the unpaid principal balance of the loans written off.</w:t>
      </w:r>
    </w:p>
    <w:p>
      <w:pPr>
        <w:spacing w:after="0" w:line="37" w:lineRule="exact"/>
        <w:rPr>
          <w:rFonts w:ascii="Arial" w:cs="Arial" w:eastAsia="Arial" w:hAnsi="Arial"/>
          <w:sz w:val="18"/>
          <w:szCs w:val="18"/>
          <w:color w:val="auto"/>
          <w:vertAlign w:val="superscript"/>
        </w:rPr>
      </w:pPr>
    </w:p>
    <w:p>
      <w:pPr>
        <w:ind w:left="240" w:right="200" w:hanging="237"/>
        <w:spacing w:after="0" w:line="210" w:lineRule="auto"/>
        <w:tabs>
          <w:tab w:leader="none" w:pos="233"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Based on write-offs associated with a liquidation event. The rate excludes any costs, gains or losses associated with REO after initial acquisition through final disposition. The rate also excludes write-offs when a loan is determined to be uncollectible prior to a liquidation event. Write-offs are net of lender loss-sharing agreements.</w:t>
      </w:r>
    </w:p>
    <w:p>
      <w:pPr>
        <w:spacing w:after="0" w:line="26"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35"/>
        </w:numPr>
        <w:rPr>
          <w:rFonts w:ascii="Arial" w:cs="Arial" w:eastAsia="Arial" w:hAnsi="Arial"/>
          <w:sz w:val="9"/>
          <w:szCs w:val="9"/>
          <w:color w:val="auto"/>
        </w:rPr>
      </w:pPr>
      <w:r>
        <w:rPr>
          <w:rFonts w:ascii="Arial" w:cs="Arial" w:eastAsia="Arial" w:hAnsi="Arial"/>
          <w:sz w:val="14"/>
          <w:szCs w:val="14"/>
          <w:color w:val="auto"/>
        </w:rPr>
        <w:t>Represents the number of loans that experienced write-offs associated with a liquidation event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42</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45" w:name="page46"/>
    <w:bookmarkEnd w:id="45"/>
    <w:p>
      <w:pPr>
        <w:ind w:left="7240"/>
        <w:spacing w:after="0"/>
        <w:rPr>
          <w:sz w:val="20"/>
          <w:szCs w:val="20"/>
          <w:color w:val="auto"/>
        </w:rPr>
      </w:pPr>
      <w:r>
        <w:rPr>
          <w:rFonts w:ascii="Arial" w:cs="Arial" w:eastAsia="Arial" w:hAnsi="Arial"/>
          <w:sz w:val="13"/>
          <w:szCs w:val="13"/>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table below displays select credit ratios on our single-family conventional guaranty book of business and our multifamily guaranty book of business, as well as the inputs used in calculating these ratios.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gridSpan w:val="3"/>
          </w:tcPr>
          <w:p>
            <w:pPr>
              <w:jc w:val="center"/>
              <w:ind w:left="87"/>
              <w:spacing w:after="0"/>
              <w:rPr>
                <w:sz w:val="20"/>
                <w:szCs w:val="20"/>
                <w:color w:val="auto"/>
              </w:rPr>
            </w:pPr>
            <w:r>
              <w:rPr>
                <w:rFonts w:ascii="Arial" w:cs="Arial" w:eastAsia="Arial" w:hAnsi="Arial"/>
                <w:sz w:val="15"/>
                <w:szCs w:val="15"/>
                <w:b w:val="1"/>
                <w:bCs w:val="1"/>
                <w:color w:val="auto"/>
                <w:w w:val="95"/>
              </w:rPr>
              <w:t>As of</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120" w:type="dxa"/>
            <w:vAlign w:val="bottom"/>
            <w:tcBorders>
              <w:bottom w:val="single" w:sz="8" w:color="216C2B"/>
            </w:tcBorders>
          </w:tcPr>
          <w:p>
            <w:pPr>
              <w:spacing w:after="0"/>
              <w:rPr>
                <w:sz w:val="2"/>
                <w:szCs w:val="2"/>
                <w:color w:val="auto"/>
              </w:rPr>
            </w:pPr>
          </w:p>
        </w:tc>
        <w:tc>
          <w:tcPr>
            <w:tcW w:w="840" w:type="dxa"/>
            <w:vAlign w:val="bottom"/>
            <w:tcBorders>
              <w:bottom w:val="single" w:sz="8" w:color="216C2B"/>
            </w:tcBorders>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1480" w:type="dxa"/>
            <w:vAlign w:val="bottom"/>
            <w:tcBorders>
              <w:bottom w:val="single" w:sz="8" w:color="216C2B"/>
            </w:tcBorders>
            <w:gridSpan w:val="3"/>
          </w:tcPr>
          <w:p>
            <w:pPr>
              <w:spacing w:after="0"/>
              <w:rPr>
                <w:sz w:val="2"/>
                <w:szCs w:val="2"/>
                <w:color w:val="auto"/>
              </w:rPr>
            </w:pPr>
          </w:p>
        </w:tc>
        <w:tc>
          <w:tcPr>
            <w:tcW w:w="200" w:type="dxa"/>
            <w:vAlign w:val="bottom"/>
            <w:tcBorders>
              <w:bottom w:val="single" w:sz="8" w:color="216C2B"/>
            </w:tcBorders>
          </w:tcPr>
          <w:p>
            <w:pPr>
              <w:spacing w:after="0"/>
              <w:rPr>
                <w:sz w:val="2"/>
                <w:szCs w:val="2"/>
                <w:color w:val="auto"/>
              </w:rPr>
            </w:pPr>
          </w:p>
        </w:tc>
        <w:tc>
          <w:tcPr>
            <w:tcW w:w="840" w:type="dxa"/>
            <w:vAlign w:val="bottom"/>
            <w:tcBorders>
              <w:bottom w:val="single" w:sz="8" w:color="216C2B"/>
            </w:tcBorders>
          </w:tcPr>
          <w:p>
            <w:pPr>
              <w:spacing w:after="0"/>
              <w:rPr>
                <w:sz w:val="2"/>
                <w:szCs w:val="2"/>
                <w:color w:val="auto"/>
              </w:rPr>
            </w:pPr>
          </w:p>
        </w:tc>
        <w:tc>
          <w:tcPr>
            <w:tcW w:w="2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140" w:type="dxa"/>
            <w:vAlign w:val="bottom"/>
            <w:tcBorders>
              <w:bottom w:val="single" w:sz="8" w:color="216C2B"/>
            </w:tcBorders>
          </w:tcPr>
          <w:p>
            <w:pPr>
              <w:spacing w:after="0"/>
              <w:rPr>
                <w:sz w:val="2"/>
                <w:szCs w:val="2"/>
                <w:color w:val="auto"/>
              </w:rPr>
            </w:pPr>
          </w:p>
        </w:tc>
        <w:tc>
          <w:tcPr>
            <w:tcW w:w="820" w:type="dxa"/>
            <w:vAlign w:val="bottom"/>
            <w:tcBorders>
              <w:bottom w:val="single" w:sz="8" w:color="216C2B"/>
            </w:tcBorders>
          </w:tcPr>
          <w:p>
            <w:pPr>
              <w:spacing w:after="0"/>
              <w:rPr>
                <w:sz w:val="2"/>
                <w:szCs w:val="2"/>
                <w:color w:val="auto"/>
              </w:rPr>
            </w:pPr>
          </w:p>
        </w:tc>
        <w:tc>
          <w:tcPr>
            <w:tcW w:w="280" w:type="dxa"/>
            <w:vAlign w:val="bottom"/>
            <w:tcBorders>
              <w:bottom w:val="single" w:sz="8" w:color="216C2B"/>
            </w:tcBorders>
          </w:tcPr>
          <w:p>
            <w:pPr>
              <w:spacing w:after="0"/>
              <w:rPr>
                <w:sz w:val="2"/>
                <w:szCs w:val="2"/>
                <w:color w:val="auto"/>
              </w:rPr>
            </w:pPr>
          </w:p>
        </w:tc>
        <w:tc>
          <w:tcPr>
            <w:tcW w:w="1440" w:type="dxa"/>
            <w:vAlign w:val="bottom"/>
            <w:tcBorders>
              <w:bottom w:val="single" w:sz="8" w:color="216C2B"/>
            </w:tcBorders>
            <w:gridSpan w:val="3"/>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220" w:type="dxa"/>
            <w:vAlign w:val="bottom"/>
            <w:tcBorders>
              <w:bottom w:val="single" w:sz="8" w:color="216C2B"/>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rPr>
              <w:t>September 30, 2025</w:t>
            </w:r>
          </w:p>
        </w:tc>
        <w:tc>
          <w:tcPr>
            <w:tcW w:w="200" w:type="dxa"/>
            <w:vAlign w:val="bottom"/>
            <w:tcBorders>
              <w:bottom w:val="single" w:sz="8" w:color="2C6937"/>
            </w:tcBorders>
          </w:tcPr>
          <w:p>
            <w:pPr>
              <w:spacing w:after="0"/>
              <w:rPr>
                <w:sz w:val="16"/>
                <w:szCs w:val="16"/>
                <w:color w:val="auto"/>
              </w:rPr>
            </w:pPr>
          </w:p>
        </w:tc>
        <w:tc>
          <w:tcPr>
            <w:tcW w:w="84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gridSpan w:val="3"/>
          </w:tcPr>
          <w:p>
            <w:pPr>
              <w:ind w:left="120"/>
              <w:spacing w:after="0"/>
              <w:rPr>
                <w:sz w:val="20"/>
                <w:szCs w:val="20"/>
                <w:color w:val="auto"/>
              </w:rPr>
            </w:pPr>
            <w:r>
              <w:rPr>
                <w:rFonts w:ascii="Arial" w:cs="Arial" w:eastAsia="Arial" w:hAnsi="Arial"/>
                <w:sz w:val="15"/>
                <w:szCs w:val="15"/>
                <w:b w:val="1"/>
                <w:bCs w:val="1"/>
                <w:color w:val="auto"/>
                <w:w w:val="96"/>
              </w:rPr>
              <w:t>December 31, 2024</w:t>
            </w: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080" w:type="dxa"/>
            <w:vAlign w:val="bottom"/>
            <w:tcBorders>
              <w:bottom w:val="single" w:sz="8" w:color="2C6937"/>
            </w:tcBorders>
            <w:gridSpan w:val="2"/>
          </w:tcPr>
          <w:p>
            <w:pPr>
              <w:jc w:val="right"/>
              <w:ind w:right="47"/>
              <w:spacing w:after="0"/>
              <w:rPr>
                <w:sz w:val="20"/>
                <w:szCs w:val="20"/>
                <w:color w:val="auto"/>
              </w:rPr>
            </w:pPr>
            <w:r>
              <w:rPr>
                <w:rFonts w:ascii="Arial" w:cs="Arial" w:eastAsia="Arial" w:hAnsi="Arial"/>
                <w:sz w:val="15"/>
                <w:szCs w:val="15"/>
                <w:b w:val="1"/>
                <w:bCs w:val="1"/>
                <w:color w:val="auto"/>
                <w:w w:val="96"/>
              </w:rPr>
              <w:t>Single-Family</w:t>
            </w:r>
          </w:p>
        </w:tc>
        <w:tc>
          <w:tcPr>
            <w:tcW w:w="280" w:type="dxa"/>
            <w:vAlign w:val="bottom"/>
            <w:tcBorders>
              <w:bottom w:val="single" w:sz="8" w:color="2C6937"/>
            </w:tcBorders>
          </w:tcPr>
          <w:p>
            <w:pPr>
              <w:spacing w:after="0"/>
              <w:rPr>
                <w:sz w:val="22"/>
                <w:szCs w:val="22"/>
                <w:color w:val="auto"/>
              </w:rPr>
            </w:pPr>
          </w:p>
        </w:tc>
        <w:tc>
          <w:tcPr>
            <w:tcW w:w="1200" w:type="dxa"/>
            <w:vAlign w:val="bottom"/>
            <w:tcBorders>
              <w:bottom w:val="single" w:sz="8" w:color="2C6937"/>
            </w:tcBorders>
            <w:gridSpan w:val="2"/>
          </w:tcPr>
          <w:p>
            <w:pPr>
              <w:jc w:val="right"/>
              <w:ind w:right="287"/>
              <w:spacing w:after="0"/>
              <w:rPr>
                <w:sz w:val="20"/>
                <w:szCs w:val="20"/>
                <w:color w:val="auto"/>
              </w:rPr>
            </w:pPr>
            <w:r>
              <w:rPr>
                <w:rFonts w:ascii="Arial" w:cs="Arial" w:eastAsia="Arial" w:hAnsi="Arial"/>
                <w:sz w:val="15"/>
                <w:szCs w:val="15"/>
                <w:b w:val="1"/>
                <w:bCs w:val="1"/>
                <w:color w:val="auto"/>
              </w:rPr>
              <w:t>Multifamily</w:t>
            </w:r>
          </w:p>
        </w:tc>
        <w:tc>
          <w:tcPr>
            <w:tcW w:w="1560" w:type="dxa"/>
            <w:vAlign w:val="bottom"/>
            <w:tcBorders>
              <w:bottom w:val="single" w:sz="8" w:color="2C6937"/>
            </w:tcBorders>
            <w:gridSpan w:val="5"/>
          </w:tcPr>
          <w:p>
            <w:pPr>
              <w:spacing w:after="0"/>
              <w:rPr>
                <w:sz w:val="20"/>
                <w:szCs w:val="20"/>
                <w:color w:val="auto"/>
              </w:rPr>
            </w:pPr>
            <w:r>
              <w:rPr>
                <w:rFonts w:ascii="Arial" w:cs="Arial" w:eastAsia="Arial" w:hAnsi="Arial"/>
                <w:sz w:val="15"/>
                <w:szCs w:val="15"/>
                <w:b w:val="1"/>
                <w:bCs w:val="1"/>
                <w:color w:val="auto"/>
              </w:rPr>
              <w:t>Consolidated Total</w:t>
            </w:r>
          </w:p>
        </w:tc>
        <w:tc>
          <w:tcPr>
            <w:tcW w:w="1100" w:type="dxa"/>
            <w:vAlign w:val="bottom"/>
            <w:tcBorders>
              <w:bottom w:val="single" w:sz="8" w:color="2C6937"/>
            </w:tcBorders>
            <w:gridSpan w:val="2"/>
          </w:tcPr>
          <w:p>
            <w:pPr>
              <w:jc w:val="right"/>
              <w:ind w:right="67"/>
              <w:spacing w:after="0"/>
              <w:rPr>
                <w:sz w:val="20"/>
                <w:szCs w:val="20"/>
                <w:color w:val="auto"/>
              </w:rPr>
            </w:pPr>
            <w:r>
              <w:rPr>
                <w:rFonts w:ascii="Arial" w:cs="Arial" w:eastAsia="Arial" w:hAnsi="Arial"/>
                <w:sz w:val="15"/>
                <w:szCs w:val="15"/>
                <w:b w:val="1"/>
                <w:bCs w:val="1"/>
                <w:color w:val="auto"/>
                <w:w w:val="96"/>
              </w:rPr>
              <w:t>Single-Family</w:t>
            </w:r>
          </w:p>
        </w:tc>
        <w:tc>
          <w:tcPr>
            <w:tcW w:w="280" w:type="dxa"/>
            <w:vAlign w:val="bottom"/>
            <w:tcBorders>
              <w:bottom w:val="single" w:sz="8" w:color="2C6937"/>
            </w:tcBorders>
          </w:tcPr>
          <w:p>
            <w:pPr>
              <w:spacing w:after="0"/>
              <w:rPr>
                <w:sz w:val="22"/>
                <w:szCs w:val="22"/>
                <w:color w:val="auto"/>
              </w:rPr>
            </w:pPr>
          </w:p>
        </w:tc>
        <w:tc>
          <w:tcPr>
            <w:tcW w:w="1160" w:type="dxa"/>
            <w:vAlign w:val="bottom"/>
            <w:tcBorders>
              <w:bottom w:val="single" w:sz="8" w:color="2C6937"/>
            </w:tcBorders>
            <w:gridSpan w:val="2"/>
          </w:tcPr>
          <w:p>
            <w:pPr>
              <w:jc w:val="right"/>
              <w:ind w:right="267"/>
              <w:spacing w:after="0"/>
              <w:rPr>
                <w:sz w:val="20"/>
                <w:szCs w:val="20"/>
                <w:color w:val="auto"/>
              </w:rPr>
            </w:pPr>
            <w:r>
              <w:rPr>
                <w:rFonts w:ascii="Arial" w:cs="Arial" w:eastAsia="Arial" w:hAnsi="Arial"/>
                <w:sz w:val="15"/>
                <w:szCs w:val="15"/>
                <w:b w:val="1"/>
                <w:bCs w:val="1"/>
                <w:color w:val="auto"/>
              </w:rPr>
              <w:t>Multifamily</w:t>
            </w:r>
          </w:p>
        </w:tc>
        <w:tc>
          <w:tcPr>
            <w:tcW w:w="134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b w:val="1"/>
                <w:bCs w:val="1"/>
                <w:color w:val="auto"/>
                <w:w w:val="96"/>
              </w:rPr>
              <w:t>Consolidated Total</w:t>
            </w:r>
          </w:p>
        </w:tc>
        <w:tc>
          <w:tcPr>
            <w:tcW w:w="0" w:type="dxa"/>
            <w:vAlign w:val="bottom"/>
          </w:tcPr>
          <w:p>
            <w:pPr>
              <w:spacing w:after="0"/>
              <w:rPr>
                <w:sz w:val="1"/>
                <w:szCs w:val="1"/>
                <w:color w:val="auto"/>
              </w:rPr>
            </w:pPr>
          </w:p>
        </w:tc>
      </w:tr>
      <w:tr>
        <w:trPr>
          <w:trHeight w:val="193"/>
        </w:trPr>
        <w:tc>
          <w:tcPr>
            <w:tcW w:w="3100" w:type="dxa"/>
            <w:vAlign w:val="bottom"/>
            <w:vMerge w:val="restart"/>
          </w:tcPr>
          <w:p>
            <w:pPr>
              <w:spacing w:after="0"/>
              <w:rPr>
                <w:sz w:val="20"/>
                <w:szCs w:val="20"/>
                <w:color w:val="auto"/>
              </w:rPr>
            </w:pPr>
            <w:r>
              <w:rPr>
                <w:rFonts w:ascii="Arial" w:cs="Arial" w:eastAsia="Arial" w:hAnsi="Arial"/>
                <w:sz w:val="15"/>
                <w:szCs w:val="15"/>
                <w:b w:val="1"/>
                <w:bCs w:val="1"/>
                <w:color w:val="auto"/>
              </w:rPr>
              <w:t>Credit loss reserves as a percentage of:</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jc w:val="center"/>
              <w:ind w:left="107"/>
              <w:spacing w:after="0"/>
              <w:rPr>
                <w:sz w:val="20"/>
                <w:szCs w:val="20"/>
                <w:color w:val="auto"/>
              </w:rPr>
            </w:pPr>
            <w:r>
              <w:rPr>
                <w:rFonts w:ascii="Arial" w:cs="Arial" w:eastAsia="Arial" w:hAnsi="Arial"/>
                <w:sz w:val="15"/>
                <w:szCs w:val="15"/>
                <w:b w:val="1"/>
                <w:bCs w:val="1"/>
                <w:color w:val="auto"/>
                <w:w w:val="97"/>
              </w:rPr>
              <w:t>(Dollars in millions)</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100" w:type="dxa"/>
            <w:vAlign w:val="bottom"/>
          </w:tcPr>
          <w:p>
            <w:pPr>
              <w:ind w:left="160"/>
              <w:spacing w:after="0"/>
              <w:rPr>
                <w:sz w:val="20"/>
                <w:szCs w:val="20"/>
                <w:color w:val="auto"/>
              </w:rPr>
            </w:pPr>
            <w:r>
              <w:rPr>
                <w:rFonts w:ascii="Arial" w:cs="Arial" w:eastAsia="Arial" w:hAnsi="Arial"/>
                <w:sz w:val="15"/>
                <w:szCs w:val="15"/>
                <w:color w:val="auto"/>
              </w:rPr>
              <w:t>Guaranty book of business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0.16</w:t>
            </w:r>
          </w:p>
        </w:tc>
        <w:tc>
          <w:tcPr>
            <w:tcW w:w="240" w:type="dxa"/>
            <w:vAlign w:val="bottom"/>
          </w:tcPr>
          <w:p>
            <w:pPr>
              <w:jc w:val="right"/>
              <w:ind w:right="27"/>
              <w:spacing w:after="0"/>
              <w:rPr>
                <w:sz w:val="20"/>
                <w:szCs w:val="20"/>
                <w:color w:val="auto"/>
              </w:rPr>
            </w:pPr>
            <w:r>
              <w:rPr>
                <w:rFonts w:ascii="Arial" w:cs="Arial" w:eastAsia="Arial" w:hAnsi="Arial"/>
                <w:sz w:val="15"/>
                <w:szCs w:val="15"/>
                <w:b w:val="1"/>
                <w:bCs w:val="1"/>
                <w:color w:val="auto"/>
                <w:w w:val="89"/>
              </w:rPr>
              <w:t>%</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0.46</w:t>
            </w:r>
          </w:p>
        </w:tc>
        <w:tc>
          <w:tcPr>
            <w:tcW w:w="40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0.20</w:t>
            </w:r>
          </w:p>
        </w:tc>
        <w:tc>
          <w:tcPr>
            <w:tcW w:w="28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0.15</w:t>
            </w:r>
          </w:p>
        </w:tc>
        <w:tc>
          <w:tcPr>
            <w:tcW w:w="2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0.48</w:t>
            </w:r>
          </w:p>
        </w:tc>
        <w:tc>
          <w:tcPr>
            <w:tcW w:w="3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0.19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3100" w:type="dxa"/>
            <w:vAlign w:val="bottom"/>
          </w:tcPr>
          <w:p>
            <w:pPr>
              <w:ind w:left="160"/>
              <w:spacing w:after="0"/>
              <w:rPr>
                <w:sz w:val="20"/>
                <w:szCs w:val="20"/>
                <w:color w:val="auto"/>
              </w:rPr>
            </w:pPr>
            <w:r>
              <w:rPr>
                <w:rFonts w:ascii="Arial" w:cs="Arial" w:eastAsia="Arial" w:hAnsi="Arial"/>
                <w:sz w:val="15"/>
                <w:szCs w:val="15"/>
                <w:color w:val="auto"/>
              </w:rPr>
              <w:t>Nonaccrual loans at amortized cost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22.33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83.38</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28.39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19.95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95.27</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26.43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3100" w:type="dxa"/>
            <w:vAlign w:val="bottom"/>
          </w:tcPr>
          <w:p>
            <w:pPr>
              <w:spacing w:after="0"/>
              <w:rPr>
                <w:sz w:val="20"/>
                <w:szCs w:val="20"/>
                <w:color w:val="auto"/>
              </w:rPr>
            </w:pPr>
            <w:r>
              <w:rPr>
                <w:rFonts w:ascii="Arial" w:cs="Arial" w:eastAsia="Arial" w:hAnsi="Arial"/>
                <w:sz w:val="15"/>
                <w:szCs w:val="15"/>
                <w:b w:val="1"/>
                <w:bCs w:val="1"/>
                <w:color w:val="auto"/>
              </w:rPr>
              <w:t>Nonaccrual loans as a percentage of:</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100" w:type="dxa"/>
            <w:vAlign w:val="bottom"/>
          </w:tcPr>
          <w:p>
            <w:pPr>
              <w:ind w:left="160"/>
              <w:spacing w:after="0"/>
              <w:rPr>
                <w:sz w:val="20"/>
                <w:szCs w:val="20"/>
                <w:color w:val="auto"/>
              </w:rPr>
            </w:pPr>
            <w:r>
              <w:rPr>
                <w:rFonts w:ascii="Arial" w:cs="Arial" w:eastAsia="Arial" w:hAnsi="Arial"/>
                <w:sz w:val="15"/>
                <w:szCs w:val="15"/>
                <w:color w:val="auto"/>
              </w:rPr>
              <w:t>Guaranty book of business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0.73</w:t>
            </w:r>
          </w:p>
        </w:tc>
        <w:tc>
          <w:tcPr>
            <w:tcW w:w="240" w:type="dxa"/>
            <w:vAlign w:val="bottom"/>
          </w:tcPr>
          <w:p>
            <w:pPr>
              <w:jc w:val="right"/>
              <w:ind w:right="27"/>
              <w:spacing w:after="0"/>
              <w:rPr>
                <w:sz w:val="20"/>
                <w:szCs w:val="20"/>
                <w:color w:val="auto"/>
              </w:rPr>
            </w:pPr>
            <w:r>
              <w:rPr>
                <w:rFonts w:ascii="Arial" w:cs="Arial" w:eastAsia="Arial" w:hAnsi="Arial"/>
                <w:sz w:val="15"/>
                <w:szCs w:val="15"/>
                <w:b w:val="1"/>
                <w:bCs w:val="1"/>
                <w:color w:val="auto"/>
                <w:w w:val="89"/>
              </w:rPr>
              <w:t>%</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0.56</w:t>
            </w:r>
          </w:p>
        </w:tc>
        <w:tc>
          <w:tcPr>
            <w:tcW w:w="40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0.71</w:t>
            </w:r>
          </w:p>
        </w:tc>
        <w:tc>
          <w:tcPr>
            <w:tcW w:w="28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0.74</w:t>
            </w:r>
          </w:p>
        </w:tc>
        <w:tc>
          <w:tcPr>
            <w:tcW w:w="2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0.50</w:t>
            </w:r>
          </w:p>
        </w:tc>
        <w:tc>
          <w:tcPr>
            <w:tcW w:w="38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0.71</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93"/>
        </w:trPr>
        <w:tc>
          <w:tcPr>
            <w:tcW w:w="3100" w:type="dxa"/>
            <w:vAlign w:val="bottom"/>
          </w:tcPr>
          <w:p>
            <w:pPr>
              <w:spacing w:after="0"/>
              <w:rPr>
                <w:sz w:val="20"/>
                <w:szCs w:val="20"/>
                <w:color w:val="auto"/>
              </w:rPr>
            </w:pPr>
            <w:r>
              <w:rPr>
                <w:rFonts w:ascii="Arial" w:cs="Arial" w:eastAsia="Arial" w:hAnsi="Arial"/>
                <w:sz w:val="15"/>
                <w:szCs w:val="15"/>
                <w:b w:val="1"/>
                <w:bCs w:val="1"/>
                <w:color w:val="auto"/>
              </w:rPr>
              <w:t>Select financial information used in</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100" w:type="dxa"/>
            <w:vAlign w:val="bottom"/>
          </w:tcPr>
          <w:p>
            <w:pPr>
              <w:ind w:left="160"/>
              <w:spacing w:after="0"/>
              <w:rPr>
                <w:sz w:val="20"/>
                <w:szCs w:val="20"/>
                <w:color w:val="auto"/>
              </w:rPr>
            </w:pPr>
            <w:r>
              <w:rPr>
                <w:rFonts w:ascii="Arial" w:cs="Arial" w:eastAsia="Arial" w:hAnsi="Arial"/>
                <w:sz w:val="15"/>
                <w:szCs w:val="15"/>
                <w:b w:val="1"/>
                <w:bCs w:val="1"/>
                <w:color w:val="auto"/>
              </w:rPr>
              <w:t>calculating credit ratios: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100" w:type="dxa"/>
            <w:vAlign w:val="bottom"/>
          </w:tcPr>
          <w:p>
            <w:pPr>
              <w:ind w:left="160"/>
              <w:spacing w:after="0"/>
              <w:rPr>
                <w:sz w:val="20"/>
                <w:szCs w:val="20"/>
                <w:color w:val="auto"/>
              </w:rPr>
            </w:pPr>
            <w:r>
              <w:rPr>
                <w:rFonts w:ascii="Arial" w:cs="Arial" w:eastAsia="Arial" w:hAnsi="Arial"/>
                <w:sz w:val="15"/>
                <w:szCs w:val="15"/>
                <w:color w:val="auto"/>
              </w:rPr>
              <w:t>Credit loss reserves</w:t>
            </w:r>
            <w:r>
              <w:rPr>
                <w:rFonts w:ascii="Arial" w:cs="Arial" w:eastAsia="Arial" w:hAnsi="Arial"/>
                <w:sz w:val="18"/>
                <w:szCs w:val="18"/>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(5,866)</w:t>
            </w:r>
          </w:p>
        </w:tc>
        <w:tc>
          <w:tcPr>
            <w:tcW w:w="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(2,413)</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(8,279)</w:t>
            </w:r>
          </w:p>
        </w:tc>
        <w:tc>
          <w:tcPr>
            <w:tcW w:w="5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(5,332)</w:t>
            </w:r>
          </w:p>
        </w:tc>
        <w:tc>
          <w:tcPr>
            <w:tcW w:w="280" w:type="dxa"/>
            <w:vAlign w:val="bottom"/>
          </w:tcPr>
          <w:p>
            <w:pPr>
              <w:spacing w:after="0"/>
              <w:rPr>
                <w:sz w:val="20"/>
                <w:szCs w:val="20"/>
                <w:color w:val="auto"/>
              </w:rPr>
            </w:pPr>
          </w:p>
        </w:tc>
        <w:tc>
          <w:tcPr>
            <w:tcW w:w="280" w:type="dxa"/>
            <w:vAlign w:val="bottom"/>
          </w:tcPr>
          <w:p>
            <w:pPr>
              <w:ind w:lef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(2,398)</w:t>
            </w:r>
          </w:p>
        </w:tc>
        <w:tc>
          <w:tcPr>
            <w:tcW w:w="38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(7,730)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100" w:type="dxa"/>
            <w:vAlign w:val="bottom"/>
          </w:tcPr>
          <w:p>
            <w:pPr>
              <w:ind w:left="160"/>
              <w:spacing w:after="0"/>
              <w:rPr>
                <w:sz w:val="20"/>
                <w:szCs w:val="20"/>
                <w:color w:val="auto"/>
              </w:rPr>
            </w:pPr>
            <w:r>
              <w:rPr>
                <w:rFonts w:ascii="Arial" w:cs="Arial" w:eastAsia="Arial" w:hAnsi="Arial"/>
                <w:sz w:val="15"/>
                <w:szCs w:val="15"/>
                <w:color w:val="auto"/>
              </w:rPr>
              <w:t>Guaranty book of business</w:t>
            </w:r>
            <w:r>
              <w:rPr>
                <w:rFonts w:ascii="Arial" w:cs="Arial" w:eastAsia="Arial" w:hAnsi="Arial"/>
                <w:sz w:val="18"/>
                <w:szCs w:val="18"/>
                <w:color w:val="auto"/>
                <w:vertAlign w:val="superscript"/>
              </w:rPr>
              <w:t>(2)</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3,584,937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521,323</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4,106,260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3,617,267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499,652</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4,116,919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100" w:type="dxa"/>
            <w:vAlign w:val="bottom"/>
          </w:tcPr>
          <w:p>
            <w:pPr>
              <w:ind w:left="160"/>
              <w:spacing w:after="0"/>
              <w:rPr>
                <w:sz w:val="20"/>
                <w:szCs w:val="20"/>
                <w:color w:val="auto"/>
              </w:rPr>
            </w:pPr>
            <w:r>
              <w:rPr>
                <w:rFonts w:ascii="Arial" w:cs="Arial" w:eastAsia="Arial" w:hAnsi="Arial"/>
                <w:sz w:val="15"/>
                <w:szCs w:val="15"/>
                <w:color w:val="auto"/>
              </w:rPr>
              <w:t>Nonaccrual loans at amortized cost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26,271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2,894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29,165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26,728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2,517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29,245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20" w:hanging="217"/>
        <w:spacing w:after="0"/>
        <w:tabs>
          <w:tab w:leader="none" w:pos="2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Credit loss reserves are comprised of our allowance for loan losses, allowance for accrued interest receivable, and reserve for guaranty losses.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Guaranty book of business is as of period end. For single-family, represents the conventional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6" w:name="page47"/>
    <w:bookmarkEnd w:id="46"/>
    <w:p>
      <w:pPr>
        <w:jc w:val="right"/>
        <w:ind w:right="40"/>
        <w:spacing w:after="0"/>
        <w:rPr>
          <w:sz w:val="20"/>
          <w:szCs w:val="20"/>
          <w:color w:val="auto"/>
        </w:rPr>
      </w:pPr>
      <w:r>
        <w:rPr>
          <w:rFonts w:ascii="Arial" w:cs="Arial" w:eastAsia="Arial" w:hAnsi="Arial"/>
          <w:sz w:val="14"/>
          <w:szCs w:val="14"/>
          <w:color w:val="05314D"/>
        </w:rPr>
        <w:t>MD&amp;A | Consolidated Credit Ratios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22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Consolidated Write-off Ratio and Select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5" w:lineRule="exact"/>
        <w:rPr>
          <w:sz w:val="20"/>
          <w:szCs w:val="20"/>
          <w:color w:val="auto"/>
        </w:rPr>
      </w:pPr>
    </w:p>
    <w:p>
      <w:pPr>
        <w:jc w:val="center"/>
        <w:ind w:left="4000"/>
        <w:spacing w:after="0"/>
        <w:rPr>
          <w:sz w:val="20"/>
          <w:szCs w:val="20"/>
          <w:color w:val="auto"/>
        </w:rPr>
      </w:pPr>
      <w:r>
        <w:rPr>
          <w:rFonts w:ascii="Arial" w:cs="Arial" w:eastAsia="Arial" w:hAnsi="Arial"/>
          <w:sz w:val="15"/>
          <w:szCs w:val="15"/>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32385</wp:posOffset>
            </wp:positionV>
            <wp:extent cx="459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592320" cy="8255"/>
                    </a:xfrm>
                    <a:prstGeom prst="rect">
                      <a:avLst/>
                    </a:prstGeom>
                    <a:noFill/>
                  </pic:spPr>
                </pic:pic>
              </a:graphicData>
            </a:graphic>
          </wp:anchor>
        </w:drawing>
      </w:r>
    </w:p>
    <w:p>
      <w:pPr>
        <w:spacing w:after="0" w:line="40" w:lineRule="exact"/>
        <w:rPr>
          <w:sz w:val="20"/>
          <w:szCs w:val="20"/>
          <w:color w:val="auto"/>
        </w:rPr>
      </w:pPr>
    </w:p>
    <w:p>
      <w:pPr>
        <w:ind w:left="5620"/>
        <w:spacing w:after="0"/>
        <w:tabs>
          <w:tab w:leader="none" w:pos="9280" w:val="left"/>
        </w:tabs>
        <w:rPr>
          <w:sz w:val="20"/>
          <w:szCs w:val="20"/>
          <w:color w:val="auto"/>
        </w:rPr>
      </w:pPr>
      <w:r>
        <w:rPr>
          <w:rFonts w:ascii="Arial" w:cs="Arial" w:eastAsia="Arial" w:hAnsi="Arial"/>
          <w:sz w:val="15"/>
          <w:szCs w:val="15"/>
          <w:b w:val="1"/>
          <w:bCs w:val="1"/>
          <w:color w:val="auto"/>
        </w:rPr>
        <w:t>2025</w:t>
      </w:r>
      <w:r>
        <w:rPr>
          <w:sz w:val="20"/>
          <w:szCs w:val="20"/>
          <w:color w:val="auto"/>
        </w:rPr>
        <w:tab/>
      </w:r>
      <w:r>
        <w:rPr>
          <w:rFonts w:ascii="Arial" w:cs="Arial" w:eastAsia="Arial" w:hAnsi="Arial"/>
          <w:sz w:val="15"/>
          <w:szCs w:val="15"/>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15875</wp:posOffset>
            </wp:positionV>
            <wp:extent cx="459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59232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Select credit ratio:</w:t>
      </w:r>
    </w:p>
    <w:p>
      <w:pPr>
        <w:spacing w:after="0" w:line="60" w:lineRule="exact"/>
        <w:rPr>
          <w:sz w:val="20"/>
          <w:szCs w:val="20"/>
          <w:color w:val="auto"/>
        </w:rPr>
      </w:pPr>
    </w:p>
    <w:p>
      <w:pPr>
        <w:ind w:left="320" w:hanging="154"/>
        <w:spacing w:after="0" w:line="315" w:lineRule="auto"/>
        <w:rPr>
          <w:sz w:val="20"/>
          <w:szCs w:val="20"/>
          <w:color w:val="auto"/>
        </w:rPr>
      </w:pPr>
      <w:r>
        <w:rPr>
          <w:rFonts w:ascii="Arial" w:cs="Arial" w:eastAsia="Arial" w:hAnsi="Arial"/>
          <w:sz w:val="14"/>
          <w:szCs w:val="14"/>
          <w:color w:val="auto"/>
        </w:rPr>
        <w:t>Write-offs, net of recoveries annualized, as a percentage of the average guaranty book of business (in bps)</w:t>
      </w:r>
    </w:p>
    <w:p>
      <w:pPr>
        <w:spacing w:after="0" w:line="222" w:lineRule="exact"/>
        <w:rPr>
          <w:sz w:val="20"/>
          <w:szCs w:val="20"/>
          <w:color w:val="auto"/>
        </w:rPr>
      </w:pPr>
    </w:p>
    <w:p>
      <w:pPr>
        <w:ind w:left="180" w:right="120" w:hanging="154"/>
        <w:spacing w:after="0" w:line="237" w:lineRule="auto"/>
        <w:rPr>
          <w:sz w:val="20"/>
          <w:szCs w:val="20"/>
          <w:color w:val="auto"/>
        </w:rPr>
      </w:pPr>
      <w:r>
        <w:rPr>
          <w:rFonts w:ascii="Arial" w:cs="Arial" w:eastAsia="Arial" w:hAnsi="Arial"/>
          <w:sz w:val="15"/>
          <w:szCs w:val="15"/>
          <w:b w:val="1"/>
          <w:bCs w:val="1"/>
          <w:color w:val="auto"/>
        </w:rPr>
        <w:t>Select financial information used in calculating credit ratio:</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220" w:type="dxa"/>
            <w:vAlign w:val="bottom"/>
            <w:tcBorders>
              <w:bottom w:val="single" w:sz="8" w:color="2C6937"/>
            </w:tcBorders>
          </w:tcPr>
          <w:p>
            <w:pPr>
              <w:jc w:val="right"/>
              <w:ind w:right="127"/>
              <w:spacing w:after="0"/>
              <w:rPr>
                <w:sz w:val="20"/>
                <w:szCs w:val="20"/>
                <w:color w:val="auto"/>
              </w:rPr>
            </w:pPr>
            <w:r>
              <w:rPr>
                <w:rFonts w:ascii="Arial" w:cs="Arial" w:eastAsia="Arial" w:hAnsi="Arial"/>
                <w:sz w:val="15"/>
                <w:szCs w:val="15"/>
                <w:b w:val="1"/>
                <w:bCs w:val="1"/>
                <w:color w:val="auto"/>
              </w:rPr>
              <w:t>Single-Family</w:t>
            </w:r>
          </w:p>
        </w:tc>
        <w:tc>
          <w:tcPr>
            <w:tcW w:w="132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Multifamily</w:t>
            </w:r>
          </w:p>
        </w:tc>
        <w:tc>
          <w:tcPr>
            <w:tcW w:w="1080" w:type="dxa"/>
            <w:vAlign w:val="bottom"/>
            <w:tcBorders>
              <w:bottom w:val="single" w:sz="8" w:color="2C6937"/>
            </w:tcBorders>
          </w:tcPr>
          <w:p>
            <w:pPr>
              <w:jc w:val="right"/>
              <w:ind w:right="387"/>
              <w:spacing w:after="0"/>
              <w:rPr>
                <w:sz w:val="20"/>
                <w:szCs w:val="20"/>
                <w:color w:val="auto"/>
              </w:rPr>
            </w:pPr>
            <w:r>
              <w:rPr>
                <w:rFonts w:ascii="Arial" w:cs="Arial" w:eastAsia="Arial" w:hAnsi="Arial"/>
                <w:sz w:val="15"/>
                <w:szCs w:val="15"/>
                <w:b w:val="1"/>
                <w:bCs w:val="1"/>
                <w:color w:val="auto"/>
              </w:rPr>
              <w:t>Total</w:t>
            </w:r>
          </w:p>
        </w:tc>
        <w:tc>
          <w:tcPr>
            <w:tcW w:w="1280" w:type="dxa"/>
            <w:vAlign w:val="bottom"/>
            <w:tcBorders>
              <w:bottom w:val="single" w:sz="8" w:color="2C6937"/>
            </w:tcBorders>
          </w:tcPr>
          <w:p>
            <w:pPr>
              <w:jc w:val="right"/>
              <w:ind w:right="147"/>
              <w:spacing w:after="0"/>
              <w:rPr>
                <w:sz w:val="20"/>
                <w:szCs w:val="20"/>
                <w:color w:val="auto"/>
              </w:rPr>
            </w:pPr>
            <w:r>
              <w:rPr>
                <w:rFonts w:ascii="Arial" w:cs="Arial" w:eastAsia="Arial" w:hAnsi="Arial"/>
                <w:sz w:val="15"/>
                <w:szCs w:val="15"/>
                <w:b w:val="1"/>
                <w:bCs w:val="1"/>
                <w:color w:val="auto"/>
              </w:rPr>
              <w:t>Single-Family</w:t>
            </w:r>
          </w:p>
        </w:tc>
        <w:tc>
          <w:tcPr>
            <w:tcW w:w="132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Multifamily</w:t>
            </w:r>
          </w:p>
        </w:tc>
        <w:tc>
          <w:tcPr>
            <w:tcW w:w="100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193"/>
        </w:trPr>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60" w:type="dxa"/>
            <w:vAlign w:val="bottom"/>
            <w:gridSpan w:val="2"/>
          </w:tcPr>
          <w:p>
            <w:pPr>
              <w:jc w:val="right"/>
              <w:ind w:right="547"/>
              <w:spacing w:after="0"/>
              <w:rPr>
                <w:sz w:val="20"/>
                <w:szCs w:val="20"/>
                <w:color w:val="auto"/>
              </w:rPr>
            </w:pPr>
            <w:r>
              <w:rPr>
                <w:rFonts w:ascii="Arial" w:cs="Arial" w:eastAsia="Arial" w:hAnsi="Arial"/>
                <w:sz w:val="15"/>
                <w:szCs w:val="15"/>
                <w:b w:val="1"/>
                <w:bCs w:val="1"/>
                <w:color w:val="auto"/>
              </w:rPr>
              <w:t>(Dollars in millions)</w:t>
            </w: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27"/>
        </w:trPr>
        <w:tc>
          <w:tcPr>
            <w:tcW w:w="1220" w:type="dxa"/>
            <w:vAlign w:val="bottom"/>
          </w:tcPr>
          <w:p>
            <w:pPr>
              <w:jc w:val="right"/>
              <w:ind w:right="107"/>
              <w:spacing w:after="0"/>
              <w:rPr>
                <w:sz w:val="20"/>
                <w:szCs w:val="20"/>
                <w:color w:val="auto"/>
              </w:rPr>
            </w:pPr>
            <w:r>
              <w:rPr>
                <w:rFonts w:ascii="Arial" w:cs="Arial" w:eastAsia="Arial" w:hAnsi="Arial"/>
                <w:sz w:val="15"/>
                <w:szCs w:val="15"/>
                <w:b w:val="1"/>
                <w:bCs w:val="1"/>
                <w:color w:val="auto"/>
              </w:rPr>
              <w:t>2.1</w:t>
            </w:r>
          </w:p>
        </w:tc>
        <w:tc>
          <w:tcPr>
            <w:tcW w:w="1320" w:type="dxa"/>
            <w:vAlign w:val="bottom"/>
          </w:tcPr>
          <w:p>
            <w:pPr>
              <w:jc w:val="right"/>
              <w:ind w:right="207"/>
              <w:spacing w:after="0"/>
              <w:rPr>
                <w:sz w:val="20"/>
                <w:szCs w:val="20"/>
                <w:color w:val="auto"/>
              </w:rPr>
            </w:pPr>
            <w:r>
              <w:rPr>
                <w:rFonts w:ascii="Arial" w:cs="Arial" w:eastAsia="Arial" w:hAnsi="Arial"/>
                <w:sz w:val="15"/>
                <w:szCs w:val="15"/>
                <w:b w:val="1"/>
                <w:bCs w:val="1"/>
                <w:color w:val="auto"/>
              </w:rPr>
              <w:t>11.0</w:t>
            </w:r>
          </w:p>
        </w:tc>
        <w:tc>
          <w:tcPr>
            <w:tcW w:w="1080" w:type="dxa"/>
            <w:vAlign w:val="bottom"/>
          </w:tcPr>
          <w:p>
            <w:pPr>
              <w:jc w:val="right"/>
              <w:ind w:right="67"/>
              <w:spacing w:after="0"/>
              <w:rPr>
                <w:sz w:val="20"/>
                <w:szCs w:val="20"/>
                <w:color w:val="auto"/>
              </w:rPr>
            </w:pPr>
            <w:r>
              <w:rPr>
                <w:rFonts w:ascii="Arial" w:cs="Arial" w:eastAsia="Arial" w:hAnsi="Arial"/>
                <w:sz w:val="15"/>
                <w:szCs w:val="15"/>
                <w:b w:val="1"/>
                <w:bCs w:val="1"/>
                <w:color w:val="auto"/>
              </w:rPr>
              <w:t>3.3</w:t>
            </w:r>
          </w:p>
        </w:tc>
        <w:tc>
          <w:tcPr>
            <w:tcW w:w="1280" w:type="dxa"/>
            <w:vAlign w:val="bottom"/>
          </w:tcPr>
          <w:p>
            <w:pPr>
              <w:jc w:val="right"/>
              <w:ind w:right="67"/>
              <w:spacing w:after="0"/>
              <w:rPr>
                <w:sz w:val="20"/>
                <w:szCs w:val="20"/>
                <w:color w:val="auto"/>
              </w:rPr>
            </w:pPr>
            <w:r>
              <w:rPr>
                <w:rFonts w:ascii="Arial" w:cs="Arial" w:eastAsia="Arial" w:hAnsi="Arial"/>
                <w:sz w:val="15"/>
                <w:szCs w:val="15"/>
                <w:color w:val="auto"/>
              </w:rPr>
              <w:t>2.3</w:t>
            </w:r>
          </w:p>
        </w:tc>
        <w:tc>
          <w:tcPr>
            <w:tcW w:w="1320" w:type="dxa"/>
            <w:vAlign w:val="bottom"/>
          </w:tcPr>
          <w:p>
            <w:pPr>
              <w:jc w:val="right"/>
              <w:ind w:right="207"/>
              <w:spacing w:after="0"/>
              <w:rPr>
                <w:sz w:val="20"/>
                <w:szCs w:val="20"/>
                <w:color w:val="auto"/>
              </w:rPr>
            </w:pPr>
            <w:r>
              <w:rPr>
                <w:rFonts w:ascii="Arial" w:cs="Arial" w:eastAsia="Arial" w:hAnsi="Arial"/>
                <w:sz w:val="15"/>
                <w:szCs w:val="15"/>
                <w:color w:val="auto"/>
              </w:rPr>
              <w:t>14.6</w:t>
            </w:r>
          </w:p>
        </w:tc>
        <w:tc>
          <w:tcPr>
            <w:tcW w:w="1000" w:type="dxa"/>
            <w:vAlign w:val="bottom"/>
          </w:tcPr>
          <w:p>
            <w:pPr>
              <w:jc w:val="right"/>
              <w:spacing w:after="0"/>
              <w:rPr>
                <w:sz w:val="20"/>
                <w:szCs w:val="20"/>
                <w:color w:val="auto"/>
              </w:rPr>
            </w:pPr>
            <w:r>
              <w:rPr>
                <w:rFonts w:ascii="Arial" w:cs="Arial" w:eastAsia="Arial" w:hAnsi="Arial"/>
                <w:sz w:val="15"/>
                <w:szCs w:val="15"/>
                <w:color w:val="auto"/>
              </w:rPr>
              <w:t>3.8</w:t>
            </w:r>
          </w:p>
        </w:tc>
      </w:tr>
    </w:tbl>
    <w:p>
      <w:pPr>
        <w:spacing w:after="0" w:line="611" w:lineRule="exact"/>
        <w:rPr>
          <w:sz w:val="20"/>
          <w:szCs w:val="20"/>
          <w:color w:val="auto"/>
        </w:rPr>
      </w:pPr>
    </w:p>
    <w:p>
      <w:pPr>
        <w:sectPr>
          <w:pgSz w:w="11900" w:h="16838" w:orient="portrait"/>
          <w:cols w:equalWidth="0" w:num="2">
            <w:col w:w="3840" w:space="180"/>
            <w:col w:w="7220"/>
          </w:cols>
          <w:pgMar w:left="320" w:top="248"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4020" w:type="dxa"/>
            <w:vAlign w:val="bottom"/>
            <w:gridSpan w:val="2"/>
          </w:tcPr>
          <w:p>
            <w:pPr>
              <w:ind w:left="280"/>
              <w:spacing w:after="0"/>
              <w:rPr>
                <w:sz w:val="20"/>
                <w:szCs w:val="20"/>
                <w:color w:val="auto"/>
              </w:rPr>
            </w:pPr>
            <w:r>
              <w:rPr>
                <w:rFonts w:ascii="Arial" w:cs="Arial" w:eastAsia="Arial" w:hAnsi="Arial"/>
                <w:sz w:val="15"/>
                <w:szCs w:val="15"/>
                <w:color w:val="auto"/>
              </w:rPr>
              <w:t>Write-offs</w:t>
            </w:r>
            <w:r>
              <w:rPr>
                <w:rFonts w:ascii="Arial" w:cs="Arial" w:eastAsia="Arial" w:hAnsi="Arial"/>
                <w:sz w:val="18"/>
                <w:szCs w:val="18"/>
                <w:color w:val="auto"/>
                <w:vertAlign w:val="superscript"/>
              </w:rPr>
              <w:t>(1)</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240</w:t>
            </w:r>
          </w:p>
        </w:tc>
        <w:tc>
          <w:tcPr>
            <w:tcW w:w="8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167</w:t>
            </w:r>
          </w:p>
        </w:tc>
        <w:tc>
          <w:tcPr>
            <w:tcW w:w="10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407</w:t>
            </w:r>
          </w:p>
        </w:tc>
        <w:tc>
          <w:tcPr>
            <w:tcW w:w="10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236</w:t>
            </w:r>
          </w:p>
        </w:tc>
        <w:tc>
          <w:tcPr>
            <w:tcW w:w="100" w:type="dxa"/>
            <w:vAlign w:val="bottom"/>
          </w:tcPr>
          <w:p>
            <w:pPr>
              <w:spacing w:after="0"/>
              <w:rPr>
                <w:sz w:val="20"/>
                <w:szCs w:val="20"/>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224</w:t>
            </w:r>
          </w:p>
        </w:tc>
        <w:tc>
          <w:tcPr>
            <w:tcW w:w="10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460</w:t>
            </w:r>
          </w:p>
        </w:tc>
      </w:tr>
      <w:tr>
        <w:trPr>
          <w:trHeight w:val="224"/>
        </w:trPr>
        <w:tc>
          <w:tcPr>
            <w:tcW w:w="39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Recoveries</w:t>
            </w:r>
          </w:p>
        </w:tc>
        <w:tc>
          <w:tcPr>
            <w:tcW w:w="12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(48)</w:t>
            </w:r>
          </w:p>
        </w:tc>
        <w:tc>
          <w:tcPr>
            <w:tcW w:w="8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(73)</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9"/>
                <w:szCs w:val="19"/>
                <w:color w:val="auto"/>
              </w:rPr>
            </w:pPr>
          </w:p>
        </w:tc>
        <w:tc>
          <w:tcPr>
            <w:tcW w:w="300" w:type="dxa"/>
            <w:vAlign w:val="bottom"/>
            <w:tcBorders>
              <w:bottom w:val="single" w:sz="8" w:color="2C6937"/>
            </w:tcBorders>
          </w:tcPr>
          <w:p>
            <w:pPr>
              <w:spacing w:after="0"/>
              <w:rPr>
                <w:sz w:val="19"/>
                <w:szCs w:val="19"/>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(73)</w:t>
            </w:r>
          </w:p>
        </w:tc>
      </w:tr>
      <w:tr>
        <w:trPr>
          <w:trHeight w:val="225"/>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192</w:t>
            </w:r>
          </w:p>
        </w:tc>
        <w:tc>
          <w:tcPr>
            <w:tcW w:w="8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142</w:t>
            </w:r>
          </w:p>
        </w:tc>
        <w:tc>
          <w:tcPr>
            <w:tcW w:w="10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334</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211</w:t>
            </w:r>
          </w:p>
        </w:tc>
        <w:tc>
          <w:tcPr>
            <w:tcW w:w="100" w:type="dxa"/>
            <w:vAlign w:val="bottom"/>
          </w:tcPr>
          <w:p>
            <w:pPr>
              <w:spacing w:after="0"/>
              <w:rPr>
                <w:sz w:val="19"/>
                <w:szCs w:val="19"/>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176</w:t>
            </w:r>
          </w:p>
        </w:tc>
        <w:tc>
          <w:tcPr>
            <w:tcW w:w="10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387</w:t>
            </w: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r>
      <w:tr>
        <w:trPr>
          <w:trHeight w:val="254"/>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Average guaranty book of business</w:t>
            </w:r>
            <w:r>
              <w:rPr>
                <w:rFonts w:ascii="Arial" w:cs="Arial" w:eastAsia="Arial" w:hAnsi="Arial"/>
                <w:sz w:val="18"/>
                <w:szCs w:val="18"/>
                <w:color w:val="auto"/>
                <w:vertAlign w:val="superscript"/>
              </w:rPr>
              <w:t>(2)</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3,588,198</w:t>
            </w:r>
          </w:p>
        </w:tc>
        <w:tc>
          <w:tcPr>
            <w:tcW w:w="80" w:type="dxa"/>
            <w:vAlign w:val="bottom"/>
          </w:tcPr>
          <w:p>
            <w:pPr>
              <w:spacing w:after="0"/>
              <w:rPr>
                <w:sz w:val="22"/>
                <w:szCs w:val="22"/>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516,045</w:t>
            </w:r>
          </w:p>
        </w:tc>
        <w:tc>
          <w:tcPr>
            <w:tcW w:w="100" w:type="dxa"/>
            <w:vAlign w:val="bottom"/>
          </w:tcPr>
          <w:p>
            <w:pPr>
              <w:spacing w:after="0"/>
              <w:rPr>
                <w:sz w:val="22"/>
                <w:szCs w:val="22"/>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4,104,243</w:t>
            </w:r>
          </w:p>
        </w:tc>
        <w:tc>
          <w:tcPr>
            <w:tcW w:w="100" w:type="dxa"/>
            <w:vAlign w:val="bottom"/>
          </w:tcPr>
          <w:p>
            <w:pPr>
              <w:spacing w:after="0"/>
              <w:rPr>
                <w:sz w:val="22"/>
                <w:szCs w:val="22"/>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3,625,702</w:t>
            </w:r>
          </w:p>
        </w:tc>
        <w:tc>
          <w:tcPr>
            <w:tcW w:w="100" w:type="dxa"/>
            <w:vAlign w:val="bottom"/>
          </w:tcPr>
          <w:p>
            <w:pPr>
              <w:spacing w:after="0"/>
              <w:rPr>
                <w:sz w:val="22"/>
                <w:szCs w:val="22"/>
                <w:color w:val="auto"/>
              </w:rPr>
            </w:pP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482,863</w:t>
            </w:r>
          </w:p>
        </w:tc>
        <w:tc>
          <w:tcPr>
            <w:tcW w:w="100" w:type="dxa"/>
            <w:vAlign w:val="bottom"/>
          </w:tcPr>
          <w:p>
            <w:pPr>
              <w:spacing w:after="0"/>
              <w:rPr>
                <w:sz w:val="22"/>
                <w:szCs w:val="22"/>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4,108,566</w:t>
            </w:r>
          </w:p>
        </w:tc>
      </w:tr>
      <w:tr>
        <w:trPr>
          <w:trHeight w:val="424"/>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gridSpan w:val="9"/>
          </w:tcPr>
          <w:p>
            <w:pPr>
              <w:jc w:val="right"/>
              <w:ind w:right="27"/>
              <w:spacing w:after="0"/>
              <w:rPr>
                <w:sz w:val="20"/>
                <w:szCs w:val="20"/>
                <w:color w:val="auto"/>
              </w:rPr>
            </w:pPr>
            <w:r>
              <w:rPr>
                <w:rFonts w:ascii="Arial" w:cs="Arial" w:eastAsia="Arial" w:hAnsi="Arial"/>
                <w:sz w:val="15"/>
                <w:szCs w:val="15"/>
                <w:b w:val="1"/>
                <w:bCs w:val="1"/>
                <w:color w:val="auto"/>
              </w:rPr>
              <w:t>For the Nine Months Ended September 30,</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80" w:type="dxa"/>
            <w:vAlign w:val="bottom"/>
            <w:tcBorders>
              <w:bottom w:val="single" w:sz="8" w:color="216C2B"/>
            </w:tcBorders>
          </w:tcPr>
          <w:p>
            <w:pPr>
              <w:spacing w:after="0"/>
              <w:rPr>
                <w:sz w:val="2"/>
                <w:szCs w:val="2"/>
                <w:color w:val="auto"/>
              </w:rPr>
            </w:pPr>
          </w:p>
        </w:tc>
        <w:tc>
          <w:tcPr>
            <w:tcW w:w="260" w:type="dxa"/>
            <w:vAlign w:val="bottom"/>
            <w:tcBorders>
              <w:bottom w:val="single" w:sz="8" w:color="216C2B"/>
            </w:tcBorders>
          </w:tcPr>
          <w:p>
            <w:pPr>
              <w:spacing w:after="0"/>
              <w:rPr>
                <w:sz w:val="2"/>
                <w:szCs w:val="2"/>
                <w:color w:val="auto"/>
              </w:rPr>
            </w:pPr>
          </w:p>
        </w:tc>
        <w:tc>
          <w:tcPr>
            <w:tcW w:w="86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6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40" w:type="dxa"/>
            <w:vAlign w:val="bottom"/>
            <w:tcBorders>
              <w:bottom w:val="single" w:sz="8" w:color="216C2B"/>
            </w:tcBorders>
          </w:tcPr>
          <w:p>
            <w:pPr>
              <w:spacing w:after="0"/>
              <w:rPr>
                <w:sz w:val="2"/>
                <w:szCs w:val="2"/>
                <w:color w:val="auto"/>
              </w:rPr>
            </w:pPr>
          </w:p>
        </w:tc>
        <w:tc>
          <w:tcPr>
            <w:tcW w:w="88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300" w:type="dxa"/>
            <w:vAlign w:val="bottom"/>
            <w:tcBorders>
              <w:bottom w:val="single" w:sz="8" w:color="216C2B"/>
            </w:tcBorders>
          </w:tcPr>
          <w:p>
            <w:pPr>
              <w:spacing w:after="0"/>
              <w:rPr>
                <w:sz w:val="2"/>
                <w:szCs w:val="2"/>
                <w:color w:val="auto"/>
              </w:rPr>
            </w:pPr>
          </w:p>
        </w:tc>
        <w:tc>
          <w:tcPr>
            <w:tcW w:w="820" w:type="dxa"/>
            <w:vAlign w:val="bottom"/>
            <w:tcBorders>
              <w:bottom w:val="single" w:sz="8" w:color="216C2B"/>
            </w:tcBorders>
          </w:tcPr>
          <w:p>
            <w:pPr>
              <w:spacing w:after="0"/>
              <w:rPr>
                <w:sz w:val="2"/>
                <w:szCs w:val="2"/>
                <w:color w:val="auto"/>
              </w:rPr>
            </w:pPr>
          </w:p>
        </w:tc>
        <w:tc>
          <w:tcPr>
            <w:tcW w:w="100" w:type="dxa"/>
            <w:vAlign w:val="bottom"/>
            <w:tcBorders>
              <w:bottom w:val="single" w:sz="8" w:color="216C2B"/>
            </w:tcBorders>
          </w:tcPr>
          <w:p>
            <w:pPr>
              <w:spacing w:after="0"/>
              <w:rPr>
                <w:sz w:val="2"/>
                <w:szCs w:val="2"/>
                <w:color w:val="auto"/>
              </w:rPr>
            </w:pPr>
          </w:p>
        </w:tc>
        <w:tc>
          <w:tcPr>
            <w:tcW w:w="260" w:type="dxa"/>
            <w:vAlign w:val="bottom"/>
            <w:tcBorders>
              <w:bottom w:val="single" w:sz="8" w:color="216C2B"/>
            </w:tcBorders>
          </w:tcPr>
          <w:p>
            <w:pPr>
              <w:spacing w:after="0"/>
              <w:rPr>
                <w:sz w:val="2"/>
                <w:szCs w:val="2"/>
                <w:color w:val="auto"/>
              </w:rPr>
            </w:pPr>
          </w:p>
        </w:tc>
        <w:tc>
          <w:tcPr>
            <w:tcW w:w="860" w:type="dxa"/>
            <w:vAlign w:val="bottom"/>
            <w:tcBorders>
              <w:bottom w:val="single" w:sz="8" w:color="216C2B"/>
            </w:tcBorders>
          </w:tcPr>
          <w:p>
            <w:pPr>
              <w:spacing w:after="0"/>
              <w:rPr>
                <w:sz w:val="2"/>
                <w:szCs w:val="2"/>
                <w:color w:val="auto"/>
              </w:rPr>
            </w:pPr>
          </w:p>
        </w:tc>
      </w:tr>
      <w:tr>
        <w:trPr>
          <w:trHeight w:val="186"/>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82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2024</w:t>
            </w: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r>
    </w:tbl>
    <w:p>
      <w:pPr>
        <w:spacing w:after="0" w:line="73" w:lineRule="exact"/>
        <w:rPr>
          <w:sz w:val="20"/>
          <w:szCs w:val="20"/>
          <w:color w:val="auto"/>
        </w:rPr>
      </w:pPr>
    </w:p>
    <w:p>
      <w:pPr>
        <w:sectPr>
          <w:pgSz w:w="11900" w:h="16838" w:orient="portrait"/>
          <w:cols w:equalWidth="0" w:num="1">
            <w:col w:w="11240"/>
          </w:cols>
          <w:pgMar w:left="320" w:top="248" w:right="3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Select credit ratio:</w:t>
      </w:r>
    </w:p>
    <w:p>
      <w:pPr>
        <w:spacing w:after="0" w:line="60" w:lineRule="exact"/>
        <w:rPr>
          <w:sz w:val="20"/>
          <w:szCs w:val="20"/>
          <w:color w:val="auto"/>
        </w:rPr>
      </w:pPr>
    </w:p>
    <w:p>
      <w:pPr>
        <w:ind w:left="320" w:hanging="154"/>
        <w:spacing w:after="0" w:line="315" w:lineRule="auto"/>
        <w:rPr>
          <w:sz w:val="20"/>
          <w:szCs w:val="20"/>
          <w:color w:val="auto"/>
        </w:rPr>
      </w:pPr>
      <w:r>
        <w:rPr>
          <w:rFonts w:ascii="Arial" w:cs="Arial" w:eastAsia="Arial" w:hAnsi="Arial"/>
          <w:sz w:val="14"/>
          <w:szCs w:val="14"/>
          <w:color w:val="auto"/>
        </w:rPr>
        <w:t>Write-offs, net of recoveries annualized, as a percentage of the average guaranty book of business (in bps)</w:t>
      </w:r>
    </w:p>
    <w:p>
      <w:pPr>
        <w:spacing w:after="0" w:line="106" w:lineRule="exact"/>
        <w:rPr>
          <w:sz w:val="20"/>
          <w:szCs w:val="20"/>
          <w:color w:val="auto"/>
        </w:rPr>
      </w:pPr>
    </w:p>
    <w:p>
      <w:pPr>
        <w:ind w:left="180" w:right="120" w:hanging="154"/>
        <w:spacing w:after="0" w:line="237" w:lineRule="auto"/>
        <w:rPr>
          <w:sz w:val="20"/>
          <w:szCs w:val="20"/>
          <w:color w:val="auto"/>
        </w:rPr>
      </w:pPr>
      <w:r>
        <w:rPr>
          <w:rFonts w:ascii="Arial" w:cs="Arial" w:eastAsia="Arial" w:hAnsi="Arial"/>
          <w:sz w:val="15"/>
          <w:szCs w:val="15"/>
          <w:b w:val="1"/>
          <w:bCs w:val="1"/>
          <w:color w:val="auto"/>
        </w:rPr>
        <w:t>Select financial information used in calculating credit ratio: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220" w:type="dxa"/>
            <w:vAlign w:val="bottom"/>
            <w:tcBorders>
              <w:bottom w:val="single" w:sz="8" w:color="2C6937"/>
            </w:tcBorders>
          </w:tcPr>
          <w:p>
            <w:pPr>
              <w:jc w:val="right"/>
              <w:ind w:right="127"/>
              <w:spacing w:after="0"/>
              <w:rPr>
                <w:sz w:val="20"/>
                <w:szCs w:val="20"/>
                <w:color w:val="auto"/>
              </w:rPr>
            </w:pPr>
            <w:r>
              <w:rPr>
                <w:rFonts w:ascii="Arial" w:cs="Arial" w:eastAsia="Arial" w:hAnsi="Arial"/>
                <w:sz w:val="15"/>
                <w:szCs w:val="15"/>
                <w:b w:val="1"/>
                <w:bCs w:val="1"/>
                <w:color w:val="auto"/>
              </w:rPr>
              <w:t>Single-Family</w:t>
            </w:r>
          </w:p>
        </w:tc>
        <w:tc>
          <w:tcPr>
            <w:tcW w:w="132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Multifamily</w:t>
            </w:r>
          </w:p>
        </w:tc>
        <w:tc>
          <w:tcPr>
            <w:tcW w:w="1080" w:type="dxa"/>
            <w:vAlign w:val="bottom"/>
            <w:tcBorders>
              <w:bottom w:val="single" w:sz="8" w:color="2C6937"/>
            </w:tcBorders>
          </w:tcPr>
          <w:p>
            <w:pPr>
              <w:jc w:val="right"/>
              <w:ind w:right="387"/>
              <w:spacing w:after="0"/>
              <w:rPr>
                <w:sz w:val="20"/>
                <w:szCs w:val="20"/>
                <w:color w:val="auto"/>
              </w:rPr>
            </w:pPr>
            <w:r>
              <w:rPr>
                <w:rFonts w:ascii="Arial" w:cs="Arial" w:eastAsia="Arial" w:hAnsi="Arial"/>
                <w:sz w:val="15"/>
                <w:szCs w:val="15"/>
                <w:b w:val="1"/>
                <w:bCs w:val="1"/>
                <w:color w:val="auto"/>
              </w:rPr>
              <w:t>Total</w:t>
            </w:r>
          </w:p>
        </w:tc>
        <w:tc>
          <w:tcPr>
            <w:tcW w:w="1260" w:type="dxa"/>
            <w:vAlign w:val="bottom"/>
            <w:tcBorders>
              <w:bottom w:val="single" w:sz="8" w:color="2C6937"/>
            </w:tcBorders>
          </w:tcPr>
          <w:p>
            <w:pPr>
              <w:jc w:val="right"/>
              <w:ind w:right="127"/>
              <w:spacing w:after="0"/>
              <w:rPr>
                <w:sz w:val="20"/>
                <w:szCs w:val="20"/>
                <w:color w:val="auto"/>
              </w:rPr>
            </w:pPr>
            <w:r>
              <w:rPr>
                <w:rFonts w:ascii="Arial" w:cs="Arial" w:eastAsia="Arial" w:hAnsi="Arial"/>
                <w:sz w:val="15"/>
                <w:szCs w:val="15"/>
                <w:b w:val="1"/>
                <w:bCs w:val="1"/>
                <w:color w:val="auto"/>
              </w:rPr>
              <w:t>Single-Family</w:t>
            </w:r>
          </w:p>
        </w:tc>
        <w:tc>
          <w:tcPr>
            <w:tcW w:w="134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Multifamily</w:t>
            </w:r>
          </w:p>
        </w:tc>
        <w:tc>
          <w:tcPr>
            <w:tcW w:w="1000" w:type="dxa"/>
            <w:vAlign w:val="bottom"/>
            <w:tcBorders>
              <w:bottom w:val="single" w:sz="8" w:color="2C6937"/>
            </w:tcBorders>
          </w:tcPr>
          <w:p>
            <w:pPr>
              <w:jc w:val="right"/>
              <w:ind w:right="307"/>
              <w:spacing w:after="0"/>
              <w:rPr>
                <w:sz w:val="20"/>
                <w:szCs w:val="20"/>
                <w:color w:val="auto"/>
              </w:rPr>
            </w:pPr>
            <w:r>
              <w:rPr>
                <w:rFonts w:ascii="Arial" w:cs="Arial" w:eastAsia="Arial" w:hAnsi="Arial"/>
                <w:sz w:val="15"/>
                <w:szCs w:val="15"/>
                <w:b w:val="1"/>
                <w:bCs w:val="1"/>
                <w:color w:val="auto"/>
              </w:rPr>
              <w:t>Total</w:t>
            </w:r>
          </w:p>
        </w:tc>
      </w:tr>
      <w:tr>
        <w:trPr>
          <w:trHeight w:val="193"/>
        </w:trPr>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40" w:type="dxa"/>
            <w:vAlign w:val="bottom"/>
            <w:gridSpan w:val="2"/>
          </w:tcPr>
          <w:p>
            <w:pPr>
              <w:jc w:val="right"/>
              <w:ind w:right="527"/>
              <w:spacing w:after="0"/>
              <w:rPr>
                <w:sz w:val="20"/>
                <w:szCs w:val="20"/>
                <w:color w:val="auto"/>
              </w:rPr>
            </w:pPr>
            <w:r>
              <w:rPr>
                <w:rFonts w:ascii="Arial" w:cs="Arial" w:eastAsia="Arial" w:hAnsi="Arial"/>
                <w:sz w:val="15"/>
                <w:szCs w:val="15"/>
                <w:b w:val="1"/>
                <w:bCs w:val="1"/>
                <w:color w:val="auto"/>
              </w:rPr>
              <w:t>(Dollars in millions)</w:t>
            </w:r>
          </w:p>
        </w:tc>
        <w:tc>
          <w:tcPr>
            <w:tcW w:w="1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27"/>
        </w:trPr>
        <w:tc>
          <w:tcPr>
            <w:tcW w:w="1220" w:type="dxa"/>
            <w:vAlign w:val="bottom"/>
          </w:tcPr>
          <w:p>
            <w:pPr>
              <w:jc w:val="right"/>
              <w:ind w:right="107"/>
              <w:spacing w:after="0"/>
              <w:rPr>
                <w:sz w:val="20"/>
                <w:szCs w:val="20"/>
                <w:color w:val="auto"/>
              </w:rPr>
            </w:pPr>
            <w:r>
              <w:rPr>
                <w:rFonts w:ascii="Arial" w:cs="Arial" w:eastAsia="Arial" w:hAnsi="Arial"/>
                <w:sz w:val="15"/>
                <w:szCs w:val="15"/>
                <w:b w:val="1"/>
                <w:bCs w:val="1"/>
                <w:color w:val="auto"/>
              </w:rPr>
              <w:t>1.7</w:t>
            </w:r>
          </w:p>
        </w:tc>
        <w:tc>
          <w:tcPr>
            <w:tcW w:w="1320" w:type="dxa"/>
            <w:vAlign w:val="bottom"/>
          </w:tcPr>
          <w:p>
            <w:pPr>
              <w:jc w:val="right"/>
              <w:ind w:right="207"/>
              <w:spacing w:after="0"/>
              <w:rPr>
                <w:sz w:val="20"/>
                <w:szCs w:val="20"/>
                <w:color w:val="auto"/>
              </w:rPr>
            </w:pPr>
            <w:r>
              <w:rPr>
                <w:rFonts w:ascii="Arial" w:cs="Arial" w:eastAsia="Arial" w:hAnsi="Arial"/>
                <w:sz w:val="15"/>
                <w:szCs w:val="15"/>
                <w:b w:val="1"/>
                <w:bCs w:val="1"/>
                <w:color w:val="auto"/>
              </w:rPr>
              <w:t>6.9</w:t>
            </w:r>
          </w:p>
        </w:tc>
        <w:tc>
          <w:tcPr>
            <w:tcW w:w="1080" w:type="dxa"/>
            <w:vAlign w:val="bottom"/>
          </w:tcPr>
          <w:p>
            <w:pPr>
              <w:jc w:val="right"/>
              <w:ind w:right="67"/>
              <w:spacing w:after="0"/>
              <w:rPr>
                <w:sz w:val="20"/>
                <w:szCs w:val="20"/>
                <w:color w:val="auto"/>
              </w:rPr>
            </w:pPr>
            <w:r>
              <w:rPr>
                <w:rFonts w:ascii="Arial" w:cs="Arial" w:eastAsia="Arial" w:hAnsi="Arial"/>
                <w:sz w:val="15"/>
                <w:szCs w:val="15"/>
                <w:b w:val="1"/>
                <w:bCs w:val="1"/>
                <w:color w:val="auto"/>
              </w:rPr>
              <w:t>2.3</w:t>
            </w:r>
          </w:p>
        </w:tc>
        <w:tc>
          <w:tcPr>
            <w:tcW w:w="1260" w:type="dxa"/>
            <w:vAlign w:val="bottom"/>
          </w:tcPr>
          <w:p>
            <w:pPr>
              <w:jc w:val="right"/>
              <w:ind w:right="107"/>
              <w:spacing w:after="0"/>
              <w:rPr>
                <w:sz w:val="20"/>
                <w:szCs w:val="20"/>
                <w:color w:val="auto"/>
              </w:rPr>
            </w:pPr>
            <w:r>
              <w:rPr>
                <w:rFonts w:ascii="Arial" w:cs="Arial" w:eastAsia="Arial" w:hAnsi="Arial"/>
                <w:sz w:val="15"/>
                <w:szCs w:val="15"/>
                <w:color w:val="auto"/>
              </w:rPr>
              <w:t>1.1</w:t>
            </w:r>
          </w:p>
        </w:tc>
        <w:tc>
          <w:tcPr>
            <w:tcW w:w="1340" w:type="dxa"/>
            <w:vAlign w:val="bottom"/>
          </w:tcPr>
          <w:p>
            <w:pPr>
              <w:jc w:val="right"/>
              <w:ind w:right="207"/>
              <w:spacing w:after="0"/>
              <w:rPr>
                <w:sz w:val="20"/>
                <w:szCs w:val="20"/>
                <w:color w:val="auto"/>
              </w:rPr>
            </w:pPr>
            <w:r>
              <w:rPr>
                <w:rFonts w:ascii="Arial" w:cs="Arial" w:eastAsia="Arial" w:hAnsi="Arial"/>
                <w:sz w:val="15"/>
                <w:szCs w:val="15"/>
                <w:color w:val="auto"/>
              </w:rPr>
              <w:t>8.8</w:t>
            </w:r>
          </w:p>
        </w:tc>
        <w:tc>
          <w:tcPr>
            <w:tcW w:w="1000" w:type="dxa"/>
            <w:vAlign w:val="bottom"/>
          </w:tcPr>
          <w:p>
            <w:pPr>
              <w:jc w:val="right"/>
              <w:spacing w:after="0"/>
              <w:rPr>
                <w:sz w:val="20"/>
                <w:szCs w:val="20"/>
                <w:color w:val="auto"/>
              </w:rPr>
            </w:pPr>
            <w:r>
              <w:rPr>
                <w:rFonts w:ascii="Arial" w:cs="Arial" w:eastAsia="Arial" w:hAnsi="Arial"/>
                <w:sz w:val="15"/>
                <w:szCs w:val="15"/>
                <w:color w:val="auto"/>
              </w:rPr>
              <w:t>2.0</w:t>
            </w:r>
          </w:p>
        </w:tc>
      </w:tr>
    </w:tbl>
    <w:p>
      <w:pPr>
        <w:spacing w:after="0" w:line="495" w:lineRule="exact"/>
        <w:rPr>
          <w:sz w:val="20"/>
          <w:szCs w:val="20"/>
          <w:color w:val="auto"/>
        </w:rPr>
      </w:pPr>
    </w:p>
    <w:p>
      <w:pPr>
        <w:sectPr>
          <w:pgSz w:w="11900" w:h="16838" w:orient="portrait"/>
          <w:cols w:equalWidth="0" w:num="2">
            <w:col w:w="3840" w:space="180"/>
            <w:col w:w="7220"/>
          </w:cols>
          <w:pgMar w:left="320" w:top="248"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4020" w:type="dxa"/>
            <w:vAlign w:val="bottom"/>
            <w:gridSpan w:val="2"/>
          </w:tcPr>
          <w:p>
            <w:pPr>
              <w:ind w:left="280"/>
              <w:spacing w:after="0"/>
              <w:rPr>
                <w:sz w:val="20"/>
                <w:szCs w:val="20"/>
                <w:color w:val="auto"/>
              </w:rPr>
            </w:pPr>
            <w:r>
              <w:rPr>
                <w:rFonts w:ascii="Arial" w:cs="Arial" w:eastAsia="Arial" w:hAnsi="Arial"/>
                <w:sz w:val="15"/>
                <w:szCs w:val="15"/>
                <w:color w:val="auto"/>
              </w:rPr>
              <w:t>Write-offs</w:t>
            </w:r>
            <w:r>
              <w:rPr>
                <w:rFonts w:ascii="Arial" w:cs="Arial" w:eastAsia="Arial" w:hAnsi="Arial"/>
                <w:sz w:val="18"/>
                <w:szCs w:val="18"/>
                <w:color w:val="auto"/>
                <w:vertAlign w:val="superscript"/>
              </w:rPr>
              <w:t>(1)</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594</w:t>
            </w:r>
          </w:p>
        </w:tc>
        <w:tc>
          <w:tcPr>
            <w:tcW w:w="80" w:type="dxa"/>
            <w:vAlign w:val="bottom"/>
          </w:tcPr>
          <w:p>
            <w:pPr>
              <w:spacing w:after="0"/>
              <w:rPr>
                <w:sz w:val="20"/>
                <w:szCs w:val="20"/>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350</w:t>
            </w:r>
          </w:p>
        </w:tc>
        <w:tc>
          <w:tcPr>
            <w:tcW w:w="10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944</w:t>
            </w:r>
          </w:p>
        </w:tc>
        <w:tc>
          <w:tcPr>
            <w:tcW w:w="100" w:type="dxa"/>
            <w:vAlign w:val="bottom"/>
          </w:tcPr>
          <w:p>
            <w:pPr>
              <w:spacing w:after="0"/>
              <w:rPr>
                <w:sz w:val="20"/>
                <w:szCs w:val="20"/>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496</w:t>
            </w:r>
          </w:p>
        </w:tc>
        <w:tc>
          <w:tcPr>
            <w:tcW w:w="100" w:type="dxa"/>
            <w:vAlign w:val="bottom"/>
          </w:tcPr>
          <w:p>
            <w:pPr>
              <w:spacing w:after="0"/>
              <w:rPr>
                <w:sz w:val="20"/>
                <w:szCs w:val="20"/>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395</w:t>
            </w:r>
          </w:p>
        </w:tc>
        <w:tc>
          <w:tcPr>
            <w:tcW w:w="100" w:type="dxa"/>
            <w:vAlign w:val="bottom"/>
          </w:tcPr>
          <w:p>
            <w:pPr>
              <w:spacing w:after="0"/>
              <w:rPr>
                <w:sz w:val="20"/>
                <w:szCs w:val="20"/>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891</w:t>
            </w:r>
          </w:p>
        </w:tc>
      </w:tr>
      <w:tr>
        <w:trPr>
          <w:trHeight w:val="224"/>
        </w:trPr>
        <w:tc>
          <w:tcPr>
            <w:tcW w:w="3900" w:type="dxa"/>
            <w:vAlign w:val="bottom"/>
            <w:tcBorders>
              <w:bottom w:val="single" w:sz="8" w:color="2C6937"/>
            </w:tcBorders>
          </w:tcPr>
          <w:p>
            <w:pPr>
              <w:ind w:left="280"/>
              <w:spacing w:after="0"/>
              <w:rPr>
                <w:sz w:val="20"/>
                <w:szCs w:val="20"/>
                <w:color w:val="auto"/>
              </w:rPr>
            </w:pPr>
            <w:r>
              <w:rPr>
                <w:rFonts w:ascii="Arial" w:cs="Arial" w:eastAsia="Arial" w:hAnsi="Arial"/>
                <w:sz w:val="15"/>
                <w:szCs w:val="15"/>
                <w:color w:val="auto"/>
              </w:rPr>
              <w:t>Recoveries</w:t>
            </w:r>
          </w:p>
        </w:tc>
        <w:tc>
          <w:tcPr>
            <w:tcW w:w="12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(134)</w:t>
            </w:r>
          </w:p>
        </w:tc>
        <w:tc>
          <w:tcPr>
            <w:tcW w:w="8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(86)</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(220)</w:t>
            </w:r>
          </w:p>
        </w:tc>
        <w:tc>
          <w:tcPr>
            <w:tcW w:w="100" w:type="dxa"/>
            <w:vAlign w:val="bottom"/>
          </w:tcPr>
          <w:p>
            <w:pPr>
              <w:spacing w:after="0"/>
              <w:rPr>
                <w:sz w:val="19"/>
                <w:szCs w:val="19"/>
                <w:color w:val="auto"/>
              </w:rPr>
            </w:pPr>
          </w:p>
        </w:tc>
        <w:tc>
          <w:tcPr>
            <w:tcW w:w="2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(184)</w:t>
            </w:r>
          </w:p>
        </w:tc>
        <w:tc>
          <w:tcPr>
            <w:tcW w:w="100" w:type="dxa"/>
            <w:vAlign w:val="bottom"/>
          </w:tcPr>
          <w:p>
            <w:pPr>
              <w:spacing w:after="0"/>
              <w:rPr>
                <w:sz w:val="19"/>
                <w:szCs w:val="19"/>
                <w:color w:val="auto"/>
              </w:rPr>
            </w:pPr>
          </w:p>
        </w:tc>
        <w:tc>
          <w:tcPr>
            <w:tcW w:w="320" w:type="dxa"/>
            <w:vAlign w:val="bottom"/>
            <w:tcBorders>
              <w:bottom w:val="single" w:sz="8" w:color="2C6937"/>
            </w:tcBorders>
          </w:tcPr>
          <w:p>
            <w:pPr>
              <w:spacing w:after="0"/>
              <w:rPr>
                <w:sz w:val="19"/>
                <w:szCs w:val="19"/>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9"/>
                <w:szCs w:val="19"/>
                <w:color w:val="auto"/>
              </w:rPr>
            </w:pPr>
          </w:p>
        </w:tc>
        <w:tc>
          <w:tcPr>
            <w:tcW w:w="260" w:type="dxa"/>
            <w:vAlign w:val="bottom"/>
            <w:tcBorders>
              <w:bottom w:val="single" w:sz="8" w:color="2C6937"/>
            </w:tcBorders>
          </w:tcPr>
          <w:p>
            <w:pPr>
              <w:spacing w:after="0"/>
              <w:rPr>
                <w:sz w:val="19"/>
                <w:szCs w:val="19"/>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(265)</w:t>
            </w:r>
          </w:p>
        </w:tc>
      </w:tr>
      <w:tr>
        <w:trPr>
          <w:trHeight w:val="225"/>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Write-offs, net of recoveries</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460</w:t>
            </w:r>
          </w:p>
        </w:tc>
        <w:tc>
          <w:tcPr>
            <w:tcW w:w="80" w:type="dxa"/>
            <w:vAlign w:val="bottom"/>
          </w:tcPr>
          <w:p>
            <w:pPr>
              <w:spacing w:after="0"/>
              <w:rPr>
                <w:sz w:val="19"/>
                <w:szCs w:val="19"/>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264</w:t>
            </w:r>
          </w:p>
        </w:tc>
        <w:tc>
          <w:tcPr>
            <w:tcW w:w="10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724</w:t>
            </w:r>
          </w:p>
        </w:tc>
        <w:tc>
          <w:tcPr>
            <w:tcW w:w="1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312</w:t>
            </w:r>
          </w:p>
        </w:tc>
        <w:tc>
          <w:tcPr>
            <w:tcW w:w="100" w:type="dxa"/>
            <w:vAlign w:val="bottom"/>
          </w:tcPr>
          <w:p>
            <w:pPr>
              <w:spacing w:after="0"/>
              <w:rPr>
                <w:sz w:val="19"/>
                <w:szCs w:val="19"/>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314</w:t>
            </w:r>
          </w:p>
        </w:tc>
        <w:tc>
          <w:tcPr>
            <w:tcW w:w="10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626</w:t>
            </w:r>
          </w:p>
        </w:tc>
      </w:tr>
      <w:tr>
        <w:trPr>
          <w:trHeight w:val="20"/>
        </w:trPr>
        <w:tc>
          <w:tcPr>
            <w:tcW w:w="390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r>
      <w:tr>
        <w:trPr>
          <w:trHeight w:val="254"/>
        </w:trPr>
        <w:tc>
          <w:tcPr>
            <w:tcW w:w="4020" w:type="dxa"/>
            <w:vAlign w:val="bottom"/>
            <w:gridSpan w:val="2"/>
          </w:tcPr>
          <w:p>
            <w:pPr>
              <w:ind w:left="180"/>
              <w:spacing w:after="0"/>
              <w:rPr>
                <w:sz w:val="20"/>
                <w:szCs w:val="20"/>
                <w:color w:val="auto"/>
              </w:rPr>
            </w:pPr>
            <w:r>
              <w:rPr>
                <w:rFonts w:ascii="Arial" w:cs="Arial" w:eastAsia="Arial" w:hAnsi="Arial"/>
                <w:sz w:val="15"/>
                <w:szCs w:val="15"/>
                <w:color w:val="auto"/>
              </w:rPr>
              <w:t>Average guaranty book of business</w:t>
            </w:r>
            <w:r>
              <w:rPr>
                <w:rFonts w:ascii="Arial" w:cs="Arial" w:eastAsia="Arial" w:hAnsi="Arial"/>
                <w:sz w:val="18"/>
                <w:szCs w:val="18"/>
                <w:color w:val="auto"/>
                <w:vertAlign w:val="superscript"/>
              </w:rPr>
              <w:t>(2)</w:t>
            </w: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3,599,040</w:t>
            </w:r>
          </w:p>
        </w:tc>
        <w:tc>
          <w:tcPr>
            <w:tcW w:w="80" w:type="dxa"/>
            <w:vAlign w:val="bottom"/>
          </w:tcPr>
          <w:p>
            <w:pPr>
              <w:spacing w:after="0"/>
              <w:rPr>
                <w:sz w:val="22"/>
                <w:szCs w:val="22"/>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b w:val="1"/>
                <w:bCs w:val="1"/>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509,068</w:t>
            </w:r>
          </w:p>
        </w:tc>
        <w:tc>
          <w:tcPr>
            <w:tcW w:w="100" w:type="dxa"/>
            <w:vAlign w:val="bottom"/>
          </w:tcPr>
          <w:p>
            <w:pPr>
              <w:spacing w:after="0"/>
              <w:rPr>
                <w:sz w:val="22"/>
                <w:szCs w:val="22"/>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b w:val="1"/>
                <w:bCs w:val="1"/>
                <w:color w:val="auto"/>
              </w:rPr>
              <w:t>4,108,108</w:t>
            </w:r>
          </w:p>
        </w:tc>
        <w:tc>
          <w:tcPr>
            <w:tcW w:w="100" w:type="dxa"/>
            <w:vAlign w:val="bottom"/>
          </w:tcPr>
          <w:p>
            <w:pPr>
              <w:spacing w:after="0"/>
              <w:rPr>
                <w:sz w:val="22"/>
                <w:szCs w:val="22"/>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3,628,443</w:t>
            </w:r>
          </w:p>
        </w:tc>
        <w:tc>
          <w:tcPr>
            <w:tcW w:w="100" w:type="dxa"/>
            <w:vAlign w:val="bottom"/>
          </w:tcPr>
          <w:p>
            <w:pPr>
              <w:spacing w:after="0"/>
              <w:rPr>
                <w:sz w:val="22"/>
                <w:szCs w:val="22"/>
                <w:color w:val="auto"/>
              </w:rPr>
            </w:pP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478,264</w:t>
            </w:r>
          </w:p>
        </w:tc>
        <w:tc>
          <w:tcPr>
            <w:tcW w:w="100" w:type="dxa"/>
            <w:vAlign w:val="bottom"/>
          </w:tcPr>
          <w:p>
            <w:pPr>
              <w:spacing w:after="0"/>
              <w:rPr>
                <w:sz w:val="22"/>
                <w:szCs w:val="22"/>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4,106,707</w:t>
            </w:r>
          </w:p>
        </w:tc>
      </w:tr>
    </w:tbl>
    <w:p>
      <w:pPr>
        <w:spacing w:after="0" w:line="65" w:lineRule="exact"/>
        <w:rPr>
          <w:sz w:val="20"/>
          <w:szCs w:val="20"/>
          <w:color w:val="auto"/>
        </w:rPr>
      </w:pPr>
    </w:p>
    <w:p>
      <w:pPr>
        <w:ind w:left="220" w:hanging="217"/>
        <w:spacing w:after="0"/>
        <w:tabs>
          <w:tab w:leader="none" w:pos="22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Represents write-offs when a loan is determined to be uncollectible. For single-family, also includes any write-offs upon the redesignation of mortgage loans from HFI to HFS.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Average guaranty book of business is based on the average of quarter-end balances.</w:t>
      </w:r>
    </w:p>
    <w:p>
      <w:pPr>
        <w:spacing w:after="0" w:line="135"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Liquidity Management</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This section supplements and updates information regarding liquidity management in our 2024 Form 10-K. See “MD&amp;A—Liquidity and Capital Management —Liquidity Management” in our 2024 Form 10-K for additional information, including discussions of our primary sources and uses of funds, our liquidity risk management practices and contingency planning, our liquidity requirements, factors that influence our debt funding activity, factors that may impact our access to or the cost of our debt funding and factors that could adversely affect our liquidity and funding. As of September 30, 2025, we were in compliance with all four components of the liquidity requirements outlined in our 2024 Form 10-K. Also see “Risk Factors—Liquidity Risk” in our 2024 Form 10-K for a discussion of liquidity risks.</w:t>
      </w:r>
    </w:p>
    <w:p>
      <w:pPr>
        <w:spacing w:after="0" w:line="13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Debt Funding</w:t>
      </w:r>
    </w:p>
    <w:p>
      <w:pPr>
        <w:spacing w:after="0" w:line="67"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The unpaid principal balance of our aggregate indebtedness was $129.2 billion as of September 30, 2025. Pursuant to the terms of the senior preferred stock purchase agreement with Treasury, we are prohibited from issuing debt without the prior consent of Treasury if it would result in our aggregate indebtedness exceeding our outstanding debt limit, which</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47" w:name="page48"/>
    <w:bookmarkEnd w:id="47"/>
    <w:p>
      <w:pPr>
        <w:jc w:val="right"/>
        <w:ind w:right="12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is set to $270 billion. The calculation of our indebtedness for purposes of complying with our debt limit reflects the unpaid principal balance and excludes debt basis adjustments and debt of consolidated trusts.</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Outstanding Debt</w:t>
      </w:r>
    </w:p>
    <w:p>
      <w:pPr>
        <w:spacing w:after="0" w:line="80"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Total outstanding debt of Fannie Mae includes short-term and long-term debt and excludes debt of consolidated trusts. Short-term debt of Fannie Mae consists of borrowings with an original contractual maturity of one year or less and, therefore, does not include the current portion of long-term debt. Long-term debt of Fannie Mae consists of borrowings with an original contractual maturity of greater than one year.</w:t>
      </w:r>
    </w:p>
    <w:p>
      <w:pPr>
        <w:spacing w:after="0" w:line="4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following chart and table display information on our outstanding short-term and long-term debt based on original contractual maturity. Our outstanding debt decreased in the first nine months of 2025 as our funding needs were primarily satisfied by earnings retained from our operations.</w:t>
      </w:r>
    </w:p>
    <w:p>
      <w:pPr>
        <w:spacing w:after="0" w:line="16" w:lineRule="exact"/>
        <w:rPr>
          <w:sz w:val="20"/>
          <w:szCs w:val="20"/>
          <w:color w:val="auto"/>
        </w:rPr>
      </w:pPr>
    </w:p>
    <w:p>
      <w:pPr>
        <w:ind w:left="4600"/>
        <w:spacing w:after="0"/>
        <w:rPr>
          <w:sz w:val="20"/>
          <w:szCs w:val="20"/>
          <w:color w:val="auto"/>
        </w:rPr>
      </w:pPr>
      <w:r>
        <w:rPr>
          <w:rFonts w:ascii="Georgia" w:cs="Georgia" w:eastAsia="Georgia" w:hAnsi="Georgia"/>
          <w:sz w:val="19"/>
          <w:szCs w:val="19"/>
          <w:b w:val="1"/>
          <w:bCs w:val="1"/>
          <w:color w:val="05314D"/>
        </w:rPr>
        <w:t>Debt of Fannie Mae</w:t>
      </w:r>
      <w:r>
        <w:rPr>
          <w:rFonts w:ascii="Georgia" w:cs="Georgia" w:eastAsia="Georgia" w:hAnsi="Georgia"/>
          <w:sz w:val="24"/>
          <w:szCs w:val="24"/>
          <w:b w:val="1"/>
          <w:bCs w:val="1"/>
          <w:color w:val="05314D"/>
          <w:vertAlign w:val="superscript"/>
        </w:rPr>
        <w:t>(1</w:t>
      </w:r>
      <w:r>
        <w:rPr>
          <w:rFonts w:ascii="Georgia" w:cs="Georgia" w:eastAsia="Georgia" w:hAnsi="Georgia"/>
          <w:sz w:val="24"/>
          <w:szCs w:val="24"/>
          <w:b w:val="1"/>
          <w:bCs w:val="1"/>
          <w:color w:val="000000"/>
          <w:vertAlign w:val="superscript"/>
        </w:rPr>
        <w:t>)</w:t>
      </w:r>
    </w:p>
    <w:p>
      <w:pPr>
        <w:ind w:left="4660"/>
        <w:spacing w:after="0" w:line="237" w:lineRule="auto"/>
        <w:rPr>
          <w:sz w:val="20"/>
          <w:szCs w:val="20"/>
          <w:color w:val="auto"/>
        </w:rPr>
      </w:pPr>
      <w:r>
        <w:rPr>
          <w:rFonts w:ascii="Georgia" w:cs="Georgia" w:eastAsia="Georgia" w:hAnsi="Georgia"/>
          <w:sz w:val="19"/>
          <w:szCs w:val="19"/>
          <w:b w:val="1"/>
          <w:bCs w:val="1"/>
          <w:color w:val="05314D"/>
        </w:rPr>
        <w:t>(Dollars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7620</wp:posOffset>
            </wp:positionV>
            <wp:extent cx="4886960" cy="23983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886960" cy="2398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53975</wp:posOffset>
            </wp:positionV>
            <wp:extent cx="130810" cy="1308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Long-term debt maturing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53975</wp:posOffset>
            </wp:positionV>
            <wp:extent cx="130810" cy="1308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Long-term debt, excluding portion maturing within one year</w:t>
      </w:r>
    </w:p>
    <w:p>
      <w:pPr>
        <w:spacing w:after="0" w:line="142" w:lineRule="exact"/>
        <w:rPr>
          <w:sz w:val="20"/>
          <w:szCs w:val="20"/>
          <w:color w:val="auto"/>
        </w:rPr>
      </w:pPr>
    </w:p>
    <w:p>
      <w:pPr>
        <w:ind w:left="240" w:right="240" w:hanging="237"/>
        <w:spacing w:after="0" w:line="264" w:lineRule="auto"/>
        <w:tabs>
          <w:tab w:leader="none" w:pos="233" w:val="left"/>
        </w:tabs>
        <w:numPr>
          <w:ilvl w:val="0"/>
          <w:numId w:val="38"/>
        </w:numPr>
        <w:rPr>
          <w:rFonts w:ascii="Arial" w:cs="Arial" w:eastAsia="Arial" w:hAnsi="Arial"/>
          <w:sz w:val="9"/>
          <w:szCs w:val="9"/>
          <w:color w:val="auto"/>
        </w:rPr>
      </w:pPr>
      <w:r>
        <w:rPr>
          <w:rFonts w:ascii="Arial" w:cs="Arial" w:eastAsia="Arial" w:hAnsi="Arial"/>
          <w:sz w:val="14"/>
          <w:szCs w:val="14"/>
          <w:color w:val="auto"/>
        </w:rPr>
        <w:t>Outstanding debt balance consists of the unpaid principal balance, premiums and discounts, fair value adjustments, hedge-related basis adjustments and other cost basis adjustments. Reported amounts include net discount unamortized cost basis adjustments and fair value adjustments of $2.8 billion and $3.7 billion as of September 30, 2025 and December 31, 2024, respectively.</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Selected Debt Information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00" w:type="dxa"/>
            <w:vAlign w:val="bottom"/>
            <w:tcBorders>
              <w:top w:val="single" w:sz="8" w:color="2C6937"/>
            </w:tcBorders>
          </w:tcPr>
          <w:p>
            <w:pPr>
              <w:spacing w:after="0"/>
              <w:rPr>
                <w:sz w:val="18"/>
                <w:szCs w:val="18"/>
                <w:color w:val="auto"/>
              </w:rPr>
            </w:pPr>
          </w:p>
        </w:tc>
        <w:tc>
          <w:tcPr>
            <w:tcW w:w="200" w:type="dxa"/>
            <w:vAlign w:val="bottom"/>
            <w:tcBorders>
              <w:top w:val="single" w:sz="8" w:color="2C6937"/>
            </w:tcBorders>
          </w:tcPr>
          <w:p>
            <w:pPr>
              <w:spacing w:after="0"/>
              <w:rPr>
                <w:sz w:val="18"/>
                <w:szCs w:val="18"/>
                <w:color w:val="auto"/>
              </w:rPr>
            </w:pPr>
          </w:p>
        </w:tc>
        <w:tc>
          <w:tcPr>
            <w:tcW w:w="220" w:type="dxa"/>
            <w:vAlign w:val="bottom"/>
            <w:tcBorders>
              <w:top w:val="single" w:sz="8" w:color="2C6937"/>
              <w:bottom w:val="single" w:sz="8" w:color="2C6937"/>
            </w:tcBorders>
          </w:tcPr>
          <w:p>
            <w:pPr>
              <w:spacing w:after="0"/>
              <w:rPr>
                <w:sz w:val="18"/>
                <w:szCs w:val="18"/>
                <w:color w:val="auto"/>
              </w:rPr>
            </w:pPr>
          </w:p>
        </w:tc>
        <w:tc>
          <w:tcPr>
            <w:tcW w:w="1520" w:type="dxa"/>
            <w:vAlign w:val="bottom"/>
            <w:tcBorders>
              <w:top w:val="single" w:sz="8" w:color="2C6937"/>
              <w:bottom w:val="single" w:sz="8" w:color="2C6937"/>
            </w:tcBorders>
          </w:tcPr>
          <w:p>
            <w:pPr>
              <w:spacing w:after="0"/>
              <w:rPr>
                <w:sz w:val="18"/>
                <w:szCs w:val="18"/>
                <w:color w:val="auto"/>
              </w:rPr>
            </w:pPr>
          </w:p>
        </w:tc>
        <w:tc>
          <w:tcPr>
            <w:tcW w:w="480" w:type="dxa"/>
            <w:vAlign w:val="bottom"/>
            <w:tcBorders>
              <w:top w:val="single" w:sz="8" w:color="2C6937"/>
              <w:bottom w:val="single" w:sz="8" w:color="2C6937"/>
            </w:tcBorders>
          </w:tcPr>
          <w:p>
            <w:pPr>
              <w:jc w:val="right"/>
              <w:ind w:right="47"/>
              <w:spacing w:after="0"/>
              <w:rPr>
                <w:sz w:val="20"/>
                <w:szCs w:val="20"/>
                <w:color w:val="auto"/>
              </w:rPr>
            </w:pPr>
            <w:r>
              <w:rPr>
                <w:rFonts w:ascii="Arial" w:cs="Arial" w:eastAsia="Arial" w:hAnsi="Arial"/>
                <w:sz w:val="14"/>
                <w:szCs w:val="14"/>
                <w:b w:val="1"/>
                <w:bCs w:val="1"/>
                <w:color w:val="auto"/>
                <w:w w:val="97"/>
              </w:rPr>
              <w:t>As of</w:t>
            </w:r>
          </w:p>
        </w:tc>
        <w:tc>
          <w:tcPr>
            <w:tcW w:w="1620" w:type="dxa"/>
            <w:vAlign w:val="bottom"/>
            <w:tcBorders>
              <w:top w:val="single" w:sz="8" w:color="2C6937"/>
              <w:bottom w:val="single" w:sz="8" w:color="2C6937"/>
            </w:tcBorders>
          </w:tcPr>
          <w:p>
            <w:pPr>
              <w:spacing w:after="0"/>
              <w:rPr>
                <w:sz w:val="18"/>
                <w:szCs w:val="18"/>
                <w:color w:val="auto"/>
              </w:rPr>
            </w:pPr>
          </w:p>
        </w:tc>
      </w:tr>
      <w:tr>
        <w:trPr>
          <w:trHeight w:val="186"/>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520" w:type="dxa"/>
            <w:vAlign w:val="bottom"/>
            <w:tcBorders>
              <w:bottom w:val="single" w:sz="8" w:color="2C6937"/>
            </w:tcBorders>
          </w:tcPr>
          <w:p>
            <w:pPr>
              <w:jc w:val="right"/>
              <w:ind w:right="65"/>
              <w:spacing w:after="0"/>
              <w:rPr>
                <w:sz w:val="20"/>
                <w:szCs w:val="20"/>
                <w:color w:val="auto"/>
              </w:rPr>
            </w:pPr>
            <w:r>
              <w:rPr>
                <w:rFonts w:ascii="Arial" w:cs="Arial" w:eastAsia="Arial" w:hAnsi="Arial"/>
                <w:sz w:val="14"/>
                <w:szCs w:val="14"/>
                <w:b w:val="1"/>
                <w:bCs w:val="1"/>
                <w:color w:val="auto"/>
              </w:rPr>
              <w:t>September 30, 2025</w:t>
            </w:r>
          </w:p>
        </w:tc>
        <w:tc>
          <w:tcPr>
            <w:tcW w:w="480" w:type="dxa"/>
            <w:vAlign w:val="bottom"/>
            <w:tcBorders>
              <w:bottom w:val="single" w:sz="8" w:color="2C6937"/>
            </w:tcBorders>
          </w:tcPr>
          <w:p>
            <w:pPr>
              <w:spacing w:after="0"/>
              <w:rPr>
                <w:sz w:val="16"/>
                <w:szCs w:val="16"/>
                <w:color w:val="auto"/>
              </w:rPr>
            </w:pPr>
          </w:p>
        </w:tc>
        <w:tc>
          <w:tcPr>
            <w:tcW w:w="162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December 31, 2024</w:t>
            </w:r>
          </w:p>
        </w:tc>
      </w:tr>
      <w:tr>
        <w:trPr>
          <w:trHeight w:val="185"/>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gridSpan w:val="3"/>
          </w:tcPr>
          <w:p>
            <w:pPr>
              <w:jc w:val="right"/>
              <w:ind w:right="1224"/>
              <w:spacing w:after="0"/>
              <w:rPr>
                <w:sz w:val="20"/>
                <w:szCs w:val="20"/>
                <w:color w:val="auto"/>
              </w:rPr>
            </w:pPr>
            <w:r>
              <w:rPr>
                <w:rFonts w:ascii="Arial" w:cs="Arial" w:eastAsia="Arial" w:hAnsi="Arial"/>
                <w:sz w:val="14"/>
                <w:szCs w:val="14"/>
                <w:b w:val="1"/>
                <w:bCs w:val="1"/>
                <w:color w:val="auto"/>
              </w:rPr>
              <w:t>(Dollars in billions)</w:t>
            </w:r>
          </w:p>
        </w:tc>
      </w:tr>
      <w:tr>
        <w:trPr>
          <w:trHeight w:val="208"/>
        </w:trPr>
        <w:tc>
          <w:tcPr>
            <w:tcW w:w="720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b w:val="1"/>
                <w:bCs w:val="1"/>
                <w:color w:val="auto"/>
              </w:rPr>
              <w:t>Selected Weighted-Average Interest Rates</w:t>
            </w:r>
            <w:r>
              <w:rPr>
                <w:rFonts w:ascii="Arial" w:cs="Arial" w:eastAsia="Arial" w:hAnsi="Arial"/>
                <w:sz w:val="20"/>
                <w:szCs w:val="20"/>
                <w:b w:val="1"/>
                <w:bCs w:val="1"/>
                <w:color w:val="auto"/>
                <w:vertAlign w:val="superscript"/>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98"/>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short-term debt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jc w:val="right"/>
              <w:ind w:right="247"/>
              <w:spacing w:after="0"/>
              <w:rPr>
                <w:sz w:val="20"/>
                <w:szCs w:val="20"/>
                <w:color w:val="auto"/>
              </w:rPr>
            </w:pPr>
            <w:r>
              <w:rPr>
                <w:rFonts w:ascii="Arial" w:cs="Arial" w:eastAsia="Arial" w:hAnsi="Arial"/>
                <w:sz w:val="15"/>
                <w:szCs w:val="15"/>
                <w:b w:val="1"/>
                <w:bCs w:val="1"/>
                <w:color w:val="auto"/>
              </w:rPr>
              <w:t>4.16 %</w:t>
            </w:r>
          </w:p>
        </w:tc>
        <w:tc>
          <w:tcPr>
            <w:tcW w:w="1620" w:type="dxa"/>
            <w:vAlign w:val="bottom"/>
          </w:tcPr>
          <w:p>
            <w:pPr>
              <w:jc w:val="right"/>
              <w:spacing w:after="0"/>
              <w:rPr>
                <w:sz w:val="20"/>
                <w:szCs w:val="20"/>
                <w:color w:val="auto"/>
              </w:rPr>
            </w:pPr>
            <w:r>
              <w:rPr>
                <w:rFonts w:ascii="Arial" w:cs="Arial" w:eastAsia="Arial" w:hAnsi="Arial"/>
                <w:sz w:val="15"/>
                <w:szCs w:val="15"/>
                <w:color w:val="auto"/>
              </w:rPr>
              <w:t>4.33 %</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long-term debt, including portion maturing within one year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3.87</w:t>
            </w:r>
          </w:p>
        </w:tc>
        <w:tc>
          <w:tcPr>
            <w:tcW w:w="480" w:type="dxa"/>
            <w:vAlign w:val="bottom"/>
          </w:tcPr>
          <w:p>
            <w:pPr>
              <w:spacing w:after="0"/>
              <w:rPr>
                <w:sz w:val="17"/>
                <w:szCs w:val="17"/>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3.30</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Interest rate on callable debt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3.58</w:t>
            </w:r>
          </w:p>
        </w:tc>
        <w:tc>
          <w:tcPr>
            <w:tcW w:w="480" w:type="dxa"/>
            <w:vAlign w:val="bottom"/>
          </w:tcPr>
          <w:p>
            <w:pPr>
              <w:spacing w:after="0"/>
              <w:rPr>
                <w:sz w:val="17"/>
                <w:szCs w:val="17"/>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2.83</w:t>
            </w:r>
          </w:p>
        </w:tc>
      </w:tr>
      <w:tr>
        <w:trPr>
          <w:trHeight w:val="208"/>
        </w:trPr>
        <w:tc>
          <w:tcPr>
            <w:tcW w:w="720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Selected Maturity Data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98"/>
        </w:trPr>
        <w:tc>
          <w:tcPr>
            <w:tcW w:w="720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within one year (in days)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150</w:t>
            </w:r>
          </w:p>
        </w:tc>
        <w:tc>
          <w:tcPr>
            <w:tcW w:w="480" w:type="dxa"/>
            <w:vAlign w:val="bottom"/>
          </w:tcPr>
          <w:p>
            <w:pPr>
              <w:spacing w:after="0"/>
              <w:rPr>
                <w:sz w:val="17"/>
                <w:szCs w:val="17"/>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160</w:t>
            </w:r>
          </w:p>
        </w:tc>
      </w:tr>
      <w:tr>
        <w:trPr>
          <w:trHeight w:val="206"/>
        </w:trPr>
        <w:tc>
          <w:tcPr>
            <w:tcW w:w="7200" w:type="dxa"/>
            <w:vAlign w:val="bottom"/>
          </w:tcPr>
          <w:p>
            <w:pPr>
              <w:ind w:left="180"/>
              <w:spacing w:after="0"/>
              <w:rPr>
                <w:sz w:val="20"/>
                <w:szCs w:val="20"/>
                <w:color w:val="auto"/>
              </w:rPr>
            </w:pPr>
            <w:r>
              <w:rPr>
                <w:rFonts w:ascii="Arial" w:cs="Arial" w:eastAsia="Arial" w:hAnsi="Arial"/>
                <w:sz w:val="15"/>
                <w:szCs w:val="15"/>
                <w:color w:val="auto"/>
              </w:rPr>
              <w:t>Weighted-average maturity of debt maturing in more than one year (in months)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44</w:t>
            </w:r>
          </w:p>
        </w:tc>
        <w:tc>
          <w:tcPr>
            <w:tcW w:w="480" w:type="dxa"/>
            <w:vAlign w:val="bottom"/>
          </w:tcPr>
          <w:p>
            <w:pPr>
              <w:spacing w:after="0"/>
              <w:rPr>
                <w:sz w:val="17"/>
                <w:szCs w:val="17"/>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43</w:t>
            </w:r>
          </w:p>
        </w:tc>
      </w:tr>
      <w:tr>
        <w:trPr>
          <w:trHeight w:val="208"/>
        </w:trPr>
        <w:tc>
          <w:tcPr>
            <w:tcW w:w="720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Other Data</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98"/>
        </w:trPr>
        <w:tc>
          <w:tcPr>
            <w:tcW w:w="7200" w:type="dxa"/>
            <w:vAlign w:val="bottom"/>
          </w:tcPr>
          <w:p>
            <w:pPr>
              <w:ind w:left="180"/>
              <w:spacing w:after="0" w:line="198" w:lineRule="exact"/>
              <w:rPr>
                <w:sz w:val="20"/>
                <w:szCs w:val="20"/>
                <w:color w:val="auto"/>
              </w:rPr>
            </w:pPr>
            <w:r>
              <w:rPr>
                <w:rFonts w:ascii="Arial" w:cs="Arial" w:eastAsia="Arial" w:hAnsi="Arial"/>
                <w:sz w:val="15"/>
                <w:szCs w:val="15"/>
                <w:color w:val="auto"/>
              </w:rPr>
              <w:t>Outstanding callable debt</w:t>
            </w:r>
            <w:r>
              <w:rPr>
                <w:rFonts w:ascii="Arial" w:cs="Arial" w:eastAsia="Arial" w:hAnsi="Arial"/>
                <w:sz w:val="20"/>
                <w:szCs w:val="20"/>
                <w:color w:val="auto"/>
                <w:vertAlign w:val="superscript"/>
              </w:rPr>
              <w:t>(2)</w:t>
            </w:r>
          </w:p>
        </w:tc>
        <w:tc>
          <w:tcPr>
            <w:tcW w:w="4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34.0</w:t>
            </w:r>
          </w:p>
        </w:tc>
        <w:tc>
          <w:tcPr>
            <w:tcW w:w="4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41.0</w:t>
            </w:r>
          </w:p>
        </w:tc>
      </w:tr>
      <w:tr>
        <w:trPr>
          <w:trHeight w:val="273"/>
        </w:trPr>
        <w:tc>
          <w:tcPr>
            <w:tcW w:w="7200" w:type="dxa"/>
            <w:vAlign w:val="bottom"/>
          </w:tcPr>
          <w:p>
            <w:pPr>
              <w:ind w:left="180"/>
              <w:spacing w:after="0"/>
              <w:rPr>
                <w:sz w:val="20"/>
                <w:szCs w:val="20"/>
                <w:color w:val="auto"/>
              </w:rPr>
            </w:pPr>
            <w:r>
              <w:rPr>
                <w:rFonts w:ascii="Arial" w:cs="Arial" w:eastAsia="Arial" w:hAnsi="Arial"/>
                <w:sz w:val="15"/>
                <w:szCs w:val="15"/>
                <w:color w:val="auto"/>
              </w:rPr>
              <w:t>Connecticut Avenue Securities debt</w:t>
            </w:r>
            <w:r>
              <w:rPr>
                <w:rFonts w:ascii="Arial" w:cs="Arial" w:eastAsia="Arial" w:hAnsi="Arial"/>
                <w:sz w:val="20"/>
                <w:szCs w:val="20"/>
                <w:color w:val="auto"/>
                <w:vertAlign w:val="superscript"/>
              </w:rPr>
              <w:t>(3)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1.5</w:t>
            </w:r>
          </w:p>
        </w:tc>
        <w:tc>
          <w:tcPr>
            <w:tcW w:w="480" w:type="dxa"/>
            <w:vAlign w:val="bottom"/>
          </w:tcPr>
          <w:p>
            <w:pPr>
              <w:spacing w:after="0"/>
              <w:rPr>
                <w:sz w:val="23"/>
                <w:szCs w:val="23"/>
                <w:color w:val="auto"/>
              </w:rPr>
            </w:pPr>
          </w:p>
        </w:tc>
        <w:tc>
          <w:tcPr>
            <w:tcW w:w="1620" w:type="dxa"/>
            <w:vAlign w:val="bottom"/>
          </w:tcPr>
          <w:p>
            <w:pPr>
              <w:jc w:val="right"/>
              <w:ind w:right="124"/>
              <w:spacing w:after="0"/>
              <w:rPr>
                <w:sz w:val="20"/>
                <w:szCs w:val="20"/>
                <w:color w:val="auto"/>
              </w:rPr>
            </w:pPr>
            <w:r>
              <w:rPr>
                <w:rFonts w:ascii="Arial" w:cs="Arial" w:eastAsia="Arial" w:hAnsi="Arial"/>
                <w:sz w:val="15"/>
                <w:szCs w:val="15"/>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45</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8" w:name="page49"/>
    <w:bookmarkEnd w:id="48"/>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hanging="217"/>
        <w:spacing w:after="0"/>
        <w:tabs>
          <w:tab w:leader="none" w:pos="2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Includes no short-term callable debt as of September 30, 2025 and $95 million in short-term callable debt as of December 31, 2024.</w:t>
      </w:r>
    </w:p>
    <w:p>
      <w:pPr>
        <w:spacing w:after="0" w:line="38" w:lineRule="exact"/>
        <w:rPr>
          <w:rFonts w:ascii="Arial" w:cs="Arial" w:eastAsia="Arial" w:hAnsi="Arial"/>
          <w:sz w:val="18"/>
          <w:szCs w:val="18"/>
          <w:color w:val="auto"/>
          <w:vertAlign w:val="superscript"/>
        </w:rPr>
      </w:pPr>
    </w:p>
    <w:p>
      <w:pPr>
        <w:ind w:left="240" w:right="460" w:hanging="237"/>
        <w:spacing w:after="0" w:line="246" w:lineRule="auto"/>
        <w:tabs>
          <w:tab w:leader="none" w:pos="233" w:val="left"/>
        </w:tabs>
        <w:numPr>
          <w:ilvl w:val="0"/>
          <w:numId w:val="39"/>
        </w:numPr>
        <w:rPr>
          <w:rFonts w:ascii="Arial" w:cs="Arial" w:eastAsia="Arial" w:hAnsi="Arial"/>
          <w:sz w:val="17"/>
          <w:szCs w:val="17"/>
          <w:color w:val="auto"/>
          <w:vertAlign w:val="superscript"/>
        </w:rPr>
      </w:pPr>
      <w:r>
        <w:rPr>
          <w:rFonts w:ascii="Arial" w:cs="Arial" w:eastAsia="Arial" w:hAnsi="Arial"/>
          <w:sz w:val="13"/>
          <w:szCs w:val="13"/>
          <w:color w:val="auto"/>
        </w:rPr>
        <w:t>Represents CAS debt issued prior to November 2018. See “MD&amp;A—Single-Family Business—Single-Family Mortgage Credit Risk Management—Single-Family Credit Enhancement and Transfer of Mortgage Credit Risk—Credit Risk Transfer Transactions” in our 2024 Form 10-K for information regarding our Connecticut Avenue Securities</w:t>
      </w:r>
      <w:r>
        <w:rPr>
          <w:rFonts w:ascii="Arial" w:cs="Arial" w:eastAsia="Arial" w:hAnsi="Arial"/>
          <w:sz w:val="16"/>
          <w:szCs w:val="16"/>
          <w:color w:val="auto"/>
          <w:vertAlign w:val="superscript"/>
        </w:rPr>
        <w:t>®</w:t>
      </w:r>
      <w:r>
        <w:rPr>
          <w:rFonts w:ascii="Arial" w:cs="Arial" w:eastAsia="Arial" w:hAnsi="Arial"/>
          <w:sz w:val="13"/>
          <w:szCs w:val="13"/>
          <w:color w:val="auto"/>
        </w:rPr>
        <w:t>.</w:t>
      </w:r>
    </w:p>
    <w:p>
      <w:pPr>
        <w:ind w:right="160"/>
        <w:spacing w:after="0" w:line="289" w:lineRule="auto"/>
        <w:rPr>
          <w:sz w:val="20"/>
          <w:szCs w:val="20"/>
          <w:color w:val="auto"/>
        </w:rPr>
      </w:pPr>
      <w:r>
        <w:rPr>
          <w:rFonts w:ascii="Arial" w:cs="Arial" w:eastAsia="Arial" w:hAnsi="Arial"/>
          <w:sz w:val="16"/>
          <w:szCs w:val="16"/>
          <w:color w:val="auto"/>
        </w:rPr>
        <w:t>We intend to repay our short-term and long-term debt obligations as they become due primarily through cash from business operations, the sale of assets in our corporate liquidity portfolio and the issuance of additional debt securities.</w:t>
      </w:r>
    </w:p>
    <w:p>
      <w:pPr>
        <w:spacing w:after="0" w:line="1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information on the maturity profile of our outstanding long-term debt, see “Note 8, Short-Term and Long-Term Debt” in this report and in our 2024 Form 10-K.</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i w:val="1"/>
          <w:iCs w:val="1"/>
          <w:color w:val="05314D"/>
        </w:rPr>
        <w:t>Debt Funding Activity</w:t>
      </w:r>
    </w:p>
    <w:p>
      <w:pPr>
        <w:spacing w:after="0" w:line="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table below displays activity in debt of Fannie Mae. This activity excludes the debt of consolidated trusts and intraday borrowing. The reported amounts of debt issued and paid off during each period represent the face amount of the debt at issuance and redemption.</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01543"/>
        </w:rPr>
        <w:t>Activity in Debt of Fannie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7122160"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4"/>
          </w:tcPr>
          <w:p>
            <w:pPr>
              <w:spacing w:after="0"/>
              <w:rPr>
                <w:sz w:val="20"/>
                <w:szCs w:val="20"/>
                <w:color w:val="auto"/>
              </w:rPr>
            </w:pPr>
            <w:r>
              <w:rPr>
                <w:rFonts w:ascii="Arial" w:cs="Arial" w:eastAsia="Arial" w:hAnsi="Arial"/>
                <w:sz w:val="14"/>
                <w:szCs w:val="14"/>
                <w:b w:val="1"/>
                <w:bCs w:val="1"/>
                <w:color w:val="auto"/>
              </w:rPr>
              <w:t>For the Three Months Ended September</w:t>
            </w:r>
          </w:p>
        </w:tc>
        <w:tc>
          <w:tcPr>
            <w:tcW w:w="2900" w:type="dxa"/>
            <w:vAlign w:val="bottom"/>
            <w:gridSpan w:val="4"/>
            <w:vMerge w:val="restart"/>
          </w:tcPr>
          <w:p>
            <w:pPr>
              <w:jc w:val="right"/>
              <w:ind w:right="3"/>
              <w:spacing w:after="0"/>
              <w:rPr>
                <w:sz w:val="20"/>
                <w:szCs w:val="20"/>
                <w:color w:val="auto"/>
              </w:rPr>
            </w:pPr>
            <w:r>
              <w:rPr>
                <w:rFonts w:ascii="Arial" w:cs="Arial" w:eastAsia="Arial" w:hAnsi="Arial"/>
                <w:sz w:val="14"/>
                <w:szCs w:val="14"/>
                <w:b w:val="1"/>
                <w:bCs w:val="1"/>
                <w:color w:val="auto"/>
                <w:w w:val="99"/>
              </w:rPr>
              <w:t>For the Nine Months Ended September 30,</w:t>
            </w:r>
          </w:p>
        </w:tc>
        <w:tc>
          <w:tcPr>
            <w:tcW w:w="0" w:type="dxa"/>
            <w:vAlign w:val="bottom"/>
          </w:tcPr>
          <w:p>
            <w:pPr>
              <w:spacing w:after="0"/>
              <w:rPr>
                <w:sz w:val="1"/>
                <w:szCs w:val="1"/>
                <w:color w:val="auto"/>
              </w:rPr>
            </w:pPr>
          </w:p>
        </w:tc>
      </w:tr>
      <w:tr>
        <w:trPr>
          <w:trHeight w:val="177"/>
        </w:trPr>
        <w:tc>
          <w:tcPr>
            <w:tcW w:w="536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680" w:type="dxa"/>
            <w:vAlign w:val="bottom"/>
            <w:tcBorders>
              <w:bottom w:val="single" w:sz="8" w:color="2C6937"/>
            </w:tcBorders>
            <w:gridSpan w:val="2"/>
          </w:tcPr>
          <w:p>
            <w:pPr>
              <w:jc w:val="right"/>
              <w:ind w:right="203"/>
              <w:spacing w:after="0"/>
              <w:rPr>
                <w:sz w:val="20"/>
                <w:szCs w:val="20"/>
                <w:color w:val="auto"/>
              </w:rPr>
            </w:pPr>
            <w:r>
              <w:rPr>
                <w:rFonts w:ascii="Arial" w:cs="Arial" w:eastAsia="Arial" w:hAnsi="Arial"/>
                <w:sz w:val="14"/>
                <w:szCs w:val="14"/>
                <w:b w:val="1"/>
                <w:bCs w:val="1"/>
                <w:color w:val="auto"/>
              </w:rPr>
              <w:t>30,</w:t>
            </w:r>
          </w:p>
        </w:tc>
        <w:tc>
          <w:tcPr>
            <w:tcW w:w="10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Borders>
              <w:bottom w:val="single" w:sz="8" w:color="2C6937"/>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tcPr>
          <w:p>
            <w:pPr>
              <w:jc w:val="right"/>
              <w:ind w:right="524"/>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right"/>
              <w:ind w:right="46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6"/>
                <w:szCs w:val="16"/>
                <w:color w:val="auto"/>
              </w:rPr>
            </w:pPr>
          </w:p>
        </w:tc>
        <w:tc>
          <w:tcPr>
            <w:tcW w:w="32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jc w:val="right"/>
              <w:ind w:right="503"/>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36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Issued during the period: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60" w:type="dxa"/>
            <w:vAlign w:val="bottom"/>
          </w:tcPr>
          <w:p>
            <w:pPr>
              <w:ind w:left="160"/>
              <w:spacing w:after="0"/>
              <w:rPr>
                <w:sz w:val="20"/>
                <w:szCs w:val="20"/>
                <w:color w:val="auto"/>
              </w:rPr>
            </w:pPr>
            <w:r>
              <w:rPr>
                <w:rFonts w:ascii="Arial" w:cs="Arial" w:eastAsia="Arial" w:hAnsi="Arial"/>
                <w:sz w:val="15"/>
                <w:szCs w:val="15"/>
                <w:color w:val="auto"/>
              </w:rPr>
              <w:t>Short-term:</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84"/>
              <w:spacing w:after="0"/>
              <w:rPr>
                <w:sz w:val="20"/>
                <w:szCs w:val="20"/>
                <w:color w:val="auto"/>
              </w:rPr>
            </w:pPr>
            <w:r>
              <w:rPr>
                <w:rFonts w:ascii="Arial" w:cs="Arial" w:eastAsia="Arial" w:hAnsi="Arial"/>
                <w:sz w:val="15"/>
                <w:szCs w:val="15"/>
                <w:b w:val="1"/>
                <w:bCs w:val="1"/>
                <w:color w:val="auto"/>
              </w:rPr>
              <w:t>103,018</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54,196</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280,878</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195,354</w:t>
            </w:r>
          </w:p>
        </w:tc>
        <w:tc>
          <w:tcPr>
            <w:tcW w:w="0" w:type="dxa"/>
            <w:vAlign w:val="bottom"/>
          </w:tcPr>
          <w:p>
            <w:pPr>
              <w:spacing w:after="0"/>
              <w:rPr>
                <w:sz w:val="1"/>
                <w:szCs w:val="1"/>
                <w:color w:val="auto"/>
              </w:rPr>
            </w:pPr>
          </w:p>
        </w:tc>
      </w:tr>
      <w:tr>
        <w:trPr>
          <w:trHeight w:val="208"/>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b w:val="1"/>
                <w:bCs w:val="1"/>
                <w:color w:val="auto"/>
              </w:rPr>
              <w:t>4.20 %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5.21 %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4.23 %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5.27 %</w:t>
            </w:r>
          </w:p>
        </w:tc>
        <w:tc>
          <w:tcPr>
            <w:tcW w:w="0" w:type="dxa"/>
            <w:vAlign w:val="bottom"/>
          </w:tcPr>
          <w:p>
            <w:pPr>
              <w:spacing w:after="0"/>
              <w:rPr>
                <w:sz w:val="1"/>
                <w:szCs w:val="1"/>
                <w:color w:val="auto"/>
              </w:rPr>
            </w:pPr>
          </w:p>
        </w:tc>
      </w:tr>
      <w:tr>
        <w:trPr>
          <w:trHeight w:val="204"/>
        </w:trPr>
        <w:tc>
          <w:tcPr>
            <w:tcW w:w="5360" w:type="dxa"/>
            <w:vAlign w:val="bottom"/>
          </w:tcPr>
          <w:p>
            <w:pPr>
              <w:ind w:left="160"/>
              <w:spacing w:after="0"/>
              <w:rPr>
                <w:sz w:val="20"/>
                <w:szCs w:val="20"/>
                <w:color w:val="auto"/>
              </w:rPr>
            </w:pPr>
            <w:r>
              <w:rPr>
                <w:rFonts w:ascii="Arial" w:cs="Arial" w:eastAsia="Arial" w:hAnsi="Arial"/>
                <w:sz w:val="15"/>
                <w:szCs w:val="15"/>
                <w:color w:val="auto"/>
              </w:rPr>
              <w:t>Long-term:</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84"/>
              <w:spacing w:after="0"/>
              <w:rPr>
                <w:sz w:val="20"/>
                <w:szCs w:val="20"/>
                <w:color w:val="auto"/>
              </w:rPr>
            </w:pPr>
            <w:r>
              <w:rPr>
                <w:rFonts w:ascii="Arial" w:cs="Arial" w:eastAsia="Arial" w:hAnsi="Arial"/>
                <w:sz w:val="15"/>
                <w:szCs w:val="15"/>
                <w:b w:val="1"/>
                <w:bCs w:val="1"/>
                <w:color w:val="auto"/>
              </w:rPr>
              <w:t>8,344</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13,605</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18,667</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23,462</w:t>
            </w:r>
          </w:p>
        </w:tc>
        <w:tc>
          <w:tcPr>
            <w:tcW w:w="0" w:type="dxa"/>
            <w:vAlign w:val="bottom"/>
          </w:tcPr>
          <w:p>
            <w:pPr>
              <w:spacing w:after="0"/>
              <w:rPr>
                <w:sz w:val="1"/>
                <w:szCs w:val="1"/>
                <w:color w:val="auto"/>
              </w:rPr>
            </w:pPr>
          </w:p>
        </w:tc>
      </w:tr>
      <w:tr>
        <w:trPr>
          <w:trHeight w:val="208"/>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b w:val="1"/>
                <w:bCs w:val="1"/>
                <w:color w:val="auto"/>
              </w:rPr>
              <w:t>3.91 %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5.22 %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4.35 %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5.19 %</w:t>
            </w:r>
          </w:p>
        </w:tc>
        <w:tc>
          <w:tcPr>
            <w:tcW w:w="0" w:type="dxa"/>
            <w:vAlign w:val="bottom"/>
          </w:tcPr>
          <w:p>
            <w:pPr>
              <w:spacing w:after="0"/>
              <w:rPr>
                <w:sz w:val="1"/>
                <w:szCs w:val="1"/>
                <w:color w:val="auto"/>
              </w:rPr>
            </w:pPr>
          </w:p>
        </w:tc>
      </w:tr>
      <w:tr>
        <w:trPr>
          <w:trHeight w:val="204"/>
        </w:trPr>
        <w:tc>
          <w:tcPr>
            <w:tcW w:w="5360" w:type="dxa"/>
            <w:vAlign w:val="bottom"/>
          </w:tcPr>
          <w:p>
            <w:pPr>
              <w:ind w:left="160"/>
              <w:spacing w:after="0"/>
              <w:rPr>
                <w:sz w:val="20"/>
                <w:szCs w:val="20"/>
                <w:color w:val="auto"/>
              </w:rPr>
            </w:pPr>
            <w:r>
              <w:rPr>
                <w:rFonts w:ascii="Arial" w:cs="Arial" w:eastAsia="Arial" w:hAnsi="Arial"/>
                <w:sz w:val="15"/>
                <w:szCs w:val="15"/>
                <w:color w:val="auto"/>
              </w:rPr>
              <w:t>Total issued: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84"/>
              <w:spacing w:after="0"/>
              <w:rPr>
                <w:sz w:val="20"/>
                <w:szCs w:val="20"/>
                <w:color w:val="auto"/>
              </w:rPr>
            </w:pPr>
            <w:r>
              <w:rPr>
                <w:rFonts w:ascii="Arial" w:cs="Arial" w:eastAsia="Arial" w:hAnsi="Arial"/>
                <w:sz w:val="15"/>
                <w:szCs w:val="15"/>
                <w:b w:val="1"/>
                <w:bCs w:val="1"/>
                <w:color w:val="auto"/>
              </w:rPr>
              <w:t>111,362</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67,801</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299,545</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218,816</w:t>
            </w:r>
          </w:p>
        </w:tc>
        <w:tc>
          <w:tcPr>
            <w:tcW w:w="0" w:type="dxa"/>
            <w:vAlign w:val="bottom"/>
          </w:tcPr>
          <w:p>
            <w:pPr>
              <w:spacing w:after="0"/>
              <w:rPr>
                <w:sz w:val="1"/>
                <w:szCs w:val="1"/>
                <w:color w:val="auto"/>
              </w:rPr>
            </w:pPr>
          </w:p>
        </w:tc>
      </w:tr>
      <w:tr>
        <w:trPr>
          <w:trHeight w:val="206"/>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7"/>
                <w:szCs w:val="17"/>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b w:val="1"/>
                <w:bCs w:val="1"/>
                <w:color w:val="auto"/>
              </w:rPr>
              <w:t>4.18 %</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5.21 %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4.24 %</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5.26 %</w:t>
            </w:r>
          </w:p>
        </w:tc>
        <w:tc>
          <w:tcPr>
            <w:tcW w:w="0" w:type="dxa"/>
            <w:vAlign w:val="bottom"/>
          </w:tcPr>
          <w:p>
            <w:pPr>
              <w:spacing w:after="0"/>
              <w:rPr>
                <w:sz w:val="1"/>
                <w:szCs w:val="1"/>
                <w:color w:val="auto"/>
              </w:rPr>
            </w:pPr>
          </w:p>
        </w:tc>
      </w:tr>
      <w:tr>
        <w:trPr>
          <w:trHeight w:val="208"/>
        </w:trPr>
        <w:tc>
          <w:tcPr>
            <w:tcW w:w="536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b w:val="1"/>
                <w:bCs w:val="1"/>
                <w:color w:val="auto"/>
              </w:rPr>
              <w:t>Paid off during the period:</w:t>
            </w:r>
            <w:r>
              <w:rPr>
                <w:rFonts w:ascii="Arial" w:cs="Arial" w:eastAsia="Arial" w:hAnsi="Arial"/>
                <w:sz w:val="20"/>
                <w:szCs w:val="20"/>
                <w:color w:val="auto"/>
                <w:vertAlign w:val="superscript"/>
              </w:rPr>
              <w:t>(1)</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60" w:type="dxa"/>
            <w:vAlign w:val="bottom"/>
          </w:tcPr>
          <w:p>
            <w:pPr>
              <w:ind w:left="160"/>
              <w:spacing w:after="0"/>
              <w:rPr>
                <w:sz w:val="20"/>
                <w:szCs w:val="20"/>
                <w:color w:val="auto"/>
              </w:rPr>
            </w:pPr>
            <w:r>
              <w:rPr>
                <w:rFonts w:ascii="Arial" w:cs="Arial" w:eastAsia="Arial" w:hAnsi="Arial"/>
                <w:sz w:val="15"/>
                <w:szCs w:val="15"/>
                <w:color w:val="auto"/>
              </w:rPr>
              <w:t>Short-term:</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84"/>
              <w:spacing w:after="0"/>
              <w:rPr>
                <w:sz w:val="20"/>
                <w:szCs w:val="20"/>
                <w:color w:val="auto"/>
              </w:rPr>
            </w:pPr>
            <w:r>
              <w:rPr>
                <w:rFonts w:ascii="Arial" w:cs="Arial" w:eastAsia="Arial" w:hAnsi="Arial"/>
                <w:sz w:val="15"/>
                <w:szCs w:val="15"/>
                <w:b w:val="1"/>
                <w:bCs w:val="1"/>
                <w:color w:val="auto"/>
              </w:rPr>
              <w:t>94,149</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54,804</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272,097</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201,263</w:t>
            </w:r>
          </w:p>
        </w:tc>
        <w:tc>
          <w:tcPr>
            <w:tcW w:w="0" w:type="dxa"/>
            <w:vAlign w:val="bottom"/>
          </w:tcPr>
          <w:p>
            <w:pPr>
              <w:spacing w:after="0"/>
              <w:rPr>
                <w:sz w:val="1"/>
                <w:szCs w:val="1"/>
                <w:color w:val="auto"/>
              </w:rPr>
            </w:pPr>
          </w:p>
        </w:tc>
      </w:tr>
      <w:tr>
        <w:trPr>
          <w:trHeight w:val="208"/>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b w:val="1"/>
                <w:bCs w:val="1"/>
                <w:color w:val="auto"/>
              </w:rPr>
              <w:t>4.00 %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4.69 %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4.13 %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4.73 %</w:t>
            </w:r>
          </w:p>
        </w:tc>
        <w:tc>
          <w:tcPr>
            <w:tcW w:w="0" w:type="dxa"/>
            <w:vAlign w:val="bottom"/>
          </w:tcPr>
          <w:p>
            <w:pPr>
              <w:spacing w:after="0"/>
              <w:rPr>
                <w:sz w:val="1"/>
                <w:szCs w:val="1"/>
                <w:color w:val="auto"/>
              </w:rPr>
            </w:pPr>
          </w:p>
        </w:tc>
      </w:tr>
      <w:tr>
        <w:trPr>
          <w:trHeight w:val="204"/>
        </w:trPr>
        <w:tc>
          <w:tcPr>
            <w:tcW w:w="5360" w:type="dxa"/>
            <w:vAlign w:val="bottom"/>
          </w:tcPr>
          <w:p>
            <w:pPr>
              <w:ind w:left="160"/>
              <w:spacing w:after="0" w:line="205" w:lineRule="exact"/>
              <w:rPr>
                <w:sz w:val="20"/>
                <w:szCs w:val="20"/>
                <w:color w:val="auto"/>
              </w:rPr>
            </w:pPr>
            <w:r>
              <w:rPr>
                <w:rFonts w:ascii="Arial" w:cs="Arial" w:eastAsia="Arial" w:hAnsi="Arial"/>
                <w:sz w:val="15"/>
                <w:szCs w:val="15"/>
                <w:color w:val="auto"/>
              </w:rPr>
              <w:t>Long-term:</w:t>
            </w:r>
            <w:r>
              <w:rPr>
                <w:rFonts w:ascii="Arial" w:cs="Arial" w:eastAsia="Arial" w:hAnsi="Arial"/>
                <w:sz w:val="20"/>
                <w:szCs w:val="20"/>
                <w:color w:val="auto"/>
                <w:vertAlign w:val="superscript"/>
              </w:rPr>
              <w:t>(2)</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84"/>
              <w:spacing w:after="0"/>
              <w:rPr>
                <w:sz w:val="20"/>
                <w:szCs w:val="20"/>
                <w:color w:val="auto"/>
              </w:rPr>
            </w:pPr>
            <w:r>
              <w:rPr>
                <w:rFonts w:ascii="Arial" w:cs="Arial" w:eastAsia="Arial" w:hAnsi="Arial"/>
                <w:sz w:val="15"/>
                <w:szCs w:val="15"/>
                <w:b w:val="1"/>
                <w:bCs w:val="1"/>
                <w:color w:val="auto"/>
              </w:rPr>
              <w:t>19,280</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10,600</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41,384</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20,558</w:t>
            </w:r>
          </w:p>
        </w:tc>
        <w:tc>
          <w:tcPr>
            <w:tcW w:w="0" w:type="dxa"/>
            <w:vAlign w:val="bottom"/>
          </w:tcPr>
          <w:p>
            <w:pPr>
              <w:spacing w:after="0"/>
              <w:rPr>
                <w:sz w:val="1"/>
                <w:szCs w:val="1"/>
                <w:color w:val="auto"/>
              </w:rPr>
            </w:pPr>
          </w:p>
        </w:tc>
      </w:tr>
      <w:tr>
        <w:trPr>
          <w:trHeight w:val="208"/>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b w:val="1"/>
                <w:bCs w:val="1"/>
                <w:color w:val="auto"/>
              </w:rPr>
              <w:t>2.00 %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2.88 %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2.25 %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3.20 %</w:t>
            </w:r>
          </w:p>
        </w:tc>
        <w:tc>
          <w:tcPr>
            <w:tcW w:w="0" w:type="dxa"/>
            <w:vAlign w:val="bottom"/>
          </w:tcPr>
          <w:p>
            <w:pPr>
              <w:spacing w:after="0"/>
              <w:rPr>
                <w:sz w:val="1"/>
                <w:szCs w:val="1"/>
                <w:color w:val="auto"/>
              </w:rPr>
            </w:pPr>
          </w:p>
        </w:tc>
      </w:tr>
      <w:tr>
        <w:trPr>
          <w:trHeight w:val="204"/>
        </w:trPr>
        <w:tc>
          <w:tcPr>
            <w:tcW w:w="5360" w:type="dxa"/>
            <w:vAlign w:val="bottom"/>
          </w:tcPr>
          <w:p>
            <w:pPr>
              <w:ind w:left="160"/>
              <w:spacing w:after="0"/>
              <w:rPr>
                <w:sz w:val="20"/>
                <w:szCs w:val="20"/>
                <w:color w:val="auto"/>
              </w:rPr>
            </w:pPr>
            <w:r>
              <w:rPr>
                <w:rFonts w:ascii="Arial" w:cs="Arial" w:eastAsia="Arial" w:hAnsi="Arial"/>
                <w:sz w:val="15"/>
                <w:szCs w:val="15"/>
                <w:color w:val="auto"/>
              </w:rPr>
              <w:t>Total paid off:</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320"/>
              <w:spacing w:after="0"/>
              <w:rPr>
                <w:sz w:val="20"/>
                <w:szCs w:val="20"/>
                <w:color w:val="auto"/>
              </w:rPr>
            </w:pPr>
            <w:r>
              <w:rPr>
                <w:rFonts w:ascii="Arial" w:cs="Arial" w:eastAsia="Arial" w:hAnsi="Arial"/>
                <w:sz w:val="15"/>
                <w:szCs w:val="15"/>
                <w:color w:val="auto"/>
              </w:rPr>
              <w:t>Amount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jc w:val="right"/>
              <w:ind w:right="184"/>
              <w:spacing w:after="0"/>
              <w:rPr>
                <w:sz w:val="20"/>
                <w:szCs w:val="20"/>
                <w:color w:val="auto"/>
              </w:rPr>
            </w:pPr>
            <w:r>
              <w:rPr>
                <w:rFonts w:ascii="Arial" w:cs="Arial" w:eastAsia="Arial" w:hAnsi="Arial"/>
                <w:sz w:val="15"/>
                <w:szCs w:val="15"/>
                <w:b w:val="1"/>
                <w:bCs w:val="1"/>
                <w:color w:val="auto"/>
              </w:rPr>
              <w:t>113,429</w:t>
            </w:r>
          </w:p>
        </w:tc>
        <w:tc>
          <w:tcPr>
            <w:tcW w:w="3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124"/>
              <w:spacing w:after="0"/>
              <w:rPr>
                <w:sz w:val="20"/>
                <w:szCs w:val="20"/>
                <w:color w:val="auto"/>
              </w:rPr>
            </w:pPr>
            <w:r>
              <w:rPr>
                <w:rFonts w:ascii="Arial" w:cs="Arial" w:eastAsia="Arial" w:hAnsi="Arial"/>
                <w:sz w:val="15"/>
                <w:szCs w:val="15"/>
                <w:color w:val="auto"/>
              </w:rPr>
              <w:t>65,404</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313,481</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221,821</w:t>
            </w:r>
          </w:p>
        </w:tc>
        <w:tc>
          <w:tcPr>
            <w:tcW w:w="0" w:type="dxa"/>
            <w:vAlign w:val="bottom"/>
          </w:tcPr>
          <w:p>
            <w:pPr>
              <w:spacing w:after="0"/>
              <w:rPr>
                <w:sz w:val="1"/>
                <w:szCs w:val="1"/>
                <w:color w:val="auto"/>
              </w:rPr>
            </w:pPr>
          </w:p>
        </w:tc>
      </w:tr>
      <w:tr>
        <w:trPr>
          <w:trHeight w:val="214"/>
        </w:trPr>
        <w:tc>
          <w:tcPr>
            <w:tcW w:w="5360" w:type="dxa"/>
            <w:vAlign w:val="bottom"/>
          </w:tcPr>
          <w:p>
            <w:pPr>
              <w:ind w:left="320"/>
              <w:spacing w:after="0"/>
              <w:rPr>
                <w:sz w:val="20"/>
                <w:szCs w:val="20"/>
                <w:color w:val="auto"/>
              </w:rPr>
            </w:pPr>
            <w:r>
              <w:rPr>
                <w:rFonts w:ascii="Arial" w:cs="Arial" w:eastAsia="Arial" w:hAnsi="Arial"/>
                <w:sz w:val="15"/>
                <w:szCs w:val="15"/>
                <w:color w:val="auto"/>
              </w:rPr>
              <w:t>Weighted-average interest rate</w:t>
            </w:r>
          </w:p>
        </w:tc>
        <w:tc>
          <w:tcPr>
            <w:tcW w:w="120" w:type="dxa"/>
            <w:vAlign w:val="bottom"/>
          </w:tcPr>
          <w:p>
            <w:pPr>
              <w:spacing w:after="0"/>
              <w:rPr>
                <w:sz w:val="18"/>
                <w:szCs w:val="18"/>
                <w:color w:val="auto"/>
              </w:rPr>
            </w:pPr>
          </w:p>
        </w:tc>
        <w:tc>
          <w:tcPr>
            <w:tcW w:w="1320" w:type="dxa"/>
            <w:vAlign w:val="bottom"/>
          </w:tcPr>
          <w:p>
            <w:pPr>
              <w:jc w:val="right"/>
              <w:ind w:right="4"/>
              <w:spacing w:after="0"/>
              <w:rPr>
                <w:sz w:val="20"/>
                <w:szCs w:val="20"/>
                <w:color w:val="auto"/>
              </w:rPr>
            </w:pPr>
            <w:r>
              <w:rPr>
                <w:rFonts w:ascii="Arial" w:cs="Arial" w:eastAsia="Arial" w:hAnsi="Arial"/>
                <w:sz w:val="15"/>
                <w:szCs w:val="15"/>
                <w:b w:val="1"/>
                <w:bCs w:val="1"/>
                <w:color w:val="auto"/>
              </w:rPr>
              <w:t>3.66 %</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4.40 %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3.88 %</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4.59 %</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0" w:right="260" w:hanging="237"/>
        <w:spacing w:after="0" w:line="226" w:lineRule="auto"/>
        <w:tabs>
          <w:tab w:leader="none" w:pos="233"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Consists of all payments on debt, including regularly scheduled principal payments, payments at maturity, payments resulting from calls and payments for any other repurchases. Repurchases of debt and early retirements of zero-coupon debt are reported at original face value, which does not equal the amount of actual cash payment.</w:t>
      </w:r>
    </w:p>
    <w:p>
      <w:pPr>
        <w:spacing w:after="0" w:line="14" w:lineRule="exact"/>
        <w:rPr>
          <w:rFonts w:ascii="Arial" w:cs="Arial" w:eastAsia="Arial" w:hAnsi="Arial"/>
          <w:sz w:val="18"/>
          <w:szCs w:val="18"/>
          <w:color w:val="auto"/>
          <w:vertAlign w:val="superscript"/>
        </w:rPr>
      </w:pPr>
    </w:p>
    <w:p>
      <w:pPr>
        <w:ind w:left="240" w:right="140" w:hanging="237"/>
        <w:spacing w:after="0" w:line="264" w:lineRule="auto"/>
        <w:tabs>
          <w:tab w:leader="none" w:pos="233" w:val="left"/>
        </w:tabs>
        <w:numPr>
          <w:ilvl w:val="0"/>
          <w:numId w:val="40"/>
        </w:numPr>
        <w:rPr>
          <w:rFonts w:ascii="Arial" w:cs="Arial" w:eastAsia="Arial" w:hAnsi="Arial"/>
          <w:sz w:val="9"/>
          <w:szCs w:val="9"/>
          <w:color w:val="auto"/>
        </w:rPr>
      </w:pPr>
      <w:r>
        <w:rPr>
          <w:rFonts w:ascii="Arial" w:cs="Arial" w:eastAsia="Arial" w:hAnsi="Arial"/>
          <w:sz w:val="14"/>
          <w:szCs w:val="14"/>
          <w:color w:val="auto"/>
        </w:rPr>
        <w:t>Includes credit risk-sharing securities issued as CAS debt prior to November 2018. For information on our credit risk transfer transactions, see “MD&amp;A—Single-Family Business— Single-Family Mortgage Credit Risk Management—Single-Family Credit Enhancement and Transfer of Mortgage Credit Risk—Credit Risk Transfer Transactions” in our 2024 Form 10-K.</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46</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49" w:name="page50"/>
    <w:bookmarkEnd w:id="49"/>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Corporate Liquidity Portfolio</w:t>
      </w:r>
    </w:p>
    <w:p>
      <w:pPr>
        <w:spacing w:after="0" w:line="80"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chart below displays information on the composition of our corporate liquidity portfolio. The balance and composition of our corporate liquidity portfolio fluctuates as a result of changes in our cash flows, liquidity in the fixed-income markets, and our liquidity risk management framework and practices. Our corporate liquidity portfolio decreased in the first nine months of 2025, primarily due to the maturity of debt of Fannie Mae that was not replaced given our reduced funding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-12065</wp:posOffset>
            </wp:positionV>
            <wp:extent cx="4911725" cy="23495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1172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580"/>
        <w:spacing w:after="0"/>
        <w:rPr>
          <w:sz w:val="20"/>
          <w:szCs w:val="20"/>
          <w:color w:val="auto"/>
        </w:rPr>
      </w:pPr>
      <w:r>
        <w:rPr>
          <w:rFonts w:ascii="Arial" w:cs="Arial" w:eastAsia="Arial" w:hAnsi="Arial"/>
          <w:sz w:val="15"/>
          <w:szCs w:val="15"/>
          <w:color w:val="auto"/>
        </w:rPr>
        <w:t>U.S.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2065020</wp:posOffset>
            </wp:positionH>
            <wp:positionV relativeFrom="paragraph">
              <wp:posOffset>53975</wp:posOffset>
            </wp:positionV>
            <wp:extent cx="130810" cy="1308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3580"/>
        <w:spacing w:after="0"/>
        <w:rPr>
          <w:sz w:val="20"/>
          <w:szCs w:val="20"/>
          <w:color w:val="auto"/>
        </w:rPr>
      </w:pPr>
      <w:r>
        <w:rPr>
          <w:rFonts w:ascii="Arial" w:cs="Arial" w:eastAsia="Arial" w:hAnsi="Arial"/>
          <w:sz w:val="15"/>
          <w:szCs w:val="15"/>
          <w:color w:val="auto"/>
        </w:rPr>
        <w:t>Securities purchased under agreements to resell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2065020</wp:posOffset>
            </wp:positionH>
            <wp:positionV relativeFrom="paragraph">
              <wp:posOffset>53975</wp:posOffset>
            </wp:positionV>
            <wp:extent cx="130810" cy="1308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65" w:lineRule="exact"/>
        <w:rPr>
          <w:sz w:val="20"/>
          <w:szCs w:val="20"/>
          <w:color w:val="auto"/>
        </w:rPr>
      </w:pPr>
    </w:p>
    <w:p>
      <w:pPr>
        <w:ind w:left="3580"/>
        <w:spacing w:after="0"/>
        <w:rPr>
          <w:sz w:val="20"/>
          <w:szCs w:val="20"/>
          <w:color w:val="auto"/>
        </w:rPr>
      </w:pPr>
      <w:r>
        <w:rPr>
          <w:rFonts w:ascii="Arial" w:cs="Arial" w:eastAsia="Arial" w:hAnsi="Arial"/>
          <w:sz w:val="15"/>
          <w:szCs w:val="15"/>
          <w:color w:val="auto"/>
        </w:rPr>
        <w:t>Cash</w:t>
      </w:r>
    </w:p>
    <w:p>
      <w:pPr>
        <w:spacing w:after="0" w:line="270"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Off-Balance Sheet Arrangements</w:t>
      </w:r>
    </w:p>
    <w:p>
      <w:pPr>
        <w:spacing w:after="0" w:line="67"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enter into certain business arrangements to facilitate our statutory purpose of providing liquidity to the secondary mortgage market and to reduce our exposure to interest rate fluctuations. Some of these arrangements are not recorded in our condensed consolidated balance sheets or may be recorded in amounts different from the full contract or notional amount of the transaction, depending on the nature or structure of, and the accounting required to be applied to, the arrangement. These arrangements are commonly referred to as “off-balance sheet arrangements” and expose us to potential losses in excess of the amounts recorded in our condensed consolidated balance sheets.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off-balance sheet arrangements result primarily from the following:</w:t>
      </w:r>
    </w:p>
    <w:p>
      <w:pPr>
        <w:spacing w:after="0" w:line="87" w:lineRule="exact"/>
        <w:rPr>
          <w:sz w:val="20"/>
          <w:szCs w:val="20"/>
          <w:color w:val="auto"/>
        </w:rPr>
      </w:pPr>
    </w:p>
    <w:p>
      <w:pPr>
        <w:ind w:left="620" w:right="700" w:hanging="307"/>
        <w:spacing w:after="0" w:line="310" w:lineRule="auto"/>
        <w:tabs>
          <w:tab w:leader="none" w:pos="612"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guaranty of mortgage loan securitization and resecuritization transactions over which we have no control, which are reflected in our unconsolidated Fannie Mae MBS net of any beneficial ownership interest we retain, and other financial guarantees that we do not control;</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liquidity support transactions;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partnership interests.</w:t>
      </w:r>
    </w:p>
    <w:p>
      <w:pPr>
        <w:spacing w:after="0" w:line="87" w:lineRule="exact"/>
        <w:rPr>
          <w:sz w:val="20"/>
          <w:szCs w:val="20"/>
          <w:color w:val="auto"/>
        </w:rPr>
      </w:pPr>
    </w:p>
    <w:p>
      <w:pPr>
        <w:ind w:right="480"/>
        <w:spacing w:after="0" w:line="271" w:lineRule="auto"/>
        <w:rPr>
          <w:sz w:val="20"/>
          <w:szCs w:val="20"/>
          <w:color w:val="auto"/>
        </w:rPr>
      </w:pPr>
      <w:r>
        <w:rPr>
          <w:rFonts w:ascii="Arial" w:cs="Arial" w:eastAsia="Arial" w:hAnsi="Arial"/>
          <w:sz w:val="16"/>
          <w:szCs w:val="16"/>
          <w:color w:val="auto"/>
        </w:rPr>
        <w:t>The total amount of our off-balance sheet exposure related to unconsolidated Fannie Mae MBS net of any beneficial interest that we retain, and other financial guarantees was $199.2 billion as of September 30, 2025 and $211.5 billion as of December 31, 2024. The majority of the other financial guarantees consists of Freddie Mac securities backing Fannie Mae structured securities. See “Guaranty Book of Business” and “Note 7, Financial Guarantees” for more information regarding our maximum exposure to loss on unconsolidated Fannie Mae MBS and Freddie Mac securities.</w:t>
      </w:r>
    </w:p>
    <w:p>
      <w:pPr>
        <w:spacing w:after="0" w:line="33" w:lineRule="exact"/>
        <w:rPr>
          <w:sz w:val="20"/>
          <w:szCs w:val="20"/>
          <w:color w:val="auto"/>
        </w:rPr>
      </w:pPr>
    </w:p>
    <w:p>
      <w:pPr>
        <w:ind w:right="600"/>
        <w:spacing w:after="0" w:line="272" w:lineRule="auto"/>
        <w:rPr>
          <w:sz w:val="20"/>
          <w:szCs w:val="20"/>
          <w:color w:val="auto"/>
        </w:rPr>
      </w:pPr>
      <w:r>
        <w:rPr>
          <w:rFonts w:ascii="Arial" w:cs="Arial" w:eastAsia="Arial" w:hAnsi="Arial"/>
          <w:sz w:val="16"/>
          <w:szCs w:val="16"/>
          <w:color w:val="auto"/>
        </w:rPr>
        <w:t>Our total outstanding liquidity commitments to advance funds for securities backed by multifamily housing revenue bonds totaled $3.7 billion as of September 30, 2025 and $4.3 billion as of December 31, 2024. These commitments require us to advance funds to third parties that enable them to repurchase tendered bonds or securities that are unable to be remarketed.</w:t>
      </w:r>
    </w:p>
    <w:p>
      <w:pPr>
        <w:spacing w:after="0" w:line="32"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We have investments in various limited partnerships and similar legal entities, which consist of LIHTC investments, community investments and investments in other entities. When we do not have a controlling financial interest in those entities, our condensed consolidated balance sheets reflect only our investment rather than the full amount of the partnership’s assets and liabilities. See “Note 3, Consolidations and Transfers of Financial Assets— Unconsolidated VIEs” for information regarding our investments in limited partnerships and similar legal entities.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47</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0" w:name="page51"/>
    <w:bookmarkEnd w:id="50"/>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Cash Flows</w:t>
      </w:r>
    </w:p>
    <w:p>
      <w:pPr>
        <w:spacing w:after="0" w:line="80"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i w:val="1"/>
          <w:iCs w:val="1"/>
          <w:u w:val="single" w:color="auto"/>
          <w:color w:val="auto"/>
        </w:rPr>
        <w:t>Nine Months Ended September 30, 2025</w:t>
      </w:r>
      <w:r>
        <w:rPr>
          <w:rFonts w:ascii="Arial" w:cs="Arial" w:eastAsia="Arial" w:hAnsi="Arial"/>
          <w:sz w:val="16"/>
          <w:szCs w:val="16"/>
          <w:i w:val="1"/>
          <w:iCs w:val="1"/>
          <w:color w:val="auto"/>
        </w:rPr>
        <w:t xml:space="preserve">. </w:t>
      </w:r>
      <w:r>
        <w:rPr>
          <w:rFonts w:ascii="Arial" w:cs="Arial" w:eastAsia="Arial" w:hAnsi="Arial"/>
          <w:sz w:val="16"/>
          <w:szCs w:val="16"/>
          <w:color w:val="auto"/>
        </w:rPr>
        <w:t>Cash and restricted cash increased from $38.5 billion as of December 31, 2024 to $39.4 billion as of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2025. The increase was primarily driven by cash inflows from (1) proceeds from repayments of loans,(2) the sale of Fannie Mae MBS to third parties, (3) proceeds from issuance of debt of Fannie Mae, and (4) proceeds from the disposition of acquired property and insurance proceeds.</w:t>
      </w:r>
    </w:p>
    <w:p>
      <w:pPr>
        <w:spacing w:after="0" w:line="32" w:lineRule="exact"/>
        <w:rPr>
          <w:sz w:val="20"/>
          <w:szCs w:val="20"/>
          <w:color w:val="auto"/>
        </w:rPr>
      </w:pPr>
    </w:p>
    <w:p>
      <w:pPr>
        <w:jc w:val="both"/>
        <w:ind w:right="600"/>
        <w:spacing w:after="0" w:line="293" w:lineRule="auto"/>
        <w:rPr>
          <w:sz w:val="20"/>
          <w:szCs w:val="20"/>
          <w:color w:val="auto"/>
        </w:rPr>
      </w:pPr>
      <w:r>
        <w:rPr>
          <w:rFonts w:ascii="Arial" w:cs="Arial" w:eastAsia="Arial" w:hAnsi="Arial"/>
          <w:sz w:val="16"/>
          <w:szCs w:val="16"/>
          <w:color w:val="auto"/>
        </w:rPr>
        <w:t>Largely offsetting these cash inflows were cash outflows primarily from (1) payments on outstanding debt of Fannie Mae and consolidated trusts (2) purchases of loans acquired as held for investment, (3) advances to lenders, and (4) purchases of securities purchased under agreements to resell.</w:t>
      </w:r>
    </w:p>
    <w:p>
      <w:pPr>
        <w:spacing w:after="0" w:line="28" w:lineRule="exact"/>
        <w:rPr>
          <w:sz w:val="20"/>
          <w:szCs w:val="20"/>
          <w:color w:val="auto"/>
        </w:rPr>
      </w:pPr>
    </w:p>
    <w:p>
      <w:pPr>
        <w:jc w:val="both"/>
        <w:ind w:right="120"/>
        <w:spacing w:after="0" w:line="272" w:lineRule="auto"/>
        <w:rPr>
          <w:sz w:val="20"/>
          <w:szCs w:val="20"/>
          <w:color w:val="auto"/>
        </w:rPr>
      </w:pPr>
      <w:r>
        <w:rPr>
          <w:rFonts w:ascii="Arial" w:cs="Arial" w:eastAsia="Arial" w:hAnsi="Arial"/>
          <w:sz w:val="16"/>
          <w:szCs w:val="16"/>
          <w:i w:val="1"/>
          <w:iCs w:val="1"/>
          <w:u w:val="single" w:color="auto"/>
          <w:color w:val="auto"/>
        </w:rPr>
        <w:t>Nine Months Ended September 30, 2024</w:t>
      </w:r>
      <w:r>
        <w:rPr>
          <w:rFonts w:ascii="Arial" w:cs="Arial" w:eastAsia="Arial" w:hAnsi="Arial"/>
          <w:sz w:val="16"/>
          <w:szCs w:val="16"/>
          <w:i w:val="1"/>
          <w:iCs w:val="1"/>
          <w:color w:val="auto"/>
        </w:rPr>
        <w:t xml:space="preserve">. </w:t>
      </w:r>
      <w:r>
        <w:rPr>
          <w:rFonts w:ascii="Arial" w:cs="Arial" w:eastAsia="Arial" w:hAnsi="Arial"/>
          <w:sz w:val="16"/>
          <w:szCs w:val="16"/>
          <w:color w:val="auto"/>
        </w:rPr>
        <w:t>Cash and restricted cash increased from $34.0 billion as of December 31, 2023 to $37.9 billion as of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2024. The increase was primarily driven by cash inflows from (1) proceeds from repayments of loans, (2) the sale of Fannie Mae MBS to third parties, and (3) investments in securities purchased under agreements to resell.</w:t>
      </w:r>
    </w:p>
    <w:p>
      <w:pPr>
        <w:spacing w:after="0" w:line="32"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Partially offsetting these cash inflows were cash outflows from (1) payments on outstanding debt of consolidated trusts, (2) purchases of loans held for investment, and (3) advances to lenders.</w:t>
      </w:r>
    </w:p>
    <w:p>
      <w:pPr>
        <w:spacing w:after="0" w:line="54"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Credit Ratings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our credit ratings issued by the three major credit rating agencies.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Fannie Mae Credit Ratings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40" w:type="dxa"/>
            <w:vAlign w:val="bottom"/>
            <w:tcBorders>
              <w:top w:val="single" w:sz="8" w:color="2C6937"/>
            </w:tcBorders>
          </w:tcPr>
          <w:p>
            <w:pPr>
              <w:spacing w:after="0"/>
              <w:rPr>
                <w:sz w:val="18"/>
                <w:szCs w:val="18"/>
                <w:color w:val="auto"/>
              </w:rPr>
            </w:pPr>
          </w:p>
        </w:tc>
        <w:tc>
          <w:tcPr>
            <w:tcW w:w="2720" w:type="dxa"/>
            <w:vAlign w:val="bottom"/>
            <w:tcBorders>
              <w:top w:val="single" w:sz="8" w:color="2C6937"/>
              <w:bottom w:val="single" w:sz="8" w:color="2C6937"/>
            </w:tcBorders>
          </w:tcPr>
          <w:p>
            <w:pPr>
              <w:spacing w:after="0"/>
              <w:rPr>
                <w:sz w:val="18"/>
                <w:szCs w:val="18"/>
                <w:color w:val="auto"/>
              </w:rPr>
            </w:pPr>
          </w:p>
        </w:tc>
        <w:tc>
          <w:tcPr>
            <w:tcW w:w="80" w:type="dxa"/>
            <w:vAlign w:val="bottom"/>
            <w:tcBorders>
              <w:top w:val="single" w:sz="8" w:color="2C6937"/>
              <w:bottom w:val="single" w:sz="8" w:color="2C6937"/>
            </w:tcBorders>
          </w:tcPr>
          <w:p>
            <w:pPr>
              <w:spacing w:after="0"/>
              <w:rPr>
                <w:sz w:val="18"/>
                <w:szCs w:val="18"/>
                <w:color w:val="auto"/>
              </w:rPr>
            </w:pPr>
          </w:p>
        </w:tc>
        <w:tc>
          <w:tcPr>
            <w:tcW w:w="2820" w:type="dxa"/>
            <w:vAlign w:val="bottom"/>
            <w:tcBorders>
              <w:top w:val="single" w:sz="8" w:color="2C6937"/>
              <w:bottom w:val="single" w:sz="8" w:color="2C6937"/>
            </w:tcBorders>
            <w:gridSpan w:val="2"/>
          </w:tcPr>
          <w:p>
            <w:pPr>
              <w:ind w:left="360"/>
              <w:spacing w:after="0"/>
              <w:rPr>
                <w:sz w:val="20"/>
                <w:szCs w:val="20"/>
                <w:color w:val="auto"/>
              </w:rPr>
            </w:pPr>
            <w:r>
              <w:rPr>
                <w:rFonts w:ascii="Arial" w:cs="Arial" w:eastAsia="Arial" w:hAnsi="Arial"/>
                <w:sz w:val="15"/>
                <w:szCs w:val="15"/>
                <w:b w:val="1"/>
                <w:bCs w:val="1"/>
                <w:color w:val="auto"/>
              </w:rPr>
              <w:t>As of September 30, 2025</w:t>
            </w:r>
          </w:p>
        </w:tc>
        <w:tc>
          <w:tcPr>
            <w:tcW w:w="2580" w:type="dxa"/>
            <w:vAlign w:val="bottom"/>
            <w:tcBorders>
              <w:top w:val="single" w:sz="8" w:color="2C6937"/>
              <w:bottom w:val="single" w:sz="8" w:color="2C6937"/>
            </w:tcBorders>
          </w:tcPr>
          <w:p>
            <w:pPr>
              <w:spacing w:after="0"/>
              <w:rPr>
                <w:sz w:val="18"/>
                <w:szCs w:val="18"/>
                <w:color w:val="auto"/>
              </w:rPr>
            </w:pPr>
          </w:p>
        </w:tc>
      </w:tr>
      <w:tr>
        <w:trPr>
          <w:trHeight w:val="212"/>
        </w:trPr>
        <w:tc>
          <w:tcPr>
            <w:tcW w:w="3040" w:type="dxa"/>
            <w:vAlign w:val="bottom"/>
          </w:tcPr>
          <w:p>
            <w:pPr>
              <w:spacing w:after="0"/>
              <w:rPr>
                <w:sz w:val="18"/>
                <w:szCs w:val="18"/>
                <w:color w:val="auto"/>
              </w:rPr>
            </w:pPr>
          </w:p>
        </w:tc>
        <w:tc>
          <w:tcPr>
            <w:tcW w:w="272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S&amp;P</w:t>
            </w:r>
          </w:p>
        </w:tc>
        <w:tc>
          <w:tcPr>
            <w:tcW w:w="80" w:type="dxa"/>
            <w:vAlign w:val="bottom"/>
          </w:tcPr>
          <w:p>
            <w:pPr>
              <w:spacing w:after="0"/>
              <w:rPr>
                <w:sz w:val="18"/>
                <w:szCs w:val="18"/>
                <w:color w:val="auto"/>
              </w:rPr>
            </w:pPr>
          </w:p>
        </w:tc>
        <w:tc>
          <w:tcPr>
            <w:tcW w:w="2720" w:type="dxa"/>
            <w:vAlign w:val="bottom"/>
            <w:tcBorders>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Moody’s</w:t>
            </w:r>
          </w:p>
        </w:tc>
        <w:tc>
          <w:tcPr>
            <w:tcW w:w="100" w:type="dxa"/>
            <w:vAlign w:val="bottom"/>
          </w:tcPr>
          <w:p>
            <w:pPr>
              <w:spacing w:after="0"/>
              <w:rPr>
                <w:sz w:val="18"/>
                <w:szCs w:val="18"/>
                <w:color w:val="auto"/>
              </w:rPr>
            </w:pPr>
          </w:p>
        </w:tc>
        <w:tc>
          <w:tcPr>
            <w:tcW w:w="2580" w:type="dxa"/>
            <w:vAlign w:val="bottom"/>
            <w:tcBorders>
              <w:bottom w:val="single" w:sz="8" w:color="2C6937"/>
            </w:tcBorders>
          </w:tcPr>
          <w:p>
            <w:pPr>
              <w:jc w:val="center"/>
              <w:spacing w:after="0"/>
              <w:rPr>
                <w:sz w:val="20"/>
                <w:szCs w:val="20"/>
                <w:color w:val="auto"/>
              </w:rPr>
            </w:pPr>
            <w:r>
              <w:rPr>
                <w:rFonts w:ascii="Arial" w:cs="Arial" w:eastAsia="Arial" w:hAnsi="Arial"/>
                <w:sz w:val="16"/>
                <w:szCs w:val="16"/>
                <w:b w:val="1"/>
                <w:bCs w:val="1"/>
                <w:color w:val="auto"/>
                <w:w w:val="99"/>
              </w:rPr>
              <w:t>Fitch</w:t>
            </w:r>
          </w:p>
        </w:tc>
      </w:tr>
      <w:tr>
        <w:trPr>
          <w:trHeight w:val="198"/>
        </w:trPr>
        <w:tc>
          <w:tcPr>
            <w:tcW w:w="3040" w:type="dxa"/>
            <w:vAlign w:val="bottom"/>
          </w:tcPr>
          <w:p>
            <w:pPr>
              <w:ind w:left="20"/>
              <w:spacing w:after="0"/>
              <w:rPr>
                <w:sz w:val="20"/>
                <w:szCs w:val="20"/>
                <w:color w:val="auto"/>
              </w:rPr>
            </w:pPr>
            <w:r>
              <w:rPr>
                <w:rFonts w:ascii="Arial" w:cs="Arial" w:eastAsia="Arial" w:hAnsi="Arial"/>
                <w:sz w:val="15"/>
                <w:szCs w:val="15"/>
                <w:color w:val="auto"/>
              </w:rPr>
              <w:t>Long-term senior debt</w:t>
            </w:r>
          </w:p>
        </w:tc>
        <w:tc>
          <w:tcPr>
            <w:tcW w:w="2800" w:type="dxa"/>
            <w:vAlign w:val="bottom"/>
            <w:gridSpan w:val="2"/>
          </w:tcPr>
          <w:p>
            <w:pPr>
              <w:jc w:val="center"/>
              <w:ind w:right="100"/>
              <w:spacing w:after="0"/>
              <w:rPr>
                <w:sz w:val="20"/>
                <w:szCs w:val="20"/>
                <w:color w:val="auto"/>
              </w:rPr>
            </w:pPr>
            <w:r>
              <w:rPr>
                <w:rFonts w:ascii="Arial" w:cs="Arial" w:eastAsia="Arial" w:hAnsi="Arial"/>
                <w:sz w:val="15"/>
                <w:szCs w:val="15"/>
                <w:color w:val="auto"/>
              </w:rPr>
              <w:t>AA+</w:t>
            </w:r>
          </w:p>
        </w:tc>
        <w:tc>
          <w:tcPr>
            <w:tcW w:w="2820" w:type="dxa"/>
            <w:vAlign w:val="bottom"/>
            <w:gridSpan w:val="2"/>
          </w:tcPr>
          <w:p>
            <w:pPr>
              <w:jc w:val="center"/>
              <w:ind w:right="100"/>
              <w:spacing w:after="0"/>
              <w:rPr>
                <w:sz w:val="20"/>
                <w:szCs w:val="20"/>
                <w:color w:val="auto"/>
              </w:rPr>
            </w:pPr>
            <w:r>
              <w:rPr>
                <w:rFonts w:ascii="Arial" w:cs="Arial" w:eastAsia="Arial" w:hAnsi="Arial"/>
                <w:sz w:val="15"/>
                <w:szCs w:val="15"/>
                <w:color w:val="auto"/>
              </w:rPr>
              <w:t>Aa1</w:t>
            </w:r>
          </w:p>
        </w:tc>
        <w:tc>
          <w:tcPr>
            <w:tcW w:w="2580" w:type="dxa"/>
            <w:vAlign w:val="bottom"/>
          </w:tcPr>
          <w:p>
            <w:pPr>
              <w:jc w:val="center"/>
              <w:spacing w:after="0"/>
              <w:rPr>
                <w:sz w:val="20"/>
                <w:szCs w:val="20"/>
                <w:color w:val="auto"/>
              </w:rPr>
            </w:pPr>
            <w:r>
              <w:rPr>
                <w:rFonts w:ascii="Arial" w:cs="Arial" w:eastAsia="Arial" w:hAnsi="Arial"/>
                <w:sz w:val="15"/>
                <w:szCs w:val="15"/>
                <w:color w:val="auto"/>
              </w:rPr>
              <w:t>AA+</w:t>
            </w:r>
          </w:p>
        </w:tc>
      </w:tr>
      <w:tr>
        <w:trPr>
          <w:trHeight w:val="206"/>
        </w:trPr>
        <w:tc>
          <w:tcPr>
            <w:tcW w:w="3040" w:type="dxa"/>
            <w:vAlign w:val="bottom"/>
          </w:tcPr>
          <w:p>
            <w:pPr>
              <w:ind w:left="20"/>
              <w:spacing w:after="0"/>
              <w:rPr>
                <w:sz w:val="20"/>
                <w:szCs w:val="20"/>
                <w:color w:val="auto"/>
              </w:rPr>
            </w:pPr>
            <w:r>
              <w:rPr>
                <w:rFonts w:ascii="Arial" w:cs="Arial" w:eastAsia="Arial" w:hAnsi="Arial"/>
                <w:sz w:val="15"/>
                <w:szCs w:val="15"/>
                <w:color w:val="auto"/>
              </w:rPr>
              <w:t>Short-term senior debt</w:t>
            </w:r>
          </w:p>
        </w:tc>
        <w:tc>
          <w:tcPr>
            <w:tcW w:w="2800" w:type="dxa"/>
            <w:vAlign w:val="bottom"/>
            <w:gridSpan w:val="2"/>
          </w:tcPr>
          <w:p>
            <w:pPr>
              <w:jc w:val="center"/>
              <w:ind w:right="100"/>
              <w:spacing w:after="0"/>
              <w:rPr>
                <w:sz w:val="20"/>
                <w:szCs w:val="20"/>
                <w:color w:val="auto"/>
              </w:rPr>
            </w:pPr>
            <w:r>
              <w:rPr>
                <w:rFonts w:ascii="Arial" w:cs="Arial" w:eastAsia="Arial" w:hAnsi="Arial"/>
                <w:sz w:val="15"/>
                <w:szCs w:val="15"/>
                <w:color w:val="auto"/>
              </w:rPr>
              <w:t>A-1+</w:t>
            </w:r>
          </w:p>
        </w:tc>
        <w:tc>
          <w:tcPr>
            <w:tcW w:w="2820" w:type="dxa"/>
            <w:vAlign w:val="bottom"/>
            <w:gridSpan w:val="2"/>
          </w:tcPr>
          <w:p>
            <w:pPr>
              <w:jc w:val="center"/>
              <w:ind w:right="100"/>
              <w:spacing w:after="0"/>
              <w:rPr>
                <w:sz w:val="20"/>
                <w:szCs w:val="20"/>
                <w:color w:val="auto"/>
              </w:rPr>
            </w:pPr>
            <w:r>
              <w:rPr>
                <w:rFonts w:ascii="Arial" w:cs="Arial" w:eastAsia="Arial" w:hAnsi="Arial"/>
                <w:sz w:val="15"/>
                <w:szCs w:val="15"/>
                <w:color w:val="auto"/>
              </w:rPr>
              <w:t>P-1</w:t>
            </w:r>
          </w:p>
        </w:tc>
        <w:tc>
          <w:tcPr>
            <w:tcW w:w="2580" w:type="dxa"/>
            <w:vAlign w:val="bottom"/>
          </w:tcPr>
          <w:p>
            <w:pPr>
              <w:jc w:val="center"/>
              <w:spacing w:after="0"/>
              <w:rPr>
                <w:sz w:val="20"/>
                <w:szCs w:val="20"/>
                <w:color w:val="auto"/>
              </w:rPr>
            </w:pPr>
            <w:r>
              <w:rPr>
                <w:rFonts w:ascii="Arial" w:cs="Arial" w:eastAsia="Arial" w:hAnsi="Arial"/>
                <w:sz w:val="15"/>
                <w:szCs w:val="15"/>
                <w:color w:val="auto"/>
                <w:w w:val="98"/>
              </w:rPr>
              <w:t>F1+</w:t>
            </w:r>
          </w:p>
        </w:tc>
      </w:tr>
      <w:tr>
        <w:trPr>
          <w:trHeight w:val="206"/>
        </w:trPr>
        <w:tc>
          <w:tcPr>
            <w:tcW w:w="3040" w:type="dxa"/>
            <w:vAlign w:val="bottom"/>
          </w:tcPr>
          <w:p>
            <w:pPr>
              <w:ind w:left="20"/>
              <w:spacing w:after="0"/>
              <w:rPr>
                <w:sz w:val="20"/>
                <w:szCs w:val="20"/>
                <w:color w:val="auto"/>
              </w:rPr>
            </w:pPr>
            <w:r>
              <w:rPr>
                <w:rFonts w:ascii="Arial" w:cs="Arial" w:eastAsia="Arial" w:hAnsi="Arial"/>
                <w:sz w:val="15"/>
                <w:szCs w:val="15"/>
                <w:color w:val="auto"/>
              </w:rPr>
              <w:t>Preferred stock</w:t>
            </w:r>
          </w:p>
        </w:tc>
        <w:tc>
          <w:tcPr>
            <w:tcW w:w="2800" w:type="dxa"/>
            <w:vAlign w:val="bottom"/>
            <w:gridSpan w:val="2"/>
          </w:tcPr>
          <w:p>
            <w:pPr>
              <w:jc w:val="center"/>
              <w:ind w:right="100"/>
              <w:spacing w:after="0"/>
              <w:rPr>
                <w:sz w:val="20"/>
                <w:szCs w:val="20"/>
                <w:color w:val="auto"/>
              </w:rPr>
            </w:pPr>
            <w:r>
              <w:rPr>
                <w:rFonts w:ascii="Arial" w:cs="Arial" w:eastAsia="Arial" w:hAnsi="Arial"/>
                <w:sz w:val="15"/>
                <w:szCs w:val="15"/>
                <w:color w:val="auto"/>
                <w:w w:val="91"/>
              </w:rPr>
              <w:t>D</w:t>
            </w:r>
          </w:p>
        </w:tc>
        <w:tc>
          <w:tcPr>
            <w:tcW w:w="2820" w:type="dxa"/>
            <w:vAlign w:val="bottom"/>
            <w:gridSpan w:val="2"/>
          </w:tcPr>
          <w:p>
            <w:pPr>
              <w:jc w:val="center"/>
              <w:ind w:right="100"/>
              <w:spacing w:after="0"/>
              <w:rPr>
                <w:sz w:val="20"/>
                <w:szCs w:val="20"/>
                <w:color w:val="auto"/>
              </w:rPr>
            </w:pPr>
            <w:r>
              <w:rPr>
                <w:rFonts w:ascii="Arial" w:cs="Arial" w:eastAsia="Arial" w:hAnsi="Arial"/>
                <w:sz w:val="15"/>
                <w:szCs w:val="15"/>
                <w:color w:val="auto"/>
              </w:rPr>
              <w:t>Ca(hyb)</w:t>
            </w:r>
          </w:p>
        </w:tc>
        <w:tc>
          <w:tcPr>
            <w:tcW w:w="2580" w:type="dxa"/>
            <w:vAlign w:val="bottom"/>
          </w:tcPr>
          <w:p>
            <w:pPr>
              <w:jc w:val="center"/>
              <w:spacing w:after="0"/>
              <w:rPr>
                <w:sz w:val="20"/>
                <w:szCs w:val="20"/>
                <w:color w:val="auto"/>
              </w:rPr>
            </w:pPr>
            <w:r>
              <w:rPr>
                <w:rFonts w:ascii="Arial" w:cs="Arial" w:eastAsia="Arial" w:hAnsi="Arial"/>
                <w:sz w:val="15"/>
                <w:szCs w:val="15"/>
                <w:color w:val="auto"/>
              </w:rPr>
              <w:t>C/RR6</w:t>
            </w:r>
          </w:p>
        </w:tc>
      </w:tr>
      <w:tr>
        <w:trPr>
          <w:trHeight w:val="206"/>
        </w:trPr>
        <w:tc>
          <w:tcPr>
            <w:tcW w:w="3040" w:type="dxa"/>
            <w:vAlign w:val="bottom"/>
          </w:tcPr>
          <w:p>
            <w:pPr>
              <w:ind w:left="20"/>
              <w:spacing w:after="0"/>
              <w:rPr>
                <w:sz w:val="20"/>
                <w:szCs w:val="20"/>
                <w:color w:val="auto"/>
              </w:rPr>
            </w:pPr>
            <w:r>
              <w:rPr>
                <w:rFonts w:ascii="Arial" w:cs="Arial" w:eastAsia="Arial" w:hAnsi="Arial"/>
                <w:sz w:val="15"/>
                <w:szCs w:val="15"/>
                <w:color w:val="auto"/>
              </w:rPr>
              <w:t>Outlook</w:t>
            </w:r>
          </w:p>
        </w:tc>
        <w:tc>
          <w:tcPr>
            <w:tcW w:w="2800" w:type="dxa"/>
            <w:vAlign w:val="bottom"/>
            <w:gridSpan w:val="2"/>
          </w:tcPr>
          <w:p>
            <w:pPr>
              <w:jc w:val="center"/>
              <w:ind w:right="80"/>
              <w:spacing w:after="0"/>
              <w:rPr>
                <w:sz w:val="20"/>
                <w:szCs w:val="20"/>
                <w:color w:val="auto"/>
              </w:rPr>
            </w:pPr>
            <w:r>
              <w:rPr>
                <w:rFonts w:ascii="Arial" w:cs="Arial" w:eastAsia="Arial" w:hAnsi="Arial"/>
                <w:sz w:val="15"/>
                <w:szCs w:val="15"/>
                <w:color w:val="auto"/>
              </w:rPr>
              <w:t>Stable</w:t>
            </w:r>
          </w:p>
        </w:tc>
        <w:tc>
          <w:tcPr>
            <w:tcW w:w="2820" w:type="dxa"/>
            <w:vAlign w:val="bottom"/>
            <w:gridSpan w:val="2"/>
          </w:tcPr>
          <w:p>
            <w:pPr>
              <w:jc w:val="center"/>
              <w:ind w:right="100"/>
              <w:spacing w:after="0"/>
              <w:rPr>
                <w:sz w:val="20"/>
                <w:szCs w:val="20"/>
                <w:color w:val="auto"/>
              </w:rPr>
            </w:pPr>
            <w:r>
              <w:rPr>
                <w:rFonts w:ascii="Arial" w:cs="Arial" w:eastAsia="Arial" w:hAnsi="Arial"/>
                <w:sz w:val="15"/>
                <w:szCs w:val="15"/>
                <w:color w:val="auto"/>
              </w:rPr>
              <w:t>Stable</w:t>
            </w:r>
          </w:p>
        </w:tc>
        <w:tc>
          <w:tcPr>
            <w:tcW w:w="2580" w:type="dxa"/>
            <w:vAlign w:val="bottom"/>
          </w:tcPr>
          <w:p>
            <w:pPr>
              <w:jc w:val="center"/>
              <w:spacing w:after="0"/>
              <w:rPr>
                <w:sz w:val="20"/>
                <w:szCs w:val="20"/>
                <w:color w:val="auto"/>
              </w:rPr>
            </w:pPr>
            <w:r>
              <w:rPr>
                <w:rFonts w:ascii="Arial" w:cs="Arial" w:eastAsia="Arial" w:hAnsi="Arial"/>
                <w:sz w:val="15"/>
                <w:szCs w:val="15"/>
                <w:color w:val="auto"/>
              </w:rPr>
              <w:t>Stable</w:t>
            </w:r>
          </w:p>
        </w:tc>
      </w:tr>
    </w:tbl>
    <w:p>
      <w:pPr>
        <w:spacing w:after="0" w:line="147"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On May 19, 2025, Moody’s Ratings (“Moody’s”) downgraded our long-term senior unsecured debt rating to Aa1 from Aaa and changed the outlook to stable from negative. This action followed Moody’s downgrade of the U.S. Government’s long-term issuer and senior unsecured ratings to Aa1 from Aaa and change in outlook to stable from negative on May 16, 2025.</w:t>
      </w:r>
    </w:p>
    <w:p>
      <w:pPr>
        <w:spacing w:after="0" w:line="3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have no covenants in our existing debt agreements that would be violated by a downgrade in our credit ratings. However, in connection with certain derivatives counterparties, we could be required to provide additional collateral to or terminate transactions with certain counterparties in the event that our senior unsecured debt ratings are downgraded. For a discussion of additional risks to our business relating to a decrease in our credit ratings, which could include an increase in our borrowing costs and limits on our ability to issue debt, see “MD&amp;A—Liquidity and Capital Management—Liquidity Management— Credit Ratings” and “Risk Factors” in our 2024 Form 10-K.</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48</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1" w:name="page52"/>
    <w:bookmarkEnd w:id="51"/>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Capital Management</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Capital Requirements</w:t>
      </w:r>
    </w:p>
    <w:p>
      <w:pPr>
        <w:spacing w:after="0" w:line="80"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For a description of our capital requirements under the enterprise regulatory capital framework, see “Business—Legislation and Regulation—Capital Requirements” in our 2024 Form 10-K. Although the enterprise regulatory capital framework went into effect in February 2021, we are not required to hold capital according to the framework’s requirements until the date of termination of our conservatorship, or such later date as may be ordered by FHFA.</w:t>
      </w:r>
    </w:p>
    <w:p>
      <w:pPr>
        <w:spacing w:after="0" w:line="3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table below sets forth information about our capital requirements under the standardized approach of the enterprise regulatory capital framework. As of September 30, 2025, we had a deficit in available capital for purposes of the enterprise regulatory capital framework even though we had positive net worth under U.S. generally accepted accounting principles (“GAAP”) of $105.5 billion primarily because the $120.8 billion stated value of the senior preferred stock does not qualify as regulatory capital. Our deficit in available capital for purposes of our risk-based adjusted total capital requirement declined $12 billion in the first nine months of 2025 from $37 billion as of December 31, 2024 to $25 billion as of September 30, 2025.</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As of September 30, 2025, we had a $215 billion shortfall to our risk-based adjusted total capital requirement including buffers of $190 billion, and a $135 billion shortfall to our minimum risked-based adjusted total capital requirement excluding buffers of $110 billion. From December 31, 2024 to September 30, 2025, our capital shortfall including buffers declined by $12 billion and our shortfall excluding buffers declined by $11 billion. These declines were primarily driven by increased retained earnings, which more than offset the modest rise in minimum capital requirements associated with higher risk-weighted assets during the first nine months of 2025. The increase in risk-weighted assets during the first nine months of 2025 was largely driven by loans we acquired during the period that carried higher credit risk-weights compared to seasoned loans that liquidated, as well as higher market risk associated with retained mortgage assets. The impact of these factors was partially offset by the benefit from credit risk transfer transactions.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September 30, 2025</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13867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billions)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Adjusted total assets</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4,443</w:t>
            </w:r>
          </w:p>
        </w:tc>
      </w:tr>
      <w:tr>
        <w:trPr>
          <w:trHeight w:val="246"/>
        </w:trPr>
        <w:tc>
          <w:tcPr>
            <w:tcW w:w="30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Risk-weighted assets</w:t>
            </w:r>
          </w:p>
        </w:tc>
        <w:tc>
          <w:tcPr>
            <w:tcW w:w="140" w:type="dxa"/>
            <w:vAlign w:val="bottom"/>
          </w:tcPr>
          <w:p>
            <w:pPr>
              <w:spacing w:after="0"/>
              <w:rPr>
                <w:sz w:val="21"/>
                <w:szCs w:val="21"/>
                <w:color w:val="auto"/>
              </w:rPr>
            </w:pPr>
          </w:p>
        </w:tc>
        <w:tc>
          <w:tcPr>
            <w:tcW w:w="60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1,372</w:t>
            </w: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Stress capital buffer</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Stability capital buffer</w:t>
            </w: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07"/>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Countercyclical capital buffer</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472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5"/>
                <w:szCs w:val="15"/>
                <w:b w:val="1"/>
                <w:bCs w:val="1"/>
                <w:color w:val="auto"/>
              </w:rPr>
              <w:t>Prescribed capital conservation buffer amount</w:t>
            </w:r>
          </w:p>
        </w:tc>
        <w:tc>
          <w:tcPr>
            <w:tcW w:w="140" w:type="dxa"/>
            <w:vAlign w:val="bottom"/>
          </w:tcPr>
          <w:p>
            <w:pPr>
              <w:spacing w:after="0"/>
              <w:rPr>
                <w:sz w:val="17"/>
                <w:szCs w:val="17"/>
                <w:color w:val="auto"/>
              </w:rPr>
            </w:pPr>
          </w:p>
        </w:tc>
        <w:tc>
          <w:tcPr>
            <w:tcW w:w="600" w:type="dxa"/>
            <w:vAlign w:val="bottom"/>
            <w:tcBorders>
              <w:top w:val="single" w:sz="8" w:color="2C6937"/>
              <w:bottom w:val="single" w:sz="8" w:color="2C6937"/>
            </w:tcBorders>
          </w:tcPr>
          <w:p>
            <w:pPr>
              <w:jc w:val="right"/>
              <w:ind w:right="42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80</w:t>
            </w:r>
          </w:p>
        </w:tc>
      </w:tr>
      <w:tr>
        <w:trPr>
          <w:trHeight w:val="20"/>
        </w:trPr>
        <w:tc>
          <w:tcPr>
            <w:tcW w:w="472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700" w:space="360"/>
            <w:col w:w="6180"/>
          </w:cols>
          <w:pgMar w:left="320" w:top="248" w:right="339" w:bottom="1440" w:gutter="0" w:footer="0" w:header="0"/>
          <w:type w:val="continuous"/>
        </w:sect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2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Minimum Capital</w:t>
            </w:r>
          </w:p>
        </w:tc>
        <w:tc>
          <w:tcPr>
            <w:tcW w:w="13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Available</w:t>
            </w:r>
          </w:p>
        </w:tc>
        <w:tc>
          <w:tcPr>
            <w:tcW w:w="16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Shortfall</w:t>
            </w:r>
          </w:p>
        </w:tc>
        <w:tc>
          <w:tcPr>
            <w:tcW w:w="140" w:type="dxa"/>
            <w:vAlign w:val="bottom"/>
          </w:tcPr>
          <w:p>
            <w:pPr>
              <w:spacing w:after="0"/>
              <w:rPr>
                <w:sz w:val="14"/>
                <w:szCs w:val="14"/>
                <w:color w:val="auto"/>
              </w:rPr>
            </w:pPr>
          </w:p>
        </w:tc>
        <w:tc>
          <w:tcPr>
            <w:tcW w:w="11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8"/>
              </w:rPr>
              <w:t>Applicable</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 Capital</w:t>
            </w: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Capital Shortfall</w:t>
            </w:r>
          </w:p>
        </w:tc>
        <w:tc>
          <w:tcPr>
            <w:tcW w:w="0" w:type="dxa"/>
            <w:vAlign w:val="bottom"/>
          </w:tcPr>
          <w:p>
            <w:pPr>
              <w:spacing w:after="0"/>
              <w:rPr>
                <w:sz w:val="1"/>
                <w:szCs w:val="1"/>
                <w:color w:val="auto"/>
              </w:rPr>
            </w:pPr>
          </w:p>
        </w:tc>
      </w:tr>
      <w:tr>
        <w:trPr>
          <w:trHeight w:val="153"/>
        </w:trPr>
        <w:tc>
          <w:tcPr>
            <w:tcW w:w="27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9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(without</w:t>
            </w:r>
          </w:p>
        </w:tc>
        <w:tc>
          <w:tcPr>
            <w:tcW w:w="14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Requirement</w:t>
            </w: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760" w:type="dxa"/>
            <w:vAlign w:val="bottom"/>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(Deficit)</w:t>
            </w:r>
          </w:p>
        </w:tc>
        <w:tc>
          <w:tcPr>
            <w:tcW w:w="16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Buffers)</w:t>
            </w:r>
            <w:r>
              <w:rPr>
                <w:rFonts w:ascii="Arial" w:cs="Arial" w:eastAsia="Arial" w:hAnsi="Arial"/>
                <w:sz w:val="17"/>
                <w:szCs w:val="17"/>
                <w:b w:val="1"/>
                <w:bCs w:val="1"/>
                <w:color w:val="auto"/>
                <w:w w:val="94"/>
                <w:vertAlign w:val="superscript"/>
              </w:rPr>
              <w:t>(2)</w:t>
            </w:r>
          </w:p>
        </w:tc>
        <w:tc>
          <w:tcPr>
            <w:tcW w:w="140" w:type="dxa"/>
            <w:vAlign w:val="bottom"/>
          </w:tcPr>
          <w:p>
            <w:pPr>
              <w:spacing w:after="0"/>
              <w:rPr>
                <w:sz w:val="17"/>
                <w:szCs w:val="17"/>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Buffers</w:t>
            </w:r>
            <w:r>
              <w:rPr>
                <w:rFonts w:ascii="Arial" w:cs="Arial" w:eastAsia="Arial" w:hAnsi="Arial"/>
                <w:sz w:val="17"/>
                <w:szCs w:val="17"/>
                <w:b w:val="1"/>
                <w:bCs w:val="1"/>
                <w:color w:val="auto"/>
                <w:w w:val="92"/>
                <w:vertAlign w:val="superscript"/>
              </w:rPr>
              <w:t>(3)</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(with Buffers)</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(with Buffers)</w:t>
            </w:r>
            <w:r>
              <w:rPr>
                <w:rFonts w:ascii="Arial" w:cs="Arial" w:eastAsia="Arial" w:hAnsi="Arial"/>
                <w:sz w:val="17"/>
                <w:szCs w:val="17"/>
                <w:b w:val="1"/>
                <w:bCs w:val="1"/>
                <w:color w:val="auto"/>
                <w:w w:val="97"/>
                <w:vertAlign w:val="superscript"/>
              </w:rPr>
              <w:t>(2)</w:t>
            </w:r>
          </w:p>
        </w:tc>
        <w:tc>
          <w:tcPr>
            <w:tcW w:w="0" w:type="dxa"/>
            <w:vAlign w:val="bottom"/>
          </w:tcPr>
          <w:p>
            <w:pPr>
              <w:spacing w:after="0"/>
              <w:rPr>
                <w:sz w:val="1"/>
                <w:szCs w:val="1"/>
                <w:color w:val="auto"/>
              </w:rPr>
            </w:pPr>
          </w:p>
        </w:tc>
      </w:tr>
      <w:tr>
        <w:trPr>
          <w:trHeight w:val="187"/>
        </w:trPr>
        <w:tc>
          <w:tcPr>
            <w:tcW w:w="2760" w:type="dxa"/>
            <w:vAlign w:val="bottom"/>
          </w:tcPr>
          <w:p>
            <w:pPr>
              <w:spacing w:after="0"/>
              <w:rPr>
                <w:sz w:val="20"/>
                <w:szCs w:val="20"/>
                <w:color w:val="auto"/>
              </w:rPr>
            </w:pPr>
            <w:r>
              <w:rPr>
                <w:rFonts w:ascii="Arial" w:cs="Arial" w:eastAsia="Arial" w:hAnsi="Arial"/>
                <w:sz w:val="15"/>
                <w:szCs w:val="15"/>
                <w:b w:val="1"/>
                <w:bCs w:val="1"/>
                <w:color w:val="auto"/>
              </w:rPr>
              <w:t>Risk-based capital:</w:t>
            </w:r>
          </w:p>
        </w:tc>
        <w:tc>
          <w:tcPr>
            <w:tcW w:w="136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112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82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8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10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2C6937"/>
            </w:tcBorders>
          </w:tcPr>
          <w:p>
            <w:pPr>
              <w:spacing w:after="0"/>
              <w:rPr>
                <w:sz w:val="16"/>
                <w:szCs w:val="16"/>
                <w:color w:val="auto"/>
              </w:rPr>
            </w:pPr>
          </w:p>
        </w:tc>
        <w:tc>
          <w:tcPr>
            <w:tcW w:w="700" w:type="dxa"/>
            <w:vAlign w:val="bottom"/>
            <w:tcBorders>
              <w:top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60" w:type="dxa"/>
            <w:vAlign w:val="bottom"/>
          </w:tcPr>
          <w:p>
            <w:pPr>
              <w:ind w:left="220"/>
              <w:spacing w:after="0"/>
              <w:rPr>
                <w:sz w:val="20"/>
                <w:szCs w:val="20"/>
                <w:color w:val="auto"/>
              </w:rPr>
            </w:pPr>
            <w:r>
              <w:rPr>
                <w:rFonts w:ascii="Arial" w:cs="Arial" w:eastAsia="Arial" w:hAnsi="Arial"/>
                <w:sz w:val="15"/>
                <w:szCs w:val="15"/>
                <w:color w:val="auto"/>
              </w:rPr>
              <w:t>Total capital (statutory)</w:t>
            </w:r>
          </w:p>
        </w:tc>
        <w:tc>
          <w:tcPr>
            <w:tcW w:w="1360" w:type="dxa"/>
            <w:vAlign w:val="bottom"/>
          </w:tcPr>
          <w:p>
            <w:pPr>
              <w:ind w:left="940"/>
              <w:spacing w:after="0"/>
              <w:rPr>
                <w:sz w:val="20"/>
                <w:szCs w:val="20"/>
                <w:color w:val="auto"/>
              </w:rPr>
            </w:pPr>
            <w:r>
              <w:rPr>
                <w:rFonts w:ascii="Arial" w:cs="Arial" w:eastAsia="Arial" w:hAnsi="Arial"/>
                <w:sz w:val="15"/>
                <w:szCs w:val="15"/>
                <w:color w:val="auto"/>
              </w:rPr>
              <w:t>8.0 %</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ind w:left="600"/>
              <w:spacing w:after="0"/>
              <w:rPr>
                <w:sz w:val="20"/>
                <w:szCs w:val="20"/>
                <w:color w:val="auto"/>
              </w:rPr>
            </w:pPr>
            <w:r>
              <w:rPr>
                <w:rFonts w:ascii="Arial" w:cs="Arial" w:eastAsia="Arial" w:hAnsi="Arial"/>
                <w:sz w:val="15"/>
                <w:szCs w:val="15"/>
                <w:color w:val="auto"/>
              </w:rPr>
              <w:t>N/A $</w:t>
            </w:r>
          </w:p>
        </w:tc>
        <w:tc>
          <w:tcPr>
            <w:tcW w:w="1080" w:type="dxa"/>
            <w:vAlign w:val="bottom"/>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Common equity 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62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Adjusted total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09"/>
        </w:trPr>
        <w:tc>
          <w:tcPr>
            <w:tcW w:w="2760" w:type="dxa"/>
            <w:vAlign w:val="bottom"/>
          </w:tcPr>
          <w:p>
            <w:pPr>
              <w:spacing w:after="0"/>
              <w:rPr>
                <w:sz w:val="20"/>
                <w:szCs w:val="20"/>
                <w:color w:val="auto"/>
              </w:rPr>
            </w:pPr>
            <w:r>
              <w:rPr>
                <w:rFonts w:ascii="Arial" w:cs="Arial" w:eastAsia="Arial" w:hAnsi="Arial"/>
                <w:sz w:val="15"/>
                <w:szCs w:val="15"/>
                <w:b w:val="1"/>
                <w:bCs w:val="1"/>
                <w:color w:val="auto"/>
              </w:rPr>
              <w:t>Leverage capital: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60" w:type="dxa"/>
            <w:vAlign w:val="bottom"/>
          </w:tcPr>
          <w:p>
            <w:pPr>
              <w:ind w:left="220"/>
              <w:spacing w:after="0"/>
              <w:rPr>
                <w:sz w:val="20"/>
                <w:szCs w:val="20"/>
                <w:color w:val="auto"/>
              </w:rPr>
            </w:pPr>
            <w:r>
              <w:rPr>
                <w:rFonts w:ascii="Arial" w:cs="Arial" w:eastAsia="Arial" w:hAnsi="Arial"/>
                <w:sz w:val="15"/>
                <w:szCs w:val="15"/>
                <w:color w:val="auto"/>
              </w:rPr>
              <w:t>Core capital (statutory)</w:t>
            </w:r>
          </w:p>
        </w:tc>
        <w:tc>
          <w:tcPr>
            <w:tcW w:w="1360" w:type="dxa"/>
            <w:vAlign w:val="bottom"/>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left="285"/>
              <w:spacing w:after="0"/>
              <w:rPr>
                <w:sz w:val="20"/>
                <w:szCs w:val="20"/>
                <w:color w:val="auto"/>
              </w:rPr>
            </w:pPr>
            <w:r>
              <w:rPr>
                <w:rFonts w:ascii="Arial" w:cs="Arial" w:eastAsia="Arial" w:hAnsi="Arial"/>
                <w:sz w:val="15"/>
                <w:szCs w:val="15"/>
                <w:color w:val="auto"/>
              </w:rPr>
              <w:t>N/A</w:t>
            </w:r>
          </w:p>
        </w:tc>
        <w:tc>
          <w:tcPr>
            <w:tcW w:w="108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49</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52" w:name="page53"/>
    <w:bookmarkEnd w:id="52"/>
    <w:p>
      <w:pPr>
        <w:jc w:val="right"/>
        <w:ind w:right="12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December 31, 2024</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138670"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billions)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Adjusted total assets</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4,460</w:t>
            </w:r>
          </w:p>
        </w:tc>
      </w:tr>
      <w:tr>
        <w:trPr>
          <w:trHeight w:val="246"/>
        </w:trPr>
        <w:tc>
          <w:tcPr>
            <w:tcW w:w="30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Risk-weighted assets</w:t>
            </w:r>
          </w:p>
        </w:tc>
        <w:tc>
          <w:tcPr>
            <w:tcW w:w="140" w:type="dxa"/>
            <w:vAlign w:val="bottom"/>
          </w:tcPr>
          <w:p>
            <w:pPr>
              <w:spacing w:after="0"/>
              <w:rPr>
                <w:sz w:val="21"/>
                <w:szCs w:val="21"/>
                <w:color w:val="auto"/>
              </w:rPr>
            </w:pPr>
          </w:p>
        </w:tc>
        <w:tc>
          <w:tcPr>
            <w:tcW w:w="600" w:type="dxa"/>
            <w:vAlign w:val="bottom"/>
            <w:tcBorders>
              <w:bottom w:val="single" w:sz="8" w:color="2C6937"/>
            </w:tcBorders>
          </w:tcPr>
          <w:p>
            <w:pPr>
              <w:spacing w:after="0"/>
              <w:rPr>
                <w:sz w:val="21"/>
                <w:szCs w:val="21"/>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1,364</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Stress capital buffer</w:t>
            </w: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Stability capital buffer</w:t>
            </w:r>
          </w:p>
        </w:tc>
        <w:tc>
          <w:tcPr>
            <w:tcW w:w="6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207"/>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Countercyclical capital buffer</w:t>
            </w: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472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5"/>
                <w:szCs w:val="15"/>
                <w:b w:val="1"/>
                <w:bCs w:val="1"/>
                <w:color w:val="auto"/>
              </w:rPr>
              <w:t>Prescribed capital conservation buffer amount</w:t>
            </w:r>
          </w:p>
        </w:tc>
        <w:tc>
          <w:tcPr>
            <w:tcW w:w="140" w:type="dxa"/>
            <w:vAlign w:val="bottom"/>
          </w:tcPr>
          <w:p>
            <w:pPr>
              <w:spacing w:after="0"/>
              <w:rPr>
                <w:sz w:val="17"/>
                <w:szCs w:val="17"/>
                <w:color w:val="auto"/>
              </w:rPr>
            </w:pPr>
          </w:p>
        </w:tc>
        <w:tc>
          <w:tcPr>
            <w:tcW w:w="600" w:type="dxa"/>
            <w:vAlign w:val="bottom"/>
            <w:tcBorders>
              <w:top w:val="single" w:sz="8" w:color="2C6937"/>
              <w:bottom w:val="single" w:sz="8" w:color="2C6937"/>
            </w:tcBorders>
          </w:tcPr>
          <w:p>
            <w:pPr>
              <w:jc w:val="right"/>
              <w:ind w:right="42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81</w:t>
            </w:r>
          </w:p>
        </w:tc>
      </w:tr>
      <w:tr>
        <w:trPr>
          <w:trHeight w:val="20"/>
        </w:trPr>
        <w:tc>
          <w:tcPr>
            <w:tcW w:w="472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700" w:space="360"/>
            <w:col w:w="6180"/>
          </w:cols>
          <w:pgMar w:left="320" w:top="248" w:right="339" w:bottom="1440" w:gutter="0" w:footer="0" w:header="0"/>
          <w:type w:val="continuous"/>
        </w:sect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Available</w:t>
            </w:r>
          </w:p>
        </w:tc>
        <w:tc>
          <w:tcPr>
            <w:tcW w:w="16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Shortfall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 Capital</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55"/>
        </w:trPr>
        <w:tc>
          <w:tcPr>
            <w:tcW w:w="2760" w:type="dxa"/>
            <w:vAlign w:val="bottom"/>
          </w:tcPr>
          <w:p>
            <w:pPr>
              <w:spacing w:after="0"/>
              <w:rPr>
                <w:sz w:val="13"/>
                <w:szCs w:val="13"/>
                <w:color w:val="auto"/>
              </w:rPr>
            </w:pPr>
          </w:p>
        </w:tc>
        <w:tc>
          <w:tcPr>
            <w:tcW w:w="14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Minimum Capital</w:t>
            </w:r>
          </w:p>
        </w:tc>
        <w:tc>
          <w:tcPr>
            <w:tcW w:w="134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3"/>
                <w:szCs w:val="13"/>
                <w:color w:val="auto"/>
              </w:rPr>
            </w:pPr>
          </w:p>
        </w:tc>
        <w:tc>
          <w:tcPr>
            <w:tcW w:w="9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94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9"/>
              </w:rPr>
              <w:t>(without</w:t>
            </w:r>
          </w:p>
        </w:tc>
        <w:tc>
          <w:tcPr>
            <w:tcW w:w="140" w:type="dxa"/>
            <w:vAlign w:val="bottom"/>
          </w:tcPr>
          <w:p>
            <w:pPr>
              <w:spacing w:after="0"/>
              <w:rPr>
                <w:sz w:val="13"/>
                <w:szCs w:val="13"/>
                <w:color w:val="auto"/>
              </w:rPr>
            </w:pPr>
          </w:p>
        </w:tc>
        <w:tc>
          <w:tcPr>
            <w:tcW w:w="110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98"/>
              </w:rPr>
              <w:t>Applicable</w:t>
            </w:r>
          </w:p>
        </w:tc>
        <w:tc>
          <w:tcPr>
            <w:tcW w:w="11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Requirement</w:t>
            </w: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Capital Shortfall</w:t>
            </w:r>
          </w:p>
        </w:tc>
      </w:tr>
      <w:tr>
        <w:trPr>
          <w:trHeight w:val="216"/>
        </w:trPr>
        <w:tc>
          <w:tcPr>
            <w:tcW w:w="27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(Deficit)</w:t>
            </w:r>
          </w:p>
        </w:tc>
        <w:tc>
          <w:tcPr>
            <w:tcW w:w="16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Buffers)</w:t>
            </w:r>
            <w:r>
              <w:rPr>
                <w:rFonts w:ascii="Arial" w:cs="Arial" w:eastAsia="Arial" w:hAnsi="Arial"/>
                <w:sz w:val="17"/>
                <w:szCs w:val="17"/>
                <w:b w:val="1"/>
                <w:bCs w:val="1"/>
                <w:color w:val="auto"/>
                <w:w w:val="94"/>
                <w:vertAlign w:val="superscript"/>
              </w:rPr>
              <w:t>(2)</w:t>
            </w:r>
          </w:p>
        </w:tc>
        <w:tc>
          <w:tcPr>
            <w:tcW w:w="140" w:type="dxa"/>
            <w:vAlign w:val="bottom"/>
          </w:tcPr>
          <w:p>
            <w:pPr>
              <w:spacing w:after="0"/>
              <w:rPr>
                <w:sz w:val="18"/>
                <w:szCs w:val="18"/>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Buffers</w:t>
            </w:r>
            <w:r>
              <w:rPr>
                <w:rFonts w:ascii="Arial" w:cs="Arial" w:eastAsia="Arial" w:hAnsi="Arial"/>
                <w:sz w:val="8"/>
                <w:szCs w:val="8"/>
                <w:b w:val="1"/>
                <w:bCs w:val="1"/>
                <w:color w:val="auto"/>
                <w:w w:val="98"/>
              </w:rPr>
              <w:t>(3)</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(with Buffers)</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(with Buffers)</w:t>
            </w:r>
            <w:r>
              <w:rPr>
                <w:rFonts w:ascii="Arial" w:cs="Arial" w:eastAsia="Arial" w:hAnsi="Arial"/>
                <w:sz w:val="8"/>
                <w:szCs w:val="8"/>
                <w:b w:val="1"/>
                <w:bCs w:val="1"/>
                <w:color w:val="auto"/>
              </w:rPr>
              <w:t>(2)</w:t>
            </w:r>
          </w:p>
        </w:tc>
      </w:tr>
      <w:tr>
        <w:trPr>
          <w:trHeight w:val="187"/>
        </w:trPr>
        <w:tc>
          <w:tcPr>
            <w:tcW w:w="2760" w:type="dxa"/>
            <w:vAlign w:val="bottom"/>
          </w:tcPr>
          <w:p>
            <w:pPr>
              <w:spacing w:after="0"/>
              <w:rPr>
                <w:sz w:val="20"/>
                <w:szCs w:val="20"/>
                <w:color w:val="auto"/>
              </w:rPr>
            </w:pPr>
            <w:r>
              <w:rPr>
                <w:rFonts w:ascii="Arial" w:cs="Arial" w:eastAsia="Arial" w:hAnsi="Arial"/>
                <w:sz w:val="15"/>
                <w:szCs w:val="15"/>
                <w:b w:val="1"/>
                <w:bCs w:val="1"/>
                <w:color w:val="auto"/>
              </w:rPr>
              <w:t>Risk-based capital:</w:t>
            </w:r>
          </w:p>
        </w:tc>
        <w:tc>
          <w:tcPr>
            <w:tcW w:w="136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112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82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2C6937"/>
            </w:tcBorders>
          </w:tcPr>
          <w:p>
            <w:pPr>
              <w:spacing w:after="0"/>
              <w:rPr>
                <w:sz w:val="16"/>
                <w:szCs w:val="16"/>
                <w:color w:val="auto"/>
              </w:rPr>
            </w:pPr>
          </w:p>
        </w:tc>
        <w:tc>
          <w:tcPr>
            <w:tcW w:w="8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108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2C6937"/>
            </w:tcBorders>
          </w:tcPr>
          <w:p>
            <w:pPr>
              <w:spacing w:after="0"/>
              <w:rPr>
                <w:sz w:val="16"/>
                <w:szCs w:val="16"/>
                <w:color w:val="auto"/>
              </w:rPr>
            </w:pPr>
          </w:p>
        </w:tc>
        <w:tc>
          <w:tcPr>
            <w:tcW w:w="700" w:type="dxa"/>
            <w:vAlign w:val="bottom"/>
            <w:tcBorders>
              <w:top w:val="single" w:sz="8" w:color="2C6937"/>
            </w:tcBorders>
          </w:tcPr>
          <w:p>
            <w:pPr>
              <w:spacing w:after="0"/>
              <w:rPr>
                <w:sz w:val="16"/>
                <w:szCs w:val="16"/>
                <w:color w:val="auto"/>
              </w:rPr>
            </w:pPr>
          </w:p>
        </w:tc>
      </w:tr>
      <w:tr>
        <w:trPr>
          <w:trHeight w:val="204"/>
        </w:trPr>
        <w:tc>
          <w:tcPr>
            <w:tcW w:w="2760" w:type="dxa"/>
            <w:vAlign w:val="bottom"/>
          </w:tcPr>
          <w:p>
            <w:pPr>
              <w:ind w:left="220"/>
              <w:spacing w:after="0"/>
              <w:rPr>
                <w:sz w:val="20"/>
                <w:szCs w:val="20"/>
                <w:color w:val="auto"/>
              </w:rPr>
            </w:pPr>
            <w:r>
              <w:rPr>
                <w:rFonts w:ascii="Arial" w:cs="Arial" w:eastAsia="Arial" w:hAnsi="Arial"/>
                <w:sz w:val="15"/>
                <w:szCs w:val="15"/>
                <w:color w:val="auto"/>
              </w:rPr>
              <w:t>Total capital (statutory)</w:t>
            </w:r>
          </w:p>
        </w:tc>
        <w:tc>
          <w:tcPr>
            <w:tcW w:w="1360" w:type="dxa"/>
            <w:vAlign w:val="bottom"/>
          </w:tcPr>
          <w:p>
            <w:pPr>
              <w:ind w:left="940"/>
              <w:spacing w:after="0"/>
              <w:rPr>
                <w:sz w:val="20"/>
                <w:szCs w:val="20"/>
                <w:color w:val="auto"/>
              </w:rPr>
            </w:pPr>
            <w:r>
              <w:rPr>
                <w:rFonts w:ascii="Arial" w:cs="Arial" w:eastAsia="Arial" w:hAnsi="Arial"/>
                <w:sz w:val="15"/>
                <w:szCs w:val="15"/>
                <w:color w:val="auto"/>
              </w:rPr>
              <w:t>8.0 %</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ind w:left="600"/>
              <w:spacing w:after="0"/>
              <w:rPr>
                <w:sz w:val="20"/>
                <w:szCs w:val="20"/>
                <w:color w:val="auto"/>
              </w:rPr>
            </w:pPr>
            <w:r>
              <w:rPr>
                <w:rFonts w:ascii="Arial" w:cs="Arial" w:eastAsia="Arial" w:hAnsi="Arial"/>
                <w:sz w:val="15"/>
                <w:szCs w:val="15"/>
                <w:color w:val="auto"/>
              </w:rPr>
              <w:t>N/A $</w:t>
            </w:r>
          </w:p>
        </w:tc>
        <w:tc>
          <w:tcPr>
            <w:tcW w:w="108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(127)</w:t>
            </w: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Common equity 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(198)</w:t>
            </w: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Adjusted total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(227)</w:t>
            </w:r>
          </w:p>
        </w:tc>
      </w:tr>
      <w:tr>
        <w:trPr>
          <w:trHeight w:val="209"/>
        </w:trPr>
        <w:tc>
          <w:tcPr>
            <w:tcW w:w="2760" w:type="dxa"/>
            <w:vAlign w:val="bottom"/>
          </w:tcPr>
          <w:p>
            <w:pPr>
              <w:spacing w:after="0"/>
              <w:rPr>
                <w:sz w:val="20"/>
                <w:szCs w:val="20"/>
                <w:color w:val="auto"/>
              </w:rPr>
            </w:pPr>
            <w:r>
              <w:rPr>
                <w:rFonts w:ascii="Arial" w:cs="Arial" w:eastAsia="Arial" w:hAnsi="Arial"/>
                <w:sz w:val="15"/>
                <w:szCs w:val="15"/>
                <w:b w:val="1"/>
                <w:bCs w:val="1"/>
                <w:color w:val="auto"/>
              </w:rPr>
              <w:t>Leverage capital: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4"/>
        </w:trPr>
        <w:tc>
          <w:tcPr>
            <w:tcW w:w="2760" w:type="dxa"/>
            <w:vAlign w:val="bottom"/>
          </w:tcPr>
          <w:p>
            <w:pPr>
              <w:ind w:left="220"/>
              <w:spacing w:after="0"/>
              <w:rPr>
                <w:sz w:val="20"/>
                <w:szCs w:val="20"/>
                <w:color w:val="auto"/>
              </w:rPr>
            </w:pPr>
            <w:r>
              <w:rPr>
                <w:rFonts w:ascii="Arial" w:cs="Arial" w:eastAsia="Arial" w:hAnsi="Arial"/>
                <w:sz w:val="15"/>
                <w:szCs w:val="15"/>
                <w:color w:val="auto"/>
              </w:rPr>
              <w:t>Core capital (statutory)</w:t>
            </w:r>
          </w:p>
        </w:tc>
        <w:tc>
          <w:tcPr>
            <w:tcW w:w="1360" w:type="dxa"/>
            <w:vAlign w:val="bottom"/>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left="285"/>
              <w:spacing w:after="0"/>
              <w:rPr>
                <w:sz w:val="20"/>
                <w:szCs w:val="20"/>
                <w:color w:val="auto"/>
              </w:rPr>
            </w:pPr>
            <w:r>
              <w:rPr>
                <w:rFonts w:ascii="Arial" w:cs="Arial" w:eastAsia="Arial" w:hAnsi="Arial"/>
                <w:sz w:val="15"/>
                <w:szCs w:val="15"/>
                <w:color w:val="auto"/>
              </w:rPr>
              <w:t>N/A</w:t>
            </w:r>
          </w:p>
        </w:tc>
        <w:tc>
          <w:tcPr>
            <w:tcW w:w="108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(137)</w:t>
            </w:r>
          </w:p>
        </w:tc>
      </w:tr>
      <w:tr>
        <w:trPr>
          <w:trHeight w:val="206"/>
        </w:trPr>
        <w:tc>
          <w:tcPr>
            <w:tcW w:w="2760" w:type="dxa"/>
            <w:vAlign w:val="bottom"/>
          </w:tcPr>
          <w:p>
            <w:pPr>
              <w:ind w:left="220"/>
              <w:spacing w:after="0"/>
              <w:rPr>
                <w:sz w:val="20"/>
                <w:szCs w:val="20"/>
                <w:color w:val="auto"/>
              </w:rPr>
            </w:pPr>
            <w:r>
              <w:rPr>
                <w:rFonts w:ascii="Arial" w:cs="Arial" w:eastAsia="Arial" w:hAnsi="Arial"/>
                <w:sz w:val="15"/>
                <w:szCs w:val="15"/>
                <w:color w:val="auto"/>
              </w:rPr>
              <w:t>Tier 1 capital</w:t>
            </w:r>
          </w:p>
        </w:tc>
        <w:tc>
          <w:tcPr>
            <w:tcW w:w="1360" w:type="dxa"/>
            <w:vAlign w:val="bottom"/>
          </w:tcPr>
          <w:p>
            <w:pPr>
              <w:ind w:left="940"/>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left="505"/>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(172)</w:t>
            </w:r>
          </w:p>
        </w:tc>
      </w:tr>
    </w:tbl>
    <w:p>
      <w:pPr>
        <w:spacing w:after="0" w:line="162" w:lineRule="exact"/>
        <w:rPr>
          <w:sz w:val="20"/>
          <w:szCs w:val="20"/>
          <w:color w:val="auto"/>
        </w:rPr>
      </w:pPr>
    </w:p>
    <w:p>
      <w:pPr>
        <w:ind w:left="220" w:hanging="217"/>
        <w:spacing w:after="0"/>
        <w:tabs>
          <w:tab w:leader="none" w:pos="220" w:val="left"/>
        </w:tabs>
        <w:numPr>
          <w:ilvl w:val="0"/>
          <w:numId w:val="42"/>
        </w:numPr>
        <w:rPr>
          <w:rFonts w:ascii="Arial" w:cs="Arial" w:eastAsia="Arial" w:hAnsi="Arial"/>
          <w:sz w:val="9"/>
          <w:szCs w:val="9"/>
          <w:color w:val="auto"/>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The capital shortfall in these columns represents the difference between the applicable capital requirement (without or with buffers, as applicable) and the available capital deficit.</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Prescribed capital conservation buffer amount (“PCCBA”) for risk-based capital and prescribed leverage buffer amount (“PLBA”) for leverage capital.</w:t>
      </w:r>
    </w:p>
    <w:p>
      <w:pPr>
        <w:spacing w:after="0" w:line="54"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As of September 30, 2025, our maximum payout ratio under the enterprise regulatory capital framework was 0%. See “Note 15, Regulatory Capital Requirements” for information on our capital ratios as of September 30, 2025 and December 31, 2024 under the enterprise regulatory capital framework.</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50</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53" w:name="page54"/>
    <w:bookmarkEnd w:id="53"/>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regulatory capital.</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Regulatory Capital Components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60" w:type="dxa"/>
            <w:vAlign w:val="bottom"/>
            <w:tcBorders>
              <w:top w:val="single" w:sz="8" w:color="2C6937"/>
            </w:tcBorders>
          </w:tcPr>
          <w:p>
            <w:pPr>
              <w:spacing w:after="0"/>
              <w:rPr>
                <w:sz w:val="17"/>
                <w:szCs w:val="17"/>
                <w:color w:val="auto"/>
              </w:rPr>
            </w:pPr>
          </w:p>
        </w:tc>
        <w:tc>
          <w:tcPr>
            <w:tcW w:w="100" w:type="dxa"/>
            <w:vAlign w:val="bottom"/>
            <w:tcBorders>
              <w:top w:val="single" w:sz="8" w:color="2C6937"/>
            </w:tcBorders>
          </w:tcPr>
          <w:p>
            <w:pPr>
              <w:spacing w:after="0"/>
              <w:rPr>
                <w:sz w:val="17"/>
                <w:szCs w:val="17"/>
                <w:color w:val="auto"/>
              </w:rPr>
            </w:pPr>
          </w:p>
        </w:tc>
        <w:tc>
          <w:tcPr>
            <w:tcW w:w="180" w:type="dxa"/>
            <w:vAlign w:val="bottom"/>
            <w:tcBorders>
              <w:top w:val="single" w:sz="8" w:color="2C6937"/>
              <w:bottom w:val="single" w:sz="8" w:color="2C6937"/>
            </w:tcBorders>
          </w:tcPr>
          <w:p>
            <w:pPr>
              <w:spacing w:after="0"/>
              <w:rPr>
                <w:sz w:val="17"/>
                <w:szCs w:val="17"/>
                <w:color w:val="auto"/>
              </w:rPr>
            </w:pPr>
          </w:p>
        </w:tc>
        <w:tc>
          <w:tcPr>
            <w:tcW w:w="1920" w:type="dxa"/>
            <w:vAlign w:val="bottom"/>
            <w:tcBorders>
              <w:top w:val="single" w:sz="8" w:color="2C6937"/>
              <w:bottom w:val="single" w:sz="8" w:color="2C6937"/>
            </w:tcBorders>
            <w:gridSpan w:val="3"/>
          </w:tcPr>
          <w:p>
            <w:pPr>
              <w:ind w:left="1480"/>
              <w:spacing w:after="0"/>
              <w:rPr>
                <w:sz w:val="20"/>
                <w:szCs w:val="20"/>
                <w:color w:val="auto"/>
              </w:rPr>
            </w:pPr>
            <w:r>
              <w:rPr>
                <w:rFonts w:ascii="Arial" w:cs="Arial" w:eastAsia="Arial" w:hAnsi="Arial"/>
                <w:sz w:val="14"/>
                <w:szCs w:val="14"/>
                <w:b w:val="1"/>
                <w:bCs w:val="1"/>
                <w:color w:val="auto"/>
              </w:rPr>
              <w:t>As of</w:t>
            </w:r>
          </w:p>
        </w:tc>
        <w:tc>
          <w:tcPr>
            <w:tcW w:w="1580" w:type="dxa"/>
            <w:vAlign w:val="bottom"/>
            <w:tcBorders>
              <w:top w:val="single" w:sz="8" w:color="2C6937"/>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7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720" w:type="dxa"/>
            <w:vAlign w:val="bottom"/>
            <w:tcBorders>
              <w:bottom w:val="single" w:sz="8" w:color="2C6937"/>
            </w:tcBorders>
            <w:gridSpan w:val="2"/>
          </w:tcPr>
          <w:p>
            <w:pPr>
              <w:ind w:left="80"/>
              <w:spacing w:after="0"/>
              <w:rPr>
                <w:sz w:val="20"/>
                <w:szCs w:val="20"/>
                <w:color w:val="auto"/>
              </w:rPr>
            </w:pPr>
            <w:r>
              <w:rPr>
                <w:rFonts w:ascii="Arial" w:cs="Arial" w:eastAsia="Arial" w:hAnsi="Arial"/>
                <w:sz w:val="14"/>
                <w:szCs w:val="14"/>
                <w:b w:val="1"/>
                <w:bCs w:val="1"/>
                <w:color w:val="auto"/>
              </w:rPr>
              <w:t>September 30, 2025</w:t>
            </w:r>
          </w:p>
        </w:tc>
        <w:tc>
          <w:tcPr>
            <w:tcW w:w="200" w:type="dxa"/>
            <w:vAlign w:val="bottom"/>
            <w:tcBorders>
              <w:bottom w:val="single" w:sz="8" w:color="2C6937"/>
            </w:tcBorders>
          </w:tcPr>
          <w:p>
            <w:pPr>
              <w:spacing w:after="0"/>
              <w:rPr>
                <w:sz w:val="24"/>
                <w:szCs w:val="24"/>
                <w:color w:val="auto"/>
              </w:rPr>
            </w:pPr>
          </w:p>
        </w:tc>
        <w:tc>
          <w:tcPr>
            <w:tcW w:w="1580" w:type="dxa"/>
            <w:vAlign w:val="bottom"/>
            <w:tcBorders>
              <w:bottom w:val="single" w:sz="8" w:color="2C6937"/>
            </w:tcBorders>
          </w:tcPr>
          <w:p>
            <w:pPr>
              <w:jc w:val="right"/>
              <w:ind w:right="203"/>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5"/>
        </w:trPr>
        <w:tc>
          <w:tcPr>
            <w:tcW w:w="7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gridSpan w:val="4"/>
          </w:tcPr>
          <w:p>
            <w:pPr>
              <w:ind w:left="102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9"/>
        </w:trPr>
        <w:tc>
          <w:tcPr>
            <w:tcW w:w="7560" w:type="dxa"/>
            <w:vAlign w:val="bottom"/>
            <w:gridSpan w:val="2"/>
          </w:tcPr>
          <w:p>
            <w:pPr>
              <w:ind w:left="20"/>
              <w:spacing w:after="0"/>
              <w:rPr>
                <w:sz w:val="20"/>
                <w:szCs w:val="20"/>
                <w:color w:val="auto"/>
              </w:rPr>
            </w:pPr>
            <w:r>
              <w:rPr>
                <w:rFonts w:ascii="Arial" w:cs="Arial" w:eastAsia="Arial" w:hAnsi="Arial"/>
                <w:sz w:val="15"/>
                <w:szCs w:val="15"/>
                <w:color w:val="auto"/>
              </w:rPr>
              <w:t>Total equity</w:t>
            </w: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105,485</w:t>
            </w:r>
          </w:p>
        </w:tc>
        <w:tc>
          <w:tcPr>
            <w:tcW w:w="10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94,657</w:t>
            </w:r>
          </w:p>
        </w:tc>
        <w:tc>
          <w:tcPr>
            <w:tcW w:w="0" w:type="dxa"/>
            <w:vAlign w:val="bottom"/>
          </w:tcPr>
          <w:p>
            <w:pPr>
              <w:spacing w:after="0"/>
              <w:rPr>
                <w:sz w:val="1"/>
                <w:szCs w:val="1"/>
                <w:color w:val="auto"/>
              </w:rPr>
            </w:pPr>
          </w:p>
        </w:tc>
      </w:tr>
      <w:tr>
        <w:trPr>
          <w:trHeight w:val="204"/>
        </w:trPr>
        <w:tc>
          <w:tcPr>
            <w:tcW w:w="7560" w:type="dxa"/>
            <w:vAlign w:val="bottom"/>
            <w:gridSpan w:val="2"/>
          </w:tcPr>
          <w:p>
            <w:pPr>
              <w:ind w:left="20"/>
              <w:spacing w:after="0"/>
              <w:rPr>
                <w:sz w:val="20"/>
                <w:szCs w:val="20"/>
                <w:color w:val="auto"/>
              </w:rPr>
            </w:pPr>
            <w:r>
              <w:rPr>
                <w:rFonts w:ascii="Arial" w:cs="Arial" w:eastAsia="Arial" w:hAnsi="Arial"/>
                <w:sz w:val="15"/>
                <w:szCs w:val="15"/>
                <w:color w:val="auto"/>
              </w:rPr>
              <w:t>Less:</w:t>
            </w: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560" w:type="dxa"/>
            <w:vAlign w:val="bottom"/>
            <w:gridSpan w:val="2"/>
          </w:tcPr>
          <w:p>
            <w:pPr>
              <w:ind w:left="340"/>
              <w:spacing w:after="0"/>
              <w:rPr>
                <w:sz w:val="20"/>
                <w:szCs w:val="20"/>
                <w:color w:val="auto"/>
              </w:rPr>
            </w:pPr>
            <w:r>
              <w:rPr>
                <w:rFonts w:ascii="Arial" w:cs="Arial" w:eastAsia="Arial" w:hAnsi="Arial"/>
                <w:sz w:val="15"/>
                <w:szCs w:val="15"/>
                <w:color w:val="auto"/>
              </w:rPr>
              <w:t>Senior preferred stock</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120,836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120,836</w:t>
            </w:r>
          </w:p>
        </w:tc>
        <w:tc>
          <w:tcPr>
            <w:tcW w:w="0" w:type="dxa"/>
            <w:vAlign w:val="bottom"/>
          </w:tcPr>
          <w:p>
            <w:pPr>
              <w:spacing w:after="0"/>
              <w:rPr>
                <w:sz w:val="1"/>
                <w:szCs w:val="1"/>
                <w:color w:val="auto"/>
              </w:rPr>
            </w:pPr>
          </w:p>
        </w:tc>
      </w:tr>
      <w:tr>
        <w:trPr>
          <w:trHeight w:val="239"/>
        </w:trPr>
        <w:tc>
          <w:tcPr>
            <w:tcW w:w="746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Preferred stock</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19,130</w:t>
            </w:r>
          </w:p>
        </w:tc>
        <w:tc>
          <w:tcPr>
            <w:tcW w:w="10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19,130</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Common equity</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ind w:left="1020"/>
              <w:spacing w:after="0"/>
              <w:rPr>
                <w:sz w:val="20"/>
                <w:szCs w:val="20"/>
                <w:color w:val="auto"/>
              </w:rPr>
            </w:pPr>
            <w:r>
              <w:rPr>
                <w:rFonts w:ascii="Arial" w:cs="Arial" w:eastAsia="Arial" w:hAnsi="Arial"/>
                <w:sz w:val="15"/>
                <w:szCs w:val="15"/>
                <w:b w:val="1"/>
                <w:bCs w:val="1"/>
                <w:color w:val="auto"/>
              </w:rPr>
              <w:t>(34,481)</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(45,309)</w:t>
            </w:r>
          </w:p>
        </w:tc>
        <w:tc>
          <w:tcPr>
            <w:tcW w:w="0" w:type="dxa"/>
            <w:vAlign w:val="bottom"/>
          </w:tcPr>
          <w:p>
            <w:pPr>
              <w:spacing w:after="0"/>
              <w:rPr>
                <w:sz w:val="1"/>
                <w:szCs w:val="1"/>
                <w:color w:val="auto"/>
              </w:rPr>
            </w:pPr>
          </w:p>
        </w:tc>
      </w:tr>
      <w:tr>
        <w:trPr>
          <w:trHeight w:val="148"/>
        </w:trPr>
        <w:tc>
          <w:tcPr>
            <w:tcW w:w="7560" w:type="dxa"/>
            <w:vAlign w:val="bottom"/>
            <w:gridSpan w:val="2"/>
          </w:tcPr>
          <w:p>
            <w:pPr>
              <w:ind w:left="340"/>
              <w:spacing w:after="0" w:line="149" w:lineRule="exact"/>
              <w:rPr>
                <w:sz w:val="20"/>
                <w:szCs w:val="20"/>
                <w:color w:val="auto"/>
              </w:rPr>
            </w:pPr>
            <w:r>
              <w:rPr>
                <w:rFonts w:ascii="Arial" w:cs="Arial" w:eastAsia="Arial" w:hAnsi="Arial"/>
                <w:sz w:val="15"/>
                <w:szCs w:val="15"/>
                <w:color w:val="auto"/>
              </w:rPr>
              <w:t>Less: deferred tax assets arising from temporary differences that exceed 10% of common equity tier 1</w:t>
            </w:r>
          </w:p>
        </w:tc>
        <w:tc>
          <w:tcPr>
            <w:tcW w:w="18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color w:val="auto"/>
              </w:rPr>
              <w:t>10,545</w:t>
            </w:r>
          </w:p>
        </w:tc>
        <w:tc>
          <w:tcPr>
            <w:tcW w:w="0" w:type="dxa"/>
            <w:vAlign w:val="bottom"/>
          </w:tcPr>
          <w:p>
            <w:pPr>
              <w:spacing w:after="0"/>
              <w:rPr>
                <w:sz w:val="1"/>
                <w:szCs w:val="1"/>
                <w:color w:val="auto"/>
              </w:rPr>
            </w:pPr>
          </w:p>
        </w:tc>
      </w:tr>
      <w:tr>
        <w:trPr>
          <w:trHeight w:val="206"/>
        </w:trPr>
        <w:tc>
          <w:tcPr>
            <w:tcW w:w="7460" w:type="dxa"/>
            <w:vAlign w:val="bottom"/>
            <w:tcBorders>
              <w:bottom w:val="single" w:sz="8" w:color="2C6937"/>
            </w:tcBorders>
          </w:tcPr>
          <w:p>
            <w:pPr>
              <w:ind w:left="500"/>
              <w:spacing w:after="0"/>
              <w:rPr>
                <w:sz w:val="20"/>
                <w:szCs w:val="20"/>
                <w:color w:val="auto"/>
              </w:rPr>
            </w:pPr>
            <w:r>
              <w:rPr>
                <w:rFonts w:ascii="Arial" w:cs="Arial" w:eastAsia="Arial" w:hAnsi="Arial"/>
                <w:sz w:val="15"/>
                <w:szCs w:val="15"/>
                <w:color w:val="auto"/>
              </w:rPr>
              <w:t>capital and other regulatory adjustments</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Common equity tier 1 capital (deficit)</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ind w:left="1020"/>
              <w:spacing w:after="0"/>
              <w:rPr>
                <w:sz w:val="20"/>
                <w:szCs w:val="20"/>
                <w:color w:val="auto"/>
              </w:rPr>
            </w:pPr>
            <w:r>
              <w:rPr>
                <w:rFonts w:ascii="Arial" w:cs="Arial" w:eastAsia="Arial" w:hAnsi="Arial"/>
                <w:sz w:val="15"/>
                <w:szCs w:val="15"/>
                <w:b w:val="1"/>
                <w:bCs w:val="1"/>
                <w:color w:val="auto"/>
              </w:rPr>
              <w:t>(44,481)</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(55,854)</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Add: perpetual, noncumulative preferred stock</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19,130</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19,130</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Tier 1 capital (deficit)</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ind w:left="1020"/>
              <w:spacing w:after="0"/>
              <w:rPr>
                <w:sz w:val="20"/>
                <w:szCs w:val="20"/>
                <w:color w:val="auto"/>
              </w:rPr>
            </w:pPr>
            <w:r>
              <w:rPr>
                <w:rFonts w:ascii="Arial" w:cs="Arial" w:eastAsia="Arial" w:hAnsi="Arial"/>
                <w:sz w:val="15"/>
                <w:szCs w:val="15"/>
                <w:b w:val="1"/>
                <w:bCs w:val="1"/>
                <w:color w:val="auto"/>
              </w:rPr>
              <w:t>(25,351)</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(36,724)</w:t>
            </w:r>
          </w:p>
        </w:tc>
        <w:tc>
          <w:tcPr>
            <w:tcW w:w="0" w:type="dxa"/>
            <w:vAlign w:val="bottom"/>
          </w:tcPr>
          <w:p>
            <w:pPr>
              <w:spacing w:after="0"/>
              <w:rPr>
                <w:sz w:val="1"/>
                <w:szCs w:val="1"/>
                <w:color w:val="auto"/>
              </w:rPr>
            </w:pPr>
          </w:p>
        </w:tc>
      </w:tr>
      <w:tr>
        <w:trPr>
          <w:trHeight w:val="199"/>
        </w:trPr>
        <w:tc>
          <w:tcPr>
            <w:tcW w:w="74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Tier 2 capital adjustments</w:t>
            </w: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7560" w:type="dxa"/>
            <w:vAlign w:val="bottom"/>
            <w:gridSpan w:val="2"/>
          </w:tcPr>
          <w:p>
            <w:pPr>
              <w:ind w:left="20"/>
              <w:spacing w:after="0"/>
              <w:rPr>
                <w:sz w:val="20"/>
                <w:szCs w:val="20"/>
                <w:color w:val="auto"/>
              </w:rPr>
            </w:pPr>
            <w:r>
              <w:rPr>
                <w:rFonts w:ascii="Arial" w:cs="Arial" w:eastAsia="Arial" w:hAnsi="Arial"/>
                <w:sz w:val="15"/>
                <w:szCs w:val="15"/>
                <w:color w:val="auto"/>
              </w:rPr>
              <w:t>Adjusted total capital (deficit)</w:t>
            </w: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Pr>
          <w:p>
            <w:pPr>
              <w:ind w:left="1020"/>
              <w:spacing w:after="0"/>
              <w:rPr>
                <w:sz w:val="20"/>
                <w:szCs w:val="20"/>
                <w:color w:val="auto"/>
              </w:rPr>
            </w:pPr>
            <w:r>
              <w:rPr>
                <w:rFonts w:ascii="Arial" w:cs="Arial" w:eastAsia="Arial" w:hAnsi="Arial"/>
                <w:sz w:val="15"/>
                <w:szCs w:val="15"/>
                <w:b w:val="1"/>
                <w:bCs w:val="1"/>
                <w:color w:val="auto"/>
              </w:rPr>
              <w:t>(25,351)</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(36,724)</w:t>
            </w:r>
          </w:p>
        </w:tc>
        <w:tc>
          <w:tcPr>
            <w:tcW w:w="0" w:type="dxa"/>
            <w:vAlign w:val="bottom"/>
          </w:tcPr>
          <w:p>
            <w:pPr>
              <w:spacing w:after="0"/>
              <w:rPr>
                <w:sz w:val="1"/>
                <w:szCs w:val="1"/>
                <w:color w:val="auto"/>
              </w:rPr>
            </w:pPr>
          </w:p>
        </w:tc>
      </w:tr>
      <w:tr>
        <w:trPr>
          <w:trHeight w:val="20"/>
        </w:trPr>
        <w:tc>
          <w:tcPr>
            <w:tcW w:w="74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15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components of our core capital.</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Statutory Capital Components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20" w:type="dxa"/>
            <w:vAlign w:val="bottom"/>
            <w:tcBorders>
              <w:top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80" w:type="dxa"/>
            <w:vAlign w:val="bottom"/>
            <w:tcBorders>
              <w:top w:val="single" w:sz="8" w:color="2C6937"/>
              <w:bottom w:val="single" w:sz="8" w:color="2C6937"/>
            </w:tcBorders>
          </w:tcPr>
          <w:p>
            <w:pPr>
              <w:spacing w:after="0"/>
              <w:rPr>
                <w:sz w:val="17"/>
                <w:szCs w:val="17"/>
                <w:color w:val="auto"/>
              </w:rPr>
            </w:pPr>
          </w:p>
        </w:tc>
        <w:tc>
          <w:tcPr>
            <w:tcW w:w="1940" w:type="dxa"/>
            <w:vAlign w:val="bottom"/>
            <w:tcBorders>
              <w:top w:val="single" w:sz="8" w:color="2C6937"/>
              <w:bottom w:val="single" w:sz="8" w:color="2C6937"/>
            </w:tcBorders>
            <w:gridSpan w:val="3"/>
          </w:tcPr>
          <w:p>
            <w:pPr>
              <w:jc w:val="right"/>
              <w:ind w:right="3"/>
              <w:spacing w:after="0"/>
              <w:rPr>
                <w:sz w:val="20"/>
                <w:szCs w:val="20"/>
                <w:color w:val="auto"/>
              </w:rPr>
            </w:pPr>
            <w:r>
              <w:rPr>
                <w:rFonts w:ascii="Arial" w:cs="Arial" w:eastAsia="Arial" w:hAnsi="Arial"/>
                <w:sz w:val="14"/>
                <w:szCs w:val="14"/>
                <w:b w:val="1"/>
                <w:bCs w:val="1"/>
                <w:color w:val="auto"/>
              </w:rPr>
              <w:t>As of</w:t>
            </w:r>
          </w:p>
        </w:tc>
        <w:tc>
          <w:tcPr>
            <w:tcW w:w="1600" w:type="dxa"/>
            <w:vAlign w:val="bottom"/>
            <w:tcBorders>
              <w:top w:val="single" w:sz="8" w:color="2C6937"/>
              <w:bottom w:val="single" w:sz="8" w:color="2C6937"/>
            </w:tcBorders>
          </w:tcPr>
          <w:p>
            <w:pPr>
              <w:spacing w:after="0"/>
              <w:rPr>
                <w:sz w:val="17"/>
                <w:szCs w:val="17"/>
                <w:color w:val="auto"/>
              </w:rPr>
            </w:pPr>
          </w:p>
        </w:tc>
      </w:tr>
      <w:tr>
        <w:trPr>
          <w:trHeight w:val="186"/>
        </w:trPr>
        <w:tc>
          <w:tcPr>
            <w:tcW w:w="7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720" w:type="dxa"/>
            <w:vAlign w:val="bottom"/>
            <w:tcBorders>
              <w:bottom w:val="single" w:sz="8" w:color="2C6937"/>
            </w:tcBorders>
            <w:gridSpan w:val="2"/>
          </w:tcPr>
          <w:p>
            <w:pPr>
              <w:ind w:left="80"/>
              <w:spacing w:after="0"/>
              <w:rPr>
                <w:sz w:val="20"/>
                <w:szCs w:val="20"/>
                <w:color w:val="auto"/>
              </w:rPr>
            </w:pPr>
            <w:r>
              <w:rPr>
                <w:rFonts w:ascii="Arial" w:cs="Arial" w:eastAsia="Arial" w:hAnsi="Arial"/>
                <w:sz w:val="14"/>
                <w:szCs w:val="14"/>
                <w:b w:val="1"/>
                <w:bCs w:val="1"/>
                <w:color w:val="auto"/>
              </w:rPr>
              <w:t>September 30, 2025</w:t>
            </w:r>
          </w:p>
        </w:tc>
        <w:tc>
          <w:tcPr>
            <w:tcW w:w="220" w:type="dxa"/>
            <w:vAlign w:val="bottom"/>
            <w:tcBorders>
              <w:bottom w:val="single" w:sz="8" w:color="2C6937"/>
            </w:tcBorders>
          </w:tcPr>
          <w:p>
            <w:pPr>
              <w:spacing w:after="0"/>
              <w:rPr>
                <w:sz w:val="16"/>
                <w:szCs w:val="16"/>
                <w:color w:val="auto"/>
              </w:rPr>
            </w:pPr>
          </w:p>
        </w:tc>
        <w:tc>
          <w:tcPr>
            <w:tcW w:w="1600" w:type="dxa"/>
            <w:vAlign w:val="bottom"/>
            <w:tcBorders>
              <w:bottom w:val="single" w:sz="8" w:color="2C6937"/>
            </w:tcBorders>
          </w:tcPr>
          <w:p>
            <w:pPr>
              <w:jc w:val="right"/>
              <w:ind w:right="224"/>
              <w:spacing w:after="0"/>
              <w:rPr>
                <w:sz w:val="20"/>
                <w:szCs w:val="20"/>
                <w:color w:val="auto"/>
              </w:rPr>
            </w:pPr>
            <w:r>
              <w:rPr>
                <w:rFonts w:ascii="Arial" w:cs="Arial" w:eastAsia="Arial" w:hAnsi="Arial"/>
                <w:sz w:val="14"/>
                <w:szCs w:val="14"/>
                <w:b w:val="1"/>
                <w:bCs w:val="1"/>
                <w:color w:val="auto"/>
              </w:rPr>
              <w:t>December 31, 2024</w:t>
            </w:r>
          </w:p>
        </w:tc>
      </w:tr>
      <w:tr>
        <w:trPr>
          <w:trHeight w:val="185"/>
        </w:trPr>
        <w:tc>
          <w:tcPr>
            <w:tcW w:w="7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40" w:type="dxa"/>
            <w:vAlign w:val="bottom"/>
            <w:gridSpan w:val="4"/>
          </w:tcPr>
          <w:p>
            <w:pPr>
              <w:jc w:val="right"/>
              <w:ind w:right="1144"/>
              <w:spacing w:after="0"/>
              <w:rPr>
                <w:sz w:val="20"/>
                <w:szCs w:val="20"/>
                <w:color w:val="auto"/>
              </w:rPr>
            </w:pPr>
            <w:r>
              <w:rPr>
                <w:rFonts w:ascii="Arial" w:cs="Arial" w:eastAsia="Arial" w:hAnsi="Arial"/>
                <w:sz w:val="14"/>
                <w:szCs w:val="14"/>
                <w:b w:val="1"/>
                <w:bCs w:val="1"/>
                <w:color w:val="auto"/>
              </w:rPr>
              <w:t>(Dollars in millions)</w:t>
            </w:r>
          </w:p>
        </w:tc>
      </w:tr>
      <w:tr>
        <w:trPr>
          <w:trHeight w:val="209"/>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Total equity</w:t>
            </w: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40" w:type="dxa"/>
            <w:vAlign w:val="bottom"/>
          </w:tcPr>
          <w:p>
            <w:pPr>
              <w:jc w:val="right"/>
              <w:ind w:right="6"/>
              <w:spacing w:after="0"/>
              <w:rPr>
                <w:sz w:val="20"/>
                <w:szCs w:val="20"/>
                <w:color w:val="auto"/>
              </w:rPr>
            </w:pPr>
            <w:r>
              <w:rPr>
                <w:rFonts w:ascii="Arial" w:cs="Arial" w:eastAsia="Arial" w:hAnsi="Arial"/>
                <w:sz w:val="15"/>
                <w:szCs w:val="15"/>
                <w:b w:val="1"/>
                <w:bCs w:val="1"/>
                <w:color w:val="auto"/>
              </w:rPr>
              <w:t>105,485</w:t>
            </w:r>
          </w:p>
        </w:tc>
        <w:tc>
          <w:tcPr>
            <w:tcW w:w="8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94,657</w:t>
            </w:r>
          </w:p>
        </w:tc>
      </w:tr>
      <w:tr>
        <w:trPr>
          <w:trHeight w:val="204"/>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Less:</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4"/>
        </w:trPr>
        <w:tc>
          <w:tcPr>
            <w:tcW w:w="7500" w:type="dxa"/>
            <w:vAlign w:val="bottom"/>
            <w:gridSpan w:val="2"/>
          </w:tcPr>
          <w:p>
            <w:pPr>
              <w:ind w:left="340"/>
              <w:spacing w:after="0"/>
              <w:rPr>
                <w:sz w:val="20"/>
                <w:szCs w:val="20"/>
                <w:color w:val="auto"/>
              </w:rPr>
            </w:pPr>
            <w:r>
              <w:rPr>
                <w:rFonts w:ascii="Arial" w:cs="Arial" w:eastAsia="Arial" w:hAnsi="Arial"/>
                <w:sz w:val="15"/>
                <w:szCs w:val="15"/>
                <w:color w:val="auto"/>
              </w:rPr>
              <w:t>Senior preferred stock</w:t>
            </w:r>
          </w:p>
        </w:tc>
        <w:tc>
          <w:tcPr>
            <w:tcW w:w="180" w:type="dxa"/>
            <w:vAlign w:val="bottom"/>
          </w:tcPr>
          <w:p>
            <w:pPr>
              <w:spacing w:after="0"/>
              <w:rPr>
                <w:sz w:val="18"/>
                <w:szCs w:val="18"/>
                <w:color w:val="auto"/>
              </w:rPr>
            </w:pPr>
          </w:p>
        </w:tc>
        <w:tc>
          <w:tcPr>
            <w:tcW w:w="1640" w:type="dxa"/>
            <w:vAlign w:val="bottom"/>
          </w:tcPr>
          <w:p>
            <w:pPr>
              <w:jc w:val="right"/>
              <w:ind w:right="6"/>
              <w:spacing w:after="0"/>
              <w:rPr>
                <w:sz w:val="20"/>
                <w:szCs w:val="20"/>
                <w:color w:val="auto"/>
              </w:rPr>
            </w:pPr>
            <w:r>
              <w:rPr>
                <w:rFonts w:ascii="Arial" w:cs="Arial" w:eastAsia="Arial" w:hAnsi="Arial"/>
                <w:sz w:val="15"/>
                <w:szCs w:val="15"/>
                <w:b w:val="1"/>
                <w:bCs w:val="1"/>
                <w:color w:val="auto"/>
              </w:rPr>
              <w:t>120,836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120,836</w:t>
            </w:r>
          </w:p>
        </w:tc>
      </w:tr>
      <w:tr>
        <w:trPr>
          <w:trHeight w:val="251"/>
        </w:trPr>
        <w:tc>
          <w:tcPr>
            <w:tcW w:w="742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Accumulated other comprehensive income (loss), net of taxes</w:t>
            </w:r>
          </w:p>
        </w:tc>
        <w:tc>
          <w:tcPr>
            <w:tcW w:w="80" w:type="dxa"/>
            <w:vAlign w:val="bottom"/>
          </w:tcPr>
          <w:p>
            <w:pPr>
              <w:spacing w:after="0"/>
              <w:rPr>
                <w:sz w:val="21"/>
                <w:szCs w:val="21"/>
                <w:color w:val="auto"/>
              </w:rPr>
            </w:pPr>
          </w:p>
        </w:tc>
        <w:tc>
          <w:tcPr>
            <w:tcW w:w="180" w:type="dxa"/>
            <w:vAlign w:val="bottom"/>
            <w:tcBorders>
              <w:bottom w:val="single" w:sz="8" w:color="2C6937"/>
            </w:tcBorders>
          </w:tcPr>
          <w:p>
            <w:pPr>
              <w:spacing w:after="0"/>
              <w:rPr>
                <w:sz w:val="21"/>
                <w:szCs w:val="21"/>
                <w:color w:val="auto"/>
              </w:rPr>
            </w:pPr>
          </w:p>
        </w:tc>
        <w:tc>
          <w:tcPr>
            <w:tcW w:w="16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20</w:t>
            </w:r>
          </w:p>
        </w:tc>
        <w:tc>
          <w:tcPr>
            <w:tcW w:w="80" w:type="dxa"/>
            <w:vAlign w:val="bottom"/>
          </w:tcPr>
          <w:p>
            <w:pPr>
              <w:spacing w:after="0"/>
              <w:rPr>
                <w:sz w:val="21"/>
                <w:szCs w:val="21"/>
                <w:color w:val="auto"/>
              </w:rPr>
            </w:pPr>
          </w:p>
        </w:tc>
        <w:tc>
          <w:tcPr>
            <w:tcW w:w="220" w:type="dxa"/>
            <w:vAlign w:val="bottom"/>
            <w:tcBorders>
              <w:bottom w:val="single" w:sz="8" w:color="2C6937"/>
            </w:tcBorders>
          </w:tcPr>
          <w:p>
            <w:pPr>
              <w:spacing w:after="0"/>
              <w:rPr>
                <w:sz w:val="21"/>
                <w:szCs w:val="21"/>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w:t>
            </w:r>
          </w:p>
        </w:tc>
      </w:tr>
      <w:tr>
        <w:trPr>
          <w:trHeight w:val="199"/>
        </w:trPr>
        <w:tc>
          <w:tcPr>
            <w:tcW w:w="74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Core capital (deficit)</w:t>
            </w:r>
          </w:p>
        </w:tc>
        <w:tc>
          <w:tcPr>
            <w:tcW w:w="8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(15,371)</w:t>
            </w:r>
          </w:p>
        </w:tc>
        <w:tc>
          <w:tcPr>
            <w:tcW w:w="8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(26,208)</w:t>
            </w:r>
          </w:p>
        </w:tc>
      </w:tr>
      <w:tr>
        <w:trPr>
          <w:trHeight w:val="199"/>
        </w:trPr>
        <w:tc>
          <w:tcPr>
            <w:tcW w:w="7420" w:type="dxa"/>
            <w:vAlign w:val="bottom"/>
            <w:tcBorders>
              <w:bottom w:val="single" w:sz="8" w:color="2C6937"/>
            </w:tcBorders>
          </w:tcPr>
          <w:p>
            <w:pPr>
              <w:ind w:left="340"/>
              <w:spacing w:after="0"/>
              <w:rPr>
                <w:sz w:val="20"/>
                <w:szCs w:val="20"/>
                <w:color w:val="auto"/>
              </w:rPr>
            </w:pPr>
            <w:r>
              <w:rPr>
                <w:rFonts w:ascii="Arial" w:cs="Arial" w:eastAsia="Arial" w:hAnsi="Arial"/>
                <w:sz w:val="15"/>
                <w:szCs w:val="15"/>
                <w:color w:val="auto"/>
              </w:rPr>
              <w:t>Less: general allowance for foreclosure losses</w:t>
            </w:r>
          </w:p>
        </w:tc>
        <w:tc>
          <w:tcPr>
            <w:tcW w:w="8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(8,457)</w:t>
            </w:r>
          </w:p>
        </w:tc>
        <w:tc>
          <w:tcPr>
            <w:tcW w:w="80" w:type="dxa"/>
            <w:vAlign w:val="bottom"/>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(7,876)</w:t>
            </w:r>
          </w:p>
        </w:tc>
      </w:tr>
      <w:tr>
        <w:trPr>
          <w:trHeight w:val="199"/>
        </w:trPr>
        <w:tc>
          <w:tcPr>
            <w:tcW w:w="7500" w:type="dxa"/>
            <w:vAlign w:val="bottom"/>
            <w:gridSpan w:val="2"/>
          </w:tcPr>
          <w:p>
            <w:pPr>
              <w:ind w:left="20"/>
              <w:spacing w:after="0"/>
              <w:rPr>
                <w:sz w:val="20"/>
                <w:szCs w:val="20"/>
                <w:color w:val="auto"/>
              </w:rPr>
            </w:pPr>
            <w:r>
              <w:rPr>
                <w:rFonts w:ascii="Arial" w:cs="Arial" w:eastAsia="Arial" w:hAnsi="Arial"/>
                <w:sz w:val="15"/>
                <w:szCs w:val="15"/>
                <w:color w:val="auto"/>
              </w:rPr>
              <w:t>Total capital (deficit)</w:t>
            </w: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(6,914)</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(18,332)</w:t>
            </w:r>
          </w:p>
        </w:tc>
      </w:tr>
      <w:tr>
        <w:trPr>
          <w:trHeight w:val="20"/>
        </w:trPr>
        <w:tc>
          <w:tcPr>
            <w:tcW w:w="74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6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600" w:type="dxa"/>
            <w:vAlign w:val="bottom"/>
            <w:tcBorders>
              <w:top w:val="single" w:sz="8" w:color="2C6937"/>
              <w:bottom w:val="single" w:sz="8" w:color="2C6937"/>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Capital Activity</w:t>
      </w:r>
    </w:p>
    <w:p>
      <w:pPr>
        <w:spacing w:after="0" w:line="67"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Under the terms governing the senior preferred stock, no dividends were payable to Treasury for the third quarter of 2025 and none are payable for the fourth quarter of 2025.</w:t>
      </w:r>
    </w:p>
    <w:p>
      <w:pPr>
        <w:spacing w:after="0" w:line="2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Under the terms governing the senior preferred stock, through and including the capital reserve end date, any increase in our net worth during a fiscal quarter results in an increase of the same amount in the aggregate liquidation preference of the senior preferred stock in the following quarter. The capital reserve end date is defined as the last day of the second consecutive fiscal quarter during which we have had and maintained capital equal to, or in excess of, all of the capital requirements and buffers under the enterprise regulatory capital framework.</w:t>
      </w:r>
    </w:p>
    <w:p>
      <w:pPr>
        <w:spacing w:after="0" w:line="6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As a result of these terms governing the senior preferred stock, the aggregate liquidation preference of the senior preferred stock increased to $223.1 billion as of September 30, 2025 from $219.8 billion as of June 30, 2025, due to the increase in our net worth in the second quarter of 2025. The aggregate liquidation preference of the senior preferred stock will further increase to $227.0 billion as of December 31, 2025, due to the increase in our net worth in the third quarter of 2025. See “Business—Conservatorship and Treasury Agreements—Treasury Agreements” in our 2024 Form 10-K for more information on the terms of our senior preferred stock, including how the aggregate liquidation preference is determined.</w:t>
      </w:r>
    </w:p>
    <w:p>
      <w:pPr>
        <w:spacing w:after="0" w:line="77"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Treasury Funding Commitment</w:t>
      </w:r>
    </w:p>
    <w:p>
      <w:pPr>
        <w:spacing w:after="0" w:line="80" w:lineRule="exact"/>
        <w:rPr>
          <w:sz w:val="20"/>
          <w:szCs w:val="20"/>
          <w:color w:val="auto"/>
        </w:rPr>
      </w:pPr>
    </w:p>
    <w:p>
      <w:pPr>
        <w:jc w:val="both"/>
        <w:ind w:right="160"/>
        <w:spacing w:after="0" w:line="272" w:lineRule="auto"/>
        <w:rPr>
          <w:sz w:val="20"/>
          <w:szCs w:val="20"/>
          <w:color w:val="auto"/>
        </w:rPr>
      </w:pPr>
      <w:r>
        <w:rPr>
          <w:rFonts w:ascii="Arial" w:cs="Arial" w:eastAsia="Arial" w:hAnsi="Arial"/>
          <w:sz w:val="16"/>
          <w:szCs w:val="16"/>
          <w:color w:val="auto"/>
        </w:rPr>
        <w:t>Treasury made a commitment under the senior preferred stock purchase agreement to provide funding to us under certain circumstances if we have a net worth deficit. As of September 30, 2025, the remaining amount of Treasury’s funding commitment to us was $113.9 billion. See “Note 2, Conservatorship, Senior Preferred Stock Purchase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51</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4" w:name="page55"/>
    <w:bookmarkEnd w:id="54"/>
    <w:p>
      <w:pPr>
        <w:ind w:left="8540"/>
        <w:spacing w:after="0"/>
        <w:rPr>
          <w:sz w:val="20"/>
          <w:szCs w:val="20"/>
          <w:color w:val="auto"/>
        </w:rPr>
      </w:pPr>
      <w:r>
        <w:rPr>
          <w:rFonts w:ascii="Arial" w:cs="Arial" w:eastAsia="Arial" w:hAnsi="Arial"/>
          <w:sz w:val="14"/>
          <w:szCs w:val="14"/>
          <w:color w:val="05314D"/>
        </w:rPr>
        <w:t>MD&amp;A | Liquidity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Agreement and Related Matters” in our 2024 Form 10-K for more information on Treasury’s funding commitment under the senior preferred stock purchase agreement.</w:t>
      </w:r>
    </w:p>
    <w:p>
      <w:pPr>
        <w:spacing w:after="0" w:line="11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We are exposed to the following principal risk categories: credit risk (including mortgage credit risk and institutional counterparty credit risk), market risk (including interest-rate risk), liquidity risk, operational risk (including cyber and other information security risk), model risk, strategic risk, compliance risk and reputational risk. See “MD&amp;A—Risk Management,” “MD&amp;A—Single-Family Business—Single-Family Mortgage Credit Risk Management,” “MD&amp;A— Multifamily Business—Multifamily Mortgage Credit Risk Management” and “MD&amp;A—Liquidity and Capital Management” in our 2024 Form 10-K for a discussion of our management of the categories of risk we have determined present the most significant exposure. This section, “Single-Family Business— Single-Family Mortgage Credit Risk Management,” “Multifamily Business—Multifamily Mortgage Credit Risk Management” and “Liquidity and Capital Management” in this report supplement and update that discussion, but do not address all of these risk management categories.</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Institutional Counterparty Credit Risk Management</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Mortgage Servicers</w:t>
      </w:r>
    </w:p>
    <w:p>
      <w:pPr>
        <w:spacing w:after="0" w:line="8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October 1, 2025, Rocket Companies, Inc., the parent company of Rocket Mortgage, LLC announced the completion of its acquisition of Mr. Cooper Group. As a result of this acquisition, our single-family servicing concentration is increasing. As of September 30, 2025, Rocket Mortgage serviced approximately 7%, and Mr. Cooper serviced approximately 9%, of our single-family guaranty book of business, excluding loans they service on behalf of other servicers. Including loans serviced on behalf of other servicers, Rocket Mortgage serviced approximately 7%, and Mr. Cooper serviced approximately 16%, of our single-family guaranty book of business, as of September 30, 2025. These servicing concentrations are based on unpaid principal balance. See “Risk Factors—Credit Risk” in our 2024 Form 10-K for information about the potential impact if mortgage servicers fail to perform their obligations.</w:t>
      </w:r>
    </w:p>
    <w:p>
      <w:pPr>
        <w:spacing w:after="0" w:line="10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Market Risk Management, including Interest-Rate Risk Management</w:t>
      </w:r>
    </w:p>
    <w:p>
      <w:pPr>
        <w:spacing w:after="0" w:line="6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are subject to market risk, which includes interest-rate risk and spread risk. These risks arise primarily from our mortgage asset investments. Interest-rate risk is the risk that movements in interest rates will adversely affect the value of our assets or liabilities or our future earnings or capital. Spread risk is the risk from changes in an instrument’s value that relate to factors other than changes in interest rates. We do not currently actively manage or hedge, on an economic basis, our spread risk, or the interest-rate risk arising from cost basis adjustments and float income associated with mortgage assets held by our consolidated MBS trusts. See “MD&amp;A—Risk Management—Market Risk Management, including Interest-Rate Risk Management” and “Risk Factors— Market and Industry Risk” in our 2024 Form 10-K for additional information, including our sources of interest-rate risk exposure, business risks posed by changes in interest rates, and our strategy for managing interest-rate risk. For additional information on the impact of interest-rate risk on our earnings, see “Earnings Exposure to Interest-Rate Risk”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52</w:t>
            </w:r>
          </w:p>
        </w:tc>
        <w:tc>
          <w:tcPr>
            <w:tcW w:w="100" w:type="dxa"/>
            <w:vAlign w:val="bottom"/>
          </w:tcPr>
          <w:p>
            <w:pPr>
              <w:spacing w:after="0"/>
              <w:rPr>
                <w:sz w:val="17"/>
                <w:szCs w:val="17"/>
                <w:color w:val="auto"/>
              </w:rPr>
            </w:pPr>
          </w:p>
        </w:tc>
      </w:tr>
      <w:tr>
        <w:trPr>
          <w:trHeight w:val="194"/>
        </w:trPr>
        <w:tc>
          <w:tcPr>
            <w:tcW w:w="100" w:type="dxa"/>
            <w:vAlign w:val="bottom"/>
            <w:tcBorders>
              <w:bottom w:val="single" w:sz="8" w:color="9A9A9A"/>
            </w:tcBorders>
          </w:tcPr>
          <w:p>
            <w:pPr>
              <w:spacing w:after="0"/>
              <w:rPr>
                <w:sz w:val="16"/>
                <w:szCs w:val="16"/>
                <w:color w:val="auto"/>
              </w:rPr>
            </w:pPr>
          </w:p>
        </w:tc>
        <w:tc>
          <w:tcPr>
            <w:tcW w:w="6760" w:type="dxa"/>
            <w:vAlign w:val="bottom"/>
            <w:tcBorders>
              <w:bottom w:val="single" w:sz="8" w:color="9A9A9A"/>
            </w:tcBorders>
          </w:tcPr>
          <w:p>
            <w:pPr>
              <w:spacing w:after="0"/>
              <w:rPr>
                <w:sz w:val="16"/>
                <w:szCs w:val="16"/>
                <w:color w:val="auto"/>
              </w:rPr>
            </w:pPr>
          </w:p>
        </w:tc>
        <w:tc>
          <w:tcPr>
            <w:tcW w:w="42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5" w:name="page56"/>
    <w:bookmarkEnd w:id="55"/>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Measurement of Interest-Rate Risk</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table below displays the pre-tax market value sensitivity of our net portfolio to changes in the level of interest rates and the slope of the applicable yield curve as measured on the last day of each period presented. We collectively define our net portfolio as: our retained mortgage portfolio assets; our corporate liquidity portfolio; outstanding debt of Fannie Mae used to fund the retained mortgage portfolio assets and corporate liquidity portfolio; mortgage commitments; and risk management derivatives. The table below also provides the daily average, minimum, maximum and standard deviation values for duration gap and for the most adverse market value impact on the net portfolio to changes in the level of interest rates and the slope of the applicable yield curve for the three months ended September 30, 2025 and 2024. Our practice is to allow interest rates to go below zero in the downward shock models unless otherwise prevented through contractual floors.</w:t>
      </w:r>
    </w:p>
    <w:p>
      <w:pPr>
        <w:spacing w:after="0" w:line="43"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color w:val="auto"/>
        </w:rPr>
        <w:t>For information on how we measure our interest-rate risk, see “MD&amp;A—Risk Management—Market Risk Management, including Interest-Rate Risk Management” in our 2024 Form 10-K.</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Interest-Rate Sensitivity of Net Portfolio to Changes in Interest-Rate Level and Slope of Yield Curve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360" w:type="dxa"/>
            <w:vAlign w:val="bottom"/>
            <w:tcBorders>
              <w:top w:val="single" w:sz="8" w:color="2C6937"/>
            </w:tcBorders>
          </w:tcPr>
          <w:p>
            <w:pPr>
              <w:spacing w:after="0"/>
              <w:rPr>
                <w:sz w:val="19"/>
                <w:szCs w:val="19"/>
                <w:color w:val="auto"/>
              </w:rPr>
            </w:pPr>
          </w:p>
        </w:tc>
        <w:tc>
          <w:tcPr>
            <w:tcW w:w="800" w:type="dxa"/>
            <w:vAlign w:val="bottom"/>
            <w:tcBorders>
              <w:top w:val="single" w:sz="8" w:color="2C6937"/>
              <w:bottom w:val="single" w:sz="8" w:color="2C6937"/>
            </w:tcBorders>
          </w:tcPr>
          <w:p>
            <w:pPr>
              <w:spacing w:after="0"/>
              <w:rPr>
                <w:sz w:val="19"/>
                <w:szCs w:val="19"/>
                <w:color w:val="auto"/>
              </w:rPr>
            </w:pPr>
          </w:p>
        </w:tc>
        <w:tc>
          <w:tcPr>
            <w:tcW w:w="820" w:type="dxa"/>
            <w:vAlign w:val="bottom"/>
            <w:tcBorders>
              <w:top w:val="single" w:sz="8" w:color="2C6937"/>
              <w:bottom w:val="single" w:sz="8" w:color="2C6937"/>
            </w:tcBorders>
          </w:tcPr>
          <w:p>
            <w:pPr>
              <w:spacing w:after="0"/>
              <w:rPr>
                <w:sz w:val="19"/>
                <w:szCs w:val="19"/>
                <w:color w:val="auto"/>
              </w:rPr>
            </w:pPr>
          </w:p>
        </w:tc>
        <w:tc>
          <w:tcPr>
            <w:tcW w:w="1240" w:type="dxa"/>
            <w:vAlign w:val="bottom"/>
            <w:tcBorders>
              <w:top w:val="single" w:sz="8" w:color="2C6937"/>
              <w:bottom w:val="single" w:sz="8" w:color="2C6937"/>
            </w:tcBorders>
          </w:tcPr>
          <w:p>
            <w:pPr>
              <w:jc w:val="center"/>
              <w:ind w:right="537"/>
              <w:spacing w:after="0" w:line="218" w:lineRule="exact"/>
              <w:rPr>
                <w:sz w:val="20"/>
                <w:szCs w:val="20"/>
                <w:color w:val="auto"/>
              </w:rPr>
            </w:pPr>
            <w:r>
              <w:rPr>
                <w:rFonts w:ascii="Arial" w:cs="Arial" w:eastAsia="Arial" w:hAnsi="Arial"/>
                <w:sz w:val="25"/>
                <w:szCs w:val="25"/>
                <w:b w:val="1"/>
                <w:bCs w:val="1"/>
                <w:color w:val="auto"/>
                <w:w w:val="87"/>
                <w:vertAlign w:val="subscript"/>
              </w:rPr>
              <w:t>As of</w:t>
            </w:r>
            <w:r>
              <w:rPr>
                <w:rFonts w:ascii="Arial" w:cs="Arial" w:eastAsia="Arial" w:hAnsi="Arial"/>
                <w:sz w:val="9"/>
                <w:szCs w:val="9"/>
                <w:b w:val="1"/>
                <w:bCs w:val="1"/>
                <w:color w:val="auto"/>
                <w:w w:val="87"/>
              </w:rPr>
              <w:t>(1)(2)</w:t>
            </w:r>
          </w:p>
        </w:tc>
        <w:tc>
          <w:tcPr>
            <w:tcW w:w="1020" w:type="dxa"/>
            <w:vAlign w:val="bottom"/>
            <w:tcBorders>
              <w:top w:val="single" w:sz="8" w:color="2C6937"/>
              <w:bottom w:val="single" w:sz="8" w:color="2C6937"/>
            </w:tcBorders>
          </w:tcPr>
          <w:p>
            <w:pPr>
              <w:spacing w:after="0"/>
              <w:rPr>
                <w:sz w:val="19"/>
                <w:szCs w:val="19"/>
                <w:color w:val="auto"/>
              </w:rPr>
            </w:pPr>
          </w:p>
        </w:tc>
      </w:tr>
      <w:tr>
        <w:trPr>
          <w:trHeight w:val="185"/>
        </w:trPr>
        <w:tc>
          <w:tcPr>
            <w:tcW w:w="7360" w:type="dxa"/>
            <w:vAlign w:val="bottom"/>
          </w:tcPr>
          <w:p>
            <w:pPr>
              <w:spacing w:after="0"/>
              <w:rPr>
                <w:sz w:val="16"/>
                <w:szCs w:val="16"/>
                <w:color w:val="auto"/>
              </w:rPr>
            </w:pPr>
          </w:p>
        </w:tc>
        <w:tc>
          <w:tcPr>
            <w:tcW w:w="162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September 30, 2025</w:t>
            </w:r>
          </w:p>
        </w:tc>
        <w:tc>
          <w:tcPr>
            <w:tcW w:w="2260" w:type="dxa"/>
            <w:vAlign w:val="bottom"/>
            <w:tcBorders>
              <w:bottom w:val="single" w:sz="8" w:color="2C6937"/>
            </w:tcBorders>
            <w:gridSpan w:val="2"/>
          </w:tcPr>
          <w:p>
            <w:pPr>
              <w:jc w:val="right"/>
              <w:ind w:right="243"/>
              <w:spacing w:after="0"/>
              <w:rPr>
                <w:sz w:val="20"/>
                <w:szCs w:val="20"/>
                <w:color w:val="auto"/>
              </w:rPr>
            </w:pPr>
            <w:r>
              <w:rPr>
                <w:rFonts w:ascii="Arial" w:cs="Arial" w:eastAsia="Arial" w:hAnsi="Arial"/>
                <w:sz w:val="14"/>
                <w:szCs w:val="14"/>
                <w:b w:val="1"/>
                <w:bCs w:val="1"/>
                <w:color w:val="auto"/>
              </w:rPr>
              <w:t>December 31, 2024</w:t>
            </w:r>
          </w:p>
        </w:tc>
      </w:tr>
      <w:tr>
        <w:trPr>
          <w:trHeight w:val="185"/>
        </w:trPr>
        <w:tc>
          <w:tcPr>
            <w:tcW w:w="7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60" w:type="dxa"/>
            <w:vAlign w:val="bottom"/>
            <w:gridSpan w:val="2"/>
          </w:tcPr>
          <w:p>
            <w:pPr>
              <w:jc w:val="center"/>
              <w:ind w:left="144"/>
              <w:spacing w:after="0"/>
              <w:rPr>
                <w:sz w:val="20"/>
                <w:szCs w:val="20"/>
                <w:color w:val="auto"/>
              </w:rPr>
            </w:pPr>
            <w:r>
              <w:rPr>
                <w:rFonts w:ascii="Arial" w:cs="Arial" w:eastAsia="Arial" w:hAnsi="Arial"/>
                <w:sz w:val="14"/>
                <w:szCs w:val="14"/>
                <w:b w:val="1"/>
                <w:bCs w:val="1"/>
                <w:color w:val="auto"/>
                <w:w w:val="98"/>
              </w:rPr>
              <w:t>(Dollars in millions)</w:t>
            </w:r>
          </w:p>
        </w:tc>
        <w:tc>
          <w:tcPr>
            <w:tcW w:w="1020" w:type="dxa"/>
            <w:vAlign w:val="bottom"/>
          </w:tcPr>
          <w:p>
            <w:pPr>
              <w:spacing w:after="0"/>
              <w:rPr>
                <w:sz w:val="16"/>
                <w:szCs w:val="16"/>
                <w:color w:val="auto"/>
              </w:rPr>
            </w:pPr>
          </w:p>
        </w:tc>
      </w:tr>
      <w:tr>
        <w:trPr>
          <w:trHeight w:val="206"/>
        </w:trPr>
        <w:tc>
          <w:tcPr>
            <w:tcW w:w="73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level shock:</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9"/>
        </w:trPr>
        <w:tc>
          <w:tcPr>
            <w:tcW w:w="736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800" w:type="dxa"/>
            <w:vAlign w:val="bottom"/>
          </w:tcPr>
          <w:p>
            <w:pPr>
              <w:jc w:val="right"/>
              <w:ind w:right="167"/>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184"/>
              <w:spacing w:after="0"/>
              <w:rPr>
                <w:sz w:val="20"/>
                <w:szCs w:val="20"/>
                <w:color w:val="auto"/>
              </w:rPr>
            </w:pPr>
            <w:r>
              <w:rPr>
                <w:rFonts w:ascii="Arial" w:cs="Arial" w:eastAsia="Arial" w:hAnsi="Arial"/>
                <w:sz w:val="15"/>
                <w:szCs w:val="15"/>
                <w:b w:val="1"/>
                <w:bCs w:val="1"/>
                <w:color w:val="auto"/>
              </w:rPr>
              <w:t>324</w:t>
            </w:r>
          </w:p>
        </w:tc>
        <w:tc>
          <w:tcPr>
            <w:tcW w:w="1240" w:type="dxa"/>
            <w:vAlign w:val="bottom"/>
          </w:tcPr>
          <w:p>
            <w:pPr>
              <w:jc w:val="right"/>
              <w:ind w:right="237"/>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43"/>
              <w:spacing w:after="0"/>
              <w:rPr>
                <w:sz w:val="20"/>
                <w:szCs w:val="20"/>
                <w:color w:val="auto"/>
              </w:rPr>
            </w:pPr>
            <w:r>
              <w:rPr>
                <w:rFonts w:ascii="Arial" w:cs="Arial" w:eastAsia="Arial" w:hAnsi="Arial"/>
                <w:sz w:val="15"/>
                <w:szCs w:val="15"/>
                <w:color w:val="auto"/>
              </w:rPr>
              <w:t>83</w:t>
            </w:r>
          </w:p>
        </w:tc>
      </w:tr>
      <w:tr>
        <w:trPr>
          <w:trHeight w:val="206"/>
        </w:trPr>
        <w:tc>
          <w:tcPr>
            <w:tcW w:w="736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800" w:type="dxa"/>
            <w:vAlign w:val="bottom"/>
          </w:tcPr>
          <w:p>
            <w:pPr>
              <w:spacing w:after="0"/>
              <w:rPr>
                <w:sz w:val="17"/>
                <w:szCs w:val="17"/>
                <w:color w:val="auto"/>
              </w:rPr>
            </w:pPr>
          </w:p>
        </w:tc>
        <w:tc>
          <w:tcPr>
            <w:tcW w:w="820" w:type="dxa"/>
            <w:vAlign w:val="bottom"/>
          </w:tcPr>
          <w:p>
            <w:pPr>
              <w:jc w:val="right"/>
              <w:ind w:right="184"/>
              <w:spacing w:after="0"/>
              <w:rPr>
                <w:sz w:val="20"/>
                <w:szCs w:val="20"/>
                <w:color w:val="auto"/>
              </w:rPr>
            </w:pPr>
            <w:r>
              <w:rPr>
                <w:rFonts w:ascii="Arial" w:cs="Arial" w:eastAsia="Arial" w:hAnsi="Arial"/>
                <w:sz w:val="15"/>
                <w:szCs w:val="15"/>
                <w:b w:val="1"/>
                <w:bCs w:val="1"/>
                <w:color w:val="auto"/>
              </w:rPr>
              <w:t>158</w:t>
            </w:r>
          </w:p>
        </w:tc>
        <w:tc>
          <w:tcPr>
            <w:tcW w:w="1240" w:type="dxa"/>
            <w:vAlign w:val="bottom"/>
          </w:tcPr>
          <w:p>
            <w:pPr>
              <w:spacing w:after="0"/>
              <w:rPr>
                <w:sz w:val="17"/>
                <w:szCs w:val="17"/>
                <w:color w:val="auto"/>
              </w:rPr>
            </w:pPr>
          </w:p>
        </w:tc>
        <w:tc>
          <w:tcPr>
            <w:tcW w:w="1020" w:type="dxa"/>
            <w:vAlign w:val="bottom"/>
          </w:tcPr>
          <w:p>
            <w:pPr>
              <w:jc w:val="right"/>
              <w:ind w:right="443"/>
              <w:spacing w:after="0"/>
              <w:rPr>
                <w:sz w:val="20"/>
                <w:szCs w:val="20"/>
                <w:color w:val="auto"/>
              </w:rPr>
            </w:pPr>
            <w:r>
              <w:rPr>
                <w:rFonts w:ascii="Arial" w:cs="Arial" w:eastAsia="Arial" w:hAnsi="Arial"/>
                <w:sz w:val="15"/>
                <w:szCs w:val="15"/>
                <w:color w:val="auto"/>
              </w:rPr>
              <w:t>33</w:t>
            </w:r>
          </w:p>
        </w:tc>
      </w:tr>
      <w:tr>
        <w:trPr>
          <w:trHeight w:val="206"/>
        </w:trPr>
        <w:tc>
          <w:tcPr>
            <w:tcW w:w="7360" w:type="dxa"/>
            <w:vAlign w:val="bottom"/>
          </w:tcPr>
          <w:p>
            <w:pPr>
              <w:ind w:left="180"/>
              <w:spacing w:after="0"/>
              <w:rPr>
                <w:sz w:val="20"/>
                <w:szCs w:val="20"/>
                <w:color w:val="auto"/>
              </w:rPr>
            </w:pPr>
            <w:r>
              <w:rPr>
                <w:rFonts w:ascii="Arial" w:cs="Arial" w:eastAsia="Arial" w:hAnsi="Arial"/>
                <w:sz w:val="15"/>
                <w:szCs w:val="15"/>
                <w:color w:val="auto"/>
              </w:rPr>
              <w:t>+50 basis points</w:t>
            </w:r>
          </w:p>
        </w:tc>
        <w:tc>
          <w:tcPr>
            <w:tcW w:w="800" w:type="dxa"/>
            <w:vAlign w:val="bottom"/>
          </w:tcPr>
          <w:p>
            <w:pPr>
              <w:spacing w:after="0"/>
              <w:rPr>
                <w:sz w:val="17"/>
                <w:szCs w:val="17"/>
                <w:color w:val="auto"/>
              </w:rPr>
            </w:pPr>
          </w:p>
        </w:tc>
        <w:tc>
          <w:tcPr>
            <w:tcW w:w="820" w:type="dxa"/>
            <w:vAlign w:val="bottom"/>
          </w:tcPr>
          <w:p>
            <w:pPr>
              <w:jc w:val="right"/>
              <w:ind w:right="144"/>
              <w:spacing w:after="0"/>
              <w:rPr>
                <w:sz w:val="20"/>
                <w:szCs w:val="20"/>
                <w:color w:val="auto"/>
              </w:rPr>
            </w:pPr>
            <w:r>
              <w:rPr>
                <w:rFonts w:ascii="Arial" w:cs="Arial" w:eastAsia="Arial" w:hAnsi="Arial"/>
                <w:sz w:val="15"/>
                <w:szCs w:val="15"/>
                <w:b w:val="1"/>
                <w:bCs w:val="1"/>
                <w:color w:val="auto"/>
              </w:rPr>
              <w:t>(135)</w:t>
            </w:r>
          </w:p>
        </w:tc>
        <w:tc>
          <w:tcPr>
            <w:tcW w:w="1240" w:type="dxa"/>
            <w:vAlign w:val="bottom"/>
          </w:tcPr>
          <w:p>
            <w:pPr>
              <w:spacing w:after="0"/>
              <w:rPr>
                <w:sz w:val="17"/>
                <w:szCs w:val="17"/>
                <w:color w:val="auto"/>
              </w:rPr>
            </w:pPr>
          </w:p>
        </w:tc>
        <w:tc>
          <w:tcPr>
            <w:tcW w:w="1020" w:type="dxa"/>
            <w:vAlign w:val="bottom"/>
          </w:tcPr>
          <w:p>
            <w:pPr>
              <w:jc w:val="right"/>
              <w:ind w:right="403"/>
              <w:spacing w:after="0"/>
              <w:rPr>
                <w:sz w:val="20"/>
                <w:szCs w:val="20"/>
                <w:color w:val="auto"/>
              </w:rPr>
            </w:pPr>
            <w:r>
              <w:rPr>
                <w:rFonts w:ascii="Arial" w:cs="Arial" w:eastAsia="Arial" w:hAnsi="Arial"/>
                <w:sz w:val="15"/>
                <w:szCs w:val="15"/>
                <w:color w:val="auto"/>
              </w:rPr>
              <w:t>(18)</w:t>
            </w:r>
          </w:p>
        </w:tc>
      </w:tr>
      <w:tr>
        <w:trPr>
          <w:trHeight w:val="208"/>
        </w:trPr>
        <w:tc>
          <w:tcPr>
            <w:tcW w:w="7360" w:type="dxa"/>
            <w:vAlign w:val="bottom"/>
          </w:tcPr>
          <w:p>
            <w:pPr>
              <w:ind w:left="180"/>
              <w:spacing w:after="0"/>
              <w:rPr>
                <w:sz w:val="20"/>
                <w:szCs w:val="20"/>
                <w:color w:val="auto"/>
              </w:rPr>
            </w:pPr>
            <w:r>
              <w:rPr>
                <w:rFonts w:ascii="Arial" w:cs="Arial" w:eastAsia="Arial" w:hAnsi="Arial"/>
                <w:sz w:val="15"/>
                <w:szCs w:val="15"/>
                <w:color w:val="auto"/>
              </w:rPr>
              <w:t>+100 basis points</w:t>
            </w:r>
          </w:p>
        </w:tc>
        <w:tc>
          <w:tcPr>
            <w:tcW w:w="800" w:type="dxa"/>
            <w:vAlign w:val="bottom"/>
          </w:tcPr>
          <w:p>
            <w:pPr>
              <w:spacing w:after="0"/>
              <w:rPr>
                <w:sz w:val="18"/>
                <w:szCs w:val="18"/>
                <w:color w:val="auto"/>
              </w:rPr>
            </w:pPr>
          </w:p>
        </w:tc>
        <w:tc>
          <w:tcPr>
            <w:tcW w:w="820" w:type="dxa"/>
            <w:vAlign w:val="bottom"/>
          </w:tcPr>
          <w:p>
            <w:pPr>
              <w:jc w:val="right"/>
              <w:ind w:right="144"/>
              <w:spacing w:after="0"/>
              <w:rPr>
                <w:sz w:val="20"/>
                <w:szCs w:val="20"/>
                <w:color w:val="auto"/>
              </w:rPr>
            </w:pPr>
            <w:r>
              <w:rPr>
                <w:rFonts w:ascii="Arial" w:cs="Arial" w:eastAsia="Arial" w:hAnsi="Arial"/>
                <w:sz w:val="15"/>
                <w:szCs w:val="15"/>
                <w:b w:val="1"/>
                <w:bCs w:val="1"/>
                <w:color w:val="auto"/>
              </w:rPr>
              <w:t>(255)</w:t>
            </w:r>
          </w:p>
        </w:tc>
        <w:tc>
          <w:tcPr>
            <w:tcW w:w="1240" w:type="dxa"/>
            <w:vAlign w:val="bottom"/>
          </w:tcPr>
          <w:p>
            <w:pPr>
              <w:spacing w:after="0"/>
              <w:rPr>
                <w:sz w:val="18"/>
                <w:szCs w:val="18"/>
                <w:color w:val="auto"/>
              </w:rPr>
            </w:pPr>
          </w:p>
        </w:tc>
        <w:tc>
          <w:tcPr>
            <w:tcW w:w="1020" w:type="dxa"/>
            <w:vAlign w:val="bottom"/>
          </w:tcPr>
          <w:p>
            <w:pPr>
              <w:jc w:val="right"/>
              <w:ind w:right="403"/>
              <w:spacing w:after="0"/>
              <w:rPr>
                <w:sz w:val="20"/>
                <w:szCs w:val="20"/>
                <w:color w:val="auto"/>
              </w:rPr>
            </w:pPr>
            <w:r>
              <w:rPr>
                <w:rFonts w:ascii="Arial" w:cs="Arial" w:eastAsia="Arial" w:hAnsi="Arial"/>
                <w:sz w:val="15"/>
                <w:szCs w:val="15"/>
                <w:color w:val="auto"/>
              </w:rPr>
              <w:t>(29)</w:t>
            </w:r>
          </w:p>
        </w:tc>
      </w:tr>
      <w:tr>
        <w:trPr>
          <w:trHeight w:val="204"/>
        </w:trPr>
        <w:tc>
          <w:tcPr>
            <w:tcW w:w="73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Rate slope shock:</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9"/>
        </w:trPr>
        <w:tc>
          <w:tcPr>
            <w:tcW w:w="7360" w:type="dxa"/>
            <w:vAlign w:val="bottom"/>
          </w:tcPr>
          <w:p>
            <w:pPr>
              <w:ind w:left="180"/>
              <w:spacing w:after="0"/>
              <w:rPr>
                <w:sz w:val="20"/>
                <w:szCs w:val="20"/>
                <w:color w:val="auto"/>
              </w:rPr>
            </w:pPr>
            <w:r>
              <w:rPr>
                <w:rFonts w:ascii="Arial" w:cs="Arial" w:eastAsia="Arial" w:hAnsi="Arial"/>
                <w:sz w:val="15"/>
                <w:szCs w:val="15"/>
                <w:color w:val="auto"/>
              </w:rPr>
              <w:t>-25 basis points (flattening)</w:t>
            </w:r>
          </w:p>
        </w:tc>
        <w:tc>
          <w:tcPr>
            <w:tcW w:w="800" w:type="dxa"/>
            <w:vAlign w:val="bottom"/>
          </w:tcPr>
          <w:p>
            <w:pPr>
              <w:spacing w:after="0"/>
              <w:rPr>
                <w:sz w:val="17"/>
                <w:szCs w:val="17"/>
                <w:color w:val="auto"/>
              </w:rPr>
            </w:pPr>
          </w:p>
        </w:tc>
        <w:tc>
          <w:tcPr>
            <w:tcW w:w="820" w:type="dxa"/>
            <w:vAlign w:val="bottom"/>
          </w:tcPr>
          <w:p>
            <w:pPr>
              <w:jc w:val="right"/>
              <w:ind w:right="144"/>
              <w:spacing w:after="0"/>
              <w:rPr>
                <w:sz w:val="20"/>
                <w:szCs w:val="20"/>
                <w:color w:val="auto"/>
              </w:rPr>
            </w:pPr>
            <w:r>
              <w:rPr>
                <w:rFonts w:ascii="Arial" w:cs="Arial" w:eastAsia="Arial" w:hAnsi="Arial"/>
                <w:sz w:val="15"/>
                <w:szCs w:val="15"/>
                <w:b w:val="1"/>
                <w:bCs w:val="1"/>
                <w:color w:val="auto"/>
              </w:rPr>
              <w:t>(2)</w:t>
            </w:r>
          </w:p>
        </w:tc>
        <w:tc>
          <w:tcPr>
            <w:tcW w:w="1240" w:type="dxa"/>
            <w:vAlign w:val="bottom"/>
          </w:tcPr>
          <w:p>
            <w:pPr>
              <w:spacing w:after="0"/>
              <w:rPr>
                <w:sz w:val="17"/>
                <w:szCs w:val="17"/>
                <w:color w:val="auto"/>
              </w:rPr>
            </w:pPr>
          </w:p>
        </w:tc>
        <w:tc>
          <w:tcPr>
            <w:tcW w:w="1020" w:type="dxa"/>
            <w:vAlign w:val="bottom"/>
          </w:tcPr>
          <w:p>
            <w:pPr>
              <w:jc w:val="right"/>
              <w:ind w:right="403"/>
              <w:spacing w:after="0"/>
              <w:rPr>
                <w:sz w:val="20"/>
                <w:szCs w:val="20"/>
                <w:color w:val="auto"/>
              </w:rPr>
            </w:pPr>
            <w:r>
              <w:rPr>
                <w:rFonts w:ascii="Arial" w:cs="Arial" w:eastAsia="Arial" w:hAnsi="Arial"/>
                <w:sz w:val="15"/>
                <w:szCs w:val="15"/>
                <w:color w:val="auto"/>
              </w:rPr>
              <w:t>(4)</w:t>
            </w:r>
          </w:p>
        </w:tc>
      </w:tr>
      <w:tr>
        <w:trPr>
          <w:trHeight w:val="214"/>
        </w:trPr>
        <w:tc>
          <w:tcPr>
            <w:tcW w:w="7360" w:type="dxa"/>
            <w:vAlign w:val="bottom"/>
          </w:tcPr>
          <w:p>
            <w:pPr>
              <w:ind w:left="180"/>
              <w:spacing w:after="0"/>
              <w:rPr>
                <w:sz w:val="20"/>
                <w:szCs w:val="20"/>
                <w:color w:val="auto"/>
              </w:rPr>
            </w:pPr>
            <w:r>
              <w:rPr>
                <w:rFonts w:ascii="Arial" w:cs="Arial" w:eastAsia="Arial" w:hAnsi="Arial"/>
                <w:sz w:val="15"/>
                <w:szCs w:val="15"/>
                <w:color w:val="auto"/>
              </w:rPr>
              <w:t>+25 basis points (steepening)</w:t>
            </w:r>
          </w:p>
        </w:tc>
        <w:tc>
          <w:tcPr>
            <w:tcW w:w="800" w:type="dxa"/>
            <w:vAlign w:val="bottom"/>
          </w:tcPr>
          <w:p>
            <w:pPr>
              <w:spacing w:after="0"/>
              <w:rPr>
                <w:sz w:val="18"/>
                <w:szCs w:val="18"/>
                <w:color w:val="auto"/>
              </w:rPr>
            </w:pPr>
          </w:p>
        </w:tc>
        <w:tc>
          <w:tcPr>
            <w:tcW w:w="820" w:type="dxa"/>
            <w:vAlign w:val="bottom"/>
          </w:tcPr>
          <w:p>
            <w:pPr>
              <w:jc w:val="right"/>
              <w:ind w:right="144"/>
              <w:spacing w:after="0"/>
              <w:rPr>
                <w:sz w:val="20"/>
                <w:szCs w:val="20"/>
                <w:color w:val="auto"/>
              </w:rPr>
            </w:pPr>
            <w:r>
              <w:rPr>
                <w:rFonts w:ascii="Arial" w:cs="Arial" w:eastAsia="Arial" w:hAnsi="Arial"/>
                <w:sz w:val="15"/>
                <w:szCs w:val="15"/>
                <w:b w:val="1"/>
                <w:bCs w:val="1"/>
                <w:color w:val="auto"/>
              </w:rPr>
              <w:t>(3)</w:t>
            </w:r>
          </w:p>
        </w:tc>
        <w:tc>
          <w:tcPr>
            <w:tcW w:w="1240" w:type="dxa"/>
            <w:vAlign w:val="bottom"/>
          </w:tcPr>
          <w:p>
            <w:pPr>
              <w:spacing w:after="0"/>
              <w:rPr>
                <w:sz w:val="18"/>
                <w:szCs w:val="18"/>
                <w:color w:val="auto"/>
              </w:rPr>
            </w:pPr>
          </w:p>
        </w:tc>
        <w:tc>
          <w:tcPr>
            <w:tcW w:w="1020" w:type="dxa"/>
            <w:vAlign w:val="bottom"/>
          </w:tcPr>
          <w:p>
            <w:pPr>
              <w:jc w:val="right"/>
              <w:ind w:right="443"/>
              <w:spacing w:after="0"/>
              <w:rPr>
                <w:sz w:val="20"/>
                <w:szCs w:val="20"/>
                <w:color w:val="auto"/>
              </w:rPr>
            </w:pPr>
            <w:r>
              <w:rPr>
                <w:rFonts w:ascii="Arial" w:cs="Arial" w:eastAsia="Arial" w:hAnsi="Arial"/>
                <w:sz w:val="15"/>
                <w:szCs w:val="15"/>
                <w:color w:val="auto"/>
              </w:rPr>
              <w:t>4</w:t>
            </w:r>
          </w:p>
        </w:tc>
      </w:tr>
    </w:tbl>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940" w:type="dxa"/>
            <w:vAlign w:val="bottom"/>
          </w:tcPr>
          <w:p>
            <w:pPr>
              <w:spacing w:after="0"/>
              <w:rPr>
                <w:sz w:val="16"/>
                <w:szCs w:val="16"/>
                <w:color w:val="auto"/>
              </w:rPr>
            </w:pPr>
          </w:p>
        </w:tc>
        <w:tc>
          <w:tcPr>
            <w:tcW w:w="1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3360" w:type="dxa"/>
            <w:vAlign w:val="bottom"/>
            <w:tcBorders>
              <w:bottom w:val="single" w:sz="8" w:color="2C6937"/>
            </w:tcBorders>
            <w:gridSpan w:val="6"/>
          </w:tcPr>
          <w:p>
            <w:pPr>
              <w:jc w:val="right"/>
              <w:ind w:right="167"/>
              <w:spacing w:after="0"/>
              <w:rPr>
                <w:sz w:val="20"/>
                <w:szCs w:val="20"/>
                <w:color w:val="auto"/>
              </w:rPr>
            </w:pPr>
            <w:r>
              <w:rPr>
                <w:rFonts w:ascii="Arial" w:cs="Arial" w:eastAsia="Arial" w:hAnsi="Arial"/>
                <w:sz w:val="14"/>
                <w:szCs w:val="14"/>
                <w:b w:val="1"/>
                <w:bCs w:val="1"/>
                <w:color w:val="auto"/>
                <w:w w:val="97"/>
              </w:rPr>
              <w:t>For the Three Months Ended September 30,</w:t>
            </w:r>
            <w:r>
              <w:rPr>
                <w:rFonts w:ascii="Arial" w:cs="Arial" w:eastAsia="Arial" w:hAnsi="Arial"/>
                <w:sz w:val="17"/>
                <w:szCs w:val="17"/>
                <w:b w:val="1"/>
                <w:bCs w:val="1"/>
                <w:color w:val="auto"/>
                <w:w w:val="97"/>
                <w:vertAlign w:val="superscript"/>
              </w:rPr>
              <w:t>(1)(3)</w:t>
            </w:r>
          </w:p>
        </w:tc>
        <w:tc>
          <w:tcPr>
            <w:tcW w:w="920" w:type="dxa"/>
            <w:vAlign w:val="bottom"/>
            <w:tcBorders>
              <w:bottom w:val="single" w:sz="8" w:color="2C6937"/>
            </w:tcBorders>
          </w:tcPr>
          <w:p>
            <w:pPr>
              <w:spacing w:after="0"/>
              <w:rPr>
                <w:sz w:val="16"/>
                <w:szCs w:val="16"/>
                <w:color w:val="auto"/>
              </w:rPr>
            </w:pPr>
          </w:p>
        </w:tc>
        <w:tc>
          <w:tcPr>
            <w:tcW w:w="6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1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jc w:val="right"/>
              <w:ind w:right="267"/>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4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jc w:val="right"/>
              <w:ind w:right="347"/>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40" w:type="dxa"/>
            <w:vAlign w:val="bottom"/>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Duration Gap</w:t>
            </w:r>
          </w:p>
        </w:tc>
        <w:tc>
          <w:tcPr>
            <w:tcW w:w="1340" w:type="dxa"/>
            <w:vAlign w:val="bottom"/>
            <w:gridSpan w:val="2"/>
          </w:tcPr>
          <w:p>
            <w:pPr>
              <w:jc w:val="right"/>
              <w:ind w:right="7"/>
              <w:spacing w:after="0" w:line="139" w:lineRule="exact"/>
              <w:rPr>
                <w:sz w:val="20"/>
                <w:szCs w:val="20"/>
                <w:color w:val="auto"/>
              </w:rPr>
            </w:pPr>
            <w:r>
              <w:rPr>
                <w:rFonts w:ascii="Arial" w:cs="Arial" w:eastAsia="Arial" w:hAnsi="Arial"/>
                <w:sz w:val="14"/>
                <w:szCs w:val="14"/>
                <w:b w:val="1"/>
                <w:bCs w:val="1"/>
                <w:color w:val="auto"/>
              </w:rPr>
              <w:t>Rate Slope Shock</w:t>
            </w:r>
          </w:p>
        </w:tc>
        <w:tc>
          <w:tcPr>
            <w:tcW w:w="154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Rate Level Shock 50</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Duration Gap</w:t>
            </w:r>
          </w:p>
        </w:tc>
        <w:tc>
          <w:tcPr>
            <w:tcW w:w="1380" w:type="dxa"/>
            <w:vAlign w:val="bottom"/>
            <w:gridSpan w:val="2"/>
          </w:tcPr>
          <w:p>
            <w:pPr>
              <w:jc w:val="right"/>
              <w:ind w:right="47"/>
              <w:spacing w:after="0" w:line="139" w:lineRule="exact"/>
              <w:rPr>
                <w:sz w:val="20"/>
                <w:szCs w:val="20"/>
                <w:color w:val="auto"/>
              </w:rPr>
            </w:pPr>
            <w:r>
              <w:rPr>
                <w:rFonts w:ascii="Arial" w:cs="Arial" w:eastAsia="Arial" w:hAnsi="Arial"/>
                <w:sz w:val="14"/>
                <w:szCs w:val="14"/>
                <w:b w:val="1"/>
                <w:bCs w:val="1"/>
                <w:color w:val="auto"/>
              </w:rPr>
              <w:t>Rate Slope Shock</w:t>
            </w:r>
          </w:p>
        </w:tc>
        <w:tc>
          <w:tcPr>
            <w:tcW w:w="146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Rate Level Shock 50</w:t>
            </w:r>
          </w:p>
        </w:tc>
        <w:tc>
          <w:tcPr>
            <w:tcW w:w="0" w:type="dxa"/>
            <w:vAlign w:val="bottom"/>
          </w:tcPr>
          <w:p>
            <w:pPr>
              <w:spacing w:after="0"/>
              <w:rPr>
                <w:sz w:val="1"/>
                <w:szCs w:val="1"/>
                <w:color w:val="auto"/>
              </w:rPr>
            </w:pPr>
          </w:p>
        </w:tc>
      </w:tr>
      <w:tr>
        <w:trPr>
          <w:trHeight w:val="177"/>
        </w:trPr>
        <w:tc>
          <w:tcPr>
            <w:tcW w:w="29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ind w:right="367"/>
              <w:spacing w:after="0"/>
              <w:rPr>
                <w:sz w:val="20"/>
                <w:szCs w:val="20"/>
                <w:color w:val="auto"/>
              </w:rPr>
            </w:pPr>
            <w:r>
              <w:rPr>
                <w:rFonts w:ascii="Arial" w:cs="Arial" w:eastAsia="Arial" w:hAnsi="Arial"/>
                <w:sz w:val="14"/>
                <w:szCs w:val="14"/>
                <w:b w:val="1"/>
                <w:bCs w:val="1"/>
                <w:color w:val="auto"/>
                <w:w w:val="94"/>
              </w:rPr>
              <w:t>25 bps</w:t>
            </w:r>
          </w:p>
        </w:tc>
        <w:tc>
          <w:tcPr>
            <w:tcW w:w="660" w:type="dxa"/>
            <w:vAlign w:val="bottom"/>
          </w:tcPr>
          <w:p>
            <w:pPr>
              <w:spacing w:after="0"/>
              <w:rPr>
                <w:sz w:val="15"/>
                <w:szCs w:val="15"/>
                <w:color w:val="auto"/>
              </w:rPr>
            </w:pPr>
          </w:p>
        </w:tc>
        <w:tc>
          <w:tcPr>
            <w:tcW w:w="880" w:type="dxa"/>
            <w:vAlign w:val="bottom"/>
          </w:tcPr>
          <w:p>
            <w:pPr>
              <w:jc w:val="right"/>
              <w:ind w:right="504"/>
              <w:spacing w:after="0"/>
              <w:rPr>
                <w:sz w:val="20"/>
                <w:szCs w:val="20"/>
                <w:color w:val="auto"/>
              </w:rPr>
            </w:pPr>
            <w:r>
              <w:rPr>
                <w:rFonts w:ascii="Arial" w:cs="Arial" w:eastAsia="Arial" w:hAnsi="Arial"/>
                <w:sz w:val="14"/>
                <w:szCs w:val="14"/>
                <w:b w:val="1"/>
                <w:bCs w:val="1"/>
                <w:color w:val="auto"/>
              </w:rPr>
              <w:t>bps</w:t>
            </w: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ind w:right="407"/>
              <w:spacing w:after="0"/>
              <w:rPr>
                <w:sz w:val="20"/>
                <w:szCs w:val="20"/>
                <w:color w:val="auto"/>
              </w:rPr>
            </w:pPr>
            <w:r>
              <w:rPr>
                <w:rFonts w:ascii="Arial" w:cs="Arial" w:eastAsia="Arial" w:hAnsi="Arial"/>
                <w:sz w:val="14"/>
                <w:szCs w:val="14"/>
                <w:b w:val="1"/>
                <w:bCs w:val="1"/>
                <w:color w:val="auto"/>
                <w:w w:val="94"/>
              </w:rPr>
              <w:t>25 bps</w:t>
            </w:r>
          </w:p>
        </w:tc>
        <w:tc>
          <w:tcPr>
            <w:tcW w:w="600" w:type="dxa"/>
            <w:vAlign w:val="bottom"/>
          </w:tcPr>
          <w:p>
            <w:pPr>
              <w:spacing w:after="0"/>
              <w:rPr>
                <w:sz w:val="15"/>
                <w:szCs w:val="15"/>
                <w:color w:val="auto"/>
              </w:rPr>
            </w:pPr>
          </w:p>
        </w:tc>
        <w:tc>
          <w:tcPr>
            <w:tcW w:w="860" w:type="dxa"/>
            <w:vAlign w:val="bottom"/>
          </w:tcPr>
          <w:p>
            <w:pPr>
              <w:jc w:val="right"/>
              <w:ind w:right="484"/>
              <w:spacing w:after="0"/>
              <w:rPr>
                <w:sz w:val="20"/>
                <w:szCs w:val="20"/>
                <w:color w:val="auto"/>
              </w:rPr>
            </w:pPr>
            <w:r>
              <w:rPr>
                <w:rFonts w:ascii="Arial" w:cs="Arial" w:eastAsia="Arial" w:hAnsi="Arial"/>
                <w:sz w:val="14"/>
                <w:szCs w:val="14"/>
                <w:b w:val="1"/>
                <w:bCs w:val="1"/>
                <w:color w:val="auto"/>
              </w:rPr>
              <w:t>bps</w:t>
            </w: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110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2C6937"/>
              <w:bottom w:val="single" w:sz="8" w:color="2C6937"/>
            </w:tcBorders>
          </w:tcPr>
          <w:p>
            <w:pPr>
              <w:spacing w:after="0"/>
              <w:rPr>
                <w:sz w:val="16"/>
                <w:szCs w:val="16"/>
                <w:color w:val="auto"/>
              </w:rPr>
            </w:pPr>
          </w:p>
        </w:tc>
        <w:tc>
          <w:tcPr>
            <w:tcW w:w="2420" w:type="dxa"/>
            <w:vAlign w:val="bottom"/>
            <w:tcBorders>
              <w:top w:val="single" w:sz="8" w:color="2C6937"/>
              <w:bottom w:val="single" w:sz="8" w:color="2C6937"/>
            </w:tcBorders>
            <w:gridSpan w:val="3"/>
          </w:tcPr>
          <w:p>
            <w:pPr>
              <w:jc w:val="right"/>
              <w:ind w:right="584"/>
              <w:spacing w:after="0"/>
              <w:rPr>
                <w:sz w:val="20"/>
                <w:szCs w:val="20"/>
                <w:color w:val="auto"/>
              </w:rPr>
            </w:pPr>
            <w:r>
              <w:rPr>
                <w:rFonts w:ascii="Arial" w:cs="Arial" w:eastAsia="Arial" w:hAnsi="Arial"/>
                <w:sz w:val="14"/>
                <w:szCs w:val="14"/>
                <w:b w:val="1"/>
                <w:bCs w:val="1"/>
                <w:color w:val="auto"/>
              </w:rPr>
              <w:t>Market Value Sensitivity</w:t>
            </w:r>
          </w:p>
        </w:tc>
        <w:tc>
          <w:tcPr>
            <w:tcW w:w="140" w:type="dxa"/>
            <w:vAlign w:val="bottom"/>
          </w:tcPr>
          <w:p>
            <w:pPr>
              <w:spacing w:after="0"/>
              <w:rPr>
                <w:sz w:val="16"/>
                <w:szCs w:val="16"/>
                <w:color w:val="auto"/>
              </w:rPr>
            </w:pPr>
          </w:p>
        </w:tc>
        <w:tc>
          <w:tcPr>
            <w:tcW w:w="1120" w:type="dxa"/>
            <w:vAlign w:val="bottom"/>
            <w:tcBorders>
              <w:top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2C6937"/>
              <w:bottom w:val="single" w:sz="8" w:color="2C6937"/>
            </w:tcBorders>
          </w:tcPr>
          <w:p>
            <w:pPr>
              <w:spacing w:after="0"/>
              <w:rPr>
                <w:sz w:val="16"/>
                <w:szCs w:val="16"/>
                <w:color w:val="auto"/>
              </w:rPr>
            </w:pPr>
          </w:p>
        </w:tc>
        <w:tc>
          <w:tcPr>
            <w:tcW w:w="2380" w:type="dxa"/>
            <w:vAlign w:val="bottom"/>
            <w:tcBorders>
              <w:top w:val="single" w:sz="8" w:color="2C6937"/>
              <w:bottom w:val="single" w:sz="8" w:color="2C6937"/>
            </w:tcBorders>
            <w:gridSpan w:val="3"/>
          </w:tcPr>
          <w:p>
            <w:pPr>
              <w:jc w:val="right"/>
              <w:ind w:right="564"/>
              <w:spacing w:after="0"/>
              <w:rPr>
                <w:sz w:val="20"/>
                <w:szCs w:val="20"/>
                <w:color w:val="auto"/>
              </w:rPr>
            </w:pPr>
            <w:r>
              <w:rPr>
                <w:rFonts w:ascii="Arial" w:cs="Arial" w:eastAsia="Arial" w:hAnsi="Arial"/>
                <w:sz w:val="14"/>
                <w:szCs w:val="14"/>
                <w:b w:val="1"/>
                <w:bCs w:val="1"/>
                <w:color w:val="auto"/>
              </w:rPr>
              <w:t>Market Value Sensitivity</w:t>
            </w:r>
          </w:p>
        </w:tc>
        <w:tc>
          <w:tcPr>
            <w:tcW w:w="0" w:type="dxa"/>
            <w:vAlign w:val="bottom"/>
          </w:tcPr>
          <w:p>
            <w:pPr>
              <w:spacing w:after="0"/>
              <w:rPr>
                <w:sz w:val="1"/>
                <w:szCs w:val="1"/>
                <w:color w:val="auto"/>
              </w:rPr>
            </w:pPr>
          </w:p>
        </w:tc>
      </w:tr>
      <w:tr>
        <w:trPr>
          <w:trHeight w:val="186"/>
        </w:trPr>
        <w:tc>
          <w:tcPr>
            <w:tcW w:w="294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 years)</w:t>
            </w:r>
          </w:p>
        </w:tc>
        <w:tc>
          <w:tcPr>
            <w:tcW w:w="460" w:type="dxa"/>
            <w:vAlign w:val="bottom"/>
          </w:tcPr>
          <w:p>
            <w:pPr>
              <w:spacing w:after="0"/>
              <w:rPr>
                <w:sz w:val="16"/>
                <w:szCs w:val="16"/>
                <w:color w:val="auto"/>
              </w:rPr>
            </w:pPr>
          </w:p>
        </w:tc>
        <w:tc>
          <w:tcPr>
            <w:tcW w:w="2420" w:type="dxa"/>
            <w:vAlign w:val="bottom"/>
            <w:gridSpan w:val="3"/>
          </w:tcPr>
          <w:p>
            <w:pPr>
              <w:jc w:val="right"/>
              <w:ind w:right="724"/>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years)</w:t>
            </w:r>
          </w:p>
        </w:tc>
        <w:tc>
          <w:tcPr>
            <w:tcW w:w="460" w:type="dxa"/>
            <w:vAlign w:val="bottom"/>
          </w:tcPr>
          <w:p>
            <w:pPr>
              <w:spacing w:after="0"/>
              <w:rPr>
                <w:sz w:val="16"/>
                <w:szCs w:val="16"/>
                <w:color w:val="auto"/>
              </w:rPr>
            </w:pPr>
          </w:p>
        </w:tc>
        <w:tc>
          <w:tcPr>
            <w:tcW w:w="2380" w:type="dxa"/>
            <w:vAlign w:val="bottom"/>
            <w:gridSpan w:val="3"/>
          </w:tcPr>
          <w:p>
            <w:pPr>
              <w:jc w:val="right"/>
              <w:ind w:right="704"/>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20"/>
                <w:szCs w:val="20"/>
                <w:color w:val="auto"/>
              </w:rPr>
            </w:pPr>
            <w:r>
              <w:rPr>
                <w:rFonts w:ascii="Arial" w:cs="Arial" w:eastAsia="Arial" w:hAnsi="Arial"/>
                <w:sz w:val="15"/>
                <w:szCs w:val="15"/>
                <w:color w:val="auto"/>
              </w:rPr>
              <w:t>Average</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0.06</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287"/>
              <w:spacing w:after="0"/>
              <w:rPr>
                <w:sz w:val="20"/>
                <w:szCs w:val="20"/>
                <w:color w:val="auto"/>
              </w:rPr>
            </w:pPr>
            <w:r>
              <w:rPr>
                <w:rFonts w:ascii="Arial" w:cs="Arial" w:eastAsia="Arial" w:hAnsi="Arial"/>
                <w:sz w:val="15"/>
                <w:szCs w:val="15"/>
                <w:b w:val="1"/>
                <w:bCs w:val="1"/>
                <w:color w:val="auto"/>
              </w:rPr>
              <w:t>(6)</w:t>
            </w: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304"/>
              <w:spacing w:after="0"/>
              <w:rPr>
                <w:sz w:val="20"/>
                <w:szCs w:val="20"/>
                <w:color w:val="auto"/>
              </w:rPr>
            </w:pPr>
            <w:r>
              <w:rPr>
                <w:rFonts w:ascii="Arial" w:cs="Arial" w:eastAsia="Arial" w:hAnsi="Arial"/>
                <w:sz w:val="15"/>
                <w:szCs w:val="15"/>
                <w:b w:val="1"/>
                <w:bCs w:val="1"/>
                <w:color w:val="auto"/>
              </w:rPr>
              <w:t>(51)</w:t>
            </w:r>
          </w:p>
        </w:tc>
        <w:tc>
          <w:tcPr>
            <w:tcW w:w="1260" w:type="dxa"/>
            <w:vAlign w:val="bottom"/>
            <w:gridSpan w:val="2"/>
          </w:tcPr>
          <w:p>
            <w:pPr>
              <w:jc w:val="right"/>
              <w:ind w:right="351"/>
              <w:spacing w:after="0"/>
              <w:rPr>
                <w:sz w:val="20"/>
                <w:szCs w:val="20"/>
                <w:color w:val="auto"/>
              </w:rPr>
            </w:pPr>
            <w:r>
              <w:rPr>
                <w:rFonts w:ascii="Arial" w:cs="Arial" w:eastAsia="Arial" w:hAnsi="Arial"/>
                <w:sz w:val="15"/>
                <w:szCs w:val="15"/>
                <w:color w:val="auto"/>
              </w:rPr>
              <w:t>0.03</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327"/>
              <w:spacing w:after="0"/>
              <w:rPr>
                <w:sz w:val="20"/>
                <w:szCs w:val="20"/>
                <w:color w:val="auto"/>
              </w:rPr>
            </w:pPr>
            <w:r>
              <w:rPr>
                <w:rFonts w:ascii="Arial" w:cs="Arial" w:eastAsia="Arial" w:hAnsi="Arial"/>
                <w:sz w:val="15"/>
                <w:szCs w:val="15"/>
                <w:color w:val="auto"/>
              </w:rPr>
              <w:t>(4)</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84"/>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6"/>
        </w:trPr>
        <w:tc>
          <w:tcPr>
            <w:tcW w:w="2940" w:type="dxa"/>
            <w:vAlign w:val="bottom"/>
          </w:tcPr>
          <w:p>
            <w:pPr>
              <w:spacing w:after="0"/>
              <w:rPr>
                <w:sz w:val="20"/>
                <w:szCs w:val="20"/>
                <w:color w:val="auto"/>
              </w:rPr>
            </w:pPr>
            <w:r>
              <w:rPr>
                <w:rFonts w:ascii="Arial" w:cs="Arial" w:eastAsia="Arial" w:hAnsi="Arial"/>
                <w:sz w:val="15"/>
                <w:szCs w:val="15"/>
                <w:color w:val="auto"/>
              </w:rPr>
              <w:t>Minimum</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0.03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287"/>
              <w:spacing w:after="0"/>
              <w:rPr>
                <w:sz w:val="20"/>
                <w:szCs w:val="20"/>
                <w:color w:val="auto"/>
              </w:rPr>
            </w:pPr>
            <w:r>
              <w:rPr>
                <w:rFonts w:ascii="Arial" w:cs="Arial" w:eastAsia="Arial" w:hAnsi="Arial"/>
                <w:sz w:val="15"/>
                <w:szCs w:val="15"/>
                <w:b w:val="1"/>
                <w:bCs w:val="1"/>
                <w:color w:val="auto"/>
              </w:rPr>
              <w:t>(11)</w:t>
            </w:r>
          </w:p>
        </w:tc>
        <w:tc>
          <w:tcPr>
            <w:tcW w:w="660" w:type="dxa"/>
            <w:vAlign w:val="bottom"/>
          </w:tcPr>
          <w:p>
            <w:pPr>
              <w:spacing w:after="0"/>
              <w:rPr>
                <w:sz w:val="17"/>
                <w:szCs w:val="17"/>
                <w:color w:val="auto"/>
              </w:rPr>
            </w:pPr>
          </w:p>
        </w:tc>
        <w:tc>
          <w:tcPr>
            <w:tcW w:w="880" w:type="dxa"/>
            <w:vAlign w:val="bottom"/>
          </w:tcPr>
          <w:p>
            <w:pPr>
              <w:jc w:val="right"/>
              <w:ind w:right="304"/>
              <w:spacing w:after="0"/>
              <w:rPr>
                <w:sz w:val="20"/>
                <w:szCs w:val="20"/>
                <w:color w:val="auto"/>
              </w:rPr>
            </w:pPr>
            <w:r>
              <w:rPr>
                <w:rFonts w:ascii="Arial" w:cs="Arial" w:eastAsia="Arial" w:hAnsi="Arial"/>
                <w:sz w:val="15"/>
                <w:szCs w:val="15"/>
                <w:b w:val="1"/>
                <w:bCs w:val="1"/>
                <w:color w:val="auto"/>
              </w:rPr>
              <w:t>(135)</w:t>
            </w:r>
          </w:p>
        </w:tc>
        <w:tc>
          <w:tcPr>
            <w:tcW w:w="1260" w:type="dxa"/>
            <w:vAlign w:val="bottom"/>
            <w:gridSpan w:val="2"/>
          </w:tcPr>
          <w:p>
            <w:pPr>
              <w:jc w:val="right"/>
              <w:ind w:right="291"/>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327"/>
              <w:spacing w:after="0"/>
              <w:rPr>
                <w:sz w:val="20"/>
                <w:szCs w:val="20"/>
                <w:color w:val="auto"/>
              </w:rPr>
            </w:pPr>
            <w:r>
              <w:rPr>
                <w:rFonts w:ascii="Arial" w:cs="Arial" w:eastAsia="Arial" w:hAnsi="Arial"/>
                <w:sz w:val="15"/>
                <w:szCs w:val="15"/>
                <w:color w:val="auto"/>
              </w:rPr>
              <w:t>(11)</w:t>
            </w:r>
          </w:p>
        </w:tc>
        <w:tc>
          <w:tcPr>
            <w:tcW w:w="600" w:type="dxa"/>
            <w:vAlign w:val="bottom"/>
          </w:tcPr>
          <w:p>
            <w:pPr>
              <w:spacing w:after="0"/>
              <w:rPr>
                <w:sz w:val="17"/>
                <w:szCs w:val="17"/>
                <w:color w:val="auto"/>
              </w:rPr>
            </w:pPr>
          </w:p>
        </w:tc>
        <w:tc>
          <w:tcPr>
            <w:tcW w:w="860" w:type="dxa"/>
            <w:vAlign w:val="bottom"/>
          </w:tcPr>
          <w:p>
            <w:pPr>
              <w:jc w:val="right"/>
              <w:ind w:right="284"/>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6"/>
        </w:trPr>
        <w:tc>
          <w:tcPr>
            <w:tcW w:w="2940" w:type="dxa"/>
            <w:vAlign w:val="bottom"/>
          </w:tcPr>
          <w:p>
            <w:pPr>
              <w:spacing w:after="0"/>
              <w:rPr>
                <w:sz w:val="20"/>
                <w:szCs w:val="20"/>
                <w:color w:val="auto"/>
              </w:rPr>
            </w:pPr>
            <w:r>
              <w:rPr>
                <w:rFonts w:ascii="Arial" w:cs="Arial" w:eastAsia="Arial" w:hAnsi="Arial"/>
                <w:sz w:val="15"/>
                <w:szCs w:val="15"/>
                <w:color w:val="auto"/>
              </w:rPr>
              <w:t>Maximum</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0.17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327"/>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spacing w:after="0"/>
              <w:rPr>
                <w:sz w:val="17"/>
                <w:szCs w:val="17"/>
                <w:color w:val="auto"/>
              </w:rPr>
            </w:pPr>
          </w:p>
        </w:tc>
        <w:tc>
          <w:tcPr>
            <w:tcW w:w="880" w:type="dxa"/>
            <w:vAlign w:val="bottom"/>
          </w:tcPr>
          <w:p>
            <w:pPr>
              <w:jc w:val="right"/>
              <w:ind w:right="304"/>
              <w:spacing w:after="0"/>
              <w:rPr>
                <w:sz w:val="20"/>
                <w:szCs w:val="20"/>
                <w:color w:val="auto"/>
              </w:rPr>
            </w:pPr>
            <w:r>
              <w:rPr>
                <w:rFonts w:ascii="Arial" w:cs="Arial" w:eastAsia="Arial" w:hAnsi="Arial"/>
                <w:sz w:val="15"/>
                <w:szCs w:val="15"/>
                <w:b w:val="1"/>
                <w:bCs w:val="1"/>
                <w:color w:val="auto"/>
              </w:rPr>
              <w:t>(20)</w:t>
            </w:r>
          </w:p>
        </w:tc>
        <w:tc>
          <w:tcPr>
            <w:tcW w:w="1260" w:type="dxa"/>
            <w:vAlign w:val="bottom"/>
            <w:gridSpan w:val="2"/>
          </w:tcPr>
          <w:p>
            <w:pPr>
              <w:jc w:val="right"/>
              <w:ind w:right="351"/>
              <w:spacing w:after="0"/>
              <w:rPr>
                <w:sz w:val="20"/>
                <w:szCs w:val="20"/>
                <w:color w:val="auto"/>
              </w:rPr>
            </w:pPr>
            <w:r>
              <w:rPr>
                <w:rFonts w:ascii="Arial" w:cs="Arial" w:eastAsia="Arial" w:hAnsi="Arial"/>
                <w:sz w:val="15"/>
                <w:szCs w:val="15"/>
                <w:color w:val="auto"/>
              </w:rPr>
              <w:t>0.09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ind w:right="327"/>
              <w:spacing w:after="0"/>
              <w:rPr>
                <w:sz w:val="20"/>
                <w:szCs w:val="20"/>
                <w:color w:val="auto"/>
              </w:rPr>
            </w:pPr>
            <w:r>
              <w:rPr>
                <w:rFonts w:ascii="Arial" w:cs="Arial" w:eastAsia="Arial" w:hAnsi="Arial"/>
                <w:sz w:val="15"/>
                <w:szCs w:val="15"/>
                <w:color w:val="auto"/>
              </w:rPr>
              <w:t>(1)</w:t>
            </w:r>
          </w:p>
        </w:tc>
        <w:tc>
          <w:tcPr>
            <w:tcW w:w="600" w:type="dxa"/>
            <w:vAlign w:val="bottom"/>
          </w:tcPr>
          <w:p>
            <w:pPr>
              <w:spacing w:after="0"/>
              <w:rPr>
                <w:sz w:val="17"/>
                <w:szCs w:val="17"/>
                <w:color w:val="auto"/>
              </w:rPr>
            </w:pPr>
          </w:p>
        </w:tc>
        <w:tc>
          <w:tcPr>
            <w:tcW w:w="860" w:type="dxa"/>
            <w:vAlign w:val="bottom"/>
          </w:tcPr>
          <w:p>
            <w:pPr>
              <w:jc w:val="right"/>
              <w:ind w:right="34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4"/>
        </w:trPr>
        <w:tc>
          <w:tcPr>
            <w:tcW w:w="2940" w:type="dxa"/>
            <w:vAlign w:val="bottom"/>
          </w:tcPr>
          <w:p>
            <w:pPr>
              <w:spacing w:after="0"/>
              <w:rPr>
                <w:sz w:val="20"/>
                <w:szCs w:val="20"/>
                <w:color w:val="auto"/>
              </w:rPr>
            </w:pPr>
            <w:r>
              <w:rPr>
                <w:rFonts w:ascii="Arial" w:cs="Arial" w:eastAsia="Arial" w:hAnsi="Arial"/>
                <w:sz w:val="15"/>
                <w:szCs w:val="15"/>
                <w:color w:val="auto"/>
              </w:rPr>
              <w:t>Standard deviation</w:t>
            </w: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0.03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27"/>
              <w:spacing w:after="0"/>
              <w:rPr>
                <w:sz w:val="20"/>
                <w:szCs w:val="20"/>
                <w:color w:val="auto"/>
              </w:rPr>
            </w:pPr>
            <w:r>
              <w:rPr>
                <w:rFonts w:ascii="Arial" w:cs="Arial" w:eastAsia="Arial" w:hAnsi="Arial"/>
                <w:sz w:val="15"/>
                <w:szCs w:val="15"/>
                <w:b w:val="1"/>
                <w:bCs w:val="1"/>
                <w:color w:val="auto"/>
              </w:rPr>
              <w:t>2</w:t>
            </w:r>
          </w:p>
        </w:tc>
        <w:tc>
          <w:tcPr>
            <w:tcW w:w="660" w:type="dxa"/>
            <w:vAlign w:val="bottom"/>
          </w:tcPr>
          <w:p>
            <w:pPr>
              <w:spacing w:after="0"/>
              <w:rPr>
                <w:sz w:val="18"/>
                <w:szCs w:val="18"/>
                <w:color w:val="auto"/>
              </w:rPr>
            </w:pPr>
          </w:p>
        </w:tc>
        <w:tc>
          <w:tcPr>
            <w:tcW w:w="880" w:type="dxa"/>
            <w:vAlign w:val="bottom"/>
          </w:tcPr>
          <w:p>
            <w:pPr>
              <w:jc w:val="right"/>
              <w:ind w:right="344"/>
              <w:spacing w:after="0"/>
              <w:rPr>
                <w:sz w:val="20"/>
                <w:szCs w:val="20"/>
                <w:color w:val="auto"/>
              </w:rPr>
            </w:pPr>
            <w:r>
              <w:rPr>
                <w:rFonts w:ascii="Arial" w:cs="Arial" w:eastAsia="Arial" w:hAnsi="Arial"/>
                <w:sz w:val="15"/>
                <w:szCs w:val="15"/>
                <w:b w:val="1"/>
                <w:bCs w:val="1"/>
                <w:color w:val="auto"/>
              </w:rPr>
              <w:t>23</w:t>
            </w:r>
          </w:p>
        </w:tc>
        <w:tc>
          <w:tcPr>
            <w:tcW w:w="1260" w:type="dxa"/>
            <w:vAlign w:val="bottom"/>
            <w:gridSpan w:val="2"/>
          </w:tcPr>
          <w:p>
            <w:pPr>
              <w:jc w:val="right"/>
              <w:ind w:right="351"/>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367"/>
              <w:spacing w:after="0"/>
              <w:rPr>
                <w:sz w:val="20"/>
                <w:szCs w:val="20"/>
                <w:color w:val="auto"/>
              </w:rPr>
            </w:pPr>
            <w:r>
              <w:rPr>
                <w:rFonts w:ascii="Arial" w:cs="Arial" w:eastAsia="Arial" w:hAnsi="Arial"/>
                <w:sz w:val="15"/>
                <w:szCs w:val="15"/>
                <w:color w:val="auto"/>
              </w:rPr>
              <w:t>2</w:t>
            </w:r>
          </w:p>
        </w:tc>
        <w:tc>
          <w:tcPr>
            <w:tcW w:w="600" w:type="dxa"/>
            <w:vAlign w:val="bottom"/>
          </w:tcPr>
          <w:p>
            <w:pPr>
              <w:spacing w:after="0"/>
              <w:rPr>
                <w:sz w:val="18"/>
                <w:szCs w:val="18"/>
                <w:color w:val="auto"/>
              </w:rPr>
            </w:pPr>
          </w:p>
        </w:tc>
        <w:tc>
          <w:tcPr>
            <w:tcW w:w="860" w:type="dxa"/>
            <w:vAlign w:val="bottom"/>
          </w:tcPr>
          <w:p>
            <w:pPr>
              <w:jc w:val="right"/>
              <w:ind w:right="344"/>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20" w:hanging="217"/>
        <w:spacing w:after="0"/>
        <w:tabs>
          <w:tab w:leader="none" w:pos="22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Computed based on changes in SOFR interest-rates swap curve.</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43"/>
        </w:numPr>
        <w:rPr>
          <w:rFonts w:ascii="Arial" w:cs="Arial" w:eastAsia="Arial" w:hAnsi="Arial"/>
          <w:sz w:val="9"/>
          <w:szCs w:val="9"/>
          <w:color w:val="auto"/>
        </w:rPr>
      </w:pPr>
      <w:r>
        <w:rPr>
          <w:rFonts w:ascii="Arial" w:cs="Arial" w:eastAsia="Arial" w:hAnsi="Arial"/>
          <w:sz w:val="14"/>
          <w:szCs w:val="14"/>
          <w:color w:val="auto"/>
        </w:rPr>
        <w:t>Measured on the last business day of each period presented.</w:t>
      </w:r>
    </w:p>
    <w:p>
      <w:pPr>
        <w:spacing w:after="0" w:line="33" w:lineRule="exact"/>
        <w:rPr>
          <w:rFonts w:ascii="Arial" w:cs="Arial" w:eastAsia="Arial" w:hAnsi="Arial"/>
          <w:sz w:val="9"/>
          <w:szCs w:val="9"/>
          <w:color w:val="auto"/>
        </w:rPr>
      </w:pPr>
    </w:p>
    <w:p>
      <w:pPr>
        <w:ind w:left="220" w:hanging="217"/>
        <w:spacing w:after="0"/>
        <w:tabs>
          <w:tab w:leader="none" w:pos="220" w:val="left"/>
        </w:tabs>
        <w:numPr>
          <w:ilvl w:val="0"/>
          <w:numId w:val="43"/>
        </w:numPr>
        <w:rPr>
          <w:rFonts w:ascii="Arial" w:cs="Arial" w:eastAsia="Arial" w:hAnsi="Arial"/>
          <w:sz w:val="9"/>
          <w:szCs w:val="9"/>
          <w:color w:val="auto"/>
        </w:rPr>
      </w:pPr>
      <w:r>
        <w:rPr>
          <w:rFonts w:ascii="Arial" w:cs="Arial" w:eastAsia="Arial" w:hAnsi="Arial"/>
          <w:sz w:val="14"/>
          <w:szCs w:val="14"/>
          <w:color w:val="auto"/>
        </w:rPr>
        <w:t>Computed based on daily values during the period presented.</w:t>
      </w:r>
    </w:p>
    <w:p>
      <w:pPr>
        <w:spacing w:after="0" w:line="7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market value sensitivity of our net portfolio varies across a range of interest-rate shocks depending upon the duration and convexity profile of our net portfolio. The market value sensitivity of the net portfolio is measured by quantifying the change in the present value of the cash flows of our financial assets and liabilities that would result from an instantaneous shock to interest rates, assuming spreads are held constant.</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53</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6" w:name="page57"/>
    <w:bookmarkEnd w:id="56"/>
    <w:p>
      <w:pPr>
        <w:ind w:left="5220"/>
        <w:spacing w:after="0"/>
        <w:rPr>
          <w:sz w:val="20"/>
          <w:szCs w:val="20"/>
          <w:color w:val="auto"/>
        </w:rPr>
      </w:pPr>
      <w:r>
        <w:rPr>
          <w:rFonts w:ascii="Arial" w:cs="Arial" w:eastAsia="Arial" w:hAnsi="Arial"/>
          <w:sz w:val="14"/>
          <w:szCs w:val="14"/>
          <w:color w:val="05314D"/>
        </w:rPr>
        <w:t>MD&amp;A | Risk Management | Market Risk Management, including Interest-Rate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We use derivatives to help manage the residual interest-rate risk exposure between the assets and liabilities in our net portfolio. Derivatives have enabled us to keep our economic interest-rate risk exposure at consistently low levels in a wide range of interest-rate environments. The table below displays an example of how derivatives impacted the net market value exposure for a 50 basis point parallel interest-rate shock. For additional information on our derivative positions, see “Note 9, Derivative Instruments” in our 2024 Form 10-K and in this report.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Derivative Impact on Interest-Rate Risk (50 Basis Points)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20" w:type="dxa"/>
            <w:vAlign w:val="bottom"/>
            <w:tcBorders>
              <w:top w:val="single" w:sz="8" w:color="2C6937"/>
            </w:tcBorders>
          </w:tcPr>
          <w:p>
            <w:pPr>
              <w:spacing w:after="0"/>
              <w:rPr>
                <w:sz w:val="17"/>
                <w:szCs w:val="17"/>
                <w:color w:val="auto"/>
              </w:rPr>
            </w:pPr>
          </w:p>
        </w:tc>
        <w:tc>
          <w:tcPr>
            <w:tcW w:w="220" w:type="dxa"/>
            <w:vAlign w:val="bottom"/>
            <w:tcBorders>
              <w:top w:val="single" w:sz="8" w:color="2C6937"/>
              <w:bottom w:val="single" w:sz="8" w:color="2C6937"/>
            </w:tcBorders>
          </w:tcPr>
          <w:p>
            <w:pPr>
              <w:spacing w:after="0"/>
              <w:rPr>
                <w:sz w:val="17"/>
                <w:szCs w:val="17"/>
                <w:color w:val="auto"/>
              </w:rPr>
            </w:pPr>
          </w:p>
        </w:tc>
        <w:tc>
          <w:tcPr>
            <w:tcW w:w="2020" w:type="dxa"/>
            <w:vAlign w:val="bottom"/>
            <w:tcBorders>
              <w:top w:val="single" w:sz="8" w:color="2C6937"/>
              <w:bottom w:val="single" w:sz="8" w:color="2C6937"/>
            </w:tcBorders>
            <w:gridSpan w:val="2"/>
          </w:tcPr>
          <w:p>
            <w:pPr>
              <w:jc w:val="right"/>
              <w:ind w:right="23"/>
              <w:spacing w:after="0"/>
              <w:rPr>
                <w:sz w:val="20"/>
                <w:szCs w:val="20"/>
                <w:color w:val="auto"/>
              </w:rPr>
            </w:pPr>
            <w:r>
              <w:rPr>
                <w:rFonts w:ascii="Arial" w:cs="Arial" w:eastAsia="Arial" w:hAnsi="Arial"/>
                <w:sz w:val="14"/>
                <w:szCs w:val="14"/>
                <w:b w:val="1"/>
                <w:bCs w:val="1"/>
                <w:color w:val="auto"/>
              </w:rPr>
              <w:t>As of</w:t>
            </w:r>
            <w:r>
              <w:rPr>
                <w:rFonts w:ascii="Arial" w:cs="Arial" w:eastAsia="Arial" w:hAnsi="Arial"/>
                <w:sz w:val="17"/>
                <w:szCs w:val="17"/>
                <w:b w:val="1"/>
                <w:bCs w:val="1"/>
                <w:color w:val="auto"/>
                <w:vertAlign w:val="superscript"/>
              </w:rPr>
              <w:t>(1)</w:t>
            </w:r>
          </w:p>
        </w:tc>
        <w:tc>
          <w:tcPr>
            <w:tcW w:w="1580" w:type="dxa"/>
            <w:vAlign w:val="bottom"/>
            <w:tcBorders>
              <w:top w:val="single" w:sz="8" w:color="2C6937"/>
              <w:bottom w:val="single" w:sz="8" w:color="2C6937"/>
            </w:tcBorders>
          </w:tcPr>
          <w:p>
            <w:pPr>
              <w:spacing w:after="0"/>
              <w:rPr>
                <w:sz w:val="17"/>
                <w:szCs w:val="17"/>
                <w:color w:val="auto"/>
              </w:rPr>
            </w:pPr>
          </w:p>
        </w:tc>
      </w:tr>
      <w:tr>
        <w:trPr>
          <w:trHeight w:val="185"/>
        </w:trPr>
        <w:tc>
          <w:tcPr>
            <w:tcW w:w="742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680" w:type="dxa"/>
            <w:vAlign w:val="bottom"/>
            <w:tcBorders>
              <w:bottom w:val="single" w:sz="8" w:color="2C6937"/>
            </w:tcBorders>
          </w:tcPr>
          <w:p>
            <w:pPr>
              <w:ind w:left="40"/>
              <w:spacing w:after="0"/>
              <w:rPr>
                <w:sz w:val="20"/>
                <w:szCs w:val="20"/>
                <w:color w:val="auto"/>
              </w:rPr>
            </w:pPr>
            <w:r>
              <w:rPr>
                <w:rFonts w:ascii="Arial" w:cs="Arial" w:eastAsia="Arial" w:hAnsi="Arial"/>
                <w:sz w:val="14"/>
                <w:szCs w:val="14"/>
                <w:b w:val="1"/>
                <w:bCs w:val="1"/>
                <w:color w:val="auto"/>
              </w:rPr>
              <w:t>September 30, 2025</w:t>
            </w:r>
          </w:p>
        </w:tc>
        <w:tc>
          <w:tcPr>
            <w:tcW w:w="34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tcPr>
          <w:p>
            <w:pPr>
              <w:jc w:val="right"/>
              <w:ind w:right="225"/>
              <w:spacing w:after="0"/>
              <w:rPr>
                <w:sz w:val="20"/>
                <w:szCs w:val="20"/>
                <w:color w:val="auto"/>
              </w:rPr>
            </w:pPr>
            <w:r>
              <w:rPr>
                <w:rFonts w:ascii="Arial" w:cs="Arial" w:eastAsia="Arial" w:hAnsi="Arial"/>
                <w:sz w:val="14"/>
                <w:szCs w:val="14"/>
                <w:b w:val="1"/>
                <w:bCs w:val="1"/>
                <w:color w:val="auto"/>
                <w:w w:val="99"/>
              </w:rPr>
              <w:t>December 31, 2024</w:t>
            </w:r>
          </w:p>
        </w:tc>
      </w:tr>
      <w:tr>
        <w:trPr>
          <w:trHeight w:val="185"/>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3"/>
          </w:tcPr>
          <w:p>
            <w:pPr>
              <w:jc w:val="right"/>
              <w:ind w:right="1205"/>
              <w:spacing w:after="0"/>
              <w:rPr>
                <w:sz w:val="20"/>
                <w:szCs w:val="20"/>
                <w:color w:val="auto"/>
              </w:rPr>
            </w:pPr>
            <w:r>
              <w:rPr>
                <w:rFonts w:ascii="Arial" w:cs="Arial" w:eastAsia="Arial" w:hAnsi="Arial"/>
                <w:sz w:val="14"/>
                <w:szCs w:val="14"/>
                <w:b w:val="1"/>
                <w:bCs w:val="1"/>
                <w:color w:val="auto"/>
              </w:rPr>
              <w:t>(Dollars in millions)</w:t>
            </w:r>
          </w:p>
        </w:tc>
      </w:tr>
      <w:tr>
        <w:trPr>
          <w:trHeight w:val="207"/>
        </w:trPr>
        <w:tc>
          <w:tcPr>
            <w:tcW w:w="7420" w:type="dxa"/>
            <w:vAlign w:val="bottom"/>
          </w:tcPr>
          <w:p>
            <w:pPr>
              <w:ind w:left="20"/>
              <w:spacing w:after="0"/>
              <w:rPr>
                <w:sz w:val="20"/>
                <w:szCs w:val="20"/>
                <w:color w:val="auto"/>
              </w:rPr>
            </w:pPr>
            <w:r>
              <w:rPr>
                <w:rFonts w:ascii="Arial" w:cs="Arial" w:eastAsia="Arial" w:hAnsi="Arial"/>
                <w:sz w:val="15"/>
                <w:szCs w:val="15"/>
                <w:color w:val="auto"/>
              </w:rPr>
              <w:t>Before derivatives</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680" w:type="dxa"/>
            <w:vAlign w:val="bottom"/>
          </w:tcPr>
          <w:p>
            <w:pPr>
              <w:jc w:val="center"/>
              <w:ind w:left="867"/>
              <w:spacing w:after="0"/>
              <w:rPr>
                <w:sz w:val="20"/>
                <w:szCs w:val="20"/>
                <w:color w:val="auto"/>
              </w:rPr>
            </w:pPr>
            <w:r>
              <w:rPr>
                <w:rFonts w:ascii="Arial" w:cs="Arial" w:eastAsia="Arial" w:hAnsi="Arial"/>
                <w:sz w:val="15"/>
                <w:szCs w:val="15"/>
                <w:b w:val="1"/>
                <w:bCs w:val="1"/>
                <w:color w:val="auto"/>
              </w:rPr>
              <w:t>(884)</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(654)</w:t>
            </w:r>
          </w:p>
        </w:tc>
      </w:tr>
      <w:tr>
        <w:trPr>
          <w:trHeight w:val="206"/>
        </w:trPr>
        <w:tc>
          <w:tcPr>
            <w:tcW w:w="7420" w:type="dxa"/>
            <w:vAlign w:val="bottom"/>
          </w:tcPr>
          <w:p>
            <w:pPr>
              <w:ind w:left="20"/>
              <w:spacing w:after="0"/>
              <w:rPr>
                <w:sz w:val="20"/>
                <w:szCs w:val="20"/>
                <w:color w:val="auto"/>
              </w:rPr>
            </w:pPr>
            <w:r>
              <w:rPr>
                <w:rFonts w:ascii="Arial" w:cs="Arial" w:eastAsia="Arial" w:hAnsi="Arial"/>
                <w:sz w:val="15"/>
                <w:szCs w:val="15"/>
                <w:color w:val="auto"/>
              </w:rPr>
              <w:t>After derivatives</w:t>
            </w:r>
          </w:p>
        </w:tc>
        <w:tc>
          <w:tcPr>
            <w:tcW w:w="220" w:type="dxa"/>
            <w:vAlign w:val="bottom"/>
          </w:tcPr>
          <w:p>
            <w:pPr>
              <w:spacing w:after="0"/>
              <w:rPr>
                <w:sz w:val="17"/>
                <w:szCs w:val="17"/>
                <w:color w:val="auto"/>
              </w:rPr>
            </w:pPr>
          </w:p>
        </w:tc>
        <w:tc>
          <w:tcPr>
            <w:tcW w:w="1680" w:type="dxa"/>
            <w:vAlign w:val="bottom"/>
          </w:tcPr>
          <w:p>
            <w:pPr>
              <w:jc w:val="center"/>
              <w:ind w:left="867"/>
              <w:spacing w:after="0"/>
              <w:rPr>
                <w:sz w:val="20"/>
                <w:szCs w:val="20"/>
                <w:color w:val="auto"/>
              </w:rPr>
            </w:pPr>
            <w:r>
              <w:rPr>
                <w:rFonts w:ascii="Arial" w:cs="Arial" w:eastAsia="Arial" w:hAnsi="Arial"/>
                <w:sz w:val="15"/>
                <w:szCs w:val="15"/>
                <w:b w:val="1"/>
                <w:bCs w:val="1"/>
                <w:color w:val="auto"/>
              </w:rPr>
              <w:t>(135)</w:t>
            </w:r>
          </w:p>
        </w:tc>
        <w:tc>
          <w:tcPr>
            <w:tcW w:w="340" w:type="dxa"/>
            <w:vAlign w:val="bottom"/>
          </w:tcPr>
          <w:p>
            <w:pPr>
              <w:spacing w:after="0"/>
              <w:rPr>
                <w:sz w:val="17"/>
                <w:szCs w:val="17"/>
                <w:color w:val="auto"/>
              </w:rPr>
            </w:pP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(18)</w:t>
            </w:r>
          </w:p>
        </w:tc>
      </w:tr>
      <w:tr>
        <w:trPr>
          <w:trHeight w:val="214"/>
        </w:trPr>
        <w:tc>
          <w:tcPr>
            <w:tcW w:w="7420" w:type="dxa"/>
            <w:vAlign w:val="bottom"/>
          </w:tcPr>
          <w:p>
            <w:pPr>
              <w:ind w:left="20"/>
              <w:spacing w:after="0"/>
              <w:rPr>
                <w:sz w:val="20"/>
                <w:szCs w:val="20"/>
                <w:color w:val="auto"/>
              </w:rPr>
            </w:pPr>
            <w:r>
              <w:rPr>
                <w:rFonts w:ascii="Arial" w:cs="Arial" w:eastAsia="Arial" w:hAnsi="Arial"/>
                <w:sz w:val="15"/>
                <w:szCs w:val="15"/>
                <w:color w:val="auto"/>
              </w:rPr>
              <w:t>Effect of derivatives</w:t>
            </w:r>
          </w:p>
        </w:tc>
        <w:tc>
          <w:tcPr>
            <w:tcW w:w="220" w:type="dxa"/>
            <w:vAlign w:val="bottom"/>
          </w:tcPr>
          <w:p>
            <w:pPr>
              <w:spacing w:after="0"/>
              <w:rPr>
                <w:sz w:val="18"/>
                <w:szCs w:val="18"/>
                <w:color w:val="auto"/>
              </w:rPr>
            </w:pPr>
          </w:p>
        </w:tc>
        <w:tc>
          <w:tcPr>
            <w:tcW w:w="1680" w:type="dxa"/>
            <w:vAlign w:val="bottom"/>
          </w:tcPr>
          <w:p>
            <w:pPr>
              <w:jc w:val="center"/>
              <w:ind w:left="867"/>
              <w:spacing w:after="0"/>
              <w:rPr>
                <w:sz w:val="20"/>
                <w:szCs w:val="20"/>
                <w:color w:val="auto"/>
              </w:rPr>
            </w:pPr>
            <w:r>
              <w:rPr>
                <w:rFonts w:ascii="Arial" w:cs="Arial" w:eastAsia="Arial" w:hAnsi="Arial"/>
                <w:sz w:val="15"/>
                <w:szCs w:val="15"/>
                <w:b w:val="1"/>
                <w:bCs w:val="1"/>
                <w:color w:val="auto"/>
              </w:rPr>
              <w:t>749</w:t>
            </w:r>
          </w:p>
        </w:tc>
        <w:tc>
          <w:tcPr>
            <w:tcW w:w="340" w:type="dxa"/>
            <w:vAlign w:val="bottom"/>
          </w:tcPr>
          <w:p>
            <w:pPr>
              <w:spacing w:after="0"/>
              <w:rPr>
                <w:sz w:val="18"/>
                <w:szCs w:val="18"/>
                <w:color w:val="auto"/>
              </w:rPr>
            </w:pPr>
          </w:p>
        </w:tc>
        <w:tc>
          <w:tcPr>
            <w:tcW w:w="1580" w:type="dxa"/>
            <w:vAlign w:val="bottom"/>
          </w:tcPr>
          <w:p>
            <w:pPr>
              <w:jc w:val="right"/>
              <w:ind w:right="85"/>
              <w:spacing w:after="0"/>
              <w:rPr>
                <w:sz w:val="20"/>
                <w:szCs w:val="20"/>
                <w:color w:val="auto"/>
              </w:rPr>
            </w:pPr>
            <w:r>
              <w:rPr>
                <w:rFonts w:ascii="Arial" w:cs="Arial" w:eastAsia="Arial" w:hAnsi="Arial"/>
                <w:sz w:val="15"/>
                <w:szCs w:val="15"/>
                <w:color w:val="auto"/>
              </w:rPr>
              <w:t>636</w:t>
            </w:r>
          </w:p>
        </w:tc>
      </w:tr>
    </w:tbl>
    <w:p>
      <w:pPr>
        <w:spacing w:after="0" w:line="102" w:lineRule="exact"/>
        <w:rPr>
          <w:sz w:val="20"/>
          <w:szCs w:val="20"/>
          <w:color w:val="auto"/>
        </w:rPr>
      </w:pPr>
    </w:p>
    <w:p>
      <w:pPr>
        <w:ind w:left="220" w:hanging="217"/>
        <w:spacing w:after="0"/>
        <w:tabs>
          <w:tab w:leader="none" w:pos="220" w:val="left"/>
        </w:tabs>
        <w:numPr>
          <w:ilvl w:val="0"/>
          <w:numId w:val="44"/>
        </w:numPr>
        <w:rPr>
          <w:rFonts w:ascii="Arial" w:cs="Arial" w:eastAsia="Arial" w:hAnsi="Arial"/>
          <w:sz w:val="9"/>
          <w:szCs w:val="9"/>
          <w:color w:val="auto"/>
        </w:rPr>
      </w:pPr>
      <w:r>
        <w:rPr>
          <w:rFonts w:ascii="Arial" w:cs="Arial" w:eastAsia="Arial" w:hAnsi="Arial"/>
          <w:sz w:val="14"/>
          <w:szCs w:val="14"/>
          <w:color w:val="auto"/>
        </w:rPr>
        <w:t>Measured on the last business day of each period presented.</w:t>
      </w:r>
    </w:p>
    <w:p>
      <w:pPr>
        <w:spacing w:after="0" w:line="109"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Earnings Exposure to Interest-Rate Risk</w:t>
      </w:r>
    </w:p>
    <w:p>
      <w:pPr>
        <w:spacing w:after="0" w:line="80"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While we manage the interest-rate risk of our net portfolio with the objective of remaining neutral to movements in interest rates and volatility on an economic basis, our earnings can experience volatility due to interest-rate changes and differing accounting treatments that apply to certain financial instruments on our balance sheet. Specifically, we have exposure to earnings volatility that is driven by changes in interest rates in two primary areas: our net portfolio and our consolidated MBS trusts. The exposure in the net portfolio is primarily driven by changes in the fair value of risk management derivatives, mortgage commitments, and certain assets, primarily securities, that are carried at fair value. The exposure related to our consolidated MBS trusts relates to changes in our credit loss reserves and to the amortization of cost basis adjustments resulting from changes in interest rates.</w:t>
      </w:r>
    </w:p>
    <w:p>
      <w:pPr>
        <w:spacing w:after="0" w:line="4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apply fair value hedge accounting to address some of the exposure to interest rates, particularly the earnings volatility related to changes in benchmark interest rates. Our hedge accounting program is specifically designed to address the volatility of our financial results associated with changes in fair value related to changes in these benchmark interest rates. As such, earnings variability driven by other factors, such as spreads or changes in cost basis amortization recognized in net interest income, remains. In addition, our ability to effectively reduce earnings volatility is dependent upon the volume and type of interest-rate swaps available for hedging, which is driven by our interest-rate risk management strategy discussed above and in our 2024 Form 10-K. As our range of available interest-rate swaps varies over time, our ability to reduce earnings volatility through hedge accounting may vary as well. When the shape of the yield curve shifts significantly from period to period, hedge accounting may be less effective. In our current program, we establish new hedging relationships each business day to provide flexibility in our overall risk management strategy.</w:t>
      </w:r>
    </w:p>
    <w:p>
      <w:pPr>
        <w:spacing w:after="0" w:line="43" w:lineRule="exact"/>
        <w:rPr>
          <w:sz w:val="20"/>
          <w:szCs w:val="20"/>
          <w:color w:val="auto"/>
        </w:rPr>
      </w:pPr>
    </w:p>
    <w:p>
      <w:pPr>
        <w:ind w:right="820"/>
        <w:spacing w:after="0" w:line="310" w:lineRule="auto"/>
        <w:rPr>
          <w:sz w:val="20"/>
          <w:szCs w:val="20"/>
          <w:color w:val="auto"/>
        </w:rPr>
      </w:pPr>
      <w:r>
        <w:rPr>
          <w:rFonts w:ascii="Arial" w:cs="Arial" w:eastAsia="Arial" w:hAnsi="Arial"/>
          <w:sz w:val="16"/>
          <w:szCs w:val="16"/>
          <w:color w:val="auto"/>
        </w:rPr>
        <w:t>See “Note 1, Summary of Significant Accounting Policies” in our 2024 Form 10-K and “Note 9, Derivative Instruments” in this report for additional information on our fair value hedge accounting policy and related disclosures.</w:t>
      </w:r>
    </w:p>
    <w:p>
      <w:pPr>
        <w:spacing w:after="0" w:line="99"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The preparation of financial statements in accordance with GAAP requires management to make a number of judgments, estimates and assumptions that affect the reported amount of assets, liabilities, income and expenses in our condensed consolidated financial statements. Understanding our accounting policies and the extent to which we use management judgment and estimates in applying these policies is integral to understanding our financial statements. We describe our most significant accounting policies in “Note 1, Summary of Significant Accounting Policies” in this report and in our 2024 Form 10-K.</w:t>
      </w:r>
    </w:p>
    <w:p>
      <w:pPr>
        <w:spacing w:after="0" w:line="23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evaluate our critical accounting estimates and judgments required by our policies on an ongoing basis and update them as necessary based on changing conditions. Management has discussed any significant changes in judgments and assumptions in applying our critical accounting estimates with the Audit Committee of our Board of Directors. See “Risk Factors—General Risk” in our 2024 Form 10-K for a discussion of the risks associated with the need for management to make judgments and estimates in applying our accounting policies and methods. We have identified one of our accounting estimates, allowance for loan losses, as critical because it involves significant judgments and assumptions about highly complex and inherently uncertain matters, and the use of reasonably different judgments and assumptions could have a material impact on our reported results of operations or financial condition.</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0" w:type="dxa"/>
            <w:vAlign w:val="bottom"/>
          </w:tcPr>
          <w:p>
            <w:pPr>
              <w:spacing w:after="0"/>
              <w:rPr>
                <w:sz w:val="17"/>
                <w:szCs w:val="17"/>
                <w:color w:val="auto"/>
              </w:rPr>
            </w:pPr>
          </w:p>
        </w:tc>
        <w:tc>
          <w:tcPr>
            <w:tcW w:w="67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2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54</w:t>
            </w:r>
          </w:p>
        </w:tc>
        <w:tc>
          <w:tcPr>
            <w:tcW w:w="100" w:type="dxa"/>
            <w:vAlign w:val="bottom"/>
          </w:tcPr>
          <w:p>
            <w:pPr>
              <w:spacing w:after="0"/>
              <w:rPr>
                <w:sz w:val="17"/>
                <w:szCs w:val="17"/>
                <w:color w:val="auto"/>
              </w:rPr>
            </w:pPr>
          </w:p>
        </w:tc>
      </w:tr>
      <w:tr>
        <w:trPr>
          <w:trHeight w:val="207"/>
        </w:trPr>
        <w:tc>
          <w:tcPr>
            <w:tcW w:w="100" w:type="dxa"/>
            <w:vAlign w:val="bottom"/>
            <w:tcBorders>
              <w:bottom w:val="single" w:sz="8" w:color="9A9A9A"/>
            </w:tcBorders>
          </w:tcPr>
          <w:p>
            <w:pPr>
              <w:spacing w:after="0"/>
              <w:rPr>
                <w:sz w:val="17"/>
                <w:szCs w:val="17"/>
                <w:color w:val="auto"/>
              </w:rPr>
            </w:pPr>
          </w:p>
        </w:tc>
        <w:tc>
          <w:tcPr>
            <w:tcW w:w="6760" w:type="dxa"/>
            <w:vAlign w:val="bottom"/>
            <w:tcBorders>
              <w:bottom w:val="single" w:sz="8" w:color="9A9A9A"/>
            </w:tcBorders>
          </w:tcPr>
          <w:p>
            <w:pPr>
              <w:spacing w:after="0"/>
              <w:rPr>
                <w:sz w:val="17"/>
                <w:szCs w:val="17"/>
                <w:color w:val="auto"/>
              </w:rPr>
            </w:pPr>
          </w:p>
        </w:tc>
        <w:tc>
          <w:tcPr>
            <w:tcW w:w="4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7" w:name="page58"/>
    <w:bookmarkEnd w:id="57"/>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Allowance for Loan Losses</w:t>
      </w:r>
    </w:p>
    <w:p>
      <w:pPr>
        <w:spacing w:after="0" w:line="89"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The allowance for loan losses is an estimate of single-family and multifamily HFI loan receivables that we expect will not be collected related to loans held by Fannie Mae or by consolidated Fannie Mae MBS trusts. The expected credit losses are deducted from the amortized cost basis of HFI loans to present the net amount expected to be received.</w:t>
      </w:r>
    </w:p>
    <w:p>
      <w:pPr>
        <w:spacing w:after="0" w:line="50"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allowance for loan losses involves substantial judgment on a number of matters including the development and weighting of macroeconomic forecasts, the reversion period applied, the assessment of similar risk characteristics, which determines the historic loss experience used to derive probability of loan default, the valuation of collateral, which includes judgments about the property condition at the time of foreclosure, and the determination of a loan’s remaining expected life. Our most significant judgments involved in estimating our allowance for loan losses relate to the modeled macroeconomic data used to develop reasonable and supportable forecasts for key economic drivers, which are subject to significant inherent uncertainty. Most notably, for single-family, the model uses forecasted single-family home prices as well as a range of possible future interest rate environments. For multifamily, the model uses forecasted net operating income and property valuations. In developing a reasonable and supportable forecast, the model simulates multiple paths of interest rates, rental income and property values based on current market conditions.</w:t>
      </w:r>
    </w:p>
    <w:p>
      <w:pPr>
        <w:spacing w:after="0" w:line="8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Quantitative Component</w:t>
      </w:r>
    </w:p>
    <w:p>
      <w:pPr>
        <w:spacing w:after="0" w:line="106"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We use a discounted cash flow method to measure expected credit losses on our single-family mortgage loans and an undiscounted loss method to measure expected credit losses on our multifamily mortgage loans.</w:t>
      </w:r>
    </w:p>
    <w:p>
      <w:pPr>
        <w:spacing w:after="0" w:line="41"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Our modeled loan performance is based on our historical experience of loans with similar risk characteristics adjusted to reflect current conditions and reasonable and supportable forecasts. Our historical loss experience and our loan loss estimates capture the possibility of a multitude of events, including remote events that could result in credit losses on loans that are considered low risk. Our credit loss models, including the macroeconomic forecast data used as key inputs, are subject to our model oversight and review processes as well as other established governance and controls.</w:t>
      </w:r>
    </w:p>
    <w:p>
      <w:pPr>
        <w:spacing w:after="0" w:line="7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Qualitative Component</w:t>
      </w:r>
    </w:p>
    <w:p>
      <w:pPr>
        <w:spacing w:after="0" w:line="106"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Our process for measuring expected credit losses is complex and involves significant management judgment, including a reliance on historical loss information and current economic forecasts that may not be representative of credit losses we ultimately realize. Management adjustments may be necessary to take into consideration external factors and current macroeconomic events that have occurred but are not yet reflected in the data used to derive the model outputs. Qualitative factors and events not previously observed by the models through historical loss experience may also be considered, as well as the uncertainty of their impact on credit loss estimates.</w:t>
      </w:r>
    </w:p>
    <w:p>
      <w:pPr>
        <w:spacing w:after="0" w:line="9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Macroeconomic Variables and Sensitivities</w:t>
      </w:r>
    </w:p>
    <w:p>
      <w:pPr>
        <w:spacing w:after="0" w:line="9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benefit or provision for credit losses can vary substantially from period to period based on forecasted macroeconomic inputs. For single-family, we have determined that our most significant macroeconomic inputs used in determining our allowance for loan losses consist of forecasted home price growth rates and interest rates. For multifamily, we have determined that our most significant macroeconomic inputs used in determining our allowance for loan losses consist of net operating income and property value growth rates.</w:t>
      </w:r>
    </w:p>
    <w:p>
      <w:pPr>
        <w:spacing w:after="0" w:line="59"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In evaluating the sensitivities of our allowance to these macroeconomic inputs, it is difficult to estimate how potential changes in any one factor or input might affect the overall credit loss estimates, because management considers a wide variety of factors and inputs in estimating the allowance for loan losses. Changes in the factors and inputs considered may not occur at the same rate and may not be consistent across all geographies or loan types, and changes in factors and inputs may be directionally inconsistent, such that improvement in one factor or input may offset deterioration in others. Changes in our assumptions and forecasts of economic conditions could significantly affect our estimate of expected credit losses and lead to significant changes in the estimate from one reporting period to the next.</w:t>
      </w:r>
    </w:p>
    <w:p>
      <w:pPr>
        <w:spacing w:after="0" w:line="4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We provide more detailed information on our accounting for the allowance for loan losses in “Note 1, Summary of Significant Accounting Policies” in our 2024 Form 10-K. See “Note 5, Allowance for Loan Losses” for additional information about our current period (provision) benefit for loan losses.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55</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58" w:name="page59"/>
    <w:bookmarkEnd w:id="58"/>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Single-Family Sensitivities and Inputs</w:t>
      </w:r>
    </w:p>
    <w:p>
      <w:pPr>
        <w:spacing w:after="0" w:line="54"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The table below provides information about our most significant macroeconomic inputs used in determining our single-family allowance for loan losses: forecasted home price growth rates and interest rates. Although the model consumes a wide range of possible regional home price forecasts and interest rate scenarios that take into account inherent uncertainty, the forecasts below represent the mean path of those simulations used in determining the single-family allowance for each quarter through the nine months ended September 30, 2025, and for each quarter during the year ended December 31, 2024, and how those forecasts have changed between periods of estimate. Below we present our home price growth and interest rate estimates used in our estimate of expected credit losses. Our forecasts include estimates for periods beyond 2027 that are not presented in the table below.</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 Single-Family Macroeconomic Model Inputs</w:t>
      </w:r>
      <w:r>
        <w:rPr>
          <w:rFonts w:ascii="Arial" w:cs="Arial" w:eastAsia="Arial" w:hAnsi="Arial"/>
          <w:sz w:val="24"/>
          <w:szCs w:val="24"/>
          <w:b w:val="1"/>
          <w:bCs w:val="1"/>
          <w:color w:val="00154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138670"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home price growth (decline) rate by period of estimate:</w:t>
      </w:r>
      <w:r>
        <w:rPr>
          <w:rFonts w:ascii="Arial" w:cs="Arial" w:eastAsia="Arial" w:hAnsi="Arial"/>
          <w:sz w:val="20"/>
          <w:szCs w:val="20"/>
          <w:b w:val="1"/>
          <w:bCs w:val="1"/>
          <w:color w:val="auto"/>
          <w:vertAlign w:val="superscript"/>
        </w:rPr>
        <w:t>(2)</w:t>
      </w:r>
    </w:p>
    <w:p>
      <w:pPr>
        <w:spacing w:after="0" w:line="28" w:lineRule="exact"/>
        <w:rPr>
          <w:sz w:val="20"/>
          <w:szCs w:val="20"/>
          <w:color w:val="auto"/>
        </w:rPr>
      </w:pPr>
    </w:p>
    <w:p>
      <w:pPr>
        <w:ind w:left="7380"/>
        <w:spacing w:after="0"/>
        <w:rPr>
          <w:sz w:val="20"/>
          <w:szCs w:val="20"/>
          <w:color w:val="auto"/>
        </w:rPr>
      </w:pPr>
      <w:r>
        <w:rPr>
          <w:rFonts w:ascii="Arial" w:cs="Arial" w:eastAsia="Arial" w:hAnsi="Arial"/>
          <w:sz w:val="15"/>
          <w:szCs w:val="15"/>
          <w:b w:val="1"/>
          <w:bCs w:val="1"/>
          <w:color w:val="auto"/>
        </w:rPr>
        <w:t>For the Full Year ending December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320" w:type="dxa"/>
            <w:vAlign w:val="bottom"/>
          </w:tcPr>
          <w:p>
            <w:pPr>
              <w:spacing w:after="0"/>
              <w:rPr>
                <w:sz w:val="17"/>
                <w:szCs w:val="17"/>
                <w:color w:val="auto"/>
              </w:rPr>
            </w:pPr>
          </w:p>
        </w:tc>
        <w:tc>
          <w:tcPr>
            <w:tcW w:w="1220" w:type="dxa"/>
            <w:vAlign w:val="bottom"/>
            <w:tcBorders>
              <w:top w:val="single" w:sz="8" w:color="2C6937"/>
              <w:bottom w:val="single" w:sz="8" w:color="2C6937"/>
            </w:tcBorders>
          </w:tcPr>
          <w:p>
            <w:pPr>
              <w:jc w:val="right"/>
              <w:ind w:right="83"/>
              <w:spacing w:after="0"/>
              <w:rPr>
                <w:sz w:val="20"/>
                <w:szCs w:val="20"/>
                <w:color w:val="auto"/>
              </w:rPr>
            </w:pPr>
            <w:r>
              <w:rPr>
                <w:rFonts w:ascii="Arial" w:cs="Arial" w:eastAsia="Arial" w:hAnsi="Arial"/>
                <w:sz w:val="15"/>
                <w:szCs w:val="15"/>
                <w:b w:val="1"/>
                <w:bCs w:val="1"/>
                <w:color w:val="auto"/>
              </w:rPr>
              <w:t>2025</w:t>
            </w:r>
          </w:p>
        </w:tc>
        <w:tc>
          <w:tcPr>
            <w:tcW w:w="580" w:type="dxa"/>
            <w:vAlign w:val="bottom"/>
            <w:tcBorders>
              <w:top w:val="single" w:sz="8" w:color="2C6937"/>
              <w:bottom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1480" w:type="dxa"/>
            <w:vAlign w:val="bottom"/>
            <w:tcBorders>
              <w:top w:val="single" w:sz="8" w:color="2C6937"/>
              <w:bottom w:val="single" w:sz="8" w:color="2C6937"/>
            </w:tcBorders>
          </w:tcPr>
          <w:p>
            <w:pPr>
              <w:ind w:left="580"/>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2C6937"/>
            </w:tcBorders>
          </w:tcPr>
          <w:p>
            <w:pPr>
              <w:spacing w:after="0"/>
              <w:rPr>
                <w:sz w:val="17"/>
                <w:szCs w:val="17"/>
                <w:color w:val="auto"/>
              </w:rPr>
            </w:pPr>
          </w:p>
        </w:tc>
        <w:tc>
          <w:tcPr>
            <w:tcW w:w="480" w:type="dxa"/>
            <w:vAlign w:val="bottom"/>
            <w:tcBorders>
              <w:top w:val="single" w:sz="8" w:color="2C6937"/>
              <w:bottom w:val="single" w:sz="8" w:color="2C6937"/>
            </w:tcBorders>
          </w:tcPr>
          <w:p>
            <w:pPr>
              <w:spacing w:after="0"/>
              <w:rPr>
                <w:sz w:val="17"/>
                <w:szCs w:val="17"/>
                <w:color w:val="auto"/>
              </w:rPr>
            </w:pPr>
          </w:p>
        </w:tc>
        <w:tc>
          <w:tcPr>
            <w:tcW w:w="960" w:type="dxa"/>
            <w:vAlign w:val="bottom"/>
            <w:tcBorders>
              <w:top w:val="single" w:sz="8" w:color="2C6937"/>
              <w:bottom w:val="single" w:sz="8" w:color="2C6937"/>
            </w:tcBorders>
          </w:tcPr>
          <w:p>
            <w:pPr>
              <w:jc w:val="center"/>
              <w:ind w:right="383"/>
              <w:spacing w:after="0"/>
              <w:rPr>
                <w:sz w:val="20"/>
                <w:szCs w:val="20"/>
                <w:color w:val="auto"/>
              </w:rPr>
            </w:pPr>
            <w:r>
              <w:rPr>
                <w:rFonts w:ascii="Arial" w:cs="Arial" w:eastAsia="Arial" w:hAnsi="Arial"/>
                <w:sz w:val="15"/>
                <w:szCs w:val="15"/>
                <w:b w:val="1"/>
                <w:bCs w:val="1"/>
                <w:color w:val="auto"/>
              </w:rPr>
              <w:t>2027</w:t>
            </w:r>
          </w:p>
        </w:tc>
      </w:tr>
      <w:tr>
        <w:trPr>
          <w:trHeight w:val="210"/>
        </w:trPr>
        <w:tc>
          <w:tcPr>
            <w:tcW w:w="7540" w:type="dxa"/>
            <w:vAlign w:val="bottom"/>
            <w:gridSpan w:val="2"/>
          </w:tcPr>
          <w:p>
            <w:pPr>
              <w:spacing w:after="0"/>
              <w:rPr>
                <w:sz w:val="20"/>
                <w:szCs w:val="20"/>
                <w:color w:val="auto"/>
              </w:rPr>
            </w:pPr>
            <w:r>
              <w:rPr>
                <w:rFonts w:ascii="Arial" w:cs="Arial" w:eastAsia="Arial" w:hAnsi="Arial"/>
                <w:sz w:val="15"/>
                <w:szCs w:val="15"/>
                <w:color w:val="auto"/>
              </w:rPr>
              <w:t>Third Quarter 2025</w:t>
            </w:r>
          </w:p>
        </w:tc>
        <w:tc>
          <w:tcPr>
            <w:tcW w:w="580" w:type="dxa"/>
            <w:vAlign w:val="bottom"/>
          </w:tcPr>
          <w:p>
            <w:pPr>
              <w:ind w:left="160"/>
              <w:spacing w:after="0"/>
              <w:rPr>
                <w:sz w:val="20"/>
                <w:szCs w:val="20"/>
                <w:color w:val="auto"/>
              </w:rPr>
            </w:pPr>
            <w:r>
              <w:rPr>
                <w:rFonts w:ascii="Arial" w:cs="Arial" w:eastAsia="Arial" w:hAnsi="Arial"/>
                <w:sz w:val="15"/>
                <w:szCs w:val="15"/>
                <w:color w:val="auto"/>
              </w:rPr>
              <w:t>2.6 %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1.3 %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ind w:left="560"/>
              <w:spacing w:after="0"/>
              <w:rPr>
                <w:sz w:val="20"/>
                <w:szCs w:val="20"/>
                <w:color w:val="auto"/>
              </w:rPr>
            </w:pPr>
            <w:r>
              <w:rPr>
                <w:rFonts w:ascii="Arial" w:cs="Arial" w:eastAsia="Arial" w:hAnsi="Arial"/>
                <w:sz w:val="15"/>
                <w:szCs w:val="15"/>
                <w:color w:val="auto"/>
                <w:w w:val="98"/>
              </w:rPr>
              <w:t>1.2 %</w:t>
            </w:r>
          </w:p>
        </w:tc>
      </w:tr>
      <w:tr>
        <w:trPr>
          <w:trHeight w:val="232"/>
        </w:trPr>
        <w:tc>
          <w:tcPr>
            <w:tcW w:w="7540" w:type="dxa"/>
            <w:vAlign w:val="bottom"/>
            <w:gridSpan w:val="2"/>
          </w:tcPr>
          <w:p>
            <w:pPr>
              <w:spacing w:after="0"/>
              <w:rPr>
                <w:sz w:val="20"/>
                <w:szCs w:val="20"/>
                <w:color w:val="auto"/>
              </w:rPr>
            </w:pPr>
            <w:r>
              <w:rPr>
                <w:rFonts w:ascii="Arial" w:cs="Arial" w:eastAsia="Arial" w:hAnsi="Arial"/>
                <w:sz w:val="15"/>
                <w:szCs w:val="15"/>
                <w:color w:val="auto"/>
              </w:rPr>
              <w:t>Second Quarter 2025</w:t>
            </w:r>
          </w:p>
        </w:tc>
        <w:tc>
          <w:tcPr>
            <w:tcW w:w="580" w:type="dxa"/>
            <w:vAlign w:val="bottom"/>
          </w:tcPr>
          <w:p>
            <w:pPr>
              <w:ind w:left="160"/>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ind w:left="560"/>
              <w:spacing w:after="0"/>
              <w:rPr>
                <w:sz w:val="20"/>
                <w:szCs w:val="20"/>
                <w:color w:val="auto"/>
              </w:rPr>
            </w:pPr>
            <w:r>
              <w:rPr>
                <w:rFonts w:ascii="Arial" w:cs="Arial" w:eastAsia="Arial" w:hAnsi="Arial"/>
                <w:sz w:val="15"/>
                <w:szCs w:val="15"/>
                <w:color w:val="auto"/>
              </w:rPr>
              <w:t>1.1</w:t>
            </w:r>
          </w:p>
        </w:tc>
      </w:tr>
      <w:tr>
        <w:trPr>
          <w:trHeight w:val="232"/>
        </w:trPr>
        <w:tc>
          <w:tcPr>
            <w:tcW w:w="7540" w:type="dxa"/>
            <w:vAlign w:val="bottom"/>
            <w:gridSpan w:val="2"/>
          </w:tcPr>
          <w:p>
            <w:pPr>
              <w:spacing w:after="0"/>
              <w:rPr>
                <w:sz w:val="20"/>
                <w:szCs w:val="20"/>
                <w:color w:val="auto"/>
              </w:rPr>
            </w:pPr>
            <w:r>
              <w:rPr>
                <w:rFonts w:ascii="Arial" w:cs="Arial" w:eastAsia="Arial" w:hAnsi="Arial"/>
                <w:sz w:val="15"/>
                <w:szCs w:val="15"/>
                <w:color w:val="auto"/>
              </w:rPr>
              <w:t>First Quarter 2025</w:t>
            </w:r>
          </w:p>
        </w:tc>
        <w:tc>
          <w:tcPr>
            <w:tcW w:w="580" w:type="dxa"/>
            <w:vAlign w:val="bottom"/>
          </w:tcPr>
          <w:p>
            <w:pPr>
              <w:ind w:left="160"/>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ind w:left="560"/>
              <w:spacing w:after="0"/>
              <w:rPr>
                <w:sz w:val="20"/>
                <w:szCs w:val="20"/>
                <w:color w:val="auto"/>
              </w:rPr>
            </w:pPr>
            <w:r>
              <w:rPr>
                <w:rFonts w:ascii="Arial" w:cs="Arial" w:eastAsia="Arial" w:hAnsi="Arial"/>
                <w:sz w:val="15"/>
                <w:szCs w:val="15"/>
                <w:color w:val="auto"/>
              </w:rPr>
              <w:t>1.3</w:t>
            </w:r>
          </w:p>
        </w:tc>
      </w:tr>
      <w:tr>
        <w:trPr>
          <w:trHeight w:val="488"/>
        </w:trPr>
        <w:tc>
          <w:tcPr>
            <w:tcW w:w="6320" w:type="dxa"/>
            <w:vAlign w:val="bottom"/>
          </w:tcPr>
          <w:p>
            <w:pPr>
              <w:spacing w:after="0"/>
              <w:rPr>
                <w:sz w:val="24"/>
                <w:szCs w:val="24"/>
                <w:color w:val="auto"/>
              </w:rPr>
            </w:pPr>
          </w:p>
        </w:tc>
        <w:tc>
          <w:tcPr>
            <w:tcW w:w="3940" w:type="dxa"/>
            <w:vAlign w:val="bottom"/>
            <w:tcBorders>
              <w:bottom w:val="single" w:sz="8" w:color="2C6937"/>
            </w:tcBorders>
            <w:gridSpan w:val="6"/>
          </w:tcPr>
          <w:p>
            <w:pPr>
              <w:ind w:left="1040"/>
              <w:spacing w:after="0"/>
              <w:rPr>
                <w:sz w:val="20"/>
                <w:szCs w:val="20"/>
                <w:color w:val="auto"/>
              </w:rPr>
            </w:pPr>
            <w:r>
              <w:rPr>
                <w:rFonts w:ascii="Arial" w:cs="Arial" w:eastAsia="Arial" w:hAnsi="Arial"/>
                <w:sz w:val="15"/>
                <w:szCs w:val="15"/>
                <w:b w:val="1"/>
                <w:bCs w:val="1"/>
                <w:color w:val="auto"/>
              </w:rPr>
              <w:t>For the Full Year ending December 31,</w:t>
            </w:r>
          </w:p>
        </w:tc>
        <w:tc>
          <w:tcPr>
            <w:tcW w:w="960" w:type="dxa"/>
            <w:vAlign w:val="bottom"/>
            <w:tcBorders>
              <w:bottom w:val="single" w:sz="8" w:color="2C6937"/>
            </w:tcBorders>
          </w:tcPr>
          <w:p>
            <w:pPr>
              <w:spacing w:after="0"/>
              <w:rPr>
                <w:sz w:val="24"/>
                <w:szCs w:val="24"/>
                <w:color w:val="auto"/>
              </w:rPr>
            </w:pPr>
          </w:p>
        </w:tc>
      </w:tr>
      <w:tr>
        <w:trPr>
          <w:trHeight w:val="202"/>
        </w:trPr>
        <w:tc>
          <w:tcPr>
            <w:tcW w:w="6320" w:type="dxa"/>
            <w:vAlign w:val="bottom"/>
          </w:tcPr>
          <w:p>
            <w:pPr>
              <w:spacing w:after="0"/>
              <w:rPr>
                <w:sz w:val="17"/>
                <w:szCs w:val="17"/>
                <w:color w:val="auto"/>
              </w:rPr>
            </w:pPr>
          </w:p>
        </w:tc>
        <w:tc>
          <w:tcPr>
            <w:tcW w:w="1220" w:type="dxa"/>
            <w:vAlign w:val="bottom"/>
            <w:tcBorders>
              <w:bottom w:val="single" w:sz="8" w:color="2C6937"/>
            </w:tcBorders>
          </w:tcPr>
          <w:p>
            <w:pPr>
              <w:jc w:val="right"/>
              <w:ind w:right="83"/>
              <w:spacing w:after="0"/>
              <w:rPr>
                <w:sz w:val="20"/>
                <w:szCs w:val="20"/>
                <w:color w:val="auto"/>
              </w:rPr>
            </w:pPr>
            <w:r>
              <w:rPr>
                <w:rFonts w:ascii="Arial" w:cs="Arial" w:eastAsia="Arial" w:hAnsi="Arial"/>
                <w:sz w:val="15"/>
                <w:szCs w:val="15"/>
                <w:b w:val="1"/>
                <w:bCs w:val="1"/>
                <w:color w:val="auto"/>
              </w:rPr>
              <w:t>2024</w:t>
            </w:r>
          </w:p>
        </w:tc>
        <w:tc>
          <w:tcPr>
            <w:tcW w:w="58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bottom w:val="single" w:sz="8" w:color="2C6937"/>
            </w:tcBorders>
          </w:tcPr>
          <w:p>
            <w:pPr>
              <w:ind w:left="580"/>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48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center"/>
              <w:ind w:right="383"/>
              <w:spacing w:after="0"/>
              <w:rPr>
                <w:sz w:val="20"/>
                <w:szCs w:val="20"/>
                <w:color w:val="auto"/>
              </w:rPr>
            </w:pPr>
            <w:r>
              <w:rPr>
                <w:rFonts w:ascii="Arial" w:cs="Arial" w:eastAsia="Arial" w:hAnsi="Arial"/>
                <w:sz w:val="15"/>
                <w:szCs w:val="15"/>
                <w:b w:val="1"/>
                <w:bCs w:val="1"/>
                <w:color w:val="auto"/>
              </w:rPr>
              <w:t>2026</w:t>
            </w:r>
          </w:p>
        </w:tc>
      </w:tr>
      <w:tr>
        <w:trPr>
          <w:trHeight w:val="210"/>
        </w:trPr>
        <w:tc>
          <w:tcPr>
            <w:tcW w:w="7540" w:type="dxa"/>
            <w:vAlign w:val="bottom"/>
            <w:gridSpan w:val="2"/>
          </w:tcPr>
          <w:p>
            <w:pPr>
              <w:spacing w:after="0"/>
              <w:rPr>
                <w:sz w:val="20"/>
                <w:szCs w:val="20"/>
                <w:color w:val="auto"/>
              </w:rPr>
            </w:pPr>
            <w:r>
              <w:rPr>
                <w:rFonts w:ascii="Arial" w:cs="Arial" w:eastAsia="Arial" w:hAnsi="Arial"/>
                <w:sz w:val="15"/>
                <w:szCs w:val="15"/>
                <w:color w:val="auto"/>
              </w:rPr>
              <w:t>Fourth Quarter 2024</w:t>
            </w:r>
          </w:p>
        </w:tc>
        <w:tc>
          <w:tcPr>
            <w:tcW w:w="580" w:type="dxa"/>
            <w:vAlign w:val="bottom"/>
          </w:tcPr>
          <w:p>
            <w:pPr>
              <w:ind w:left="160"/>
              <w:spacing w:after="0"/>
              <w:rPr>
                <w:sz w:val="20"/>
                <w:szCs w:val="20"/>
                <w:color w:val="auto"/>
              </w:rPr>
            </w:pPr>
            <w:r>
              <w:rPr>
                <w:rFonts w:ascii="Arial" w:cs="Arial" w:eastAsia="Arial" w:hAnsi="Arial"/>
                <w:sz w:val="15"/>
                <w:szCs w:val="15"/>
                <w:color w:val="auto"/>
              </w:rPr>
              <w:t>5.9 %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3.5 %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ind w:left="560"/>
              <w:spacing w:after="0"/>
              <w:rPr>
                <w:sz w:val="20"/>
                <w:szCs w:val="20"/>
                <w:color w:val="auto"/>
              </w:rPr>
            </w:pPr>
            <w:r>
              <w:rPr>
                <w:rFonts w:ascii="Arial" w:cs="Arial" w:eastAsia="Arial" w:hAnsi="Arial"/>
                <w:sz w:val="15"/>
                <w:szCs w:val="15"/>
                <w:color w:val="auto"/>
                <w:w w:val="98"/>
              </w:rPr>
              <w:t>1.7 %</w:t>
            </w:r>
          </w:p>
        </w:tc>
      </w:tr>
      <w:tr>
        <w:trPr>
          <w:trHeight w:val="232"/>
        </w:trPr>
        <w:tc>
          <w:tcPr>
            <w:tcW w:w="7540" w:type="dxa"/>
            <w:vAlign w:val="bottom"/>
            <w:gridSpan w:val="2"/>
          </w:tcPr>
          <w:p>
            <w:pPr>
              <w:spacing w:after="0"/>
              <w:rPr>
                <w:sz w:val="20"/>
                <w:szCs w:val="20"/>
                <w:color w:val="auto"/>
              </w:rPr>
            </w:pPr>
            <w:r>
              <w:rPr>
                <w:rFonts w:ascii="Arial" w:cs="Arial" w:eastAsia="Arial" w:hAnsi="Arial"/>
                <w:sz w:val="15"/>
                <w:szCs w:val="15"/>
                <w:color w:val="auto"/>
              </w:rPr>
              <w:t>Third Quarter 2024</w:t>
            </w:r>
          </w:p>
        </w:tc>
        <w:tc>
          <w:tcPr>
            <w:tcW w:w="580" w:type="dxa"/>
            <w:vAlign w:val="bottom"/>
          </w:tcPr>
          <w:p>
            <w:pPr>
              <w:ind w:left="160"/>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ind w:left="560"/>
              <w:spacing w:after="0"/>
              <w:rPr>
                <w:sz w:val="20"/>
                <w:szCs w:val="20"/>
                <w:color w:val="auto"/>
              </w:rPr>
            </w:pPr>
            <w:r>
              <w:rPr>
                <w:rFonts w:ascii="Arial" w:cs="Arial" w:eastAsia="Arial" w:hAnsi="Arial"/>
                <w:sz w:val="15"/>
                <w:szCs w:val="15"/>
                <w:color w:val="auto"/>
              </w:rPr>
              <w:t>1.7</w:t>
            </w:r>
          </w:p>
        </w:tc>
      </w:tr>
      <w:tr>
        <w:trPr>
          <w:trHeight w:val="232"/>
        </w:trPr>
        <w:tc>
          <w:tcPr>
            <w:tcW w:w="7540" w:type="dxa"/>
            <w:vAlign w:val="bottom"/>
            <w:gridSpan w:val="2"/>
          </w:tcPr>
          <w:p>
            <w:pPr>
              <w:spacing w:after="0"/>
              <w:rPr>
                <w:sz w:val="20"/>
                <w:szCs w:val="20"/>
                <w:color w:val="auto"/>
              </w:rPr>
            </w:pPr>
            <w:r>
              <w:rPr>
                <w:rFonts w:ascii="Arial" w:cs="Arial" w:eastAsia="Arial" w:hAnsi="Arial"/>
                <w:sz w:val="15"/>
                <w:szCs w:val="15"/>
                <w:color w:val="auto"/>
              </w:rPr>
              <w:t>Second Quarter 2024</w:t>
            </w:r>
          </w:p>
        </w:tc>
        <w:tc>
          <w:tcPr>
            <w:tcW w:w="580" w:type="dxa"/>
            <w:vAlign w:val="bottom"/>
          </w:tcPr>
          <w:p>
            <w:pPr>
              <w:ind w:left="160"/>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ind w:left="560"/>
              <w:spacing w:after="0"/>
              <w:rPr>
                <w:sz w:val="20"/>
                <w:szCs w:val="20"/>
                <w:color w:val="auto"/>
              </w:rPr>
            </w:pPr>
            <w:r>
              <w:rPr>
                <w:rFonts w:ascii="Arial" w:cs="Arial" w:eastAsia="Arial" w:hAnsi="Arial"/>
                <w:sz w:val="15"/>
                <w:szCs w:val="15"/>
                <w:color w:val="auto"/>
              </w:rPr>
              <w:t>0.8</w:t>
            </w:r>
          </w:p>
        </w:tc>
      </w:tr>
      <w:tr>
        <w:trPr>
          <w:trHeight w:val="232"/>
        </w:trPr>
        <w:tc>
          <w:tcPr>
            <w:tcW w:w="7540" w:type="dxa"/>
            <w:vAlign w:val="bottom"/>
            <w:gridSpan w:val="2"/>
          </w:tcPr>
          <w:p>
            <w:pPr>
              <w:spacing w:after="0"/>
              <w:rPr>
                <w:sz w:val="20"/>
                <w:szCs w:val="20"/>
                <w:color w:val="auto"/>
              </w:rPr>
            </w:pPr>
            <w:r>
              <w:rPr>
                <w:rFonts w:ascii="Arial" w:cs="Arial" w:eastAsia="Arial" w:hAnsi="Arial"/>
                <w:sz w:val="15"/>
                <w:szCs w:val="15"/>
                <w:color w:val="auto"/>
              </w:rPr>
              <w:t>First Quarter 2024</w:t>
            </w:r>
          </w:p>
        </w:tc>
        <w:tc>
          <w:tcPr>
            <w:tcW w:w="580" w:type="dxa"/>
            <w:vAlign w:val="bottom"/>
          </w:tcPr>
          <w:p>
            <w:pPr>
              <w:ind w:left="160"/>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center"/>
              <w:ind w:right="383"/>
              <w:spacing w:after="0"/>
              <w:rPr>
                <w:sz w:val="20"/>
                <w:szCs w:val="20"/>
                <w:color w:val="auto"/>
              </w:rPr>
            </w:pPr>
            <w:r>
              <w:rPr>
                <w:rFonts w:ascii="Arial" w:cs="Arial" w:eastAsia="Arial" w:hAnsi="Arial"/>
                <w:sz w:val="15"/>
                <w:szCs w:val="15"/>
                <w:color w:val="auto"/>
              </w:rPr>
              <w:t>*</w:t>
            </w:r>
          </w:p>
        </w:tc>
      </w:tr>
    </w:tbl>
    <w:p>
      <w:pPr>
        <w:spacing w:after="0" w:line="10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Forecasted 30-year mortgage interest rates by period of estimate:</w:t>
      </w:r>
      <w:r>
        <w:rPr>
          <w:rFonts w:ascii="Arial" w:cs="Arial" w:eastAsia="Arial" w:hAnsi="Arial"/>
          <w:sz w:val="20"/>
          <w:szCs w:val="20"/>
          <w:b w:val="1"/>
          <w:bCs w:val="1"/>
          <w:color w:val="auto"/>
          <w:vertAlign w:val="superscript"/>
        </w:rPr>
        <w:t>(3)</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2025</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2025</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Fourth Quarter 2024</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Third Quarter 2024</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Second Quarter 2024</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First Quarter 2024</w:t>
      </w:r>
    </w:p>
    <w:p>
      <w:pPr>
        <w:spacing w:after="0" w:line="142" w:lineRule="exact"/>
        <w:rPr>
          <w:sz w:val="20"/>
          <w:szCs w:val="20"/>
          <w:color w:val="auto"/>
        </w:rPr>
      </w:pPr>
    </w:p>
    <w:p>
      <w:pPr>
        <w:ind w:left="200" w:hanging="197"/>
        <w:spacing w:after="0"/>
        <w:tabs>
          <w:tab w:leader="none" w:pos="2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Represents less than 0.05% of home price growth (decline).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8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Through the end of</w:t>
            </w:r>
          </w:p>
        </w:tc>
        <w:tc>
          <w:tcPr>
            <w:tcW w:w="3020" w:type="dxa"/>
            <w:vAlign w:val="bottom"/>
            <w:gridSpan w:val="4"/>
          </w:tcPr>
          <w:p>
            <w:pPr>
              <w:jc w:val="center"/>
              <w:spacing w:after="0"/>
              <w:rPr>
                <w:sz w:val="20"/>
                <w:szCs w:val="20"/>
                <w:color w:val="auto"/>
              </w:rPr>
            </w:pPr>
            <w:r>
              <w:rPr>
                <w:rFonts w:ascii="Arial" w:cs="Arial" w:eastAsia="Arial" w:hAnsi="Arial"/>
                <w:sz w:val="15"/>
                <w:szCs w:val="15"/>
                <w:b w:val="1"/>
                <w:bCs w:val="1"/>
                <w:color w:val="auto"/>
              </w:rPr>
              <w:t>For the Full Year ending</w:t>
            </w:r>
          </w:p>
        </w:tc>
      </w:tr>
      <w:tr>
        <w:trPr>
          <w:trHeight w:val="226"/>
        </w:trPr>
        <w:tc>
          <w:tcPr>
            <w:tcW w:w="18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December 31,</w:t>
            </w:r>
          </w:p>
        </w:tc>
        <w:tc>
          <w:tcPr>
            <w:tcW w:w="2080" w:type="dxa"/>
            <w:vAlign w:val="bottom"/>
            <w:gridSpan w:val="3"/>
          </w:tcPr>
          <w:p>
            <w:pPr>
              <w:jc w:val="center"/>
              <w:ind w:left="883"/>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Pr>
          <w:p>
            <w:pPr>
              <w:spacing w:after="0"/>
              <w:rPr>
                <w:sz w:val="19"/>
                <w:szCs w:val="19"/>
                <w:color w:val="auto"/>
              </w:rPr>
            </w:pPr>
          </w:p>
        </w:tc>
      </w:tr>
      <w:tr>
        <w:trPr>
          <w:trHeight w:val="206"/>
        </w:trPr>
        <w:tc>
          <w:tcPr>
            <w:tcW w:w="180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7"/>
                <w:szCs w:val="17"/>
                <w:color w:val="auto"/>
              </w:rPr>
            </w:pPr>
          </w:p>
        </w:tc>
        <w:tc>
          <w:tcPr>
            <w:tcW w:w="1480" w:type="dxa"/>
            <w:vAlign w:val="bottom"/>
            <w:tcBorders>
              <w:top w:val="single" w:sz="8" w:color="2C6937"/>
              <w:bottom w:val="single" w:sz="8" w:color="2C6937"/>
            </w:tcBorders>
          </w:tcPr>
          <w:p>
            <w:pPr>
              <w:jc w:val="right"/>
              <w:ind w:right="483"/>
              <w:spacing w:after="0"/>
              <w:rPr>
                <w:sz w:val="20"/>
                <w:szCs w:val="20"/>
                <w:color w:val="auto"/>
              </w:rPr>
            </w:pPr>
            <w:r>
              <w:rPr>
                <w:rFonts w:ascii="Arial" w:cs="Arial" w:eastAsia="Arial" w:hAnsi="Arial"/>
                <w:sz w:val="15"/>
                <w:szCs w:val="15"/>
                <w:b w:val="1"/>
                <w:bCs w:val="1"/>
                <w:color w:val="auto"/>
              </w:rPr>
              <w:t>2026</w:t>
            </w:r>
          </w:p>
        </w:tc>
        <w:tc>
          <w:tcPr>
            <w:tcW w:w="100" w:type="dxa"/>
            <w:vAlign w:val="bottom"/>
            <w:tcBorders>
              <w:top w:val="single" w:sz="8" w:color="2C6937"/>
            </w:tcBorders>
          </w:tcPr>
          <w:p>
            <w:pPr>
              <w:spacing w:after="0"/>
              <w:rPr>
                <w:sz w:val="17"/>
                <w:szCs w:val="17"/>
                <w:color w:val="auto"/>
              </w:rPr>
            </w:pPr>
          </w:p>
        </w:tc>
        <w:tc>
          <w:tcPr>
            <w:tcW w:w="50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jc w:val="right"/>
              <w:ind w:right="463"/>
              <w:spacing w:after="0"/>
              <w:rPr>
                <w:sz w:val="20"/>
                <w:szCs w:val="20"/>
                <w:color w:val="auto"/>
              </w:rPr>
            </w:pPr>
            <w:r>
              <w:rPr>
                <w:rFonts w:ascii="Arial" w:cs="Arial" w:eastAsia="Arial" w:hAnsi="Arial"/>
                <w:sz w:val="15"/>
                <w:szCs w:val="15"/>
                <w:b w:val="1"/>
                <w:bCs w:val="1"/>
                <w:color w:val="auto"/>
              </w:rPr>
              <w:t>2027</w:t>
            </w:r>
          </w:p>
        </w:tc>
      </w:tr>
      <w:tr>
        <w:trPr>
          <w:trHeight w:val="210"/>
        </w:trPr>
        <w:tc>
          <w:tcPr>
            <w:tcW w:w="1800" w:type="dxa"/>
            <w:vAlign w:val="bottom"/>
          </w:tcPr>
          <w:p>
            <w:pPr>
              <w:ind w:left="1380"/>
              <w:spacing w:after="0"/>
              <w:rPr>
                <w:sz w:val="20"/>
                <w:szCs w:val="20"/>
                <w:color w:val="auto"/>
              </w:rPr>
            </w:pPr>
            <w:r>
              <w:rPr>
                <w:rFonts w:ascii="Arial" w:cs="Arial" w:eastAsia="Arial" w:hAnsi="Arial"/>
                <w:sz w:val="15"/>
                <w:szCs w:val="15"/>
                <w:color w:val="auto"/>
              </w:rPr>
              <w:t>6.4 %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6.2 %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6.1 %</w:t>
            </w:r>
          </w:p>
        </w:tc>
      </w:tr>
      <w:tr>
        <w:trPr>
          <w:trHeight w:val="232"/>
        </w:trPr>
        <w:tc>
          <w:tcPr>
            <w:tcW w:w="1800" w:type="dxa"/>
            <w:vAlign w:val="bottom"/>
          </w:tcPr>
          <w:p>
            <w:pPr>
              <w:ind w:left="1380"/>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6.3</w:t>
            </w:r>
          </w:p>
        </w:tc>
      </w:tr>
      <w:tr>
        <w:trPr>
          <w:trHeight w:val="232"/>
        </w:trPr>
        <w:tc>
          <w:tcPr>
            <w:tcW w:w="1800" w:type="dxa"/>
            <w:vAlign w:val="bottom"/>
          </w:tcPr>
          <w:p>
            <w:pPr>
              <w:ind w:left="1380"/>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6.3</w:t>
            </w: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Through the end of</w:t>
            </w:r>
          </w:p>
        </w:tc>
        <w:tc>
          <w:tcPr>
            <w:tcW w:w="3020" w:type="dxa"/>
            <w:vAlign w:val="bottom"/>
            <w:gridSpan w:val="4"/>
          </w:tcPr>
          <w:p>
            <w:pPr>
              <w:ind w:left="620"/>
              <w:spacing w:after="0"/>
              <w:rPr>
                <w:sz w:val="20"/>
                <w:szCs w:val="20"/>
                <w:color w:val="auto"/>
              </w:rPr>
            </w:pPr>
            <w:r>
              <w:rPr>
                <w:rFonts w:ascii="Arial" w:cs="Arial" w:eastAsia="Arial" w:hAnsi="Arial"/>
                <w:sz w:val="15"/>
                <w:szCs w:val="15"/>
                <w:b w:val="1"/>
                <w:bCs w:val="1"/>
                <w:color w:val="auto"/>
              </w:rPr>
              <w:t>For the Full Year ending</w:t>
            </w:r>
          </w:p>
        </w:tc>
      </w:tr>
      <w:tr>
        <w:trPr>
          <w:trHeight w:val="226"/>
        </w:trPr>
        <w:tc>
          <w:tcPr>
            <w:tcW w:w="18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December 31,</w:t>
            </w:r>
          </w:p>
        </w:tc>
        <w:tc>
          <w:tcPr>
            <w:tcW w:w="2080" w:type="dxa"/>
            <w:vAlign w:val="bottom"/>
            <w:gridSpan w:val="3"/>
          </w:tcPr>
          <w:p>
            <w:pPr>
              <w:ind w:left="1020"/>
              <w:spacing w:after="0"/>
              <w:rPr>
                <w:sz w:val="20"/>
                <w:szCs w:val="20"/>
                <w:color w:val="auto"/>
              </w:rPr>
            </w:pPr>
            <w:r>
              <w:rPr>
                <w:rFonts w:ascii="Arial" w:cs="Arial" w:eastAsia="Arial" w:hAnsi="Arial"/>
                <w:sz w:val="15"/>
                <w:szCs w:val="15"/>
                <w:b w:val="1"/>
                <w:bCs w:val="1"/>
                <w:color w:val="auto"/>
              </w:rPr>
              <w:t>December 31,</w:t>
            </w:r>
          </w:p>
        </w:tc>
        <w:tc>
          <w:tcPr>
            <w:tcW w:w="940" w:type="dxa"/>
            <w:vAlign w:val="bottom"/>
          </w:tcPr>
          <w:p>
            <w:pPr>
              <w:spacing w:after="0"/>
              <w:rPr>
                <w:sz w:val="19"/>
                <w:szCs w:val="19"/>
                <w:color w:val="auto"/>
              </w:rPr>
            </w:pPr>
          </w:p>
        </w:tc>
      </w:tr>
      <w:tr>
        <w:trPr>
          <w:trHeight w:val="206"/>
        </w:trPr>
        <w:tc>
          <w:tcPr>
            <w:tcW w:w="1800" w:type="dxa"/>
            <w:vAlign w:val="bottom"/>
            <w:tcBorders>
              <w:top w:val="single" w:sz="8" w:color="2C6937"/>
              <w:bottom w:val="single" w:sz="8" w:color="2C6937"/>
            </w:tcBorders>
          </w:tcPr>
          <w:p>
            <w:pPr>
              <w:jc w:val="center"/>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17"/>
                <w:szCs w:val="17"/>
                <w:color w:val="auto"/>
              </w:rPr>
            </w:pPr>
          </w:p>
        </w:tc>
        <w:tc>
          <w:tcPr>
            <w:tcW w:w="1480" w:type="dxa"/>
            <w:vAlign w:val="bottom"/>
            <w:tcBorders>
              <w:top w:val="single" w:sz="8" w:color="2C6937"/>
              <w:bottom w:val="single" w:sz="8" w:color="2C6937"/>
            </w:tcBorders>
          </w:tcPr>
          <w:p>
            <w:pPr>
              <w:ind w:left="580"/>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2C6937"/>
            </w:tcBorders>
          </w:tcPr>
          <w:p>
            <w:pPr>
              <w:spacing w:after="0"/>
              <w:rPr>
                <w:sz w:val="17"/>
                <w:szCs w:val="17"/>
                <w:color w:val="auto"/>
              </w:rPr>
            </w:pPr>
          </w:p>
        </w:tc>
        <w:tc>
          <w:tcPr>
            <w:tcW w:w="50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ind w:left="60"/>
              <w:spacing w:after="0"/>
              <w:rPr>
                <w:sz w:val="20"/>
                <w:szCs w:val="20"/>
                <w:color w:val="auto"/>
              </w:rPr>
            </w:pPr>
            <w:r>
              <w:rPr>
                <w:rFonts w:ascii="Arial" w:cs="Arial" w:eastAsia="Arial" w:hAnsi="Arial"/>
                <w:sz w:val="15"/>
                <w:szCs w:val="15"/>
                <w:b w:val="1"/>
                <w:bCs w:val="1"/>
                <w:color w:val="auto"/>
              </w:rPr>
              <w:t>2026</w:t>
            </w:r>
          </w:p>
        </w:tc>
      </w:tr>
      <w:tr>
        <w:trPr>
          <w:trHeight w:val="210"/>
        </w:trPr>
        <w:tc>
          <w:tcPr>
            <w:tcW w:w="1800" w:type="dxa"/>
            <w:vAlign w:val="bottom"/>
          </w:tcPr>
          <w:p>
            <w:pPr>
              <w:ind w:left="1380"/>
              <w:spacing w:after="0"/>
              <w:rPr>
                <w:sz w:val="20"/>
                <w:szCs w:val="20"/>
                <w:color w:val="auto"/>
              </w:rPr>
            </w:pPr>
            <w:r>
              <w:rPr>
                <w:rFonts w:ascii="Arial" w:cs="Arial" w:eastAsia="Arial" w:hAnsi="Arial"/>
                <w:sz w:val="15"/>
                <w:szCs w:val="15"/>
                <w:color w:val="auto"/>
              </w:rPr>
              <w:t>6.8 %</w:t>
            </w:r>
          </w:p>
        </w:tc>
        <w:tc>
          <w:tcPr>
            <w:tcW w:w="80" w:type="dxa"/>
            <w:vAlign w:val="bottom"/>
          </w:tcPr>
          <w:p>
            <w:pPr>
              <w:spacing w:after="0"/>
              <w:rPr>
                <w:sz w:val="18"/>
                <w:szCs w:val="18"/>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6.8 %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w w:val="98"/>
              </w:rPr>
              <w:t>6.7 %</w:t>
            </w:r>
          </w:p>
        </w:tc>
      </w:tr>
      <w:tr>
        <w:trPr>
          <w:trHeight w:val="232"/>
        </w:trPr>
        <w:tc>
          <w:tcPr>
            <w:tcW w:w="1800" w:type="dxa"/>
            <w:vAlign w:val="bottom"/>
          </w:tcPr>
          <w:p>
            <w:pPr>
              <w:ind w:left="1380"/>
              <w:spacing w:after="0"/>
              <w:rPr>
                <w:sz w:val="20"/>
                <w:szCs w:val="20"/>
                <w:color w:val="auto"/>
              </w:rPr>
            </w:pPr>
            <w:r>
              <w:rPr>
                <w:rFonts w:ascii="Arial" w:cs="Arial" w:eastAsia="Arial" w:hAnsi="Arial"/>
                <w:sz w:val="15"/>
                <w:szCs w:val="15"/>
                <w:color w:val="auto"/>
              </w:rPr>
              <w:t>6.2</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5.9</w:t>
            </w:r>
          </w:p>
        </w:tc>
      </w:tr>
      <w:tr>
        <w:trPr>
          <w:trHeight w:val="232"/>
        </w:trPr>
        <w:tc>
          <w:tcPr>
            <w:tcW w:w="1800" w:type="dxa"/>
            <w:vAlign w:val="bottom"/>
          </w:tcPr>
          <w:p>
            <w:pPr>
              <w:ind w:left="1380"/>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6.4</w:t>
            </w:r>
          </w:p>
        </w:tc>
      </w:tr>
      <w:tr>
        <w:trPr>
          <w:trHeight w:val="232"/>
        </w:trPr>
        <w:tc>
          <w:tcPr>
            <w:tcW w:w="1800" w:type="dxa"/>
            <w:vAlign w:val="bottom"/>
          </w:tcPr>
          <w:p>
            <w:pPr>
              <w:ind w:left="1380"/>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5"/>
                <w:szCs w:val="15"/>
                <w:color w:val="auto"/>
              </w:rPr>
              <w:t>6.2</w:t>
            </w:r>
          </w:p>
        </w:tc>
      </w:tr>
    </w:tbl>
    <w:p>
      <w:pPr>
        <w:spacing w:after="0" w:line="303" w:lineRule="exact"/>
        <w:rPr>
          <w:sz w:val="20"/>
          <w:szCs w:val="20"/>
          <w:color w:val="auto"/>
        </w:rPr>
      </w:pPr>
    </w:p>
    <w:p>
      <w:pPr>
        <w:sectPr>
          <w:pgSz w:w="11900" w:h="16838" w:orient="portrait"/>
          <w:cols w:equalWidth="0" w:num="2">
            <w:col w:w="5620" w:space="720"/>
            <w:col w:w="4900"/>
          </w:cols>
          <w:pgMar w:left="320" w:top="248" w:right="339" w:bottom="1440" w:gutter="0" w:footer="0" w:header="0"/>
          <w:type w:val="continuous"/>
        </w:sectPr>
      </w:pPr>
    </w:p>
    <w:p>
      <w:pPr>
        <w:ind w:left="240" w:right="120" w:hanging="237"/>
        <w:spacing w:after="0" w:line="259" w:lineRule="auto"/>
        <w:tabs>
          <w:tab w:leader="none" w:pos="233" w:val="left"/>
        </w:tabs>
        <w:numPr>
          <w:ilvl w:val="0"/>
          <w:numId w:val="46"/>
        </w:numPr>
        <w:rPr>
          <w:rFonts w:ascii="Arial" w:cs="Arial" w:eastAsia="Arial" w:hAnsi="Arial"/>
          <w:sz w:val="9"/>
          <w:szCs w:val="9"/>
          <w:color w:val="auto"/>
        </w:rPr>
      </w:pPr>
      <w:r>
        <w:rPr>
          <w:rFonts w:ascii="Arial" w:cs="Arial" w:eastAsia="Arial" w:hAnsi="Arial"/>
          <w:sz w:val="14"/>
          <w:szCs w:val="14"/>
          <w:color w:val="auto"/>
        </w:rPr>
        <w:t>These forecasts are provided solely for the purpose of providing insight into our credit loss model. Forecasts for future periods are subject to significant uncertainty, which increases for periods that are further in the future. We provide our most recent forecasts for certain macroeconomic and housing market conditions in “Key Market Economic Indicators.” In addition, each month our Economic and Strategic Research Group provides its economic and housing outlook, which is available in the “Data and Insights” section of our website, www.fanniemae.com. Information on our website is not incorporated into this report.</w:t>
      </w:r>
    </w:p>
    <w:p>
      <w:pPr>
        <w:spacing w:after="0" w:line="1" w:lineRule="exact"/>
        <w:rPr>
          <w:rFonts w:ascii="Arial" w:cs="Arial" w:eastAsia="Arial" w:hAnsi="Arial"/>
          <w:sz w:val="9"/>
          <w:szCs w:val="9"/>
          <w:color w:val="auto"/>
        </w:rPr>
      </w:pPr>
    </w:p>
    <w:p>
      <w:pPr>
        <w:ind w:left="240" w:right="60" w:hanging="237"/>
        <w:spacing w:after="0" w:line="257" w:lineRule="auto"/>
        <w:tabs>
          <w:tab w:leader="none" w:pos="233" w:val="left"/>
        </w:tabs>
        <w:numPr>
          <w:ilvl w:val="0"/>
          <w:numId w:val="46"/>
        </w:numPr>
        <w:rPr>
          <w:rFonts w:ascii="Arial" w:cs="Arial" w:eastAsia="Arial" w:hAnsi="Arial"/>
          <w:sz w:val="9"/>
          <w:szCs w:val="9"/>
          <w:color w:val="auto"/>
        </w:rPr>
      </w:pPr>
      <w:r>
        <w:rPr>
          <w:rFonts w:ascii="Arial" w:cs="Arial" w:eastAsia="Arial" w:hAnsi="Arial"/>
          <w:sz w:val="14"/>
          <w:szCs w:val="14"/>
          <w:color w:val="auto"/>
        </w:rPr>
        <w:t>These estimates are based on our national home price index, which is calculated differently from the S&amp;P CoreLogic Case-Shiller U.S. National Home Price Index and therefore results in different percentages for comparable growth. We periodically update our home price growth estimates and forecasts as new data become available. The forecast data in this table may also differ from the forecasted home price growth rate presented in “Key Market Economic Indicators,” because that section reflects our most recent forecast as of the filing date of this report, while this table reflects the quantitative forecast data we used in our model to estimate credit losses for the periods shown. Management continues to monitor macroeconomic updates to our inputs in our credit loss model from the time they are approved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56</w:t>
            </w:r>
          </w:p>
        </w:tc>
      </w:tr>
      <w:tr>
        <w:trPr>
          <w:trHeight w:val="194"/>
        </w:trPr>
        <w:tc>
          <w:tcPr>
            <w:tcW w:w="6860" w:type="dxa"/>
            <w:vAlign w:val="bottom"/>
            <w:tcBorders>
              <w:bottom w:val="single" w:sz="8" w:color="9A9A9A"/>
            </w:tcBorders>
          </w:tcPr>
          <w:p>
            <w:pPr>
              <w:spacing w:after="0"/>
              <w:rPr>
                <w:sz w:val="16"/>
                <w:szCs w:val="16"/>
                <w:color w:val="auto"/>
              </w:rPr>
            </w:pPr>
          </w:p>
        </w:tc>
        <w:tc>
          <w:tcPr>
            <w:tcW w:w="43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59" w:name="page60"/>
    <w:bookmarkEnd w:id="59"/>
    <w:p>
      <w:pPr>
        <w:ind w:left="8840"/>
        <w:spacing w:after="0"/>
        <w:rPr>
          <w:sz w:val="20"/>
          <w:szCs w:val="20"/>
          <w:color w:val="auto"/>
        </w:rPr>
      </w:pPr>
      <w:r>
        <w:rPr>
          <w:rFonts w:ascii="Arial" w:cs="Arial" w:eastAsia="Arial" w:hAnsi="Arial"/>
          <w:sz w:val="14"/>
          <w:szCs w:val="14"/>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240"/>
        <w:spacing w:after="0" w:line="275" w:lineRule="auto"/>
        <w:rPr>
          <w:sz w:val="20"/>
          <w:szCs w:val="20"/>
          <w:color w:val="auto"/>
        </w:rPr>
      </w:pPr>
      <w:r>
        <w:rPr>
          <w:rFonts w:ascii="Arial" w:cs="Arial" w:eastAsia="Arial" w:hAnsi="Arial"/>
          <w:sz w:val="14"/>
          <w:szCs w:val="14"/>
          <w:color w:val="auto"/>
        </w:rPr>
        <w:t>as part of our established governance process to ensure the reasonableness of the inputs used to calculate estimated credit losses. The forecast data excludes the impact of any qualitative adjustments.</w:t>
      </w:r>
    </w:p>
    <w:p>
      <w:pPr>
        <w:spacing w:after="0" w:line="5" w:lineRule="exact"/>
        <w:rPr>
          <w:sz w:val="20"/>
          <w:szCs w:val="20"/>
          <w:color w:val="auto"/>
        </w:rPr>
      </w:pPr>
    </w:p>
    <w:p>
      <w:pPr>
        <w:ind w:left="240" w:right="20" w:hanging="237"/>
        <w:spacing w:after="0" w:line="233" w:lineRule="auto"/>
        <w:tabs>
          <w:tab w:leader="none" w:pos="233"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Forecasted 30-year interest rates represent the mean of possible future interest rate environments that are simulated by our interest rate model and used in the estimation of credit losses. Forecasts through the end of December 31, 2025 and 2024 represent the average forecasted rate from the quarter-end through the calendar year end of December 31st. The fourth quarter of 2024 interest rate represents the 30-year interest rate as of December 31, 2024. This table reflects the forecasted interest rate data we used in estimating credit losses for the periods shown and does not reflect changes in interest rates that occurred after the forecast date.</w:t>
      </w:r>
    </w:p>
    <w:p>
      <w:pPr>
        <w:spacing w:after="0" w:line="5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noted above, our single-family allowance for loan losses is sensitive to changes in home prices and interest rate changes. We present in the table below the impact of hypothetical changes in home prices and 30-year interest rates, with all other factors held constant.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Single-Family Sensitivities - Hypothetical Changes to Model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38735</wp:posOffset>
            </wp:positionV>
            <wp:extent cx="7122160"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Forecasted change to the first 12 months of the forecast:</w:t>
            </w:r>
          </w:p>
        </w:tc>
        <w:tc>
          <w:tcPr>
            <w:tcW w:w="160" w:type="dxa"/>
            <w:vAlign w:val="bottom"/>
          </w:tcPr>
          <w:p>
            <w:pPr>
              <w:spacing w:after="0"/>
              <w:rPr>
                <w:sz w:val="14"/>
                <w:szCs w:val="14"/>
                <w:color w:val="auto"/>
              </w:rPr>
            </w:pPr>
          </w:p>
        </w:tc>
        <w:tc>
          <w:tcPr>
            <w:tcW w:w="21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Allowance Impact</w:t>
            </w: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8"/>
              </w:rPr>
              <w:t>Approximate Change in Allowance</w:t>
            </w:r>
          </w:p>
        </w:tc>
        <w:tc>
          <w:tcPr>
            <w:tcW w:w="0" w:type="dxa"/>
            <w:vAlign w:val="bottom"/>
          </w:tcPr>
          <w:p>
            <w:pPr>
              <w:spacing w:after="0"/>
              <w:rPr>
                <w:sz w:val="1"/>
                <w:szCs w:val="1"/>
                <w:color w:val="auto"/>
              </w:rPr>
            </w:pPr>
          </w:p>
        </w:tc>
      </w:tr>
      <w:tr>
        <w:trPr>
          <w:trHeight w:val="192"/>
        </w:trPr>
        <w:tc>
          <w:tcPr>
            <w:tcW w:w="5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3340" w:type="dxa"/>
            <w:vAlign w:val="bottom"/>
          </w:tcPr>
          <w:p>
            <w:pPr>
              <w:jc w:val="center"/>
              <w:spacing w:after="0" w:line="192" w:lineRule="exact"/>
              <w:rPr>
                <w:sz w:val="20"/>
                <w:szCs w:val="20"/>
                <w:color w:val="auto"/>
              </w:rPr>
            </w:pPr>
            <w:r>
              <w:rPr>
                <w:rFonts w:ascii="Arial" w:cs="Arial" w:eastAsia="Arial" w:hAnsi="Arial"/>
                <w:sz w:val="14"/>
                <w:szCs w:val="14"/>
                <w:b w:val="1"/>
                <w:bCs w:val="1"/>
                <w:color w:val="auto"/>
                <w:w w:val="97"/>
              </w:rPr>
              <w:t>as of September 30, 2025</w:t>
            </w:r>
            <w:r>
              <w:rPr>
                <w:rFonts w:ascii="Arial" w:cs="Arial" w:eastAsia="Arial" w:hAnsi="Arial"/>
                <w:sz w:val="17"/>
                <w:szCs w:val="17"/>
                <w:b w:val="1"/>
                <w:bCs w:val="1"/>
                <w:color w:val="auto"/>
                <w:w w:val="97"/>
                <w:vertAlign w:val="superscript"/>
              </w:rPr>
              <w:t>(1)</w:t>
            </w:r>
          </w:p>
        </w:tc>
        <w:tc>
          <w:tcPr>
            <w:tcW w:w="0" w:type="dxa"/>
            <w:vAlign w:val="bottom"/>
          </w:tcPr>
          <w:p>
            <w:pPr>
              <w:spacing w:after="0"/>
              <w:rPr>
                <w:sz w:val="1"/>
                <w:szCs w:val="1"/>
                <w:color w:val="auto"/>
              </w:rPr>
            </w:pPr>
          </w:p>
        </w:tc>
      </w:tr>
      <w:tr>
        <w:trPr>
          <w:trHeight w:val="172"/>
        </w:trPr>
        <w:tc>
          <w:tcPr>
            <w:tcW w:w="5580" w:type="dxa"/>
            <w:vAlign w:val="bottom"/>
          </w:tcPr>
          <w:p>
            <w:pPr>
              <w:jc w:val="right"/>
              <w:ind w:right="2004"/>
              <w:spacing w:after="0"/>
              <w:rPr>
                <w:sz w:val="20"/>
                <w:szCs w:val="20"/>
                <w:color w:val="auto"/>
              </w:rPr>
            </w:pPr>
            <w:r>
              <w:rPr>
                <w:rFonts w:ascii="Arial" w:cs="Arial" w:eastAsia="Arial" w:hAnsi="Arial"/>
                <w:sz w:val="14"/>
                <w:szCs w:val="14"/>
                <w:b w:val="1"/>
                <w:bCs w:val="1"/>
                <w:color w:val="auto"/>
              </w:rPr>
              <w:t>(In percentage points)</w:t>
            </w:r>
          </w:p>
        </w:tc>
        <w:tc>
          <w:tcPr>
            <w:tcW w:w="160" w:type="dxa"/>
            <w:vAlign w:val="bottom"/>
          </w:tcPr>
          <w:p>
            <w:pPr>
              <w:spacing w:after="0"/>
              <w:rPr>
                <w:sz w:val="14"/>
                <w:szCs w:val="14"/>
                <w:color w:val="auto"/>
              </w:rPr>
            </w:pPr>
          </w:p>
        </w:tc>
        <w:tc>
          <w:tcPr>
            <w:tcW w:w="2000" w:type="dxa"/>
            <w:vAlign w:val="bottom"/>
            <w:tcBorders>
              <w:top w:val="single" w:sz="8" w:color="2C6937"/>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top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580" w:type="dxa"/>
            <w:vAlign w:val="bottom"/>
            <w:tcBorders>
              <w:bottom w:val="single" w:sz="8" w:color="2C6937"/>
            </w:tcBorders>
          </w:tcPr>
          <w:p>
            <w:pPr>
              <w:ind w:left="20"/>
              <w:spacing w:after="0" w:line="207" w:lineRule="exact"/>
              <w:rPr>
                <w:sz w:val="20"/>
                <w:szCs w:val="20"/>
                <w:color w:val="auto"/>
              </w:rPr>
            </w:pPr>
            <w:r>
              <w:rPr>
                <w:rFonts w:ascii="Arial" w:cs="Arial" w:eastAsia="Arial" w:hAnsi="Arial"/>
                <w:sz w:val="15"/>
                <w:szCs w:val="15"/>
                <w:color w:val="auto"/>
              </w:rPr>
              <w:t>Change in home prices growth rate:</w:t>
            </w:r>
            <w:r>
              <w:rPr>
                <w:rFonts w:ascii="Arial" w:cs="Arial" w:eastAsia="Arial" w:hAnsi="Arial"/>
                <w:sz w:val="20"/>
                <w:szCs w:val="20"/>
                <w:color w:val="auto"/>
                <w:vertAlign w:val="superscript"/>
              </w:rPr>
              <w:t>(2)</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58"/>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13"/>
        </w:trPr>
        <w:tc>
          <w:tcPr>
            <w:tcW w:w="5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30-year interest rates:</w:t>
            </w: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80" w:type="dxa"/>
            <w:vAlign w:val="bottom"/>
          </w:tcPr>
          <w:p>
            <w:pPr>
              <w:jc w:val="right"/>
              <w:ind w:right="4884"/>
              <w:spacing w:after="0"/>
              <w:rPr>
                <w:sz w:val="20"/>
                <w:szCs w:val="20"/>
                <w:color w:val="auto"/>
              </w:rPr>
            </w:pPr>
            <w:r>
              <w:rPr>
                <w:rFonts w:ascii="Arial" w:cs="Arial" w:eastAsia="Arial" w:hAnsi="Arial"/>
                <w:sz w:val="15"/>
                <w:szCs w:val="15"/>
                <w:color w:val="auto"/>
              </w:rPr>
              <w:t>+0.5%</w:t>
            </w: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58"/>
        </w:trPr>
        <w:tc>
          <w:tcPr>
            <w:tcW w:w="5580" w:type="dxa"/>
            <w:vAlign w:val="bottom"/>
          </w:tcPr>
          <w:p>
            <w:pPr>
              <w:jc w:val="right"/>
              <w:ind w:right="4884"/>
              <w:spacing w:after="0"/>
              <w:rPr>
                <w:sz w:val="20"/>
                <w:szCs w:val="20"/>
                <w:color w:val="auto"/>
              </w:rPr>
            </w:pPr>
            <w:r>
              <w:rPr>
                <w:rFonts w:ascii="Arial" w:cs="Arial" w:eastAsia="Arial" w:hAnsi="Arial"/>
                <w:sz w:val="15"/>
                <w:szCs w:val="15"/>
                <w:color w:val="auto"/>
              </w:rPr>
              <w:t>-0.5%</w:t>
            </w:r>
          </w:p>
        </w:tc>
        <w:tc>
          <w:tcPr>
            <w:tcW w:w="1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-915035</wp:posOffset>
            </wp:positionV>
            <wp:extent cx="90170" cy="1066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0170" cy="10668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-751840</wp:posOffset>
            </wp:positionV>
            <wp:extent cx="98425" cy="1066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8425" cy="10668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-325755</wp:posOffset>
            </wp:positionV>
            <wp:extent cx="98425" cy="1066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8425" cy="106680"/>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-161925</wp:posOffset>
            </wp:positionV>
            <wp:extent cx="90170" cy="1066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0170" cy="106680"/>
                    </a:xfrm>
                    <a:prstGeom prst="rect">
                      <a:avLst/>
                    </a:prstGeom>
                    <a:noFill/>
                  </pic:spPr>
                </pic:pic>
              </a:graphicData>
            </a:graphic>
          </wp:anchor>
        </w:drawing>
      </w:r>
    </w:p>
    <w:p>
      <w:pPr>
        <w:spacing w:after="0" w:line="76" w:lineRule="exact"/>
        <w:rPr>
          <w:sz w:val="20"/>
          <w:szCs w:val="20"/>
          <w:color w:val="auto"/>
        </w:rPr>
      </w:pPr>
    </w:p>
    <w:p>
      <w:pPr>
        <w:ind w:left="300" w:hanging="297"/>
        <w:spacing w:after="0"/>
        <w:tabs>
          <w:tab w:leader="none" w:pos="30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Calculated as a percentage of our single-family allowance for loan losses.</w:t>
      </w:r>
    </w:p>
    <w:p>
      <w:pPr>
        <w:spacing w:after="0" w:line="37" w:lineRule="exact"/>
        <w:rPr>
          <w:rFonts w:ascii="Arial" w:cs="Arial" w:eastAsia="Arial" w:hAnsi="Arial"/>
          <w:sz w:val="18"/>
          <w:szCs w:val="18"/>
          <w:color w:val="auto"/>
          <w:vertAlign w:val="superscript"/>
        </w:rPr>
      </w:pPr>
    </w:p>
    <w:p>
      <w:pPr>
        <w:ind w:left="300" w:hanging="297"/>
        <w:spacing w:after="0" w:line="195" w:lineRule="auto"/>
        <w:tabs>
          <w:tab w:leader="none" w:pos="30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Change in home price shown on a normalized basis.</w:t>
      </w:r>
    </w:p>
    <w:p>
      <w:pPr>
        <w:spacing w:after="0" w:line="5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above sensitivity analyses are hypothetical and are provided solely for the purpose of providing insight into our credit loss model inputs. In addition, sensitivities for home price and interest rate changes are non-linear. As a result, changes in these estimates are not always incrementally proportional. The purpose of this analysis is to provide an indication of the impact of changes in home prices and 30-year interest rates on the estimate of the single-family allowance for credit losses. This analysis is not intended to imply management’s expectation of future changes in our forecasts or any other variables that may change as a result.</w:t>
      </w:r>
    </w:p>
    <w:p>
      <w:pPr>
        <w:spacing w:after="0" w:line="53"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See “Key Market Economic Indicators” in our 2024 Form 10-K and in this report for additional information about how home prices and interest rates can affect our credit loss estimates, including a discussion of home price growth rates and our home price forecast. Also see “Consolidated Results of Operations—(Provision) Benefit for Credit Losses” for information on how our home price and interest rate forecasts impacted our single-family (provision) benefit for credit losses.</w:t>
      </w:r>
    </w:p>
    <w:p>
      <w:pPr>
        <w:spacing w:after="0" w:line="75"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Multifamily Sensitivities and Inputs</w:t>
      </w:r>
    </w:p>
    <w:p>
      <w:pPr>
        <w:spacing w:after="0" w:line="80"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table below provides information about our most significant macroeconomic inputs used in determining our multifamily allowance for loan losses: multifamily property net operating income and property value growth rates. Although the model consumes a wide range of possible future economic scenarios, the forecasts below represent the mean path of those simulations used in determining the multifamily allowance for the quarter ended September 30, 2025, and for the quarter ended December 31, 2024, and how those forecasts have changed between periods of estimate. Our forecasts include estimates for periods beyond those presented below.</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57</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0" w:name="page61"/>
    <w:bookmarkEnd w:id="60"/>
    <w:p>
      <w:pPr>
        <w:ind w:left="8840"/>
        <w:spacing w:after="0"/>
        <w:rPr>
          <w:sz w:val="20"/>
          <w:szCs w:val="20"/>
          <w:color w:val="auto"/>
        </w:rPr>
      </w:pPr>
      <w:r>
        <w:rPr>
          <w:rFonts w:ascii="Arial" w:cs="Arial" w:eastAsia="Arial" w:hAnsi="Arial"/>
          <w:sz w:val="13"/>
          <w:szCs w:val="13"/>
          <w:color w:val="05314D"/>
        </w:rPr>
        <w:t>MD&amp;A | 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24130</wp:posOffset>
            </wp:positionV>
            <wp:extent cx="69996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1543"/>
        </w:rPr>
        <w:t>Select Multifamily Macroeconomic Model Inputs</w:t>
      </w:r>
      <w:r>
        <w:rPr>
          <w:rFonts w:ascii="Arial" w:cs="Arial" w:eastAsia="Arial" w:hAnsi="Arial"/>
          <w:sz w:val="24"/>
          <w:szCs w:val="24"/>
          <w:b w:val="1"/>
          <w:bCs w:val="1"/>
          <w:color w:val="001543"/>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080885"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80885" cy="16510"/>
                    </a:xfrm>
                    <a:prstGeom prst="rect">
                      <a:avLst/>
                    </a:prstGeom>
                    <a:noFill/>
                  </pic:spPr>
                </pic:pic>
              </a:graphicData>
            </a:graphic>
          </wp:anchor>
        </w:drawing>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780" w:type="dxa"/>
            <w:vAlign w:val="bottom"/>
            <w:gridSpan w:val="4"/>
          </w:tcPr>
          <w:p>
            <w:pPr>
              <w:spacing w:after="0"/>
              <w:rPr>
                <w:sz w:val="20"/>
                <w:szCs w:val="20"/>
                <w:color w:val="auto"/>
              </w:rPr>
            </w:pPr>
            <w:r>
              <w:rPr>
                <w:rFonts w:ascii="Arial" w:cs="Arial" w:eastAsia="Arial" w:hAnsi="Arial"/>
                <w:sz w:val="15"/>
                <w:szCs w:val="15"/>
                <w:b w:val="1"/>
                <w:bCs w:val="1"/>
                <w:color w:val="auto"/>
              </w:rPr>
              <w:t>Forecasted net operating income growth (decline) rate by period of estimate: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5"/>
        </w:trPr>
        <w:tc>
          <w:tcPr>
            <w:tcW w:w="3520" w:type="dxa"/>
            <w:vAlign w:val="bottom"/>
          </w:tcPr>
          <w:p>
            <w:pPr>
              <w:spacing w:after="0"/>
              <w:rPr>
                <w:sz w:val="20"/>
                <w:szCs w:val="20"/>
                <w:color w:val="auto"/>
              </w:rPr>
            </w:pPr>
          </w:p>
        </w:tc>
        <w:tc>
          <w:tcPr>
            <w:tcW w:w="184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3520" w:type="dxa"/>
            <w:vAlign w:val="bottom"/>
            <w:tcBorders>
              <w:bottom w:val="single" w:sz="8" w:color="2C6937"/>
            </w:tcBorders>
            <w:gridSpan w:val="4"/>
          </w:tcPr>
          <w:p>
            <w:pPr>
              <w:ind w:left="140"/>
              <w:spacing w:after="0"/>
              <w:rPr>
                <w:sz w:val="20"/>
                <w:szCs w:val="20"/>
                <w:color w:val="auto"/>
              </w:rPr>
            </w:pPr>
            <w:r>
              <w:rPr>
                <w:rFonts w:ascii="Arial" w:cs="Arial" w:eastAsia="Arial" w:hAnsi="Arial"/>
                <w:sz w:val="15"/>
                <w:szCs w:val="15"/>
                <w:b w:val="1"/>
                <w:bCs w:val="1"/>
                <w:color w:val="auto"/>
              </w:rPr>
              <w:t>For the Full Year ending December 31,</w:t>
            </w:r>
          </w:p>
        </w:tc>
        <w:tc>
          <w:tcPr>
            <w:tcW w:w="1840" w:type="dxa"/>
            <w:vAlign w:val="bottom"/>
            <w:tcBorders>
              <w:bottom w:val="single" w:sz="8" w:color="2C6937"/>
            </w:tcBorders>
          </w:tcPr>
          <w:p>
            <w:pPr>
              <w:spacing w:after="0"/>
              <w:rPr>
                <w:sz w:val="20"/>
                <w:szCs w:val="20"/>
                <w:color w:val="auto"/>
              </w:rPr>
            </w:pPr>
          </w:p>
        </w:tc>
      </w:tr>
      <w:tr>
        <w:trPr>
          <w:trHeight w:val="202"/>
        </w:trPr>
        <w:tc>
          <w:tcPr>
            <w:tcW w:w="352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150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182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2027</w:t>
            </w:r>
          </w:p>
        </w:tc>
      </w:tr>
      <w:tr>
        <w:trPr>
          <w:trHeight w:val="210"/>
        </w:trPr>
        <w:tc>
          <w:tcPr>
            <w:tcW w:w="3520" w:type="dxa"/>
            <w:vAlign w:val="bottom"/>
          </w:tcPr>
          <w:p>
            <w:pPr>
              <w:spacing w:after="0"/>
              <w:rPr>
                <w:sz w:val="20"/>
                <w:szCs w:val="20"/>
                <w:color w:val="auto"/>
              </w:rPr>
            </w:pPr>
            <w:r>
              <w:rPr>
                <w:rFonts w:ascii="Arial" w:cs="Arial" w:eastAsia="Arial" w:hAnsi="Arial"/>
                <w:sz w:val="15"/>
                <w:szCs w:val="15"/>
                <w:color w:val="auto"/>
              </w:rPr>
              <w:t>Third Quarter 2025</w:t>
            </w:r>
          </w:p>
        </w:tc>
        <w:tc>
          <w:tcPr>
            <w:tcW w:w="2260" w:type="dxa"/>
            <w:vAlign w:val="bottom"/>
            <w:gridSpan w:val="3"/>
          </w:tcPr>
          <w:p>
            <w:pPr>
              <w:ind w:left="1560"/>
              <w:spacing w:after="0"/>
              <w:rPr>
                <w:sz w:val="20"/>
                <w:szCs w:val="20"/>
                <w:color w:val="auto"/>
              </w:rPr>
            </w:pPr>
            <w:r>
              <w:rPr>
                <w:rFonts w:ascii="Arial" w:cs="Arial" w:eastAsia="Arial" w:hAnsi="Arial"/>
                <w:sz w:val="15"/>
                <w:szCs w:val="15"/>
                <w:color w:val="auto"/>
              </w:rPr>
              <w:t>N/A</w:t>
            </w:r>
          </w:p>
        </w:tc>
        <w:tc>
          <w:tcPr>
            <w:tcW w:w="1500" w:type="dxa"/>
            <w:vAlign w:val="bottom"/>
          </w:tcPr>
          <w:p>
            <w:pPr>
              <w:jc w:val="right"/>
              <w:spacing w:after="0"/>
              <w:rPr>
                <w:sz w:val="20"/>
                <w:szCs w:val="20"/>
                <w:color w:val="auto"/>
              </w:rPr>
            </w:pPr>
            <w:r>
              <w:rPr>
                <w:rFonts w:ascii="Arial" w:cs="Arial" w:eastAsia="Arial" w:hAnsi="Arial"/>
                <w:sz w:val="15"/>
                <w:szCs w:val="15"/>
                <w:color w:val="auto"/>
              </w:rPr>
              <w:t>2.5 %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1.8 %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1.1 %</w:t>
            </w:r>
          </w:p>
        </w:tc>
      </w:tr>
      <w:tr>
        <w:trPr>
          <w:trHeight w:val="232"/>
        </w:trPr>
        <w:tc>
          <w:tcPr>
            <w:tcW w:w="3520" w:type="dxa"/>
            <w:vAlign w:val="bottom"/>
          </w:tcPr>
          <w:p>
            <w:pPr>
              <w:spacing w:after="0"/>
              <w:rPr>
                <w:sz w:val="20"/>
                <w:szCs w:val="20"/>
                <w:color w:val="auto"/>
              </w:rPr>
            </w:pPr>
            <w:r>
              <w:rPr>
                <w:rFonts w:ascii="Arial" w:cs="Arial" w:eastAsia="Arial" w:hAnsi="Arial"/>
                <w:sz w:val="15"/>
                <w:szCs w:val="15"/>
                <w:color w:val="auto"/>
              </w:rPr>
              <w:t>Fourth Quarter 2024</w:t>
            </w:r>
          </w:p>
        </w:tc>
        <w:tc>
          <w:tcPr>
            <w:tcW w:w="1840" w:type="dxa"/>
            <w:vAlign w:val="bottom"/>
          </w:tcPr>
          <w:p>
            <w:pPr>
              <w:jc w:val="right"/>
              <w:spacing w:after="0"/>
              <w:rPr>
                <w:sz w:val="20"/>
                <w:szCs w:val="20"/>
                <w:color w:val="auto"/>
              </w:rPr>
            </w:pPr>
            <w:r>
              <w:rPr>
                <w:rFonts w:ascii="Arial" w:cs="Arial" w:eastAsia="Arial" w:hAnsi="Arial"/>
                <w:sz w:val="15"/>
                <w:szCs w:val="15"/>
                <w:color w:val="auto"/>
              </w:rPr>
              <w:t>3.1 %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1.7 %</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0.3 %</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627"/>
        </w:trPr>
        <w:tc>
          <w:tcPr>
            <w:tcW w:w="5780" w:type="dxa"/>
            <w:vAlign w:val="bottom"/>
            <w:gridSpan w:val="4"/>
          </w:tcPr>
          <w:p>
            <w:pPr>
              <w:spacing w:after="0"/>
              <w:rPr>
                <w:sz w:val="20"/>
                <w:szCs w:val="20"/>
                <w:color w:val="auto"/>
              </w:rPr>
            </w:pPr>
            <w:r>
              <w:rPr>
                <w:rFonts w:ascii="Arial" w:cs="Arial" w:eastAsia="Arial" w:hAnsi="Arial"/>
                <w:sz w:val="15"/>
                <w:szCs w:val="15"/>
                <w:b w:val="1"/>
                <w:bCs w:val="1"/>
                <w:color w:val="auto"/>
              </w:rPr>
              <w:t>Forecasted property value growth (decline) rate by period of estimate: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5"/>
        </w:trPr>
        <w:tc>
          <w:tcPr>
            <w:tcW w:w="3520" w:type="dxa"/>
            <w:vAlign w:val="bottom"/>
          </w:tcPr>
          <w:p>
            <w:pPr>
              <w:spacing w:after="0"/>
              <w:rPr>
                <w:sz w:val="20"/>
                <w:szCs w:val="20"/>
                <w:color w:val="auto"/>
              </w:rPr>
            </w:pPr>
          </w:p>
        </w:tc>
        <w:tc>
          <w:tcPr>
            <w:tcW w:w="184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3520" w:type="dxa"/>
            <w:vAlign w:val="bottom"/>
            <w:tcBorders>
              <w:bottom w:val="single" w:sz="8" w:color="2C6937"/>
            </w:tcBorders>
            <w:gridSpan w:val="4"/>
          </w:tcPr>
          <w:p>
            <w:pPr>
              <w:ind w:left="140"/>
              <w:spacing w:after="0"/>
              <w:rPr>
                <w:sz w:val="20"/>
                <w:szCs w:val="20"/>
                <w:color w:val="auto"/>
              </w:rPr>
            </w:pPr>
            <w:r>
              <w:rPr>
                <w:rFonts w:ascii="Arial" w:cs="Arial" w:eastAsia="Arial" w:hAnsi="Arial"/>
                <w:sz w:val="15"/>
                <w:szCs w:val="15"/>
                <w:b w:val="1"/>
                <w:bCs w:val="1"/>
                <w:color w:val="auto"/>
              </w:rPr>
              <w:t>For the Full Year ending December 31,</w:t>
            </w:r>
          </w:p>
        </w:tc>
        <w:tc>
          <w:tcPr>
            <w:tcW w:w="1840" w:type="dxa"/>
            <w:vAlign w:val="bottom"/>
            <w:tcBorders>
              <w:bottom w:val="single" w:sz="8" w:color="2C6937"/>
            </w:tcBorders>
          </w:tcPr>
          <w:p>
            <w:pPr>
              <w:spacing w:after="0"/>
              <w:rPr>
                <w:sz w:val="20"/>
                <w:szCs w:val="20"/>
                <w:color w:val="auto"/>
              </w:rPr>
            </w:pPr>
          </w:p>
        </w:tc>
      </w:tr>
      <w:tr>
        <w:trPr>
          <w:trHeight w:val="202"/>
        </w:trPr>
        <w:tc>
          <w:tcPr>
            <w:tcW w:w="352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2C6937"/>
            </w:tcBorders>
          </w:tcPr>
          <w:p>
            <w:pPr>
              <w:spacing w:after="0"/>
              <w:rPr>
                <w:sz w:val="17"/>
                <w:szCs w:val="17"/>
                <w:color w:val="auto"/>
              </w:rPr>
            </w:pPr>
          </w:p>
        </w:tc>
        <w:tc>
          <w:tcPr>
            <w:tcW w:w="150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182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2026</w:t>
            </w:r>
          </w:p>
        </w:tc>
        <w:tc>
          <w:tcPr>
            <w:tcW w:w="100" w:type="dxa"/>
            <w:vAlign w:val="bottom"/>
          </w:tcPr>
          <w:p>
            <w:pPr>
              <w:spacing w:after="0"/>
              <w:rPr>
                <w:sz w:val="17"/>
                <w:szCs w:val="17"/>
                <w:color w:val="auto"/>
              </w:rPr>
            </w:pPr>
          </w:p>
        </w:tc>
        <w:tc>
          <w:tcPr>
            <w:tcW w:w="18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2027</w:t>
            </w:r>
          </w:p>
        </w:tc>
      </w:tr>
      <w:tr>
        <w:trPr>
          <w:trHeight w:val="210"/>
        </w:trPr>
        <w:tc>
          <w:tcPr>
            <w:tcW w:w="3520" w:type="dxa"/>
            <w:vAlign w:val="bottom"/>
          </w:tcPr>
          <w:p>
            <w:pPr>
              <w:spacing w:after="0"/>
              <w:rPr>
                <w:sz w:val="20"/>
                <w:szCs w:val="20"/>
                <w:color w:val="auto"/>
              </w:rPr>
            </w:pPr>
            <w:r>
              <w:rPr>
                <w:rFonts w:ascii="Arial" w:cs="Arial" w:eastAsia="Arial" w:hAnsi="Arial"/>
                <w:sz w:val="15"/>
                <w:szCs w:val="15"/>
                <w:color w:val="auto"/>
              </w:rPr>
              <w:t>Third Quarter 2025</w:t>
            </w:r>
          </w:p>
        </w:tc>
        <w:tc>
          <w:tcPr>
            <w:tcW w:w="2260" w:type="dxa"/>
            <w:vAlign w:val="bottom"/>
            <w:gridSpan w:val="3"/>
          </w:tcPr>
          <w:p>
            <w:pPr>
              <w:ind w:left="1560"/>
              <w:spacing w:after="0"/>
              <w:rPr>
                <w:sz w:val="20"/>
                <w:szCs w:val="20"/>
                <w:color w:val="auto"/>
              </w:rPr>
            </w:pPr>
            <w:r>
              <w:rPr>
                <w:rFonts w:ascii="Arial" w:cs="Arial" w:eastAsia="Arial" w:hAnsi="Arial"/>
                <w:sz w:val="15"/>
                <w:szCs w:val="15"/>
                <w:color w:val="auto"/>
              </w:rPr>
              <w:t>N/A</w:t>
            </w:r>
          </w:p>
        </w:tc>
        <w:tc>
          <w:tcPr>
            <w:tcW w:w="1500" w:type="dxa"/>
            <w:vAlign w:val="bottom"/>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6.1 %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5.0 %</w:t>
            </w:r>
          </w:p>
        </w:tc>
      </w:tr>
      <w:tr>
        <w:trPr>
          <w:trHeight w:val="232"/>
        </w:trPr>
        <w:tc>
          <w:tcPr>
            <w:tcW w:w="3520" w:type="dxa"/>
            <w:vAlign w:val="bottom"/>
          </w:tcPr>
          <w:p>
            <w:pPr>
              <w:spacing w:after="0"/>
              <w:rPr>
                <w:sz w:val="20"/>
                <w:szCs w:val="20"/>
                <w:color w:val="auto"/>
              </w:rPr>
            </w:pPr>
            <w:r>
              <w:rPr>
                <w:rFonts w:ascii="Arial" w:cs="Arial" w:eastAsia="Arial" w:hAnsi="Arial"/>
                <w:sz w:val="15"/>
                <w:szCs w:val="15"/>
                <w:color w:val="auto"/>
              </w:rPr>
              <w:t>Fourth Quarter 2024</w:t>
            </w:r>
          </w:p>
        </w:tc>
        <w:tc>
          <w:tcPr>
            <w:tcW w:w="1840" w:type="dxa"/>
            <w:vAlign w:val="bottom"/>
          </w:tcPr>
          <w:p>
            <w:pPr>
              <w:jc w:val="right"/>
              <w:spacing w:after="0"/>
              <w:rPr>
                <w:sz w:val="20"/>
                <w:szCs w:val="20"/>
                <w:color w:val="auto"/>
              </w:rPr>
            </w:pPr>
            <w:r>
              <w:rPr>
                <w:rFonts w:ascii="Arial" w:cs="Arial" w:eastAsia="Arial" w:hAnsi="Arial"/>
                <w:sz w:val="15"/>
                <w:szCs w:val="15"/>
                <w:color w:val="auto"/>
              </w:rPr>
              <w:t>(8.7)%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3.7 %</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N/A</w:t>
            </w:r>
          </w:p>
        </w:tc>
      </w:tr>
    </w:tbl>
    <w:p>
      <w:pPr>
        <w:spacing w:after="0" w:line="119" w:lineRule="exact"/>
        <w:rPr>
          <w:sz w:val="20"/>
          <w:szCs w:val="20"/>
          <w:color w:val="auto"/>
        </w:rPr>
      </w:pPr>
    </w:p>
    <w:p>
      <w:pPr>
        <w:sectPr>
          <w:pgSz w:w="11900" w:h="16838" w:orient="portrait"/>
          <w:cols w:equalWidth="0" w:num="1">
            <w:col w:w="11240"/>
          </w:cols>
          <w:pgMar w:left="320" w:top="248" w:right="339" w:bottom="1440" w:gutter="0" w:footer="0" w:header="0"/>
        </w:sectPr>
      </w:pPr>
    </w:p>
    <w:p>
      <w:pPr>
        <w:spacing w:after="0"/>
        <w:rPr>
          <w:sz w:val="20"/>
          <w:szCs w:val="20"/>
          <w:color w:val="auto"/>
        </w:rPr>
      </w:pPr>
      <w:r>
        <w:rPr>
          <w:rFonts w:ascii="Arial" w:cs="Arial" w:eastAsia="Arial" w:hAnsi="Arial"/>
          <w:sz w:val="9"/>
          <w:szCs w:val="9"/>
          <w:color w:val="auto"/>
        </w:rPr>
        <w:t>N/A</w:t>
      </w:r>
    </w:p>
    <w:p>
      <w:pPr>
        <w:spacing w:after="0" w:line="20" w:lineRule="exact"/>
        <w:rPr>
          <w:sz w:val="20"/>
          <w:szCs w:val="20"/>
          <w:color w:val="auto"/>
        </w:rPr>
      </w:pPr>
      <w:r>
        <w:rPr>
          <w:sz w:val="20"/>
          <w:szCs w:val="20"/>
          <w:color w:val="auto"/>
        </w:rPr>
        <w:br w:type="column"/>
      </w:r>
    </w:p>
    <w:p>
      <w:pPr>
        <w:ind w:right="220" w:firstLine="69"/>
        <w:spacing w:after="0" w:line="269" w:lineRule="auto"/>
        <w:rPr>
          <w:sz w:val="20"/>
          <w:szCs w:val="20"/>
          <w:color w:val="auto"/>
        </w:rPr>
      </w:pPr>
      <w:r>
        <w:rPr>
          <w:rFonts w:ascii="Arial" w:cs="Arial" w:eastAsia="Arial" w:hAnsi="Arial"/>
          <w:sz w:val="14"/>
          <w:szCs w:val="14"/>
          <w:color w:val="auto"/>
        </w:rPr>
        <w:t>Not applicable. For purposes of this disclosure, we provide the forecasted net operating income growth rate and property value growth rate for the period of estimate and the two years following the period of estimate.</w:t>
      </w:r>
    </w:p>
    <w:p>
      <w:pPr>
        <w:spacing w:after="0" w:line="1" w:lineRule="exact"/>
        <w:rPr>
          <w:sz w:val="20"/>
          <w:szCs w:val="20"/>
          <w:color w:val="auto"/>
        </w:rPr>
      </w:pPr>
    </w:p>
    <w:p>
      <w:pPr>
        <w:sectPr>
          <w:pgSz w:w="11900" w:h="16838" w:orient="portrait"/>
          <w:cols w:equalWidth="0" w:num="2">
            <w:col w:w="160" w:space="80"/>
            <w:col w:w="11000"/>
          </w:cols>
          <w:pgMar w:left="320" w:top="248" w:right="339" w:bottom="1440" w:gutter="0" w:footer="0" w:header="0"/>
          <w:type w:val="continuous"/>
        </w:sectPr>
      </w:pPr>
    </w:p>
    <w:p>
      <w:pPr>
        <w:ind w:left="220" w:hanging="231"/>
        <w:spacing w:after="0" w:line="278" w:lineRule="auto"/>
        <w:tabs>
          <w:tab w:leader="none" w:pos="200" w:val="left"/>
        </w:tabs>
        <w:rPr>
          <w:sz w:val="20"/>
          <w:szCs w:val="20"/>
          <w:color w:val="auto"/>
        </w:rPr>
      </w:pPr>
      <w:r>
        <w:rPr>
          <w:rFonts w:ascii="Arial" w:cs="Arial" w:eastAsia="Arial" w:hAnsi="Arial"/>
          <w:sz w:val="9"/>
          <w:szCs w:val="9"/>
          <w:color w:val="auto"/>
        </w:rPr>
        <w:t>(1)</w:t>
      </w:r>
      <w:r>
        <w:rPr>
          <w:sz w:val="20"/>
          <w:szCs w:val="20"/>
          <w:color w:val="auto"/>
        </w:rPr>
        <w:tab/>
      </w:r>
      <w:r>
        <w:rPr>
          <w:rFonts w:ascii="Arial" w:cs="Arial" w:eastAsia="Arial" w:hAnsi="Arial"/>
          <w:sz w:val="14"/>
          <w:szCs w:val="14"/>
          <w:color w:val="auto"/>
        </w:rPr>
        <w:t>These forecasts are provided solely for the purpose of providing insight into our credit loss model. Forecasts for future periods are increases for periods that are further in the future, and may not align to other market forecasts.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subject to significant uncertainty, which</w:t>
      </w:r>
    </w:p>
    <w:p>
      <w:pPr>
        <w:spacing w:after="0" w:line="248" w:lineRule="exact"/>
        <w:rPr>
          <w:sz w:val="20"/>
          <w:szCs w:val="20"/>
          <w:color w:val="auto"/>
        </w:rPr>
      </w:pPr>
    </w:p>
    <w:p>
      <w:pPr>
        <w:sectPr>
          <w:pgSz w:w="11900" w:h="16838" w:orient="portrait"/>
          <w:cols w:equalWidth="0" w:num="2">
            <w:col w:w="8080" w:space="340"/>
            <w:col w:w="2820"/>
          </w:cols>
          <w:pgMar w:left="320" w:top="248" w:right="339" w:bottom="1440" w:gutter="0" w:footer="0" w:header="0"/>
          <w:type w:val="continuous"/>
        </w:sectPr>
      </w:pPr>
    </w:p>
    <w:p>
      <w:pPr>
        <w:ind w:right="240"/>
        <w:spacing w:after="0" w:line="293" w:lineRule="auto"/>
        <w:rPr>
          <w:sz w:val="20"/>
          <w:szCs w:val="20"/>
          <w:color w:val="auto"/>
        </w:rPr>
      </w:pPr>
      <w:r>
        <w:rPr>
          <w:rFonts w:ascii="Arial" w:cs="Arial" w:eastAsia="Arial" w:hAnsi="Arial"/>
          <w:sz w:val="16"/>
          <w:szCs w:val="16"/>
          <w:color w:val="auto"/>
        </w:rPr>
        <w:t>As noted above, our multifamily allowance for loan losses is sensitive to changes in net operating income and property value changes. We present in the table below the impact of hypothetical changes in net operating income and property value, with all other factors held constant.</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Multifamily Sensitivities - Hypothetical Changes to Model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Forecasted change to the first 12 months of the forecast:</w:t>
            </w:r>
          </w:p>
        </w:tc>
        <w:tc>
          <w:tcPr>
            <w:tcW w:w="160" w:type="dxa"/>
            <w:vAlign w:val="bottom"/>
          </w:tcPr>
          <w:p>
            <w:pPr>
              <w:spacing w:after="0"/>
              <w:rPr>
                <w:sz w:val="14"/>
                <w:szCs w:val="14"/>
                <w:color w:val="auto"/>
              </w:rPr>
            </w:pPr>
          </w:p>
        </w:tc>
        <w:tc>
          <w:tcPr>
            <w:tcW w:w="21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Allowance Impact</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8"/>
              </w:rPr>
              <w:t>Approximate Change in Allowance</w:t>
            </w:r>
          </w:p>
        </w:tc>
        <w:tc>
          <w:tcPr>
            <w:tcW w:w="0" w:type="dxa"/>
            <w:vAlign w:val="bottom"/>
          </w:tcPr>
          <w:p>
            <w:pPr>
              <w:spacing w:after="0"/>
              <w:rPr>
                <w:sz w:val="1"/>
                <w:szCs w:val="1"/>
                <w:color w:val="auto"/>
              </w:rPr>
            </w:pPr>
          </w:p>
        </w:tc>
      </w:tr>
      <w:tr>
        <w:trPr>
          <w:trHeight w:val="192"/>
        </w:trPr>
        <w:tc>
          <w:tcPr>
            <w:tcW w:w="5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3380" w:type="dxa"/>
            <w:vAlign w:val="bottom"/>
          </w:tcPr>
          <w:p>
            <w:pPr>
              <w:jc w:val="center"/>
              <w:spacing w:after="0" w:line="192" w:lineRule="exact"/>
              <w:rPr>
                <w:sz w:val="20"/>
                <w:szCs w:val="20"/>
                <w:color w:val="auto"/>
              </w:rPr>
            </w:pPr>
            <w:r>
              <w:rPr>
                <w:rFonts w:ascii="Arial" w:cs="Arial" w:eastAsia="Arial" w:hAnsi="Arial"/>
                <w:sz w:val="14"/>
                <w:szCs w:val="14"/>
                <w:b w:val="1"/>
                <w:bCs w:val="1"/>
                <w:color w:val="auto"/>
                <w:w w:val="97"/>
              </w:rPr>
              <w:t>as of September 30, 2025</w:t>
            </w:r>
            <w:r>
              <w:rPr>
                <w:rFonts w:ascii="Arial" w:cs="Arial" w:eastAsia="Arial" w:hAnsi="Arial"/>
                <w:sz w:val="17"/>
                <w:szCs w:val="17"/>
                <w:b w:val="1"/>
                <w:bCs w:val="1"/>
                <w:color w:val="auto"/>
                <w:w w:val="97"/>
                <w:vertAlign w:val="superscript"/>
              </w:rPr>
              <w:t>(1)</w:t>
            </w:r>
          </w:p>
        </w:tc>
        <w:tc>
          <w:tcPr>
            <w:tcW w:w="0" w:type="dxa"/>
            <w:vAlign w:val="bottom"/>
          </w:tcPr>
          <w:p>
            <w:pPr>
              <w:spacing w:after="0"/>
              <w:rPr>
                <w:sz w:val="1"/>
                <w:szCs w:val="1"/>
                <w:color w:val="auto"/>
              </w:rPr>
            </w:pPr>
          </w:p>
        </w:tc>
      </w:tr>
      <w:tr>
        <w:trPr>
          <w:trHeight w:val="172"/>
        </w:trPr>
        <w:tc>
          <w:tcPr>
            <w:tcW w:w="5580" w:type="dxa"/>
            <w:vAlign w:val="bottom"/>
          </w:tcPr>
          <w:p>
            <w:pPr>
              <w:jc w:val="right"/>
              <w:ind w:right="2004"/>
              <w:spacing w:after="0"/>
              <w:rPr>
                <w:sz w:val="20"/>
                <w:szCs w:val="20"/>
                <w:color w:val="auto"/>
              </w:rPr>
            </w:pPr>
            <w:r>
              <w:rPr>
                <w:rFonts w:ascii="Arial" w:cs="Arial" w:eastAsia="Arial" w:hAnsi="Arial"/>
                <w:sz w:val="14"/>
                <w:szCs w:val="14"/>
                <w:b w:val="1"/>
                <w:bCs w:val="1"/>
                <w:color w:val="auto"/>
              </w:rPr>
              <w:t>(In percentage points)</w:t>
            </w:r>
          </w:p>
        </w:tc>
        <w:tc>
          <w:tcPr>
            <w:tcW w:w="160" w:type="dxa"/>
            <w:vAlign w:val="bottom"/>
          </w:tcPr>
          <w:p>
            <w:pPr>
              <w:spacing w:after="0"/>
              <w:rPr>
                <w:sz w:val="14"/>
                <w:szCs w:val="14"/>
                <w:color w:val="auto"/>
              </w:rPr>
            </w:pPr>
          </w:p>
        </w:tc>
        <w:tc>
          <w:tcPr>
            <w:tcW w:w="1980" w:type="dxa"/>
            <w:vAlign w:val="bottom"/>
            <w:tcBorders>
              <w:top w:val="single" w:sz="8" w:color="2C6937"/>
            </w:tcBorders>
          </w:tcPr>
          <w:p>
            <w:pPr>
              <w:spacing w:after="0"/>
              <w:rPr>
                <w:sz w:val="14"/>
                <w:szCs w:val="14"/>
                <w:color w:val="auto"/>
              </w:rPr>
            </w:pPr>
          </w:p>
        </w:tc>
        <w:tc>
          <w:tcPr>
            <w:tcW w:w="140" w:type="dxa"/>
            <w:vAlign w:val="bottom"/>
          </w:tcPr>
          <w:p>
            <w:pPr>
              <w:spacing w:after="0"/>
              <w:rPr>
                <w:sz w:val="14"/>
                <w:szCs w:val="14"/>
                <w:color w:val="auto"/>
              </w:rPr>
            </w:pPr>
          </w:p>
        </w:tc>
        <w:tc>
          <w:tcPr>
            <w:tcW w:w="3380" w:type="dxa"/>
            <w:vAlign w:val="bottom"/>
            <w:tcBorders>
              <w:top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net operating income growth rate:</w:t>
            </w: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58"/>
        </w:trPr>
        <w:tc>
          <w:tcPr>
            <w:tcW w:w="5580" w:type="dxa"/>
            <w:vAlign w:val="bottom"/>
          </w:tcPr>
          <w:p>
            <w:pPr>
              <w:jc w:val="right"/>
              <w:ind w:right="500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413"/>
        </w:trPr>
        <w:tc>
          <w:tcPr>
            <w:tcW w:w="55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Change in property value growth rate:</w:t>
            </w: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80" w:type="dxa"/>
            <w:vAlign w:val="bottom"/>
          </w:tcPr>
          <w:p>
            <w:pPr>
              <w:jc w:val="right"/>
              <w:ind w:right="502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58"/>
        </w:trPr>
        <w:tc>
          <w:tcPr>
            <w:tcW w:w="5580" w:type="dxa"/>
            <w:vAlign w:val="bottom"/>
          </w:tcPr>
          <w:p>
            <w:pPr>
              <w:jc w:val="right"/>
              <w:ind w:right="500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-915035</wp:posOffset>
            </wp:positionV>
            <wp:extent cx="90170" cy="1066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0170" cy="10668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-751840</wp:posOffset>
            </wp:positionV>
            <wp:extent cx="98425" cy="1066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8425" cy="106680"/>
                    </a:xfrm>
                    <a:prstGeom prst="rect">
                      <a:avLst/>
                    </a:prstGeom>
                    <a:noFill/>
                  </pic:spPr>
                </pic:pic>
              </a:graphicData>
            </a:graphic>
          </wp:anchor>
        </w:drawing>
        <w:drawing>
          <wp:anchor simplePos="0" relativeHeight="251657728" behindDoc="1" locked="0" layoutInCell="0" allowOverlap="1">
            <wp:simplePos x="0" y="0"/>
            <wp:positionH relativeFrom="column">
              <wp:posOffset>4234180</wp:posOffset>
            </wp:positionH>
            <wp:positionV relativeFrom="paragraph">
              <wp:posOffset>-325755</wp:posOffset>
            </wp:positionV>
            <wp:extent cx="90170" cy="1066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0170" cy="10668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-161925</wp:posOffset>
            </wp:positionV>
            <wp:extent cx="98425" cy="1066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8425" cy="106680"/>
                    </a:xfrm>
                    <a:prstGeom prst="rect">
                      <a:avLst/>
                    </a:prstGeom>
                    <a:noFill/>
                  </pic:spPr>
                </pic:pic>
              </a:graphicData>
            </a:graphic>
          </wp:anchor>
        </w:drawing>
      </w:r>
    </w:p>
    <w:p>
      <w:pPr>
        <w:spacing w:after="0" w:line="76" w:lineRule="exact"/>
        <w:rPr>
          <w:sz w:val="20"/>
          <w:szCs w:val="20"/>
          <w:color w:val="auto"/>
        </w:rPr>
      </w:pPr>
    </w:p>
    <w:p>
      <w:pPr>
        <w:ind w:left="300" w:hanging="297"/>
        <w:spacing w:after="0"/>
        <w:tabs>
          <w:tab w:leader="none" w:pos="30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Calculated as a percentage of our multifamily allowance for loan losses.</w:t>
      </w:r>
    </w:p>
    <w:p>
      <w:pPr>
        <w:spacing w:after="0" w:line="54"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above sensitivity analyses are hypothetical and are provided solely for the purpose of providing insight into our credit loss model inputs. In addition, sensitivities for net operating income and property value changes are non-linear. As a result, changes in these estimates are not always incrementally proportional. The purpose of this analysis is to provide an indication of the impact of net operating income and property value changes on the estimate of the multifamily allowance for credit losses. This analysis is not intended to imply management’s expectation of future changes in our forecasts or any other variables that may change as a result.</w:t>
      </w:r>
    </w:p>
    <w:p>
      <w:pPr>
        <w:spacing w:after="0" w:line="38"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See “Consolidated Results of Operations—(Provision) Benefit for Credit Losses” for information on how our property valuations impacted our multifamily (provision) benefit for credit losses.</w:t>
      </w:r>
    </w:p>
    <w:p>
      <w:pPr>
        <w:spacing w:after="0" w:line="113"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Impact of Future Adoption of New Accounting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165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80"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We identify and discuss the expected impact on our condensed consolidated financial statements of recently issued accounting guidance in “Note 1, Summary of Significant Accounting Policies.”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58</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61" w:name="page62"/>
    <w:bookmarkEnd w:id="61"/>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color w:val="05314D"/>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38670" cy="165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28"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This report includes statements that constitute forward-looking statements within the meaning of Section 21E of the Securities Exchange Act of 1934 (the “Exchange Act”). In addition, we and our senior management may from time to time make forward-looking statements in our other filings with the SEC, our other publicly available written statements, and orally to analysts, investors, the news media and others. Forward-looking statements often include words such as “expect,” “anticipate,” “intend,” “plan,” “believe,” “seek,” “estimate,” “forecast,” “project,” “would,” “should,” “could,” “likely,” “may,” “will” or similar words. Examples of forward-looking statements in this report include, among others, statements relating to our beliefs and expectations regarding the following matters:</w:t>
      </w:r>
    </w:p>
    <w:p>
      <w:pPr>
        <w:spacing w:after="0" w:line="41" w:lineRule="exact"/>
        <w:rPr>
          <w:sz w:val="20"/>
          <w:szCs w:val="20"/>
          <w:color w:val="auto"/>
        </w:rPr>
      </w:pPr>
    </w:p>
    <w:p>
      <w:pPr>
        <w:ind w:left="620" w:right="20" w:hanging="307"/>
        <w:spacing w:after="0" w:line="281" w:lineRule="auto"/>
        <w:tabs>
          <w:tab w:leader="none" w:pos="612" w:val="left"/>
        </w:tabs>
        <w:numPr>
          <w:ilvl w:val="0"/>
          <w:numId w:val="50"/>
        </w:numPr>
        <w:rPr>
          <w:rFonts w:ascii="Arial" w:cs="Arial" w:eastAsia="Arial" w:hAnsi="Arial"/>
          <w:sz w:val="16"/>
          <w:szCs w:val="16"/>
          <w:i w:val="1"/>
          <w:iCs w:val="1"/>
          <w:color w:val="auto"/>
        </w:rPr>
      </w:pPr>
      <w:r>
        <w:rPr>
          <w:rFonts w:ascii="Arial" w:cs="Arial" w:eastAsia="Arial" w:hAnsi="Arial"/>
          <w:sz w:val="16"/>
          <w:szCs w:val="16"/>
          <w:color w:val="auto"/>
        </w:rPr>
        <w:t>economic, mortgage market and housing market conditions (including expectations regarding economic growth, home price growth, multifamily property values, the unemployment rate, loan origination volumes, interest rates and multifamily property net operating income), the factors that will affect those conditions, and the impact of those conditions on our business and financial results;</w:t>
      </w:r>
    </w:p>
    <w:p>
      <w:pPr>
        <w:spacing w:after="0" w:line="24" w:lineRule="exact"/>
        <w:rPr>
          <w:rFonts w:ascii="Arial" w:cs="Arial" w:eastAsia="Arial" w:hAnsi="Arial"/>
          <w:sz w:val="16"/>
          <w:szCs w:val="16"/>
          <w:i w:val="1"/>
          <w:iCs w:val="1"/>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impact of hedge accounting on the volatility of our financial results;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future aggregate liquidation preference of our senior preferred stock;</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future dividend payments on the senior preferred stock;</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business plans and strategies, and their impact, including our plans relating to new credit score models;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credit performance of loans in our guaranty book of business, future credit losses, and the factors that will affect them;</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how we intend to repay our debt obligations;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impact on our single-family guaranty book servicing concentration of Rocket Companies’ acquisition of Mr. Cooper Group;</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impact of the adoption of new accounting guidance;</w:t>
      </w:r>
    </w:p>
    <w:p>
      <w:pPr>
        <w:spacing w:after="0" w:line="86" w:lineRule="exact"/>
        <w:rPr>
          <w:rFonts w:ascii="Arial" w:cs="Arial" w:eastAsia="Arial" w:hAnsi="Arial"/>
          <w:sz w:val="16"/>
          <w:szCs w:val="16"/>
          <w:color w:val="auto"/>
        </w:rPr>
      </w:pPr>
    </w:p>
    <w:p>
      <w:pPr>
        <w:ind w:left="620" w:right="20" w:hanging="307"/>
        <w:spacing w:after="0" w:line="293" w:lineRule="auto"/>
        <w:tabs>
          <w:tab w:leader="none" w:pos="612"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payments to specified U.S. Department of Housing and Urban Development (“HUD”) and Treasury funds in support of affordable housing under the GSE Act;</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legal and regulatory proceedings;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risks to our business.</w:t>
      </w:r>
    </w:p>
    <w:p>
      <w:pPr>
        <w:spacing w:after="0" w:line="8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Forward-looking statements reflect our management’s current expectations, forecasts or predictions of future conditions, events or results based on various assumptions and management’s estimates of trends and economic conditions in the markets in which we are active and that otherwise impact our business plans. Forward-looking statements are not guarantees of future performance. By their nature, forward-looking statements are subject to significant risks and uncertainties and changes in circumstances. Our actual results and financial condition may differ, possibly materially, from the anticipated results and financial condition indicated in these forward-looking statements.</w:t>
      </w:r>
    </w:p>
    <w:p>
      <w:pPr>
        <w:spacing w:after="0" w:line="38" w:lineRule="exact"/>
        <w:rPr>
          <w:sz w:val="20"/>
          <w:szCs w:val="20"/>
          <w:color w:val="auto"/>
        </w:rPr>
      </w:pPr>
    </w:p>
    <w:p>
      <w:pPr>
        <w:ind w:right="780"/>
        <w:spacing w:after="0" w:line="293" w:lineRule="auto"/>
        <w:rPr>
          <w:sz w:val="20"/>
          <w:szCs w:val="20"/>
          <w:color w:val="auto"/>
        </w:rPr>
      </w:pPr>
      <w:r>
        <w:rPr>
          <w:rFonts w:ascii="Arial" w:cs="Arial" w:eastAsia="Arial" w:hAnsi="Arial"/>
          <w:sz w:val="16"/>
          <w:szCs w:val="16"/>
          <w:color w:val="auto"/>
        </w:rPr>
        <w:t>There are a number of factors that could cause actual conditions, events or results to differ materially from those described in our forward-looking statements, including, among others, the following:</w:t>
      </w:r>
    </w:p>
    <w:p>
      <w:pPr>
        <w:spacing w:after="0" w:line="15" w:lineRule="exact"/>
        <w:rPr>
          <w:sz w:val="20"/>
          <w:szCs w:val="20"/>
          <w:color w:val="auto"/>
        </w:rPr>
      </w:pPr>
    </w:p>
    <w:p>
      <w:pPr>
        <w:ind w:left="620" w:right="180" w:hanging="307"/>
        <w:spacing w:after="0" w:line="293"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growth, deterioration and the overall health and stability of the U.S. economy, including GDP, unemployment rates, personal income, inflation and other indicators thereof;</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impact of trade, fiscal, regulatory and immigration policies and the ongoing government shutdown;</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deterioration in a specific sector of the U.S. economy or in one or more regional areas of the United States;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future interest rates and credit spreads;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timing and level of, as well as regional variation in, home price changes;</w:t>
      </w:r>
    </w:p>
    <w:p>
      <w:pPr>
        <w:spacing w:after="0" w:line="86" w:lineRule="exact"/>
        <w:rPr>
          <w:rFonts w:ascii="Arial" w:cs="Arial" w:eastAsia="Arial" w:hAnsi="Arial"/>
          <w:sz w:val="16"/>
          <w:szCs w:val="16"/>
          <w:color w:val="auto"/>
        </w:rPr>
      </w:pPr>
    </w:p>
    <w:p>
      <w:pPr>
        <w:ind w:left="620" w:right="460" w:hanging="307"/>
        <w:spacing w:after="0" w:line="310"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size and our share of the U.S. mortgage market (including the volume of mortgage originations) and the factors that affect them, including population growth and household formation;</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changes in fiscal or monetary policy of the U.S. or other countries, and the impact of such changes on domestic and international financial markets;</w:t>
      </w:r>
    </w:p>
    <w:p>
      <w:pPr>
        <w:spacing w:after="0" w:line="86" w:lineRule="exact"/>
        <w:rPr>
          <w:rFonts w:ascii="Arial" w:cs="Arial" w:eastAsia="Arial" w:hAnsi="Arial"/>
          <w:sz w:val="16"/>
          <w:szCs w:val="16"/>
          <w:color w:val="auto"/>
        </w:rPr>
      </w:pPr>
    </w:p>
    <w:p>
      <w:pPr>
        <w:ind w:left="620" w:right="160" w:hanging="307"/>
        <w:spacing w:after="0" w:line="293"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domestic, regional and global political risks and uncertainties, including the impact of conflicts in the Middle East, the Russian war in Ukraine, and tensions between China and Taiwan;</w:t>
      </w:r>
    </w:p>
    <w:p>
      <w:pPr>
        <w:spacing w:after="0" w:line="14" w:lineRule="exact"/>
        <w:rPr>
          <w:rFonts w:ascii="Arial" w:cs="Arial" w:eastAsia="Arial" w:hAnsi="Arial"/>
          <w:sz w:val="16"/>
          <w:szCs w:val="16"/>
          <w:color w:val="auto"/>
        </w:rPr>
      </w:pPr>
    </w:p>
    <w:p>
      <w:pPr>
        <w:ind w:left="620" w:right="80" w:hanging="307"/>
        <w:spacing w:after="0" w:line="310" w:lineRule="auto"/>
        <w:tabs>
          <w:tab w:leader="none" w:pos="612"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developments that may be difficult to predict, including: market conditions that result in changes in our deferred guaranty fee income or changes in net interest income from our portfolios; fluctuations in the estimated fair</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59</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2" w:name="page63"/>
    <w:bookmarkEnd w:id="62"/>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value of our assets and liabilities; and developments that affect our loss reserves, such as changes in interest rates or home prices;</w:t>
      </w:r>
    </w:p>
    <w:p>
      <w:pPr>
        <w:spacing w:after="0" w:line="87" w:lineRule="exact"/>
        <w:rPr>
          <w:sz w:val="20"/>
          <w:szCs w:val="20"/>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disruptions or instability in the housing and credit markets;</w:t>
      </w:r>
    </w:p>
    <w:p>
      <w:pPr>
        <w:spacing w:after="0" w:line="86" w:lineRule="exact"/>
        <w:rPr>
          <w:rFonts w:ascii="Arial" w:cs="Arial" w:eastAsia="Arial" w:hAnsi="Arial"/>
          <w:sz w:val="16"/>
          <w:szCs w:val="16"/>
          <w:color w:val="auto"/>
        </w:rPr>
      </w:pPr>
    </w:p>
    <w:p>
      <w:pPr>
        <w:ind w:left="620" w:right="120" w:hanging="307"/>
        <w:spacing w:after="0" w:line="310"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changes in the demand for Fannie Mae MBS, our debt securities or our credit risk transfer securities, in general or from one or more major groups of investors;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constraints on our entry into new credit risk transfer transactions;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decrease in our credit ratings;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limitations on our ability to access the debt capital markets;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size, composition, quality and performance of our guaranty book of business and retained mortgage portfolio;</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how long loans in our guaranty book of business remain outstanding;</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and our competitors’ future guaranty fee pricing and the impact of that pricing on our competitive environment and guaranty fee revenues;</w:t>
      </w:r>
    </w:p>
    <w:p>
      <w:pPr>
        <w:spacing w:after="0" w:line="86" w:lineRule="exact"/>
        <w:rPr>
          <w:rFonts w:ascii="Arial" w:cs="Arial" w:eastAsia="Arial" w:hAnsi="Arial"/>
          <w:sz w:val="16"/>
          <w:szCs w:val="16"/>
          <w:color w:val="auto"/>
        </w:rPr>
      </w:pPr>
    </w:p>
    <w:p>
      <w:pPr>
        <w:ind w:left="620" w:right="22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competitive environment in which we operate, including the impact of legislative, regulatory or other developments on levels of competition in our industry and other factors affecting our market share;</w:t>
      </w:r>
    </w:p>
    <w:p>
      <w:pPr>
        <w:spacing w:after="0" w:line="14" w:lineRule="exact"/>
        <w:rPr>
          <w:rFonts w:ascii="Arial" w:cs="Arial" w:eastAsia="Arial" w:hAnsi="Arial"/>
          <w:sz w:val="16"/>
          <w:szCs w:val="16"/>
          <w:color w:val="auto"/>
        </w:rPr>
      </w:pPr>
    </w:p>
    <w:p>
      <w:pPr>
        <w:ind w:left="620" w:right="38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impact of interdependence between the single-family mortgage securitization programs of Fannie Mae and Freddie Mac in connection with UMBS;</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significant challenges we face in retaining and hiring qualified executives and other employees;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conservatorship, including any changes to or termination (by receivership or otherwise) of the conservatorship and its effect on our business;</w:t>
      </w:r>
    </w:p>
    <w:p>
      <w:pPr>
        <w:spacing w:after="0" w:line="86" w:lineRule="exact"/>
        <w:rPr>
          <w:rFonts w:ascii="Arial" w:cs="Arial" w:eastAsia="Arial" w:hAnsi="Arial"/>
          <w:sz w:val="16"/>
          <w:szCs w:val="16"/>
          <w:color w:val="auto"/>
        </w:rPr>
      </w:pPr>
    </w:p>
    <w:p>
      <w:pPr>
        <w:ind w:left="620" w:right="60" w:hanging="307"/>
        <w:spacing w:after="0" w:line="271"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investment by Treasury, including the impact of past or potential future changes to the terms of the senior preferred stock purchase agreement, senior preferred stock or warrant, and their effect on our business, including restrictions imposed on us by the terms of the senior preferred stock purchase agreement, the senior preferred stock, or the warrant, as well as the extent that these or other restrictions on our business and activities are applied to us through other mechanisms even if we cease to be subject to these agreements and instruments;</w:t>
      </w:r>
    </w:p>
    <w:p>
      <w:pPr>
        <w:spacing w:after="0" w:line="32"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uncertainty regarding our future, our exit from conservatorship, and our ability to raise or earn the capital needed to meet our capital requirements;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impact of the enterprise regulatory capital framework on our business and financial results;</w:t>
      </w:r>
    </w:p>
    <w:p>
      <w:pPr>
        <w:spacing w:after="0" w:line="86" w:lineRule="exact"/>
        <w:rPr>
          <w:rFonts w:ascii="Arial" w:cs="Arial" w:eastAsia="Arial" w:hAnsi="Arial"/>
          <w:sz w:val="16"/>
          <w:szCs w:val="16"/>
          <w:color w:val="auto"/>
        </w:rPr>
      </w:pPr>
    </w:p>
    <w:p>
      <w:pPr>
        <w:ind w:left="620" w:right="260" w:hanging="307"/>
        <w:spacing w:after="0" w:line="281"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future legislative and regulatory requirements or changes, governmental initiatives, or executive orders affecting us, such as the enactment of housing finance reform legislation, including changes that limit our business activities or our footprint, impose new mandates on us, or affect our ability to change our pricing;</w:t>
      </w:r>
    </w:p>
    <w:p>
      <w:pPr>
        <w:spacing w:after="0" w:line="24" w:lineRule="exact"/>
        <w:rPr>
          <w:rFonts w:ascii="Arial" w:cs="Arial" w:eastAsia="Arial" w:hAnsi="Arial"/>
          <w:sz w:val="16"/>
          <w:szCs w:val="16"/>
          <w:color w:val="auto"/>
        </w:rPr>
      </w:pPr>
    </w:p>
    <w:p>
      <w:pPr>
        <w:ind w:left="620" w:right="16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future legislative and regulatory requirements or changes, governmental initiatives, or executive orders affecting macroeconomic conditions, such as changes to trade, fiscal, tax or immigration policies;</w:t>
      </w:r>
    </w:p>
    <w:p>
      <w:pPr>
        <w:spacing w:after="0" w:line="14" w:lineRule="exact"/>
        <w:rPr>
          <w:rFonts w:ascii="Arial" w:cs="Arial" w:eastAsia="Arial" w:hAnsi="Arial"/>
          <w:sz w:val="16"/>
          <w:szCs w:val="16"/>
          <w:color w:val="auto"/>
        </w:rPr>
      </w:pPr>
    </w:p>
    <w:p>
      <w:pPr>
        <w:ind w:left="620" w:right="60" w:hanging="307"/>
        <w:spacing w:after="0" w:line="272"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actions by FHFA, Treasury, the Federal Reserve, the Office of the Comptroller of the Currency (“OCC”), the Federal Deposit Insurance Corporation (“FDIC”), the Commodity Futures Trading Commission (“CFTC”), HUD, the Consumer Financial Protection Bureau, the SEC or other regulators, Congress, the Executive Branch, or state or local governments that affect our business;</w:t>
      </w:r>
    </w:p>
    <w:p>
      <w:pPr>
        <w:spacing w:after="0" w:line="44"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changes in the structure and regulation of the financial services industry;</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possibility that changes in leadership at FHFA or the Administration will result in additional changes that affect our company or our business;</w:t>
      </w:r>
    </w:p>
    <w:p>
      <w:pPr>
        <w:spacing w:after="0" w:line="86" w:lineRule="exact"/>
        <w:rPr>
          <w:rFonts w:ascii="Arial" w:cs="Arial" w:eastAsia="Arial" w:hAnsi="Arial"/>
          <w:sz w:val="16"/>
          <w:szCs w:val="16"/>
          <w:color w:val="auto"/>
        </w:rPr>
      </w:pPr>
    </w:p>
    <w:p>
      <w:pPr>
        <w:ind w:left="620" w:right="40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actions we may be required to take by FHFA, in its role as our conservator or as our regulator, such as changes in the type of business we do, actions relating to UMBS or our resecuritization of Freddie Mac-issued securities, or credit risk management actions;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limitations on our business imposed by FHFA, in its role as our conservator or as our regulator;</w:t>
      </w:r>
    </w:p>
    <w:p>
      <w:pPr>
        <w:spacing w:after="0" w:line="99" w:lineRule="exact"/>
        <w:rPr>
          <w:rFonts w:ascii="Arial" w:cs="Arial" w:eastAsia="Arial" w:hAnsi="Arial"/>
          <w:sz w:val="16"/>
          <w:szCs w:val="16"/>
          <w:color w:val="auto"/>
        </w:rPr>
      </w:pPr>
    </w:p>
    <w:p>
      <w:pPr>
        <w:ind w:left="620" w:right="160" w:hanging="307"/>
        <w:spacing w:after="0" w:line="293" w:lineRule="auto"/>
        <w:tabs>
          <w:tab w:leader="none" w:pos="612" w:val="left"/>
        </w:tabs>
        <w:numPr>
          <w:ilvl w:val="0"/>
          <w:numId w:val="52"/>
        </w:numPr>
        <w:rPr>
          <w:rFonts w:ascii="Arial" w:cs="Arial" w:eastAsia="Arial" w:hAnsi="Arial"/>
          <w:sz w:val="16"/>
          <w:szCs w:val="16"/>
          <w:color w:val="auto"/>
        </w:rPr>
      </w:pPr>
      <w:r>
        <w:rPr>
          <w:rFonts w:ascii="Arial" w:cs="Arial" w:eastAsia="Arial" w:hAnsi="Arial"/>
          <w:sz w:val="16"/>
          <w:szCs w:val="16"/>
          <w:color w:val="auto"/>
        </w:rPr>
        <w:t>adverse effects from activities we undertake to support the mortgage market and help borrowers, renters, lenders and servicers, including actions we may take to reach additional underserved borrowers, or from pursuing new business activities;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default by the United States government on its obligations;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60</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3" w:name="page64"/>
    <w:bookmarkEnd w:id="63"/>
    <w:p>
      <w:pPr>
        <w:ind w:left="8840"/>
        <w:spacing w:after="0"/>
        <w:rPr>
          <w:sz w:val="20"/>
          <w:szCs w:val="20"/>
          <w:color w:val="auto"/>
        </w:rPr>
      </w:pPr>
      <w:r>
        <w:rPr>
          <w:rFonts w:ascii="Arial" w:cs="Arial" w:eastAsia="Arial" w:hAnsi="Arial"/>
          <w:sz w:val="14"/>
          <w:szCs w:val="14"/>
          <w:color w:val="05314D"/>
        </w:rPr>
        <w:t>MD&amp;A |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17145</wp:posOffset>
            </wp:positionV>
            <wp:extent cx="69996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9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future shutdown of the United States government;</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significant changes in forbearance, modification and foreclosure activity;</w:t>
      </w:r>
    </w:p>
    <w:p>
      <w:pPr>
        <w:spacing w:after="0" w:line="86" w:lineRule="exact"/>
        <w:rPr>
          <w:rFonts w:ascii="Arial" w:cs="Arial" w:eastAsia="Arial" w:hAnsi="Arial"/>
          <w:sz w:val="16"/>
          <w:szCs w:val="16"/>
          <w:color w:val="auto"/>
        </w:rPr>
      </w:pPr>
    </w:p>
    <w:p>
      <w:pPr>
        <w:ind w:left="620" w:right="300" w:hanging="307"/>
        <w:spacing w:after="0" w:line="310"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volume and pace of any future nonperforming and reperforming loan sales and their impact on our financial results and serious delinquency rates;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changes in borrower behavior;</w:t>
      </w:r>
    </w:p>
    <w:p>
      <w:pPr>
        <w:spacing w:after="0" w:line="86" w:lineRule="exact"/>
        <w:rPr>
          <w:rFonts w:ascii="Arial" w:cs="Arial" w:eastAsia="Arial" w:hAnsi="Arial"/>
          <w:sz w:val="16"/>
          <w:szCs w:val="16"/>
          <w:color w:val="auto"/>
        </w:rPr>
      </w:pPr>
    </w:p>
    <w:p>
      <w:pPr>
        <w:ind w:left="620" w:right="280" w:hanging="307"/>
        <w:spacing w:after="0" w:line="293"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actions we may take to mitigate losses, and the effectiveness of our loss mitigation strategies, management of our REO inventory and pursuit of contractual remedies;</w:t>
      </w:r>
    </w:p>
    <w:p>
      <w:pPr>
        <w:spacing w:after="0" w:line="14" w:lineRule="exact"/>
        <w:rPr>
          <w:rFonts w:ascii="Arial" w:cs="Arial" w:eastAsia="Arial" w:hAnsi="Arial"/>
          <w:sz w:val="16"/>
          <w:szCs w:val="16"/>
          <w:color w:val="auto"/>
        </w:rPr>
      </w:pPr>
    </w:p>
    <w:p>
      <w:pPr>
        <w:ind w:left="620" w:right="160" w:hanging="307"/>
        <w:spacing w:after="0" w:line="310"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environmental disasters, terrorist attacks, widespread health emergencies or pandemics, infrastructure failures, or other disruptive or catastrophic events;</w:t>
      </w:r>
    </w:p>
    <w:p>
      <w:pPr>
        <w:spacing w:after="0" w:line="1" w:lineRule="exact"/>
        <w:rPr>
          <w:rFonts w:ascii="Arial" w:cs="Arial" w:eastAsia="Arial" w:hAnsi="Arial"/>
          <w:sz w:val="16"/>
          <w:szCs w:val="16"/>
          <w:color w:val="auto"/>
        </w:rPr>
      </w:pPr>
    </w:p>
    <w:p>
      <w:pPr>
        <w:ind w:left="620" w:right="460" w:hanging="307"/>
        <w:spacing w:after="0" w:line="293"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expiration of the National Flood Insurance Program (“NFIP”) on September 30, 2025, without re-authorization, including the impact of any disruptions in the payment of claims and of delays in obtaining or renewing coverage;</w:t>
      </w:r>
    </w:p>
    <w:p>
      <w:pPr>
        <w:spacing w:after="0" w:line="14" w:lineRule="exact"/>
        <w:rPr>
          <w:rFonts w:ascii="Arial" w:cs="Arial" w:eastAsia="Arial" w:hAnsi="Arial"/>
          <w:sz w:val="16"/>
          <w:szCs w:val="16"/>
          <w:color w:val="auto"/>
        </w:rPr>
      </w:pPr>
    </w:p>
    <w:p>
      <w:pPr>
        <w:ind w:left="620" w:right="40" w:hanging="307"/>
        <w:spacing w:after="0" w:line="293"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earthquakes or other natural disasters, including those for which we may be uninsured or under-insured or that may affect our counterparties or the hazard insurers insuring properties underlying our guaranty book of business;</w:t>
      </w:r>
    </w:p>
    <w:p>
      <w:pPr>
        <w:spacing w:after="0" w:line="14" w:lineRule="exact"/>
        <w:rPr>
          <w:rFonts w:ascii="Arial" w:cs="Arial" w:eastAsia="Arial" w:hAnsi="Arial"/>
          <w:sz w:val="16"/>
          <w:szCs w:val="16"/>
          <w:color w:val="auto"/>
        </w:rPr>
      </w:pPr>
    </w:p>
    <w:p>
      <w:pPr>
        <w:ind w:left="620" w:right="400" w:hanging="307"/>
        <w:spacing w:after="0" w:line="281"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severe weather events, fires, floods, wind or other climate-related events or impacts, including those for which we may be uninsured or under-insured or that may affect our counterparties or the hazard insurers insuring properties underlying our guaranty book of business, and other climate-related risks;</w:t>
      </w:r>
    </w:p>
    <w:p>
      <w:pPr>
        <w:spacing w:after="0" w:line="24"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defaults by one or more of our counterparties or by the hazard insurers insuring properties underlying our guaranty book of business;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resolution or settlement agreements we may enter into with our counterparties;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need to rely on third parties to achieve some of our corporate objectives, including our reliance on mortgage servicers;</w:t>
      </w:r>
    </w:p>
    <w:p>
      <w:pPr>
        <w:spacing w:after="0" w:line="99" w:lineRule="exact"/>
        <w:rPr>
          <w:rFonts w:ascii="Arial" w:cs="Arial" w:eastAsia="Arial" w:hAnsi="Arial"/>
          <w:sz w:val="16"/>
          <w:szCs w:val="16"/>
          <w:color w:val="auto"/>
        </w:rPr>
      </w:pPr>
    </w:p>
    <w:p>
      <w:pPr>
        <w:ind w:left="620" w:right="140" w:hanging="307"/>
        <w:spacing w:after="0" w:line="266"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reliance on U.S. Financial Technology, LLC (“U.S. Fin Tech”), formerly named Common Securitization Solutions, LLC, and the common securitization platform U.S. Fin Tech operates for a majority of our single-family securitization activities; provisions in the limited liability company agreement with U.S. Fin Tech that permit FHFA to appoint members to the U.S. Fin Tech Board of Managers, which limit the ability of Fannie Mae and Freddie Mac to control decisions of the Board; and changes FHFA may require in our relationship with or in our support of U.S. Fin Tech;</w:t>
      </w:r>
    </w:p>
    <w:p>
      <w:pPr>
        <w:spacing w:after="0" w:line="35"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effectiveness of our risk management processes and related controls;</w:t>
      </w:r>
    </w:p>
    <w:p>
      <w:pPr>
        <w:spacing w:after="0" w:line="99"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effectiveness of our business resiliency plans and systems;</w:t>
      </w:r>
    </w:p>
    <w:p>
      <w:pPr>
        <w:spacing w:after="0" w:line="86" w:lineRule="exact"/>
        <w:rPr>
          <w:rFonts w:ascii="Arial" w:cs="Arial" w:eastAsia="Arial" w:hAnsi="Arial"/>
          <w:sz w:val="16"/>
          <w:szCs w:val="16"/>
          <w:color w:val="auto"/>
        </w:rPr>
      </w:pPr>
    </w:p>
    <w:p>
      <w:pPr>
        <w:ind w:left="620" w:right="580" w:hanging="307"/>
        <w:spacing w:after="0" w:line="293"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stability and adequacy of the systems and infrastructure that impact our operations, including ours and those of U.S. Fin Tech, our other counterparties and other third parties;</w:t>
      </w:r>
    </w:p>
    <w:p>
      <w:pPr>
        <w:spacing w:after="0" w:line="14"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reliance on models and future updates we make to our models, including the data and assumptions used by these models;</w:t>
      </w:r>
    </w:p>
    <w:p>
      <w:pPr>
        <w:spacing w:after="0" w:line="86" w:lineRule="exact"/>
        <w:rPr>
          <w:rFonts w:ascii="Arial" w:cs="Arial" w:eastAsia="Arial" w:hAnsi="Arial"/>
          <w:sz w:val="16"/>
          <w:szCs w:val="16"/>
          <w:color w:val="auto"/>
        </w:rPr>
      </w:pPr>
    </w:p>
    <w:p>
      <w:pPr>
        <w:ind w:left="620" w:right="140" w:hanging="307"/>
        <w:spacing w:after="0" w:line="293"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opportunities and risks presented by the use or anticipated use of artificial intelligence (“AI”) technologies or other emerging technologies by us or third parties, including generative AI and agentic AI;</w:t>
      </w:r>
    </w:p>
    <w:p>
      <w:pPr>
        <w:spacing w:after="0" w:line="27"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cyber attacks or other cybersecurity breaches or threats impacting us, the third parties with which we do business or our regulators;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changes in GAAP, guidance by the Financial Accounting Standards Board (“FASB”), SEC guidance, and our accounting policies; and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other factors described in “Risk Factors” in our 2024 Form 10-K.</w:t>
      </w:r>
    </w:p>
    <w:p>
      <w:pPr>
        <w:spacing w:after="0" w:line="8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Readers are cautioned not to unduly rely on the forward-looking statements we make and to place these forward-looking statements into proper context by carefully considering the factors identified above and those discussed in “Risk Factors” in our 2024 Form 10-K. These forward-looking statements are representative only as of the date they are made, and we undertake no obligation to update any forward-looking statement as a result of new information, future events or otherwise, except as required under the federal securities laws.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60" w:type="dxa"/>
            <w:vAlign w:val="bottom"/>
            <w:tcBorders>
              <w:top w:val="single" w:sz="8" w:color="CBC8C3"/>
            </w:tcBorders>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380" w:type="dxa"/>
            <w:vAlign w:val="bottom"/>
            <w:tcBorders>
              <w:top w:val="single" w:sz="8" w:color="CBC8C3"/>
            </w:tcBorders>
          </w:tcPr>
          <w:p>
            <w:pPr>
              <w:jc w:val="right"/>
              <w:spacing w:after="0"/>
              <w:rPr>
                <w:sz w:val="20"/>
                <w:szCs w:val="20"/>
                <w:color w:val="auto"/>
              </w:rPr>
            </w:pPr>
            <w:r>
              <w:rPr>
                <w:rFonts w:ascii="Arial" w:cs="Arial" w:eastAsia="Arial" w:hAnsi="Arial"/>
                <w:sz w:val="14"/>
                <w:szCs w:val="14"/>
                <w:color w:val="05314D"/>
              </w:rPr>
              <w:t>61</w:t>
            </w:r>
          </w:p>
        </w:tc>
      </w:tr>
      <w:tr>
        <w:trPr>
          <w:trHeight w:val="207"/>
        </w:trPr>
        <w:tc>
          <w:tcPr>
            <w:tcW w:w="6860" w:type="dxa"/>
            <w:vAlign w:val="bottom"/>
            <w:tcBorders>
              <w:bottom w:val="single" w:sz="8" w:color="9A9A9A"/>
            </w:tcBorders>
          </w:tcPr>
          <w:p>
            <w:pPr>
              <w:spacing w:after="0"/>
              <w:rPr>
                <w:sz w:val="17"/>
                <w:szCs w:val="17"/>
                <w:color w:val="auto"/>
              </w:rPr>
            </w:pPr>
          </w:p>
        </w:tc>
        <w:tc>
          <w:tcPr>
            <w:tcW w:w="4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4"/>
          <w:szCs w:val="14"/>
          <w:color w:val="05314D"/>
        </w:rPr>
        <w:t>Financial Statements |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 Financial Statements</w:t>
      </w:r>
    </w:p>
    <w:p>
      <w:pPr>
        <w:spacing w:after="0" w:line="110" w:lineRule="exact"/>
        <w:rPr>
          <w:sz w:val="20"/>
          <w:szCs w:val="20"/>
          <w:color w:val="auto"/>
        </w:rPr>
      </w:pPr>
    </w:p>
    <w:p>
      <w:pPr>
        <w:jc w:val="center"/>
        <w:ind w:right="-11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119"/>
        <w:spacing w:after="0"/>
        <w:rPr>
          <w:sz w:val="20"/>
          <w:szCs w:val="20"/>
          <w:color w:val="auto"/>
        </w:rPr>
      </w:pPr>
      <w:r>
        <w:rPr>
          <w:rFonts w:ascii="Georgia" w:cs="Georgia" w:eastAsia="Georgia" w:hAnsi="Georgia"/>
          <w:sz w:val="17"/>
          <w:szCs w:val="17"/>
          <w:b w:val="1"/>
          <w:bCs w:val="1"/>
          <w:color w:val="05314D"/>
        </w:rPr>
        <w:t>(In conservatorship)</w:t>
      </w:r>
    </w:p>
    <w:p>
      <w:pPr>
        <w:spacing w:after="0" w:line="176" w:lineRule="exact"/>
        <w:rPr>
          <w:sz w:val="20"/>
          <w:szCs w:val="20"/>
          <w:color w:val="auto"/>
        </w:rPr>
      </w:pPr>
    </w:p>
    <w:p>
      <w:pPr>
        <w:jc w:val="center"/>
        <w:ind w:right="-119"/>
        <w:spacing w:after="0"/>
        <w:rPr>
          <w:sz w:val="20"/>
          <w:szCs w:val="20"/>
          <w:color w:val="auto"/>
        </w:rPr>
      </w:pPr>
      <w:r>
        <w:rPr>
          <w:rFonts w:ascii="Georgia" w:cs="Georgia" w:eastAsia="Georgia" w:hAnsi="Georgia"/>
          <w:sz w:val="27"/>
          <w:szCs w:val="27"/>
          <w:b w:val="1"/>
          <w:bCs w:val="1"/>
          <w:color w:val="05314D"/>
        </w:rPr>
        <w:t>Condensed Consolidated Balance Sheets — (Unaudited)</w:t>
      </w:r>
    </w:p>
    <w:p>
      <w:pPr>
        <w:spacing w:after="0" w:line="84" w:lineRule="exact"/>
        <w:rPr>
          <w:sz w:val="20"/>
          <w:szCs w:val="20"/>
          <w:color w:val="auto"/>
        </w:rPr>
      </w:pPr>
    </w:p>
    <w:p>
      <w:pPr>
        <w:jc w:val="center"/>
        <w:ind w:right="-119"/>
        <w:spacing w:after="0"/>
        <w:rPr>
          <w:sz w:val="20"/>
          <w:szCs w:val="20"/>
          <w:color w:val="auto"/>
        </w:rPr>
      </w:pPr>
      <w:r>
        <w:rPr>
          <w:rFonts w:ascii="Georgia" w:cs="Georgia" w:eastAsia="Georgia" w:hAnsi="Georgia"/>
          <w:sz w:val="17"/>
          <w:szCs w:val="17"/>
          <w:b w:val="1"/>
          <w:bCs w:val="1"/>
          <w:color w:val="05314D"/>
        </w:rPr>
        <w:t>(Dollars in millions)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1420" w:type="dxa"/>
            <w:vAlign w:val="bottom"/>
            <w:tcBorders>
              <w:bottom w:val="single" w:sz="8" w:color="2C6937"/>
            </w:tcBorders>
            <w:gridSpan w:val="5"/>
          </w:tcPr>
          <w:p>
            <w:pPr>
              <w:jc w:val="right"/>
              <w:ind w:right="240"/>
              <w:spacing w:after="0"/>
              <w:rPr>
                <w:sz w:val="20"/>
                <w:szCs w:val="20"/>
                <w:color w:val="auto"/>
              </w:rPr>
            </w:pPr>
            <w:r>
              <w:rPr>
                <w:rFonts w:ascii="Arial" w:cs="Arial" w:eastAsia="Arial" w:hAnsi="Arial"/>
                <w:sz w:val="14"/>
                <w:szCs w:val="14"/>
                <w:b w:val="1"/>
                <w:bCs w:val="1"/>
                <w:color w:val="auto"/>
              </w:rPr>
              <w:t>As of</w:t>
            </w:r>
          </w:p>
        </w:tc>
        <w:tc>
          <w:tcPr>
            <w:tcW w:w="8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rPr>
              <w:t>September 30, 2025</w:t>
            </w:r>
          </w:p>
        </w:tc>
        <w:tc>
          <w:tcPr>
            <w:tcW w:w="1320" w:type="dxa"/>
            <w:vAlign w:val="bottom"/>
            <w:gridSpan w:val="4"/>
          </w:tcPr>
          <w:p>
            <w:pPr>
              <w:ind w:left="40"/>
              <w:spacing w:after="0"/>
              <w:rPr>
                <w:sz w:val="20"/>
                <w:szCs w:val="20"/>
                <w:color w:val="auto"/>
              </w:rPr>
            </w:pPr>
            <w:r>
              <w:rPr>
                <w:rFonts w:ascii="Arial" w:cs="Arial" w:eastAsia="Arial" w:hAnsi="Arial"/>
                <w:sz w:val="14"/>
                <w:szCs w:val="14"/>
                <w:b w:val="1"/>
                <w:bCs w:val="1"/>
                <w:color w:val="auto"/>
                <w:w w:val="99"/>
              </w:rPr>
              <w:t>December 31, 2024</w:t>
            </w:r>
          </w:p>
        </w:tc>
        <w:tc>
          <w:tcPr>
            <w:tcW w:w="0" w:type="dxa"/>
            <w:vAlign w:val="bottom"/>
          </w:tcPr>
          <w:p>
            <w:pPr>
              <w:spacing w:after="0"/>
              <w:rPr>
                <w:sz w:val="1"/>
                <w:szCs w:val="1"/>
                <w:color w:val="auto"/>
              </w:rPr>
            </w:pPr>
          </w:p>
        </w:tc>
      </w:tr>
      <w:tr>
        <w:trPr>
          <w:trHeight w:val="53"/>
        </w:trPr>
        <w:tc>
          <w:tcPr>
            <w:tcW w:w="7740" w:type="dxa"/>
            <w:vAlign w:val="bottom"/>
            <w:vMerge w:val="restart"/>
          </w:tcPr>
          <w:p>
            <w:pPr>
              <w:ind w:left="360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4"/>
                <w:szCs w:val="4"/>
                <w:color w:val="auto"/>
              </w:rPr>
            </w:pPr>
          </w:p>
        </w:tc>
        <w:tc>
          <w:tcPr>
            <w:tcW w:w="100" w:type="dxa"/>
            <w:vAlign w:val="bottom"/>
            <w:tcBorders>
              <w:bottom w:val="single" w:sz="8" w:color="2C6937"/>
            </w:tcBorders>
          </w:tcPr>
          <w:p>
            <w:pPr>
              <w:spacing w:after="0"/>
              <w:rPr>
                <w:sz w:val="4"/>
                <w:szCs w:val="4"/>
                <w:color w:val="auto"/>
              </w:rPr>
            </w:pPr>
          </w:p>
        </w:tc>
        <w:tc>
          <w:tcPr>
            <w:tcW w:w="280" w:type="dxa"/>
            <w:vAlign w:val="bottom"/>
            <w:tcBorders>
              <w:bottom w:val="single" w:sz="8" w:color="2C6937"/>
            </w:tcBorders>
          </w:tcPr>
          <w:p>
            <w:pPr>
              <w:spacing w:after="0"/>
              <w:rPr>
                <w:sz w:val="4"/>
                <w:szCs w:val="4"/>
                <w:color w:val="auto"/>
              </w:rPr>
            </w:pPr>
          </w:p>
        </w:tc>
        <w:tc>
          <w:tcPr>
            <w:tcW w:w="860" w:type="dxa"/>
            <w:vAlign w:val="bottom"/>
            <w:tcBorders>
              <w:bottom w:val="single" w:sz="8" w:color="2C6937"/>
            </w:tcBorders>
          </w:tcPr>
          <w:p>
            <w:pPr>
              <w:spacing w:after="0"/>
              <w:rPr>
                <w:sz w:val="4"/>
                <w:szCs w:val="4"/>
                <w:color w:val="auto"/>
              </w:rPr>
            </w:pPr>
          </w:p>
        </w:tc>
        <w:tc>
          <w:tcPr>
            <w:tcW w:w="100" w:type="dxa"/>
            <w:vAlign w:val="bottom"/>
            <w:tcBorders>
              <w:bottom w:val="single" w:sz="8" w:color="2C6937"/>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2C6937"/>
            </w:tcBorders>
          </w:tcPr>
          <w:p>
            <w:pPr>
              <w:spacing w:after="0"/>
              <w:rPr>
                <w:sz w:val="4"/>
                <w:szCs w:val="4"/>
                <w:color w:val="auto"/>
              </w:rPr>
            </w:pPr>
          </w:p>
        </w:tc>
        <w:tc>
          <w:tcPr>
            <w:tcW w:w="260" w:type="dxa"/>
            <w:vAlign w:val="bottom"/>
            <w:tcBorders>
              <w:bottom w:val="single" w:sz="8" w:color="2C6937"/>
            </w:tcBorders>
          </w:tcPr>
          <w:p>
            <w:pPr>
              <w:spacing w:after="0"/>
              <w:rPr>
                <w:sz w:val="4"/>
                <w:szCs w:val="4"/>
                <w:color w:val="auto"/>
              </w:rPr>
            </w:pPr>
          </w:p>
        </w:tc>
        <w:tc>
          <w:tcPr>
            <w:tcW w:w="860" w:type="dxa"/>
            <w:vAlign w:val="bottom"/>
            <w:tcBorders>
              <w:bottom w:val="single" w:sz="8" w:color="2C6937"/>
            </w:tcBorders>
          </w:tcPr>
          <w:p>
            <w:pPr>
              <w:spacing w:after="0"/>
              <w:rPr>
                <w:sz w:val="4"/>
                <w:szCs w:val="4"/>
                <w:color w:val="auto"/>
              </w:rPr>
            </w:pPr>
          </w:p>
        </w:tc>
        <w:tc>
          <w:tcPr>
            <w:tcW w:w="100" w:type="dxa"/>
            <w:vAlign w:val="bottom"/>
            <w:tcBorders>
              <w:bottom w:val="single" w:sz="8" w:color="2C6937"/>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740" w:type="dxa"/>
            <w:vAlign w:val="bottom"/>
            <w:vMerge w:val="continue"/>
          </w:tcPr>
          <w:p>
            <w:pPr>
              <w:spacing w:after="0"/>
              <w:rPr>
                <w:sz w:val="14"/>
                <w:szCs w:val="14"/>
                <w:color w:val="auto"/>
              </w:rPr>
            </w:pPr>
          </w:p>
        </w:tc>
        <w:tc>
          <w:tcPr>
            <w:tcW w:w="4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12,155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740" w:type="dxa"/>
            <w:vAlign w:val="bottom"/>
          </w:tcPr>
          <w:p>
            <w:pPr>
              <w:ind w:left="20"/>
              <w:spacing w:after="0"/>
              <w:rPr>
                <w:sz w:val="20"/>
                <w:szCs w:val="20"/>
                <w:color w:val="auto"/>
              </w:rPr>
            </w:pPr>
            <w:r>
              <w:rPr>
                <w:rFonts w:ascii="Arial" w:cs="Arial" w:eastAsia="Arial" w:hAnsi="Arial"/>
                <w:sz w:val="14"/>
                <w:szCs w:val="14"/>
                <w:color w:val="auto"/>
              </w:rPr>
              <w:t>Cash</w:t>
            </w:r>
          </w:p>
        </w:tc>
        <w:tc>
          <w:tcPr>
            <w:tcW w:w="480" w:type="dxa"/>
            <w:vAlign w:val="bottom"/>
            <w:gridSpan w:val="3"/>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13,477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40" w:type="dxa"/>
            <w:vAlign w:val="bottom"/>
          </w:tcPr>
          <w:p>
            <w:pPr>
              <w:ind w:left="20"/>
              <w:spacing w:after="0"/>
              <w:rPr>
                <w:sz w:val="20"/>
                <w:szCs w:val="20"/>
                <w:color w:val="auto"/>
              </w:rPr>
            </w:pPr>
            <w:r>
              <w:rPr>
                <w:rFonts w:ascii="Arial" w:cs="Arial" w:eastAsia="Arial" w:hAnsi="Arial"/>
                <w:sz w:val="14"/>
                <w:szCs w:val="14"/>
                <w:color w:val="auto"/>
              </w:rPr>
              <w:t>Restricted cash (includes $19,599 and $16,994, respectively, related to consolidated trusts)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27,220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tcPr>
          <w:p>
            <w:pPr>
              <w:ind w:left="20"/>
              <w:spacing w:after="0"/>
              <w:rPr>
                <w:sz w:val="20"/>
                <w:szCs w:val="20"/>
                <w:color w:val="auto"/>
              </w:rPr>
            </w:pPr>
            <w:r>
              <w:rPr>
                <w:rFonts w:ascii="Arial" w:cs="Arial" w:eastAsia="Arial" w:hAnsi="Arial"/>
                <w:sz w:val="14"/>
                <w:szCs w:val="14"/>
                <w:color w:val="auto"/>
                <w:w w:val="99"/>
              </w:rPr>
              <w:t>Securities purchased under agreements to resell (includes $15,975 and $14,899, respectively, related to consolidated trusts)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61,525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7740" w:type="dxa"/>
            <w:vAlign w:val="bottom"/>
          </w:tcPr>
          <w:p>
            <w:pPr>
              <w:ind w:left="20"/>
              <w:spacing w:after="0"/>
              <w:rPr>
                <w:sz w:val="20"/>
                <w:szCs w:val="20"/>
                <w:color w:val="auto"/>
              </w:rPr>
            </w:pPr>
            <w:r>
              <w:rPr>
                <w:rFonts w:ascii="Arial" w:cs="Arial" w:eastAsia="Arial" w:hAnsi="Arial"/>
                <w:sz w:val="14"/>
                <w:szCs w:val="14"/>
                <w:color w:val="auto"/>
              </w:rPr>
              <w:t>Investments in securities, at fair 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71,656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79,197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40" w:type="dxa"/>
            <w:vAlign w:val="bottom"/>
          </w:tcPr>
          <w:p>
            <w:pPr>
              <w:ind w:left="20"/>
              <w:spacing w:after="0"/>
              <w:rPr>
                <w:sz w:val="20"/>
                <w:szCs w:val="20"/>
                <w:color w:val="auto"/>
              </w:rPr>
            </w:pPr>
            <w:r>
              <w:rPr>
                <w:rFonts w:ascii="Arial" w:cs="Arial" w:eastAsia="Arial" w:hAnsi="Arial"/>
                <w:sz w:val="14"/>
                <w:szCs w:val="14"/>
                <w:color w:val="auto"/>
              </w:rPr>
              <w:t>Mortgage loans: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740" w:type="dxa"/>
            <w:vAlign w:val="bottom"/>
          </w:tcPr>
          <w:p>
            <w:pPr>
              <w:ind w:left="180"/>
              <w:spacing w:after="0"/>
              <w:rPr>
                <w:sz w:val="20"/>
                <w:szCs w:val="20"/>
                <w:color w:val="auto"/>
              </w:rPr>
            </w:pPr>
            <w:r>
              <w:rPr>
                <w:rFonts w:ascii="Arial" w:cs="Arial" w:eastAsia="Arial" w:hAnsi="Arial"/>
                <w:sz w:val="14"/>
                <w:szCs w:val="14"/>
                <w:color w:val="auto"/>
              </w:rPr>
              <w:t>Loans held for sale, at lower of cost or fair 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740" w:type="dxa"/>
            <w:vAlign w:val="bottom"/>
          </w:tcPr>
          <w:p>
            <w:pPr>
              <w:ind w:left="180"/>
              <w:spacing w:after="0"/>
              <w:rPr>
                <w:sz w:val="20"/>
                <w:szCs w:val="20"/>
                <w:color w:val="auto"/>
              </w:rPr>
            </w:pPr>
            <w:r>
              <w:rPr>
                <w:rFonts w:ascii="Arial" w:cs="Arial" w:eastAsia="Arial" w:hAnsi="Arial"/>
                <w:sz w:val="14"/>
                <w:szCs w:val="14"/>
                <w:color w:val="auto"/>
              </w:rPr>
              <w:t>Loans held for investment, at amortized cost: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740" w:type="dxa"/>
            <w:vAlign w:val="bottom"/>
          </w:tcPr>
          <w:p>
            <w:pPr>
              <w:ind w:left="340"/>
              <w:spacing w:after="0"/>
              <w:rPr>
                <w:sz w:val="20"/>
                <w:szCs w:val="20"/>
                <w:color w:val="auto"/>
              </w:rPr>
            </w:pPr>
            <w:r>
              <w:rPr>
                <w:rFonts w:ascii="Arial" w:cs="Arial" w:eastAsia="Arial" w:hAnsi="Arial"/>
                <w:sz w:val="14"/>
                <w:szCs w:val="14"/>
                <w:color w:val="auto"/>
              </w:rPr>
              <w:t>Of Fannie Mae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53,765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50,053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740" w:type="dxa"/>
            <w:vAlign w:val="bottom"/>
            <w:tcBorders>
              <w:bottom w:val="single" w:sz="8" w:color="2C6937"/>
            </w:tcBorders>
          </w:tcPr>
          <w:p>
            <w:pPr>
              <w:ind w:left="340"/>
              <w:spacing w:after="0"/>
              <w:rPr>
                <w:sz w:val="20"/>
                <w:szCs w:val="20"/>
                <w:color w:val="auto"/>
              </w:rPr>
            </w:pPr>
            <w:r>
              <w:rPr>
                <w:rFonts w:ascii="Arial" w:cs="Arial" w:eastAsia="Arial" w:hAnsi="Arial"/>
                <w:sz w:val="14"/>
                <w:szCs w:val="14"/>
                <w:color w:val="auto"/>
              </w:rPr>
              <w:t>Of consolidated trusts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4,077,063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4,095,287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740" w:type="dxa"/>
            <w:vAlign w:val="bottom"/>
          </w:tcPr>
          <w:p>
            <w:pPr>
              <w:ind w:left="320"/>
              <w:spacing w:after="0"/>
              <w:rPr>
                <w:sz w:val="20"/>
                <w:szCs w:val="20"/>
                <w:color w:val="auto"/>
              </w:rPr>
            </w:pPr>
            <w:r>
              <w:rPr>
                <w:rFonts w:ascii="Arial" w:cs="Arial" w:eastAsia="Arial" w:hAnsi="Arial"/>
                <w:sz w:val="14"/>
                <w:szCs w:val="14"/>
                <w:color w:val="auto"/>
              </w:rPr>
              <w:t>Total loans held for investment (includes $5,202 and $3,744, respectively, at fair 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4,130,828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4,145,340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40" w:type="dxa"/>
            <w:vAlign w:val="bottom"/>
            <w:tcBorders>
              <w:bottom w:val="single" w:sz="8" w:color="2C6937"/>
            </w:tcBorders>
          </w:tcPr>
          <w:p>
            <w:pPr>
              <w:ind w:left="340"/>
              <w:spacing w:after="0"/>
              <w:rPr>
                <w:sz w:val="20"/>
                <w:szCs w:val="20"/>
                <w:color w:val="auto"/>
              </w:rPr>
            </w:pPr>
            <w:r>
              <w:rPr>
                <w:rFonts w:ascii="Arial" w:cs="Arial" w:eastAsia="Arial" w:hAnsi="Arial"/>
                <w:sz w:val="14"/>
                <w:szCs w:val="14"/>
                <w:color w:val="auto"/>
              </w:rPr>
              <w:t>Allowance for loan losses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(8,246)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(7,707)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40" w:type="dxa"/>
            <w:vAlign w:val="bottom"/>
            <w:tcBorders>
              <w:bottom w:val="single" w:sz="8" w:color="2C6937"/>
            </w:tcBorders>
          </w:tcPr>
          <w:p>
            <w:pPr>
              <w:ind w:left="480"/>
              <w:spacing w:after="0"/>
              <w:rPr>
                <w:sz w:val="20"/>
                <w:szCs w:val="20"/>
                <w:color w:val="auto"/>
              </w:rPr>
            </w:pPr>
            <w:r>
              <w:rPr>
                <w:rFonts w:ascii="Arial" w:cs="Arial" w:eastAsia="Arial" w:hAnsi="Arial"/>
                <w:sz w:val="14"/>
                <w:szCs w:val="14"/>
                <w:color w:val="auto"/>
              </w:rPr>
              <w:t>Total loans held for investment, net of allowance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4,122,582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4,137,633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740" w:type="dxa"/>
            <w:vAlign w:val="bottom"/>
          </w:tcPr>
          <w:p>
            <w:pPr>
              <w:ind w:left="640"/>
              <w:spacing w:after="0"/>
              <w:rPr>
                <w:sz w:val="20"/>
                <w:szCs w:val="20"/>
                <w:color w:val="auto"/>
              </w:rPr>
            </w:pPr>
            <w:r>
              <w:rPr>
                <w:rFonts w:ascii="Arial" w:cs="Arial" w:eastAsia="Arial" w:hAnsi="Arial"/>
                <w:sz w:val="14"/>
                <w:szCs w:val="14"/>
                <w:color w:val="auto"/>
              </w:rPr>
              <w:t>Total mortgage loans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4,123,390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4,138,006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40" w:type="dxa"/>
            <w:vAlign w:val="bottom"/>
          </w:tcPr>
          <w:p>
            <w:pPr>
              <w:ind w:left="20"/>
              <w:spacing w:after="0"/>
              <w:rPr>
                <w:sz w:val="20"/>
                <w:szCs w:val="20"/>
                <w:color w:val="auto"/>
              </w:rPr>
            </w:pPr>
            <w:r>
              <w:rPr>
                <w:rFonts w:ascii="Arial" w:cs="Arial" w:eastAsia="Arial" w:hAnsi="Arial"/>
                <w:sz w:val="14"/>
                <w:szCs w:val="14"/>
                <w:color w:val="auto"/>
              </w:rPr>
              <w:t>Advances to lenders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3,227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40" w:type="dxa"/>
            <w:vAlign w:val="bottom"/>
          </w:tcPr>
          <w:p>
            <w:pPr>
              <w:ind w:left="20"/>
              <w:spacing w:after="0"/>
              <w:rPr>
                <w:sz w:val="20"/>
                <w:szCs w:val="20"/>
                <w:color w:val="auto"/>
              </w:rPr>
            </w:pPr>
            <w:r>
              <w:rPr>
                <w:rFonts w:ascii="Arial" w:cs="Arial" w:eastAsia="Arial" w:hAnsi="Arial"/>
                <w:sz w:val="14"/>
                <w:szCs w:val="14"/>
                <w:color w:val="auto"/>
              </w:rPr>
              <w:t>Deferred tax assets, net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40" w:type="dxa"/>
            <w:vAlign w:val="bottom"/>
          </w:tcPr>
          <w:p>
            <w:pPr>
              <w:ind w:left="20"/>
              <w:spacing w:after="0"/>
              <w:rPr>
                <w:sz w:val="20"/>
                <w:szCs w:val="20"/>
                <w:color w:val="auto"/>
              </w:rPr>
            </w:pPr>
            <w:r>
              <w:rPr>
                <w:rFonts w:ascii="Arial" w:cs="Arial" w:eastAsia="Arial" w:hAnsi="Arial"/>
                <w:sz w:val="14"/>
                <w:szCs w:val="14"/>
                <w:color w:val="auto"/>
              </w:rPr>
              <w:t>Accrued interest receivable (includes $11,210 and $10,666, respectively, related to consolidated trusts)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11,901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7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14,782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4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4,335,856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4,349,731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740" w:type="dxa"/>
            <w:vAlign w:val="bottom"/>
          </w:tcPr>
          <w:p>
            <w:pPr>
              <w:ind w:left="3040"/>
              <w:spacing w:after="0"/>
              <w:rPr>
                <w:sz w:val="20"/>
                <w:szCs w:val="20"/>
                <w:color w:val="auto"/>
              </w:rPr>
            </w:pPr>
            <w:r>
              <w:rPr>
                <w:rFonts w:ascii="Arial" w:cs="Arial" w:eastAsia="Arial" w:hAnsi="Arial"/>
                <w:sz w:val="14"/>
                <w:szCs w:val="14"/>
                <w:b w:val="1"/>
                <w:bCs w:val="1"/>
                <w:color w:val="auto"/>
              </w:rPr>
              <w:t>LIABILITIES AND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4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740" w:type="dxa"/>
            <w:vAlign w:val="bottom"/>
          </w:tcPr>
          <w:p>
            <w:pPr>
              <w:ind w:left="180"/>
              <w:spacing w:after="0"/>
              <w:rPr>
                <w:sz w:val="20"/>
                <w:szCs w:val="20"/>
                <w:color w:val="auto"/>
              </w:rPr>
            </w:pPr>
            <w:r>
              <w:rPr>
                <w:rFonts w:ascii="Arial" w:cs="Arial" w:eastAsia="Arial" w:hAnsi="Arial"/>
                <w:sz w:val="14"/>
                <w:szCs w:val="14"/>
                <w:color w:val="auto"/>
              </w:rPr>
              <w:t>Accrued interest payable (includes $11,269 and $10,858, respectively, related to consolidated trusts)</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12,080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11,585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740" w:type="dxa"/>
            <w:vAlign w:val="bottom"/>
          </w:tcPr>
          <w:p>
            <w:pPr>
              <w:ind w:left="180"/>
              <w:spacing w:after="0"/>
              <w:rPr>
                <w:sz w:val="20"/>
                <w:szCs w:val="20"/>
                <w:color w:val="auto"/>
              </w:rPr>
            </w:pPr>
            <w:r>
              <w:rPr>
                <w:rFonts w:ascii="Arial" w:cs="Arial" w:eastAsia="Arial" w:hAnsi="Arial"/>
                <w:sz w:val="14"/>
                <w:szCs w:val="14"/>
                <w:color w:val="auto"/>
              </w:rPr>
              <w:t>Debt: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740" w:type="dxa"/>
            <w:vAlign w:val="bottom"/>
          </w:tcPr>
          <w:p>
            <w:pPr>
              <w:ind w:left="340"/>
              <w:spacing w:after="0"/>
              <w:rPr>
                <w:sz w:val="20"/>
                <w:szCs w:val="20"/>
                <w:color w:val="auto"/>
              </w:rPr>
            </w:pPr>
            <w:r>
              <w:rPr>
                <w:rFonts w:ascii="Arial" w:cs="Arial" w:eastAsia="Arial" w:hAnsi="Arial"/>
                <w:sz w:val="14"/>
                <w:szCs w:val="14"/>
                <w:color w:val="auto"/>
              </w:rPr>
              <w:t>Of Fannie Mae (includes $299 and $385, respectively, at fair 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126,390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139,422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tcPr>
          <w:p>
            <w:pPr>
              <w:ind w:left="340"/>
              <w:spacing w:after="0"/>
              <w:rPr>
                <w:sz w:val="20"/>
                <w:szCs w:val="20"/>
                <w:color w:val="auto"/>
              </w:rPr>
            </w:pPr>
            <w:r>
              <w:rPr>
                <w:rFonts w:ascii="Arial" w:cs="Arial" w:eastAsia="Arial" w:hAnsi="Arial"/>
                <w:sz w:val="14"/>
                <w:szCs w:val="14"/>
                <w:color w:val="auto"/>
              </w:rPr>
              <w:t>Of consolidated trusts (includes $15,323 and $13,292, respectively, at fair 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4,076,945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4,088,675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Other liabilities (includes $1,682 and $1,699, respectively, related to consolidated trusts)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14,956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15,392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Total liabilities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4,230,371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4,255,074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740" w:type="dxa"/>
            <w:vAlign w:val="bottom"/>
          </w:tcPr>
          <w:p>
            <w:pPr>
              <w:ind w:left="20"/>
              <w:spacing w:after="0"/>
              <w:rPr>
                <w:sz w:val="20"/>
                <w:szCs w:val="20"/>
                <w:color w:val="auto"/>
              </w:rPr>
            </w:pPr>
            <w:r>
              <w:rPr>
                <w:rFonts w:ascii="Arial" w:cs="Arial" w:eastAsia="Arial" w:hAnsi="Arial"/>
                <w:sz w:val="14"/>
                <w:szCs w:val="14"/>
                <w:color w:val="auto"/>
              </w:rPr>
              <w:t>Commitments and contingencies (Note 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740" w:type="dxa"/>
            <w:vAlign w:val="bottom"/>
          </w:tcPr>
          <w:p>
            <w:pPr>
              <w:ind w:left="20"/>
              <w:spacing w:after="0"/>
              <w:rPr>
                <w:sz w:val="20"/>
                <w:szCs w:val="20"/>
                <w:color w:val="auto"/>
              </w:rPr>
            </w:pPr>
            <w:r>
              <w:rPr>
                <w:rFonts w:ascii="Arial" w:cs="Arial" w:eastAsia="Arial" w:hAnsi="Arial"/>
                <w:sz w:val="14"/>
                <w:szCs w:val="14"/>
                <w:color w:val="auto"/>
              </w:rPr>
              <w:t>Fannie Mae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740" w:type="dxa"/>
            <w:vAlign w:val="bottom"/>
          </w:tcPr>
          <w:p>
            <w:pPr>
              <w:ind w:left="180"/>
              <w:spacing w:after="0"/>
              <w:rPr>
                <w:sz w:val="20"/>
                <w:szCs w:val="20"/>
                <w:color w:val="auto"/>
              </w:rPr>
            </w:pPr>
            <w:r>
              <w:rPr>
                <w:rFonts w:ascii="Arial" w:cs="Arial" w:eastAsia="Arial" w:hAnsi="Arial"/>
                <w:sz w:val="14"/>
                <w:szCs w:val="14"/>
                <w:color w:val="auto"/>
              </w:rPr>
              <w:t>Senior preferred stock (liquidation preference of $223,135 and $212,029, respectively)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120,836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120,836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tcPr>
          <w:p>
            <w:pPr>
              <w:ind w:left="180"/>
              <w:spacing w:after="0"/>
              <w:rPr>
                <w:sz w:val="20"/>
                <w:szCs w:val="20"/>
                <w:color w:val="auto"/>
              </w:rPr>
            </w:pPr>
            <w:r>
              <w:rPr>
                <w:rFonts w:ascii="Arial" w:cs="Arial" w:eastAsia="Arial" w:hAnsi="Arial"/>
                <w:sz w:val="14"/>
                <w:szCs w:val="14"/>
                <w:color w:val="auto"/>
              </w:rPr>
              <w:t>Preferred stock, 700,000,000 shares are authorized—555,374,922 shares issued and outstanding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19,130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19,130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740" w:type="dxa"/>
            <w:vAlign w:val="bottom"/>
          </w:tcPr>
          <w:p>
            <w:pPr>
              <w:ind w:left="180"/>
              <w:spacing w:after="0" w:line="149" w:lineRule="exact"/>
              <w:rPr>
                <w:sz w:val="20"/>
                <w:szCs w:val="20"/>
                <w:color w:val="auto"/>
              </w:rPr>
            </w:pPr>
            <w:r>
              <w:rPr>
                <w:rFonts w:ascii="Arial" w:cs="Arial" w:eastAsia="Arial" w:hAnsi="Arial"/>
                <w:sz w:val="14"/>
                <w:szCs w:val="14"/>
                <w:color w:val="auto"/>
              </w:rPr>
              <w:t>Common stock, no par value, no maximum authorization—1,308,762,703 shares issued and 1,158,087,567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740" w:type="dxa"/>
            <w:vAlign w:val="bottom"/>
          </w:tcPr>
          <w:p>
            <w:pPr>
              <w:ind w:left="180"/>
              <w:spacing w:after="0"/>
              <w:rPr>
                <w:sz w:val="20"/>
                <w:szCs w:val="20"/>
                <w:color w:val="auto"/>
              </w:rPr>
            </w:pPr>
            <w:r>
              <w:rPr>
                <w:rFonts w:ascii="Arial" w:cs="Arial" w:eastAsia="Arial" w:hAnsi="Arial"/>
                <w:sz w:val="14"/>
                <w:szCs w:val="14"/>
                <w:color w:val="auto"/>
              </w:rPr>
              <w:t>outstanding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180"/>
              <w:spacing w:after="0"/>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(27,788)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(38,625)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40" w:type="dxa"/>
            <w:vAlign w:val="bottom"/>
          </w:tcPr>
          <w:p>
            <w:pPr>
              <w:ind w:left="180"/>
              <w:spacing w:after="0"/>
              <w:rPr>
                <w:sz w:val="20"/>
                <w:szCs w:val="20"/>
                <w:color w:val="auto"/>
              </w:rPr>
            </w:pPr>
            <w:r>
              <w:rPr>
                <w:rFonts w:ascii="Arial" w:cs="Arial" w:eastAsia="Arial" w:hAnsi="Arial"/>
                <w:sz w:val="14"/>
                <w:szCs w:val="14"/>
                <w:color w:val="auto"/>
              </w:rPr>
              <w:t>Accumulated other comprehensive income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Treasury stock, at cost, 150,675,136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(7,400)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(7,400)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105,485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94,657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740" w:type="dxa"/>
            <w:vAlign w:val="bottom"/>
          </w:tcPr>
          <w:p>
            <w:pPr>
              <w:ind w:left="180"/>
              <w:spacing w:after="0"/>
              <w:rPr>
                <w:sz w:val="20"/>
                <w:szCs w:val="20"/>
                <w:color w:val="auto"/>
              </w:rPr>
            </w:pPr>
            <w:r>
              <w:rPr>
                <w:rFonts w:ascii="Arial" w:cs="Arial" w:eastAsia="Arial" w:hAnsi="Arial"/>
                <w:sz w:val="14"/>
                <w:szCs w:val="14"/>
                <w:color w:val="auto"/>
              </w:rPr>
              <w:t>Total liabilities and equity</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4,335,856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4,349,731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396240</wp:posOffset>
            </wp:positionV>
            <wp:extent cx="680593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248" w:right="459" w:bottom="1440" w:gutter="0" w:footer="0" w:header="0"/>
        </w:sectPr>
      </w:pPr>
    </w:p>
    <w:bookmarkStart w:id="65" w:name="page66"/>
    <w:bookmarkEnd w:id="65"/>
    <w:p>
      <w:pPr>
        <w:ind w:left="4820"/>
        <w:spacing w:after="0"/>
        <w:rPr>
          <w:sz w:val="20"/>
          <w:szCs w:val="20"/>
          <w:color w:val="auto"/>
        </w:rPr>
      </w:pPr>
      <w:r>
        <w:rPr>
          <w:rFonts w:ascii="Arial" w:cs="Arial" w:eastAsia="Arial" w:hAnsi="Arial"/>
          <w:sz w:val="13"/>
          <w:szCs w:val="13"/>
          <w:color w:val="05314D"/>
        </w:rPr>
        <w:t>Financial Statements | Condensed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24130</wp:posOffset>
            </wp:positionV>
            <wp:extent cx="70154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spacing w:after="0" w:line="254" w:lineRule="auto"/>
        <w:rPr>
          <w:sz w:val="20"/>
          <w:szCs w:val="20"/>
          <w:color w:val="auto"/>
        </w:rPr>
      </w:pPr>
      <w:r>
        <w:rPr>
          <w:rFonts w:ascii="Georgia" w:cs="Georgia" w:eastAsia="Georgia" w:hAnsi="Georgia"/>
          <w:sz w:val="27"/>
          <w:szCs w:val="27"/>
          <w:b w:val="1"/>
          <w:bCs w:val="1"/>
          <w:color w:val="05314D"/>
        </w:rPr>
        <w:t>Condensed Consolidated Statements of Operations and Comprehensive Income — (Unaudited)</w:t>
      </w:r>
    </w:p>
    <w:p>
      <w:pPr>
        <w:spacing w:after="0" w:line="77" w:lineRule="exact"/>
        <w:rPr>
          <w:sz w:val="20"/>
          <w:szCs w:val="20"/>
          <w:color w:val="auto"/>
        </w:rPr>
      </w:pPr>
    </w:p>
    <w:p>
      <w:pPr>
        <w:jc w:val="center"/>
        <w:spacing w:after="0"/>
        <w:rPr>
          <w:sz w:val="20"/>
          <w:szCs w:val="20"/>
          <w:color w:val="auto"/>
        </w:rPr>
      </w:pPr>
      <w:r>
        <w:rPr>
          <w:rFonts w:ascii="Georgia" w:cs="Georgia" w:eastAsia="Georgia" w:hAnsi="Georgia"/>
          <w:sz w:val="17"/>
          <w:szCs w:val="17"/>
          <w:b w:val="1"/>
          <w:bCs w:val="1"/>
          <w:color w:val="001543"/>
        </w:rPr>
        <w:t>(Dollars and shares in millions, except per share amounts)</w:t>
      </w:r>
    </w:p>
    <w:p>
      <w:pPr>
        <w:spacing w:after="0" w:line="11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7"/>
              </w:rPr>
              <w:t>For the Three Months Ended</w:t>
            </w:r>
          </w:p>
        </w:tc>
        <w:tc>
          <w:tcPr>
            <w:tcW w:w="1960" w:type="dxa"/>
            <w:vAlign w:val="bottom"/>
            <w:gridSpan w:val="5"/>
          </w:tcPr>
          <w:p>
            <w:pPr>
              <w:jc w:val="right"/>
              <w:ind w:right="1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7"/>
        </w:trPr>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8"/>
              </w:rPr>
              <w:t>September 30,</w:t>
            </w:r>
          </w:p>
        </w:tc>
        <w:tc>
          <w:tcPr>
            <w:tcW w:w="200" w:type="dxa"/>
            <w:vAlign w:val="bottom"/>
          </w:tcPr>
          <w:p>
            <w:pPr>
              <w:spacing w:after="0"/>
              <w:rPr>
                <w:sz w:val="15"/>
                <w:szCs w:val="15"/>
                <w:color w:val="auto"/>
              </w:rPr>
            </w:pPr>
          </w:p>
        </w:tc>
        <w:tc>
          <w:tcPr>
            <w:tcW w:w="176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4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4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2C6937"/>
            </w:tcBorders>
          </w:tcPr>
          <w:p>
            <w:pPr>
              <w:spacing w:after="0"/>
              <w:rPr>
                <w:sz w:val="16"/>
                <w:szCs w:val="16"/>
                <w:color w:val="auto"/>
              </w:rPr>
            </w:pPr>
          </w:p>
        </w:tc>
        <w:tc>
          <w:tcPr>
            <w:tcW w:w="200" w:type="dxa"/>
            <w:vAlign w:val="bottom"/>
            <w:tcBorders>
              <w:top w:val="single" w:sz="8" w:color="2C6937"/>
              <w:bottom w:val="single" w:sz="8" w:color="2C6937"/>
            </w:tcBorders>
          </w:tcPr>
          <w:p>
            <w:pPr>
              <w:spacing w:after="0"/>
              <w:rPr>
                <w:sz w:val="16"/>
                <w:szCs w:val="16"/>
                <w:color w:val="auto"/>
              </w:rPr>
            </w:pPr>
          </w:p>
        </w:tc>
        <w:tc>
          <w:tcPr>
            <w:tcW w:w="72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67"/>
        </w:trPr>
        <w:tc>
          <w:tcPr>
            <w:tcW w:w="6420" w:type="dxa"/>
            <w:vAlign w:val="bottom"/>
            <w:gridSpan w:val="2"/>
          </w:tcPr>
          <w:p>
            <w:pPr>
              <w:spacing w:after="0"/>
              <w:rPr>
                <w:sz w:val="20"/>
                <w:szCs w:val="20"/>
                <w:color w:val="auto"/>
              </w:rPr>
            </w:pPr>
            <w:r>
              <w:rPr>
                <w:rFonts w:ascii="Arial" w:cs="Arial" w:eastAsia="Arial" w:hAnsi="Arial"/>
                <w:sz w:val="14"/>
                <w:szCs w:val="14"/>
                <w:color w:val="auto"/>
              </w:rPr>
              <w:t>Interest income:</w:t>
            </w:r>
          </w:p>
        </w:tc>
        <w:tc>
          <w:tcPr>
            <w:tcW w:w="2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38,344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113,436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420" w:type="dxa"/>
            <w:vAlign w:val="bottom"/>
            <w:gridSpan w:val="2"/>
          </w:tcPr>
          <w:p>
            <w:pPr>
              <w:ind w:left="160"/>
              <w:spacing w:after="0"/>
              <w:rPr>
                <w:sz w:val="20"/>
                <w:szCs w:val="20"/>
                <w:color w:val="auto"/>
              </w:rPr>
            </w:pPr>
            <w:r>
              <w:rPr>
                <w:rFonts w:ascii="Arial" w:cs="Arial" w:eastAsia="Arial" w:hAnsi="Arial"/>
                <w:sz w:val="14"/>
                <w:szCs w:val="14"/>
                <w:color w:val="auto"/>
              </w:rPr>
              <w:t>Mortgage loans</w:t>
            </w:r>
          </w:p>
        </w:tc>
        <w:tc>
          <w:tcPr>
            <w:tcW w:w="2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36,390</w:t>
            </w: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107,223</w:t>
            </w:r>
          </w:p>
        </w:tc>
        <w:tc>
          <w:tcPr>
            <w:tcW w:w="0" w:type="dxa"/>
            <w:vAlign w:val="bottom"/>
          </w:tcPr>
          <w:p>
            <w:pPr>
              <w:spacing w:after="0"/>
              <w:rPr>
                <w:sz w:val="1"/>
                <w:szCs w:val="1"/>
                <w:color w:val="auto"/>
              </w:rPr>
            </w:pPr>
          </w:p>
        </w:tc>
      </w:tr>
      <w:tr>
        <w:trPr>
          <w:trHeight w:val="193"/>
        </w:trPr>
        <w:tc>
          <w:tcPr>
            <w:tcW w:w="6420" w:type="dxa"/>
            <w:vAlign w:val="bottom"/>
            <w:gridSpan w:val="2"/>
          </w:tcPr>
          <w:p>
            <w:pPr>
              <w:ind w:left="160"/>
              <w:spacing w:after="0"/>
              <w:rPr>
                <w:sz w:val="20"/>
                <w:szCs w:val="20"/>
                <w:color w:val="auto"/>
              </w:rPr>
            </w:pPr>
            <w:r>
              <w:rPr>
                <w:rFonts w:ascii="Arial" w:cs="Arial" w:eastAsia="Arial" w:hAnsi="Arial"/>
                <w:sz w:val="14"/>
                <w:szCs w:val="14"/>
                <w:color w:val="auto"/>
              </w:rPr>
              <w:t>Securities purchased under agreements to resell</w:t>
            </w: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844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2,640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3,313</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Investments in securities and other</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789</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2,328</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1,549</w:t>
            </w:r>
          </w:p>
        </w:tc>
        <w:tc>
          <w:tcPr>
            <w:tcW w:w="0" w:type="dxa"/>
            <w:vAlign w:val="bottom"/>
          </w:tcPr>
          <w:p>
            <w:pPr>
              <w:spacing w:after="0"/>
              <w:rPr>
                <w:sz w:val="1"/>
                <w:szCs w:val="1"/>
                <w:color w:val="auto"/>
              </w:rPr>
            </w:pPr>
          </w:p>
        </w:tc>
      </w:tr>
      <w:tr>
        <w:trPr>
          <w:trHeight w:val="186"/>
        </w:trPr>
        <w:tc>
          <w:tcPr>
            <w:tcW w:w="63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income</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39,977</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38,012</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118,404</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112,085</w:t>
            </w:r>
          </w:p>
        </w:tc>
        <w:tc>
          <w:tcPr>
            <w:tcW w:w="0" w:type="dxa"/>
            <w:vAlign w:val="bottom"/>
          </w:tcPr>
          <w:p>
            <w:pPr>
              <w:spacing w:after="0"/>
              <w:rPr>
                <w:sz w:val="1"/>
                <w:szCs w:val="1"/>
                <w:color w:val="auto"/>
              </w:rPr>
            </w:pPr>
          </w:p>
        </w:tc>
      </w:tr>
      <w:tr>
        <w:trPr>
          <w:trHeight w:val="179"/>
        </w:trPr>
        <w:tc>
          <w:tcPr>
            <w:tcW w:w="642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420" w:type="dxa"/>
            <w:vAlign w:val="bottom"/>
            <w:gridSpan w:val="2"/>
          </w:tcPr>
          <w:p>
            <w:pPr>
              <w:ind w:left="160"/>
              <w:spacing w:after="0"/>
              <w:rPr>
                <w:sz w:val="20"/>
                <w:szCs w:val="20"/>
                <w:color w:val="auto"/>
              </w:rPr>
            </w:pPr>
            <w:r>
              <w:rPr>
                <w:rFonts w:ascii="Arial" w:cs="Arial" w:eastAsia="Arial" w:hAnsi="Arial"/>
                <w:sz w:val="14"/>
                <w:szCs w:val="14"/>
                <w:color w:val="auto"/>
              </w:rPr>
              <w:t>Short-term debt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2C6937"/>
            </w:tcBorders>
          </w:tcPr>
          <w:p>
            <w:pPr>
              <w:ind w:left="16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(32,639)</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(30,600)</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(96,702)</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(90,057)</w:t>
            </w:r>
          </w:p>
        </w:tc>
        <w:tc>
          <w:tcPr>
            <w:tcW w:w="0" w:type="dxa"/>
            <w:vAlign w:val="bottom"/>
          </w:tcPr>
          <w:p>
            <w:pPr>
              <w:spacing w:after="0"/>
              <w:rPr>
                <w:sz w:val="1"/>
                <w:szCs w:val="1"/>
                <w:color w:val="auto"/>
              </w:rPr>
            </w:pPr>
          </w:p>
        </w:tc>
      </w:tr>
      <w:tr>
        <w:trPr>
          <w:trHeight w:val="186"/>
        </w:trPr>
        <w:tc>
          <w:tcPr>
            <w:tcW w:w="63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interest expense</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(32,793)</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(30,737)</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(97,064)</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(90,519)</w:t>
            </w:r>
          </w:p>
        </w:tc>
        <w:tc>
          <w:tcPr>
            <w:tcW w:w="0" w:type="dxa"/>
            <w:vAlign w:val="bottom"/>
          </w:tcPr>
          <w:p>
            <w:pPr>
              <w:spacing w:after="0"/>
              <w:rPr>
                <w:sz w:val="1"/>
                <w:szCs w:val="1"/>
                <w:color w:val="auto"/>
              </w:rPr>
            </w:pPr>
          </w:p>
        </w:tc>
      </w:tr>
      <w:tr>
        <w:trPr>
          <w:trHeight w:val="185"/>
        </w:trPr>
        <w:tc>
          <w:tcPr>
            <w:tcW w:w="6420" w:type="dxa"/>
            <w:vAlign w:val="bottom"/>
            <w:gridSpan w:val="2"/>
          </w:tcPr>
          <w:p>
            <w:pPr>
              <w:spacing w:after="0"/>
              <w:rPr>
                <w:sz w:val="20"/>
                <w:szCs w:val="20"/>
                <w:color w:val="auto"/>
              </w:rPr>
            </w:pPr>
            <w:r>
              <w:rPr>
                <w:rFonts w:ascii="Arial" w:cs="Arial" w:eastAsia="Arial" w:hAnsi="Arial"/>
                <w:sz w:val="14"/>
                <w:szCs w:val="14"/>
                <w:color w:val="auto"/>
              </w:rPr>
              <w:t>Net interest income</w:t>
            </w: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7,184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21,340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21,566</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(Provision) benefit for credit losses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(338)</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(1,308)</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186"/>
        </w:trPr>
        <w:tc>
          <w:tcPr>
            <w:tcW w:w="63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Net interest income after (provision) benefit for credit losses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6,846</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7,302</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20,032</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22,073</w:t>
            </w:r>
          </w:p>
        </w:tc>
        <w:tc>
          <w:tcPr>
            <w:tcW w:w="0" w:type="dxa"/>
            <w:vAlign w:val="bottom"/>
          </w:tcPr>
          <w:p>
            <w:pPr>
              <w:spacing w:after="0"/>
              <w:rPr>
                <w:sz w:val="1"/>
                <w:szCs w:val="1"/>
                <w:color w:val="auto"/>
              </w:rPr>
            </w:pPr>
          </w:p>
        </w:tc>
      </w:tr>
      <w:tr>
        <w:trPr>
          <w:trHeight w:val="185"/>
        </w:trPr>
        <w:tc>
          <w:tcPr>
            <w:tcW w:w="6420" w:type="dxa"/>
            <w:vAlign w:val="bottom"/>
            <w:gridSpan w:val="2"/>
          </w:tcPr>
          <w:p>
            <w:pPr>
              <w:spacing w:after="0"/>
              <w:rPr>
                <w:sz w:val="20"/>
                <w:szCs w:val="20"/>
                <w:color w:val="auto"/>
              </w:rPr>
            </w:pPr>
            <w:r>
              <w:rPr>
                <w:rFonts w:ascii="Arial" w:cs="Arial" w:eastAsia="Arial" w:hAnsi="Arial"/>
                <w:sz w:val="14"/>
                <w:szCs w:val="14"/>
                <w:color w:val="auto"/>
              </w:rPr>
              <w:t>Fair value gains (losses), net</w:t>
            </w: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347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979</w:t>
            </w:r>
          </w:p>
        </w:tc>
        <w:tc>
          <w:tcPr>
            <w:tcW w:w="0" w:type="dxa"/>
            <w:vAlign w:val="bottom"/>
          </w:tcPr>
          <w:p>
            <w:pPr>
              <w:spacing w:after="0"/>
              <w:rPr>
                <w:sz w:val="1"/>
                <w:szCs w:val="1"/>
                <w:color w:val="auto"/>
              </w:rPr>
            </w:pPr>
          </w:p>
        </w:tc>
      </w:tr>
      <w:tr>
        <w:trPr>
          <w:trHeight w:val="193"/>
        </w:trPr>
        <w:tc>
          <w:tcPr>
            <w:tcW w:w="6420" w:type="dxa"/>
            <w:vAlign w:val="bottom"/>
            <w:gridSpan w:val="2"/>
          </w:tcPr>
          <w:p>
            <w:pPr>
              <w:spacing w:after="0"/>
              <w:rPr>
                <w:sz w:val="20"/>
                <w:szCs w:val="20"/>
                <w:color w:val="auto"/>
              </w:rPr>
            </w:pPr>
            <w:r>
              <w:rPr>
                <w:rFonts w:ascii="Arial" w:cs="Arial" w:eastAsia="Arial" w:hAnsi="Arial"/>
                <w:sz w:val="14"/>
                <w:szCs w:val="14"/>
                <w:color w:val="auto"/>
              </w:rPr>
              <w:t>Fee and other income</w:t>
            </w: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123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293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Investment gains (losses), net</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6"/>
        </w:trPr>
        <w:tc>
          <w:tcPr>
            <w:tcW w:w="63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Non-interest income</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135</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631</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1,157</w:t>
            </w:r>
          </w:p>
        </w:tc>
        <w:tc>
          <w:tcPr>
            <w:tcW w:w="0" w:type="dxa"/>
            <w:vAlign w:val="bottom"/>
          </w:tcPr>
          <w:p>
            <w:pPr>
              <w:spacing w:after="0"/>
              <w:rPr>
                <w:sz w:val="1"/>
                <w:szCs w:val="1"/>
                <w:color w:val="auto"/>
              </w:rPr>
            </w:pPr>
          </w:p>
        </w:tc>
      </w:tr>
      <w:tr>
        <w:trPr>
          <w:trHeight w:val="179"/>
        </w:trPr>
        <w:tc>
          <w:tcPr>
            <w:tcW w:w="6420" w:type="dxa"/>
            <w:vAlign w:val="bottom"/>
            <w:gridSpan w:val="2"/>
          </w:tcPr>
          <w:p>
            <w:pPr>
              <w:spacing w:after="0"/>
              <w:rPr>
                <w:sz w:val="20"/>
                <w:szCs w:val="20"/>
                <w:color w:val="auto"/>
              </w:rPr>
            </w:pPr>
            <w:r>
              <w:rPr>
                <w:rFonts w:ascii="Arial" w:cs="Arial" w:eastAsia="Arial" w:hAnsi="Arial"/>
                <w:sz w:val="14"/>
                <w:szCs w:val="14"/>
                <w:color w:val="auto"/>
              </w:rPr>
              <w:t>Non-interest expense:</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420" w:type="dxa"/>
            <w:vAlign w:val="bottom"/>
            <w:gridSpan w:val="2"/>
          </w:tcPr>
          <w:p>
            <w:pPr>
              <w:ind w:left="100"/>
              <w:spacing w:after="0"/>
              <w:rPr>
                <w:sz w:val="20"/>
                <w:szCs w:val="20"/>
                <w:color w:val="auto"/>
              </w:rPr>
            </w:pPr>
            <w:r>
              <w:rPr>
                <w:rFonts w:ascii="Arial" w:cs="Arial" w:eastAsia="Arial" w:hAnsi="Arial"/>
                <w:sz w:val="14"/>
                <w:szCs w:val="14"/>
                <w:color w:val="auto"/>
              </w:rPr>
              <w:t>Salaries and employee benefits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(1,578)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193"/>
        </w:trPr>
        <w:tc>
          <w:tcPr>
            <w:tcW w:w="6420" w:type="dxa"/>
            <w:vAlign w:val="bottom"/>
            <w:gridSpan w:val="2"/>
          </w:tcPr>
          <w:p>
            <w:pPr>
              <w:ind w:left="100"/>
              <w:spacing w:after="0"/>
              <w:rPr>
                <w:sz w:val="20"/>
                <w:szCs w:val="20"/>
                <w:color w:val="auto"/>
              </w:rPr>
            </w:pPr>
            <w:r>
              <w:rPr>
                <w:rFonts w:ascii="Arial" w:cs="Arial" w:eastAsia="Arial" w:hAnsi="Arial"/>
                <w:sz w:val="14"/>
                <w:szCs w:val="14"/>
                <w:color w:val="auto"/>
              </w:rPr>
              <w:t>Professional services, technology, and occupancy</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(1,080)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193"/>
        </w:trPr>
        <w:tc>
          <w:tcPr>
            <w:tcW w:w="6420" w:type="dxa"/>
            <w:vAlign w:val="bottom"/>
            <w:gridSpan w:val="2"/>
          </w:tcPr>
          <w:p>
            <w:pPr>
              <w:ind w:left="100"/>
              <w:spacing w:after="0"/>
              <w:rPr>
                <w:sz w:val="20"/>
                <w:szCs w:val="20"/>
                <w:color w:val="auto"/>
              </w:rPr>
            </w:pPr>
            <w:r>
              <w:rPr>
                <w:rFonts w:ascii="Arial" w:cs="Arial" w:eastAsia="Arial" w:hAnsi="Arial"/>
                <w:sz w:val="14"/>
                <w:szCs w:val="14"/>
                <w:color w:val="auto"/>
              </w:rPr>
              <w:t>Legislative assessments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(2,813)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(2,817)</w:t>
            </w:r>
          </w:p>
        </w:tc>
        <w:tc>
          <w:tcPr>
            <w:tcW w:w="0" w:type="dxa"/>
            <w:vAlign w:val="bottom"/>
          </w:tcPr>
          <w:p>
            <w:pPr>
              <w:spacing w:after="0"/>
              <w:rPr>
                <w:sz w:val="1"/>
                <w:szCs w:val="1"/>
                <w:color w:val="auto"/>
              </w:rPr>
            </w:pPr>
          </w:p>
        </w:tc>
      </w:tr>
      <w:tr>
        <w:trPr>
          <w:trHeight w:val="193"/>
        </w:trPr>
        <w:tc>
          <w:tcPr>
            <w:tcW w:w="6420" w:type="dxa"/>
            <w:vAlign w:val="bottom"/>
            <w:gridSpan w:val="2"/>
          </w:tcPr>
          <w:p>
            <w:pPr>
              <w:ind w:left="100"/>
              <w:spacing w:after="0"/>
              <w:rPr>
                <w:sz w:val="20"/>
                <w:szCs w:val="20"/>
                <w:color w:val="auto"/>
              </w:rPr>
            </w:pPr>
            <w:r>
              <w:rPr>
                <w:rFonts w:ascii="Arial" w:cs="Arial" w:eastAsia="Arial" w:hAnsi="Arial"/>
                <w:sz w:val="14"/>
                <w:szCs w:val="14"/>
                <w:color w:val="auto"/>
              </w:rPr>
              <w:t>Credit enhancement expense</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(1,288)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(1,235)</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2C6937"/>
            </w:tcBorders>
          </w:tcPr>
          <w:p>
            <w:pPr>
              <w:ind w:left="100"/>
              <w:spacing w:after="0"/>
              <w:rPr>
                <w:sz w:val="20"/>
                <w:szCs w:val="20"/>
                <w:color w:val="auto"/>
              </w:rPr>
            </w:pPr>
            <w:r>
              <w:rPr>
                <w:rFonts w:ascii="Arial" w:cs="Arial" w:eastAsia="Arial" w:hAnsi="Arial"/>
                <w:sz w:val="14"/>
                <w:szCs w:val="14"/>
                <w:color w:val="auto"/>
              </w:rPr>
              <w:t>Other income (expense), net</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(331)</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86"/>
        </w:trPr>
        <w:tc>
          <w:tcPr>
            <w:tcW w:w="632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Total non-interest expense</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(2,146)</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(2,379)</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(7,090)</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(7,140)</w:t>
            </w:r>
          </w:p>
        </w:tc>
        <w:tc>
          <w:tcPr>
            <w:tcW w:w="0" w:type="dxa"/>
            <w:vAlign w:val="bottom"/>
          </w:tcPr>
          <w:p>
            <w:pPr>
              <w:spacing w:after="0"/>
              <w:rPr>
                <w:sz w:val="1"/>
                <w:szCs w:val="1"/>
                <w:color w:val="auto"/>
              </w:rPr>
            </w:pPr>
          </w:p>
        </w:tc>
      </w:tr>
      <w:tr>
        <w:trPr>
          <w:trHeight w:val="185"/>
        </w:trPr>
        <w:tc>
          <w:tcPr>
            <w:tcW w:w="6420" w:type="dxa"/>
            <w:vAlign w:val="bottom"/>
            <w:gridSpan w:val="2"/>
          </w:tcPr>
          <w:p>
            <w:pPr>
              <w:spacing w:after="0"/>
              <w:rPr>
                <w:sz w:val="20"/>
                <w:szCs w:val="20"/>
                <w:color w:val="auto"/>
              </w:rPr>
            </w:pPr>
            <w:r>
              <w:rPr>
                <w:rFonts w:ascii="Arial" w:cs="Arial" w:eastAsia="Arial" w:hAnsi="Arial"/>
                <w:sz w:val="14"/>
                <w:szCs w:val="14"/>
                <w:color w:val="auto"/>
              </w:rPr>
              <w:t>Income before federal income taxes</w:t>
            </w: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4,835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13,573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16,090</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Provision for federal income taxes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(976)</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(1,009)</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(2,736)</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(3,242)</w:t>
            </w:r>
          </w:p>
        </w:tc>
        <w:tc>
          <w:tcPr>
            <w:tcW w:w="0" w:type="dxa"/>
            <w:vAlign w:val="bottom"/>
          </w:tcPr>
          <w:p>
            <w:pPr>
              <w:spacing w:after="0"/>
              <w:rPr>
                <w:sz w:val="1"/>
                <w:szCs w:val="1"/>
                <w:color w:val="auto"/>
              </w:rPr>
            </w:pPr>
          </w:p>
        </w:tc>
      </w:tr>
      <w:tr>
        <w:trPr>
          <w:trHeight w:val="185"/>
        </w:trPr>
        <w:tc>
          <w:tcPr>
            <w:tcW w:w="64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3,859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10,837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12,848</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3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6"/>
                <w:szCs w:val="16"/>
                <w:color w:val="auto"/>
              </w:rPr>
            </w:pPr>
          </w:p>
        </w:tc>
        <w:tc>
          <w:tcPr>
            <w:tcW w:w="200" w:type="dxa"/>
            <w:vAlign w:val="bottom"/>
            <w:tcBorders>
              <w:bottom w:val="single" w:sz="8" w:color="2C6937"/>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3,849</w:t>
            </w:r>
          </w:p>
        </w:tc>
        <w:tc>
          <w:tcPr>
            <w:tcW w:w="100" w:type="dxa"/>
            <w:vAlign w:val="bottom"/>
          </w:tcPr>
          <w:p>
            <w:pPr>
              <w:spacing w:after="0"/>
              <w:rPr>
                <w:sz w:val="16"/>
                <w:szCs w:val="16"/>
                <w:color w:val="auto"/>
              </w:rPr>
            </w:pPr>
          </w:p>
        </w:tc>
        <w:tc>
          <w:tcPr>
            <w:tcW w:w="20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4,047</w:t>
            </w:r>
          </w:p>
        </w:tc>
        <w:tc>
          <w:tcPr>
            <w:tcW w:w="100" w:type="dxa"/>
            <w:vAlign w:val="bottom"/>
          </w:tcPr>
          <w:p>
            <w:pPr>
              <w:spacing w:after="0"/>
              <w:rPr>
                <w:sz w:val="16"/>
                <w:szCs w:val="16"/>
                <w:color w:val="auto"/>
              </w:rPr>
            </w:pPr>
          </w:p>
        </w:tc>
        <w:tc>
          <w:tcPr>
            <w:tcW w:w="200" w:type="dxa"/>
            <w:vAlign w:val="bottom"/>
            <w:tcBorders>
              <w:bottom w:val="single" w:sz="8" w:color="2C6937"/>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10,828</w:t>
            </w:r>
          </w:p>
        </w:tc>
        <w:tc>
          <w:tcPr>
            <w:tcW w:w="100" w:type="dxa"/>
            <w:vAlign w:val="bottom"/>
          </w:tcPr>
          <w:p>
            <w:pPr>
              <w:spacing w:after="0"/>
              <w:rPr>
                <w:sz w:val="16"/>
                <w:szCs w:val="16"/>
                <w:color w:val="auto"/>
              </w:rPr>
            </w:pPr>
          </w:p>
        </w:tc>
        <w:tc>
          <w:tcPr>
            <w:tcW w:w="20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12,848</w:t>
            </w:r>
          </w:p>
        </w:tc>
        <w:tc>
          <w:tcPr>
            <w:tcW w:w="0" w:type="dxa"/>
            <w:vAlign w:val="bottom"/>
          </w:tcPr>
          <w:p>
            <w:pPr>
              <w:spacing w:after="0"/>
              <w:rPr>
                <w:sz w:val="1"/>
                <w:szCs w:val="1"/>
                <w:color w:val="auto"/>
              </w:rPr>
            </w:pPr>
          </w:p>
        </w:tc>
      </w:tr>
      <w:tr>
        <w:trPr>
          <w:trHeight w:val="20"/>
        </w:trPr>
        <w:tc>
          <w:tcPr>
            <w:tcW w:w="63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3,859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4,044</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10,837</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12,848</w:t>
            </w:r>
          </w:p>
        </w:tc>
        <w:tc>
          <w:tcPr>
            <w:tcW w:w="0" w:type="dxa"/>
            <w:vAlign w:val="bottom"/>
          </w:tcPr>
          <w:p>
            <w:pPr>
              <w:spacing w:after="0"/>
              <w:rPr>
                <w:sz w:val="1"/>
                <w:szCs w:val="1"/>
                <w:color w:val="auto"/>
              </w:rPr>
            </w:pPr>
          </w:p>
        </w:tc>
      </w:tr>
      <w:tr>
        <w:trPr>
          <w:trHeight w:val="194"/>
        </w:trPr>
        <w:tc>
          <w:tcPr>
            <w:tcW w:w="6320" w:type="dxa"/>
            <w:vAlign w:val="bottom"/>
            <w:tcBorders>
              <w:bottom w:val="single" w:sz="8" w:color="2C6937"/>
            </w:tcBorders>
          </w:tcPr>
          <w:p>
            <w:pPr>
              <w:spacing w:after="0"/>
              <w:rPr>
                <w:sz w:val="20"/>
                <w:szCs w:val="20"/>
                <w:color w:val="auto"/>
              </w:rPr>
            </w:pPr>
            <w:r>
              <w:rPr>
                <w:rFonts w:ascii="Arial" w:cs="Arial" w:eastAsia="Arial" w:hAnsi="Arial"/>
                <w:sz w:val="14"/>
                <w:szCs w:val="14"/>
                <w:color w:val="auto"/>
              </w:rPr>
              <w:t>Dividends distributed or amounts attributable to senior preferred stock</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(3,849)</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(4,047)</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(10,828)</w:t>
            </w: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(12,848)</w:t>
            </w:r>
          </w:p>
        </w:tc>
        <w:tc>
          <w:tcPr>
            <w:tcW w:w="0" w:type="dxa"/>
            <w:vAlign w:val="bottom"/>
          </w:tcPr>
          <w:p>
            <w:pPr>
              <w:spacing w:after="0"/>
              <w:rPr>
                <w:sz w:val="1"/>
                <w:szCs w:val="1"/>
                <w:color w:val="auto"/>
              </w:rPr>
            </w:pPr>
          </w:p>
        </w:tc>
      </w:tr>
      <w:tr>
        <w:trPr>
          <w:trHeight w:val="186"/>
        </w:trPr>
        <w:tc>
          <w:tcPr>
            <w:tcW w:w="6420" w:type="dxa"/>
            <w:vAlign w:val="bottom"/>
            <w:gridSpan w:val="2"/>
          </w:tcPr>
          <w:p>
            <w:pPr>
              <w:spacing w:after="0"/>
              <w:rPr>
                <w:sz w:val="20"/>
                <w:szCs w:val="20"/>
                <w:color w:val="auto"/>
              </w:rPr>
            </w:pPr>
            <w:r>
              <w:rPr>
                <w:rFonts w:ascii="Arial" w:cs="Arial" w:eastAsia="Arial" w:hAnsi="Arial"/>
                <w:sz w:val="14"/>
                <w:szCs w:val="14"/>
                <w:color w:val="auto"/>
              </w:rPr>
              <w:t>Net income (loss) attributable to common stockholders</w:t>
            </w: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3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20" w:type="dxa"/>
            <w:vAlign w:val="bottom"/>
            <w:gridSpan w:val="2"/>
          </w:tcPr>
          <w:p>
            <w:pPr>
              <w:spacing w:after="0"/>
              <w:rPr>
                <w:sz w:val="20"/>
                <w:szCs w:val="20"/>
                <w:color w:val="auto"/>
              </w:rPr>
            </w:pPr>
            <w:r>
              <w:rPr>
                <w:rFonts w:ascii="Arial" w:cs="Arial" w:eastAsia="Arial" w:hAnsi="Arial"/>
                <w:sz w:val="14"/>
                <w:szCs w:val="14"/>
                <w:color w:val="auto"/>
              </w:rPr>
              <w:t>Earnings per share:</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42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8"/>
                <w:szCs w:val="18"/>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8"/>
                <w:szCs w:val="18"/>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8"/>
                <w:szCs w:val="18"/>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93"/>
        </w:trPr>
        <w:tc>
          <w:tcPr>
            <w:tcW w:w="6420" w:type="dxa"/>
            <w:vAlign w:val="bottom"/>
            <w:gridSpan w:val="2"/>
          </w:tcPr>
          <w:p>
            <w:pPr>
              <w:ind w:left="20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87"/>
        </w:trPr>
        <w:tc>
          <w:tcPr>
            <w:tcW w:w="642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420" w:type="dxa"/>
            <w:vAlign w:val="bottom"/>
            <w:gridSpan w:val="2"/>
          </w:tcPr>
          <w:p>
            <w:pPr>
              <w:ind w:left="20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5,867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5,867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5,867</w:t>
            </w:r>
          </w:p>
        </w:tc>
        <w:tc>
          <w:tcPr>
            <w:tcW w:w="0" w:type="dxa"/>
            <w:vAlign w:val="bottom"/>
          </w:tcPr>
          <w:p>
            <w:pPr>
              <w:spacing w:after="0"/>
              <w:rPr>
                <w:sz w:val="1"/>
                <w:szCs w:val="1"/>
                <w:color w:val="auto"/>
              </w:rPr>
            </w:pPr>
          </w:p>
        </w:tc>
      </w:tr>
      <w:tr>
        <w:trPr>
          <w:trHeight w:val="193"/>
        </w:trPr>
        <w:tc>
          <w:tcPr>
            <w:tcW w:w="6420" w:type="dxa"/>
            <w:vAlign w:val="bottom"/>
            <w:gridSpan w:val="2"/>
          </w:tcPr>
          <w:p>
            <w:pPr>
              <w:ind w:left="20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5,893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b w:val="1"/>
                <w:bCs w:val="1"/>
                <w:color w:val="auto"/>
              </w:rPr>
              <w:t>5,893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5,893</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387985</wp:posOffset>
            </wp:positionV>
            <wp:extent cx="680593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160020</wp:posOffset>
            </wp:positionV>
            <wp:extent cx="7164070"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248" w:right="359" w:bottom="1440" w:gutter="0" w:footer="0" w:header="0"/>
        </w:sectPr>
      </w:pPr>
    </w:p>
    <w:bookmarkStart w:id="66" w:name="page67"/>
    <w:bookmarkEnd w:id="66"/>
    <w:p>
      <w:pPr>
        <w:ind w:left="6540"/>
        <w:spacing w:after="0"/>
        <w:rPr>
          <w:sz w:val="20"/>
          <w:szCs w:val="20"/>
          <w:color w:val="auto"/>
        </w:rPr>
      </w:pPr>
      <w:r>
        <w:rPr>
          <w:rFonts w:ascii="Arial" w:cs="Arial" w:eastAsia="Arial" w:hAnsi="Arial"/>
          <w:sz w:val="13"/>
          <w:szCs w:val="13"/>
          <w:color w:val="05314D"/>
        </w:rPr>
        <w:t>Financial Statements |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072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39"/>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39"/>
        <w:spacing w:after="0"/>
        <w:rPr>
          <w:sz w:val="20"/>
          <w:szCs w:val="20"/>
          <w:color w:val="auto"/>
        </w:rPr>
      </w:pPr>
      <w:r>
        <w:rPr>
          <w:rFonts w:ascii="Georgia" w:cs="Georgia" w:eastAsia="Georgia" w:hAnsi="Georgia"/>
          <w:sz w:val="27"/>
          <w:szCs w:val="27"/>
          <w:b w:val="1"/>
          <w:bCs w:val="1"/>
          <w:color w:val="05314D"/>
        </w:rPr>
        <w:t>Condensed Consolidated Statements of Cash Flows — (Unaudited)</w:t>
      </w:r>
    </w:p>
    <w:p>
      <w:pPr>
        <w:spacing w:after="0" w:line="84" w:lineRule="exact"/>
        <w:rPr>
          <w:sz w:val="20"/>
          <w:szCs w:val="20"/>
          <w:color w:val="auto"/>
        </w:rPr>
      </w:pPr>
    </w:p>
    <w:p>
      <w:pPr>
        <w:jc w:val="center"/>
        <w:ind w:right="-39"/>
        <w:spacing w:after="0"/>
        <w:rPr>
          <w:sz w:val="20"/>
          <w:szCs w:val="20"/>
          <w:color w:val="auto"/>
        </w:rPr>
      </w:pPr>
      <w:r>
        <w:rPr>
          <w:rFonts w:ascii="Georgia" w:cs="Georgia" w:eastAsia="Georgia" w:hAnsi="Georgia"/>
          <w:sz w:val="17"/>
          <w:szCs w:val="17"/>
          <w:b w:val="1"/>
          <w:bCs w:val="1"/>
          <w:color w:val="001543"/>
        </w:rPr>
        <w:t>(Dollars in millions)</w:t>
      </w:r>
    </w:p>
    <w:p>
      <w:pPr>
        <w:spacing w:after="0" w:line="117"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For the Nine Months Ended</w:t>
      </w:r>
    </w:p>
    <w:p>
      <w:pPr>
        <w:jc w:val="center"/>
        <w:ind w:left="8900"/>
        <w:spacing w:after="0"/>
        <w:rPr>
          <w:sz w:val="20"/>
          <w:szCs w:val="20"/>
          <w:color w:val="auto"/>
        </w:rPr>
      </w:pPr>
      <w:r>
        <w:rPr>
          <w:rFonts w:ascii="Arial" w:cs="Arial" w:eastAsia="Arial" w:hAnsi="Arial"/>
          <w:sz w:val="14"/>
          <w:szCs w:val="14"/>
          <w:b w:val="1"/>
          <w:bCs w:val="1"/>
          <w:color w:val="auto"/>
        </w:rPr>
        <w:t>September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60" w:type="dxa"/>
            <w:vAlign w:val="bottom"/>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680" w:type="dxa"/>
            <w:vAlign w:val="bottom"/>
            <w:tcBorders>
              <w:top w:val="single" w:sz="8" w:color="2C6937"/>
              <w:bottom w:val="single" w:sz="8" w:color="2C6937"/>
            </w:tcBorders>
          </w:tcPr>
          <w:p>
            <w:pPr>
              <w:jc w:val="right"/>
              <w:ind w:right="19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2C6937"/>
              <w:bottom w:val="single" w:sz="8" w:color="2C6937"/>
            </w:tcBorders>
          </w:tcPr>
          <w:p>
            <w:pPr>
              <w:spacing w:after="0"/>
              <w:rPr>
                <w:sz w:val="16"/>
                <w:szCs w:val="16"/>
                <w:color w:val="auto"/>
              </w:rPr>
            </w:pPr>
          </w:p>
        </w:tc>
        <w:tc>
          <w:tcPr>
            <w:tcW w:w="100" w:type="dxa"/>
            <w:vAlign w:val="bottom"/>
            <w:tcBorders>
              <w:top w:val="single" w:sz="8" w:color="2C6937"/>
            </w:tcBorders>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6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2C6937"/>
              <w:bottom w:val="single" w:sz="8" w:color="2C6937"/>
            </w:tcBorders>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17,998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1,864</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investing activities: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Mortgage loans acquired held for investment:</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9060" w:type="dxa"/>
            <w:vAlign w:val="bottom"/>
            <w:gridSpan w:val="2"/>
          </w:tcPr>
          <w:p>
            <w:pPr>
              <w:ind w:left="400"/>
              <w:spacing w:after="0"/>
              <w:rPr>
                <w:sz w:val="20"/>
                <w:szCs w:val="20"/>
                <w:color w:val="auto"/>
              </w:rPr>
            </w:pPr>
            <w:r>
              <w:rPr>
                <w:rFonts w:ascii="Arial" w:cs="Arial" w:eastAsia="Arial" w:hAnsi="Arial"/>
                <w:sz w:val="14"/>
                <w:szCs w:val="14"/>
                <w:color w:val="auto"/>
              </w:rPr>
              <w:t>Purchases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(93,505)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(100,657)</w:t>
            </w:r>
          </w:p>
        </w:tc>
        <w:tc>
          <w:tcPr>
            <w:tcW w:w="100" w:type="dxa"/>
            <w:vAlign w:val="bottom"/>
          </w:tcPr>
          <w:p>
            <w:pPr>
              <w:spacing w:after="0"/>
              <w:rPr>
                <w:sz w:val="17"/>
                <w:szCs w:val="17"/>
                <w:color w:val="auto"/>
              </w:rPr>
            </w:pPr>
          </w:p>
        </w:tc>
      </w:tr>
      <w:tr>
        <w:trPr>
          <w:trHeight w:val="193"/>
        </w:trPr>
        <w:tc>
          <w:tcPr>
            <w:tcW w:w="9060" w:type="dxa"/>
            <w:vAlign w:val="bottom"/>
            <w:gridSpan w:val="2"/>
          </w:tcPr>
          <w:p>
            <w:pPr>
              <w:ind w:left="420"/>
              <w:spacing w:after="0"/>
              <w:rPr>
                <w:sz w:val="20"/>
                <w:szCs w:val="20"/>
                <w:color w:val="auto"/>
              </w:rPr>
            </w:pPr>
            <w:r>
              <w:rPr>
                <w:rFonts w:ascii="Arial" w:cs="Arial" w:eastAsia="Arial" w:hAnsi="Arial"/>
                <w:sz w:val="14"/>
                <w:szCs w:val="14"/>
                <w:color w:val="auto"/>
              </w:rPr>
              <w:t>Proceeds from sales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877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1,961</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420"/>
              <w:spacing w:after="0"/>
              <w:rPr>
                <w:sz w:val="20"/>
                <w:szCs w:val="20"/>
                <w:color w:val="auto"/>
              </w:rPr>
            </w:pPr>
            <w:r>
              <w:rPr>
                <w:rFonts w:ascii="Arial" w:cs="Arial" w:eastAsia="Arial" w:hAnsi="Arial"/>
                <w:sz w:val="14"/>
                <w:szCs w:val="14"/>
                <w:color w:val="auto"/>
              </w:rPr>
              <w:t>Proceeds from repayments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294,908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265,196</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Advances to lenders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(76,692)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(66,289)</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disposition of acquired property, preforeclosure sales and insurance proceeds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1,990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2,996</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Net change in securities purchased under agreements to resell</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(5,275)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8,510</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(1,136)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6"/>
                <w:szCs w:val="16"/>
                <w:color w:val="auto"/>
              </w:rPr>
            </w:pPr>
          </w:p>
        </w:tc>
      </w:tr>
      <w:tr>
        <w:trPr>
          <w:trHeight w:val="186"/>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121,167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111,483</w:t>
            </w:r>
          </w:p>
        </w:tc>
        <w:tc>
          <w:tcPr>
            <w:tcW w:w="100" w:type="dxa"/>
            <w:vAlign w:val="bottom"/>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provided by (used in) financing activities: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Borrowings that have an original maturity of three months or less, net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6,382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Fannie Mae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24,229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29,639</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Payments to redeem debt of Fannie Mae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(44,645)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(31,908)</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debt of consolidated trusts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184,809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164,455</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Payments to redeem debt of consolidated trusts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(309,095)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(270,804)</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20"/>
              <w:spacing w:after="0"/>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186"/>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(138,326)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(109,406)</w:t>
            </w:r>
          </w:p>
        </w:tc>
        <w:tc>
          <w:tcPr>
            <w:tcW w:w="100" w:type="dxa"/>
            <w:vAlign w:val="bottom"/>
          </w:tcPr>
          <w:p>
            <w:pPr>
              <w:spacing w:after="0"/>
              <w:rPr>
                <w:sz w:val="16"/>
                <w:szCs w:val="16"/>
                <w:color w:val="auto"/>
              </w:rPr>
            </w:pPr>
          </w:p>
        </w:tc>
      </w:tr>
      <w:tr>
        <w:trPr>
          <w:trHeight w:val="185"/>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increase (decrease) in cash and restricted cash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839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3,941</w:t>
            </w:r>
          </w:p>
        </w:tc>
        <w:tc>
          <w:tcPr>
            <w:tcW w:w="100" w:type="dxa"/>
            <w:vAlign w:val="bottom"/>
          </w:tcPr>
          <w:p>
            <w:pPr>
              <w:spacing w:after="0"/>
              <w:rPr>
                <w:sz w:val="16"/>
                <w:szCs w:val="16"/>
                <w:color w:val="auto"/>
              </w:rPr>
            </w:pPr>
          </w:p>
        </w:tc>
      </w:tr>
      <w:tr>
        <w:trPr>
          <w:trHeight w:val="194"/>
        </w:trPr>
        <w:tc>
          <w:tcPr>
            <w:tcW w:w="896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Cash and restricted cash at beginning of period</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38,536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33,981</w:t>
            </w:r>
          </w:p>
        </w:tc>
        <w:tc>
          <w:tcPr>
            <w:tcW w:w="100" w:type="dxa"/>
            <w:vAlign w:val="bottom"/>
          </w:tcPr>
          <w:p>
            <w:pPr>
              <w:spacing w:after="0"/>
              <w:rPr>
                <w:sz w:val="16"/>
                <w:szCs w:val="16"/>
                <w:color w:val="auto"/>
              </w:rPr>
            </w:pPr>
          </w:p>
        </w:tc>
      </w:tr>
      <w:tr>
        <w:trPr>
          <w:trHeight w:val="186"/>
        </w:trPr>
        <w:tc>
          <w:tcPr>
            <w:tcW w:w="9060" w:type="dxa"/>
            <w:vAlign w:val="bottom"/>
            <w:gridSpan w:val="2"/>
          </w:tcPr>
          <w:p>
            <w:pPr>
              <w:ind w:left="180"/>
              <w:spacing w:after="0"/>
              <w:rPr>
                <w:sz w:val="20"/>
                <w:szCs w:val="20"/>
                <w:color w:val="auto"/>
              </w:rPr>
            </w:pPr>
            <w:r>
              <w:rPr>
                <w:rFonts w:ascii="Arial" w:cs="Arial" w:eastAsia="Arial" w:hAnsi="Arial"/>
                <w:sz w:val="14"/>
                <w:szCs w:val="14"/>
                <w:b w:val="1"/>
                <w:bCs w:val="1"/>
                <w:color w:val="auto"/>
              </w:rPr>
              <w:t>Cash and restricted cash at end of period</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39,375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37,922</w:t>
            </w:r>
          </w:p>
        </w:tc>
        <w:tc>
          <w:tcPr>
            <w:tcW w:w="100" w:type="dxa"/>
            <w:vAlign w:val="bottom"/>
          </w:tcPr>
          <w:p>
            <w:pPr>
              <w:spacing w:after="0"/>
              <w:rPr>
                <w:sz w:val="16"/>
                <w:szCs w:val="16"/>
                <w:color w:val="auto"/>
              </w:rPr>
            </w:pPr>
          </w:p>
        </w:tc>
      </w:tr>
      <w:tr>
        <w:trPr>
          <w:trHeight w:val="20"/>
        </w:trPr>
        <w:tc>
          <w:tcPr>
            <w:tcW w:w="8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6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4"/>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paid during the period for:</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Interest</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101,890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95,681</w:t>
            </w:r>
          </w:p>
        </w:tc>
        <w:tc>
          <w:tcPr>
            <w:tcW w:w="100" w:type="dxa"/>
            <w:vAlign w:val="bottom"/>
          </w:tcPr>
          <w:p>
            <w:pPr>
              <w:spacing w:after="0"/>
              <w:rPr>
                <w:sz w:val="16"/>
                <w:szCs w:val="16"/>
                <w:color w:val="auto"/>
              </w:rPr>
            </w:pPr>
          </w:p>
        </w:tc>
      </w:tr>
      <w:tr>
        <w:trPr>
          <w:trHeight w:val="193"/>
        </w:trPr>
        <w:tc>
          <w:tcPr>
            <w:tcW w:w="9060" w:type="dxa"/>
            <w:vAlign w:val="bottom"/>
            <w:gridSpan w:val="2"/>
          </w:tcPr>
          <w:p>
            <w:pPr>
              <w:ind w:left="220"/>
              <w:spacing w:after="0"/>
              <w:rPr>
                <w:sz w:val="20"/>
                <w:szCs w:val="20"/>
                <w:color w:val="auto"/>
              </w:rPr>
            </w:pPr>
            <w:r>
              <w:rPr>
                <w:rFonts w:ascii="Arial" w:cs="Arial" w:eastAsia="Arial" w:hAnsi="Arial"/>
                <w:sz w:val="14"/>
                <w:szCs w:val="14"/>
                <w:color w:val="auto"/>
              </w:rPr>
              <w:t>Income taxes, net of refunds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1,900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2,366</w:t>
            </w:r>
          </w:p>
        </w:tc>
        <w:tc>
          <w:tcPr>
            <w:tcW w:w="100" w:type="dxa"/>
            <w:vAlign w:val="bottom"/>
          </w:tcPr>
          <w:p>
            <w:pPr>
              <w:spacing w:after="0"/>
              <w:rPr>
                <w:sz w:val="16"/>
                <w:szCs w:val="16"/>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396240</wp:posOffset>
            </wp:positionV>
            <wp:extent cx="68059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67" w:name="page68"/>
    <w:bookmarkEnd w:id="67"/>
    <w:p>
      <w:pPr>
        <w:jc w:val="right"/>
        <w:ind w:right="120"/>
        <w:spacing w:after="0"/>
        <w:rPr>
          <w:sz w:val="20"/>
          <w:szCs w:val="20"/>
          <w:color w:val="auto"/>
        </w:rPr>
      </w:pPr>
      <w:r>
        <w:rPr>
          <w:rFonts w:ascii="Arial" w:cs="Arial" w:eastAsia="Arial" w:hAnsi="Arial"/>
          <w:sz w:val="14"/>
          <w:szCs w:val="14"/>
          <w:color w:val="001543"/>
        </w:rPr>
        <w:t>Financial Statements | Condensed 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072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20"/>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20"/>
        <w:spacing w:after="0"/>
        <w:rPr>
          <w:sz w:val="20"/>
          <w:szCs w:val="20"/>
          <w:color w:val="auto"/>
        </w:rPr>
      </w:pPr>
      <w:r>
        <w:rPr>
          <w:rFonts w:ascii="Georgia" w:cs="Georgia" w:eastAsia="Georgia" w:hAnsi="Georgia"/>
          <w:sz w:val="27"/>
          <w:szCs w:val="27"/>
          <w:b w:val="1"/>
          <w:bCs w:val="1"/>
          <w:color w:val="05314D"/>
        </w:rPr>
        <w:t>Condensed Consolidated Statements of Changes in</w:t>
      </w:r>
    </w:p>
    <w:p>
      <w:pPr>
        <w:spacing w:after="0" w:line="16" w:lineRule="exact"/>
        <w:rPr>
          <w:sz w:val="20"/>
          <w:szCs w:val="20"/>
          <w:color w:val="auto"/>
        </w:rPr>
      </w:pPr>
    </w:p>
    <w:p>
      <w:pPr>
        <w:jc w:val="center"/>
        <w:ind w:right="20"/>
        <w:spacing w:after="0"/>
        <w:rPr>
          <w:sz w:val="20"/>
          <w:szCs w:val="20"/>
          <w:color w:val="auto"/>
        </w:rPr>
      </w:pPr>
      <w:r>
        <w:rPr>
          <w:rFonts w:ascii="Georgia" w:cs="Georgia" w:eastAsia="Georgia" w:hAnsi="Georgia"/>
          <w:sz w:val="27"/>
          <w:szCs w:val="27"/>
          <w:b w:val="1"/>
          <w:bCs w:val="1"/>
          <w:color w:val="05314D"/>
        </w:rPr>
        <w:t>Equity — (Unaudited)</w:t>
      </w:r>
    </w:p>
    <w:p>
      <w:pPr>
        <w:spacing w:after="0" w:line="97" w:lineRule="exact"/>
        <w:rPr>
          <w:sz w:val="20"/>
          <w:szCs w:val="20"/>
          <w:color w:val="auto"/>
        </w:rPr>
      </w:pPr>
    </w:p>
    <w:p>
      <w:pPr>
        <w:jc w:val="center"/>
        <w:ind w:right="20"/>
        <w:spacing w:after="0"/>
        <w:rPr>
          <w:sz w:val="20"/>
          <w:szCs w:val="20"/>
          <w:color w:val="auto"/>
        </w:rPr>
      </w:pPr>
      <w:r>
        <w:rPr>
          <w:rFonts w:ascii="Georgia" w:cs="Georgia" w:eastAsia="Georgia" w:hAnsi="Georgia"/>
          <w:sz w:val="17"/>
          <w:szCs w:val="17"/>
          <w:b w:val="1"/>
          <w:bCs w:val="1"/>
          <w:color w:val="05314D"/>
        </w:rPr>
        <w:t>(Dollars and shares in millions)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20" w:type="dxa"/>
            <w:vAlign w:val="bottom"/>
            <w:tcBorders>
              <w:bottom w:val="single" w:sz="8" w:color="2C6937"/>
            </w:tcBorders>
            <w:gridSpan w:val="8"/>
          </w:tcPr>
          <w:p>
            <w:pPr>
              <w:ind w:left="80"/>
              <w:spacing w:after="0"/>
              <w:rPr>
                <w:sz w:val="20"/>
                <w:szCs w:val="20"/>
                <w:color w:val="auto"/>
              </w:rPr>
            </w:pPr>
            <w:r>
              <w:rPr>
                <w:rFonts w:ascii="Arial" w:cs="Arial" w:eastAsia="Arial" w:hAnsi="Arial"/>
                <w:sz w:val="10"/>
                <w:szCs w:val="10"/>
                <w:b w:val="1"/>
                <w:bCs w:val="1"/>
                <w:color w:val="auto"/>
              </w:rPr>
              <w:t>Fannie Mae Stockholders’ Equity</w:t>
            </w:r>
          </w:p>
        </w:tc>
        <w:tc>
          <w:tcPr>
            <w:tcW w:w="100" w:type="dxa"/>
            <w:vAlign w:val="bottom"/>
            <w:tcBorders>
              <w:bottom w:val="single" w:sz="8" w:color="2C6937"/>
            </w:tcBorders>
          </w:tcPr>
          <w:p>
            <w:pPr>
              <w:spacing w:after="0"/>
              <w:rPr>
                <w:sz w:val="12"/>
                <w:szCs w:val="12"/>
                <w:color w:val="auto"/>
              </w:rPr>
            </w:pPr>
          </w:p>
        </w:tc>
        <w:tc>
          <w:tcPr>
            <w:tcW w:w="8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2C6937"/>
            </w:tcBorders>
            <w:gridSpan w:val="5"/>
          </w:tcPr>
          <w:p>
            <w:pPr>
              <w:jc w:val="center"/>
              <w:ind w:left="49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Preferred</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Treasury</w:t>
            </w:r>
          </w:p>
        </w:tc>
        <w:tc>
          <w:tcPr>
            <w:tcW w:w="140" w:type="dxa"/>
            <w:vAlign w:val="bottom"/>
          </w:tcPr>
          <w:p>
            <w:pPr>
              <w:spacing w:after="0"/>
              <w:rPr>
                <w:sz w:val="7"/>
                <w:szCs w:val="7"/>
                <w:color w:val="auto"/>
              </w:rPr>
            </w:pPr>
          </w:p>
        </w:tc>
        <w:tc>
          <w:tcPr>
            <w:tcW w:w="600" w:type="dxa"/>
            <w:vAlign w:val="bottom"/>
            <w:vMerge w:val="restart"/>
          </w:tcPr>
          <w:p>
            <w:pPr>
              <w:jc w:val="right"/>
              <w:ind w:right="23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Deficit</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Income</w:t>
            </w:r>
          </w:p>
        </w:tc>
        <w:tc>
          <w:tcPr>
            <w:tcW w:w="10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Stock</w:t>
            </w:r>
          </w:p>
        </w:tc>
        <w:tc>
          <w:tcPr>
            <w:tcW w:w="140" w:type="dxa"/>
            <w:vAlign w:val="bottom"/>
          </w:tcPr>
          <w:p>
            <w:pPr>
              <w:spacing w:after="0"/>
              <w:rPr>
                <w:sz w:val="11"/>
                <w:szCs w:val="11"/>
                <w:color w:val="auto"/>
              </w:rPr>
            </w:pPr>
          </w:p>
        </w:tc>
        <w:tc>
          <w:tcPr>
            <w:tcW w:w="600" w:type="dxa"/>
            <w:vAlign w:val="bottom"/>
          </w:tcPr>
          <w:p>
            <w:pPr>
              <w:jc w:val="right"/>
              <w:ind w:right="19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June 30, 2025</w:t>
            </w:r>
          </w:p>
        </w:tc>
        <w:tc>
          <w:tcPr>
            <w:tcW w:w="66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(31,647)</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101,636</w:t>
            </w:r>
          </w:p>
        </w:tc>
        <w:tc>
          <w:tcPr>
            <w:tcW w:w="0" w:type="dxa"/>
            <w:vAlign w:val="bottom"/>
          </w:tcPr>
          <w:p>
            <w:pPr>
              <w:spacing w:after="0"/>
              <w:rPr>
                <w:sz w:val="1"/>
                <w:szCs w:val="1"/>
                <w:color w:val="auto"/>
              </w:rPr>
            </w:pPr>
          </w:p>
        </w:tc>
      </w:tr>
      <w:tr>
        <w:trPr>
          <w:trHeight w:val="149"/>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Arial" w:cs="Arial" w:eastAsia="Arial" w:hAnsi="Arial"/>
                <w:sz w:val="10"/>
                <w:szCs w:val="10"/>
                <w:color w:val="auto"/>
              </w:rPr>
              <w:t>3,859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3,859</w:t>
            </w: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sale securities (net of taxes of $2)</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net income (net of taxes of $0)</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$0)</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2C6937"/>
            </w:tcBorders>
          </w:tcPr>
          <w:p>
            <w:pPr>
              <w:spacing w:after="0"/>
              <w:rPr>
                <w:sz w:val="14"/>
                <w:szCs w:val="14"/>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8"/>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3,849</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September 30, 2025</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(27,788)</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105,485</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20" w:type="dxa"/>
            <w:vAlign w:val="bottom"/>
            <w:tcBorders>
              <w:bottom w:val="single" w:sz="8" w:color="2C6937"/>
            </w:tcBorders>
            <w:gridSpan w:val="8"/>
          </w:tcPr>
          <w:p>
            <w:pPr>
              <w:ind w:left="80"/>
              <w:spacing w:after="0"/>
              <w:rPr>
                <w:sz w:val="20"/>
                <w:szCs w:val="20"/>
                <w:color w:val="auto"/>
              </w:rPr>
            </w:pPr>
            <w:r>
              <w:rPr>
                <w:rFonts w:ascii="Arial" w:cs="Arial" w:eastAsia="Arial" w:hAnsi="Arial"/>
                <w:sz w:val="10"/>
                <w:szCs w:val="10"/>
                <w:b w:val="1"/>
                <w:bCs w:val="1"/>
                <w:color w:val="auto"/>
              </w:rPr>
              <w:t>Fannie Mae Stockholders’ Equity</w:t>
            </w:r>
          </w:p>
        </w:tc>
        <w:tc>
          <w:tcPr>
            <w:tcW w:w="100" w:type="dxa"/>
            <w:vAlign w:val="bottom"/>
            <w:tcBorders>
              <w:bottom w:val="single" w:sz="8" w:color="2C6937"/>
            </w:tcBorders>
          </w:tcPr>
          <w:p>
            <w:pPr>
              <w:spacing w:after="0"/>
              <w:rPr>
                <w:sz w:val="12"/>
                <w:szCs w:val="12"/>
                <w:color w:val="auto"/>
              </w:rPr>
            </w:pPr>
          </w:p>
        </w:tc>
        <w:tc>
          <w:tcPr>
            <w:tcW w:w="8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2C6937"/>
            </w:tcBorders>
            <w:gridSpan w:val="5"/>
          </w:tcPr>
          <w:p>
            <w:pPr>
              <w:jc w:val="center"/>
              <w:ind w:left="49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Preferred</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89"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Treasury</w:t>
            </w:r>
          </w:p>
        </w:tc>
        <w:tc>
          <w:tcPr>
            <w:tcW w:w="140" w:type="dxa"/>
            <w:vAlign w:val="bottom"/>
          </w:tcPr>
          <w:p>
            <w:pPr>
              <w:spacing w:after="0"/>
              <w:rPr>
                <w:sz w:val="7"/>
                <w:szCs w:val="7"/>
                <w:color w:val="auto"/>
              </w:rPr>
            </w:pPr>
          </w:p>
        </w:tc>
        <w:tc>
          <w:tcPr>
            <w:tcW w:w="600" w:type="dxa"/>
            <w:vAlign w:val="bottom"/>
            <w:vMerge w:val="restart"/>
          </w:tcPr>
          <w:p>
            <w:pPr>
              <w:jc w:val="right"/>
              <w:ind w:right="23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Deficit</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Income</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40" w:type="dxa"/>
            <w:vAlign w:val="bottom"/>
          </w:tcPr>
          <w:p>
            <w:pPr>
              <w:spacing w:after="0"/>
              <w:rPr>
                <w:sz w:val="11"/>
                <w:szCs w:val="11"/>
                <w:color w:val="auto"/>
              </w:rPr>
            </w:pPr>
          </w:p>
        </w:tc>
        <w:tc>
          <w:tcPr>
            <w:tcW w:w="600" w:type="dxa"/>
            <w:vAlign w:val="bottom"/>
          </w:tcPr>
          <w:p>
            <w:pPr>
              <w:jc w:val="right"/>
              <w:ind w:right="19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December 31, 2024</w:t>
            </w:r>
          </w:p>
        </w:tc>
        <w:tc>
          <w:tcPr>
            <w:tcW w:w="66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(38,625)</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94,657</w:t>
            </w:r>
          </w:p>
        </w:tc>
        <w:tc>
          <w:tcPr>
            <w:tcW w:w="0" w:type="dxa"/>
            <w:vAlign w:val="bottom"/>
          </w:tcPr>
          <w:p>
            <w:pPr>
              <w:spacing w:after="0"/>
              <w:rPr>
                <w:sz w:val="1"/>
                <w:szCs w:val="1"/>
                <w:color w:val="auto"/>
              </w:rPr>
            </w:pPr>
          </w:p>
        </w:tc>
      </w:tr>
      <w:tr>
        <w:trPr>
          <w:trHeight w:val="149"/>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Arial" w:cs="Arial" w:eastAsia="Arial" w:hAnsi="Arial"/>
                <w:sz w:val="10"/>
                <w:szCs w:val="10"/>
                <w:color w:val="auto"/>
              </w:rPr>
              <w:t>10,837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10,837</w:t>
            </w: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sale securities (net of taxes of $1)</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net income (net of taxes of $0)</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2C6937"/>
            </w:tcBorders>
          </w:tcPr>
          <w:p>
            <w:pPr>
              <w:spacing w:after="0"/>
              <w:rPr>
                <w:sz w:val="14"/>
                <w:szCs w:val="14"/>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48"/>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10,828</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September 30, 2025</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(27,788)</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105,485</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818515</wp:posOffset>
            </wp:positionV>
            <wp:extent cx="68059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151765</wp:posOffset>
            </wp:positionV>
            <wp:extent cx="7164070"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248" w:right="339" w:bottom="1440" w:gutter="0" w:footer="0" w:header="0"/>
        </w:sectPr>
      </w:pPr>
    </w:p>
    <w:bookmarkStart w:id="68" w:name="page69"/>
    <w:bookmarkEnd w:id="68"/>
    <w:p>
      <w:pPr>
        <w:ind w:left="6120"/>
        <w:spacing w:after="0"/>
        <w:rPr>
          <w:sz w:val="20"/>
          <w:szCs w:val="20"/>
          <w:color w:val="auto"/>
        </w:rPr>
      </w:pPr>
      <w:r>
        <w:rPr>
          <w:rFonts w:ascii="Arial" w:cs="Arial" w:eastAsia="Arial" w:hAnsi="Arial"/>
          <w:sz w:val="14"/>
          <w:szCs w:val="14"/>
          <w:color w:val="001543"/>
        </w:rPr>
        <w:t>Financial Statements | Condensed 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17145</wp:posOffset>
            </wp:positionV>
            <wp:extent cx="70072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20" w:type="dxa"/>
            <w:vAlign w:val="bottom"/>
            <w:tcBorders>
              <w:bottom w:val="single" w:sz="8" w:color="2C6937"/>
            </w:tcBorders>
            <w:gridSpan w:val="8"/>
          </w:tcPr>
          <w:p>
            <w:pPr>
              <w:ind w:left="80"/>
              <w:spacing w:after="0"/>
              <w:rPr>
                <w:sz w:val="20"/>
                <w:szCs w:val="20"/>
                <w:color w:val="auto"/>
              </w:rPr>
            </w:pPr>
            <w:r>
              <w:rPr>
                <w:rFonts w:ascii="Arial" w:cs="Arial" w:eastAsia="Arial" w:hAnsi="Arial"/>
                <w:sz w:val="10"/>
                <w:szCs w:val="10"/>
                <w:b w:val="1"/>
                <w:bCs w:val="1"/>
                <w:color w:val="auto"/>
              </w:rPr>
              <w:t>Fannie Mae Stockholders’ Equity</w:t>
            </w:r>
          </w:p>
        </w:tc>
        <w:tc>
          <w:tcPr>
            <w:tcW w:w="100" w:type="dxa"/>
            <w:vAlign w:val="bottom"/>
            <w:tcBorders>
              <w:bottom w:val="single" w:sz="8" w:color="2C6937"/>
            </w:tcBorders>
          </w:tcPr>
          <w:p>
            <w:pPr>
              <w:spacing w:after="0"/>
              <w:rPr>
                <w:sz w:val="12"/>
                <w:szCs w:val="12"/>
                <w:color w:val="auto"/>
              </w:rPr>
            </w:pPr>
          </w:p>
        </w:tc>
        <w:tc>
          <w:tcPr>
            <w:tcW w:w="8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2C6937"/>
            </w:tcBorders>
            <w:gridSpan w:val="5"/>
          </w:tcPr>
          <w:p>
            <w:pPr>
              <w:jc w:val="center"/>
              <w:ind w:left="49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Preferred</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Treasury</w:t>
            </w:r>
          </w:p>
        </w:tc>
        <w:tc>
          <w:tcPr>
            <w:tcW w:w="140" w:type="dxa"/>
            <w:vAlign w:val="bottom"/>
          </w:tcPr>
          <w:p>
            <w:pPr>
              <w:spacing w:after="0"/>
              <w:rPr>
                <w:sz w:val="7"/>
                <w:szCs w:val="7"/>
                <w:color w:val="auto"/>
              </w:rPr>
            </w:pPr>
          </w:p>
        </w:tc>
        <w:tc>
          <w:tcPr>
            <w:tcW w:w="600" w:type="dxa"/>
            <w:vAlign w:val="bottom"/>
            <w:vMerge w:val="restart"/>
          </w:tcPr>
          <w:p>
            <w:pPr>
              <w:jc w:val="right"/>
              <w:ind w:right="23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Deficit</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Income</w:t>
            </w:r>
          </w:p>
        </w:tc>
        <w:tc>
          <w:tcPr>
            <w:tcW w:w="10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Stock</w:t>
            </w:r>
          </w:p>
        </w:tc>
        <w:tc>
          <w:tcPr>
            <w:tcW w:w="140" w:type="dxa"/>
            <w:vAlign w:val="bottom"/>
          </w:tcPr>
          <w:p>
            <w:pPr>
              <w:spacing w:after="0"/>
              <w:rPr>
                <w:sz w:val="11"/>
                <w:szCs w:val="11"/>
                <w:color w:val="auto"/>
              </w:rPr>
            </w:pPr>
          </w:p>
        </w:tc>
        <w:tc>
          <w:tcPr>
            <w:tcW w:w="600" w:type="dxa"/>
            <w:vAlign w:val="bottom"/>
          </w:tcPr>
          <w:p>
            <w:pPr>
              <w:jc w:val="right"/>
              <w:ind w:right="19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40"/>
              <w:spacing w:after="0"/>
              <w:rPr>
                <w:sz w:val="20"/>
                <w:szCs w:val="20"/>
                <w:color w:val="auto"/>
              </w:rPr>
            </w:pPr>
            <w:r>
              <w:rPr>
                <w:rFonts w:ascii="Arial" w:cs="Arial" w:eastAsia="Arial" w:hAnsi="Arial"/>
                <w:sz w:val="10"/>
                <w:szCs w:val="10"/>
                <w:b w:val="1"/>
                <w:bCs w:val="1"/>
                <w:color w:val="auto"/>
              </w:rPr>
              <w:t>Balance as of June 30, 2024</w:t>
            </w:r>
          </w:p>
        </w:tc>
        <w:tc>
          <w:tcPr>
            <w:tcW w:w="66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(46,799)</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86,483</w:t>
            </w:r>
          </w:p>
        </w:tc>
        <w:tc>
          <w:tcPr>
            <w:tcW w:w="0" w:type="dxa"/>
            <w:vAlign w:val="bottom"/>
          </w:tcPr>
          <w:p>
            <w:pPr>
              <w:spacing w:after="0"/>
              <w:rPr>
                <w:sz w:val="1"/>
                <w:szCs w:val="1"/>
                <w:color w:val="auto"/>
              </w:rPr>
            </w:pPr>
          </w:p>
        </w:tc>
      </w:tr>
      <w:tr>
        <w:trPr>
          <w:trHeight w:val="149"/>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Arial" w:cs="Arial" w:eastAsia="Arial" w:hAnsi="Arial"/>
                <w:sz w:val="10"/>
                <w:szCs w:val="10"/>
                <w:color w:val="auto"/>
              </w:rPr>
              <w:t>4,044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4,044</w:t>
            </w:r>
          </w:p>
        </w:tc>
        <w:tc>
          <w:tcPr>
            <w:tcW w:w="0" w:type="dxa"/>
            <w:vAlign w:val="bottom"/>
          </w:tcPr>
          <w:p>
            <w:pPr>
              <w:spacing w:after="0"/>
              <w:rPr>
                <w:sz w:val="1"/>
                <w:szCs w:val="1"/>
                <w:color w:val="auto"/>
              </w:rPr>
            </w:pPr>
          </w:p>
        </w:tc>
      </w:tr>
      <w:tr>
        <w:trPr>
          <w:trHeight w:val="155"/>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sale securities (net of taxes of $1)</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net income (net of taxes of $0)</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$0)</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2C6937"/>
            </w:tcBorders>
          </w:tcPr>
          <w:p>
            <w:pPr>
              <w:spacing w:after="0"/>
              <w:rPr>
                <w:sz w:val="14"/>
                <w:szCs w:val="14"/>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8"/>
        </w:trPr>
        <w:tc>
          <w:tcPr>
            <w:tcW w:w="3020" w:type="dxa"/>
            <w:vAlign w:val="bottom"/>
            <w:gridSpan w:val="2"/>
          </w:tcPr>
          <w:p>
            <w:pPr>
              <w:ind w:left="4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4,047</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September 30, 2024</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(42,755)</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ind w:left="200"/>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90,530</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6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8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2420" w:type="dxa"/>
            <w:vAlign w:val="bottom"/>
            <w:tcBorders>
              <w:bottom w:val="single" w:sz="8" w:color="2C6937"/>
            </w:tcBorders>
            <w:gridSpan w:val="8"/>
          </w:tcPr>
          <w:p>
            <w:pPr>
              <w:ind w:left="80"/>
              <w:spacing w:after="0"/>
              <w:rPr>
                <w:sz w:val="20"/>
                <w:szCs w:val="20"/>
                <w:color w:val="auto"/>
              </w:rPr>
            </w:pPr>
            <w:r>
              <w:rPr>
                <w:rFonts w:ascii="Arial" w:cs="Arial" w:eastAsia="Arial" w:hAnsi="Arial"/>
                <w:sz w:val="10"/>
                <w:szCs w:val="10"/>
                <w:b w:val="1"/>
                <w:bCs w:val="1"/>
                <w:color w:val="auto"/>
              </w:rPr>
              <w:t>Fannie Mae Stockholders’ Equity</w:t>
            </w:r>
          </w:p>
        </w:tc>
        <w:tc>
          <w:tcPr>
            <w:tcW w:w="100" w:type="dxa"/>
            <w:vAlign w:val="bottom"/>
            <w:tcBorders>
              <w:bottom w:val="single" w:sz="8" w:color="2C6937"/>
            </w:tcBorders>
          </w:tcPr>
          <w:p>
            <w:pPr>
              <w:spacing w:after="0"/>
              <w:rPr>
                <w:sz w:val="12"/>
                <w:szCs w:val="12"/>
                <w:color w:val="auto"/>
              </w:rPr>
            </w:pPr>
          </w:p>
        </w:tc>
        <w:tc>
          <w:tcPr>
            <w:tcW w:w="88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560" w:type="dxa"/>
            <w:vAlign w:val="bottom"/>
            <w:tcBorders>
              <w:bottom w:val="single" w:sz="8" w:color="2C6937"/>
            </w:tcBorders>
          </w:tcPr>
          <w:p>
            <w:pPr>
              <w:spacing w:after="0"/>
              <w:rPr>
                <w:sz w:val="12"/>
                <w:szCs w:val="12"/>
                <w:color w:val="auto"/>
              </w:rPr>
            </w:pPr>
          </w:p>
        </w:tc>
        <w:tc>
          <w:tcPr>
            <w:tcW w:w="100" w:type="dxa"/>
            <w:vAlign w:val="bottom"/>
            <w:tcBorders>
              <w:bottom w:val="single" w:sz="8" w:color="2C6937"/>
            </w:tcBorders>
          </w:tcPr>
          <w:p>
            <w:pPr>
              <w:spacing w:after="0"/>
              <w:rPr>
                <w:sz w:val="12"/>
                <w:szCs w:val="12"/>
                <w:color w:val="auto"/>
              </w:rPr>
            </w:pPr>
          </w:p>
        </w:tc>
        <w:tc>
          <w:tcPr>
            <w:tcW w:w="140" w:type="dxa"/>
            <w:vAlign w:val="bottom"/>
            <w:tcBorders>
              <w:bottom w:val="single" w:sz="8" w:color="2C6937"/>
            </w:tcBorders>
          </w:tcPr>
          <w:p>
            <w:pPr>
              <w:spacing w:after="0"/>
              <w:rPr>
                <w:sz w:val="12"/>
                <w:szCs w:val="12"/>
                <w:color w:val="auto"/>
              </w:rPr>
            </w:pPr>
          </w:p>
        </w:tc>
        <w:tc>
          <w:tcPr>
            <w:tcW w:w="600" w:type="dxa"/>
            <w:vAlign w:val="bottom"/>
            <w:tcBorders>
              <w:bottom w:val="single" w:sz="8" w:color="2C6937"/>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2C6937"/>
            </w:tcBorders>
            <w:gridSpan w:val="5"/>
          </w:tcPr>
          <w:p>
            <w:pPr>
              <w:jc w:val="center"/>
              <w:ind w:left="490"/>
              <w:spacing w:after="0"/>
              <w:rPr>
                <w:sz w:val="20"/>
                <w:szCs w:val="20"/>
                <w:color w:val="auto"/>
              </w:rPr>
            </w:pPr>
            <w:r>
              <w:rPr>
                <w:rFonts w:ascii="Arial" w:cs="Arial" w:eastAsia="Arial" w:hAnsi="Arial"/>
                <w:sz w:val="10"/>
                <w:szCs w:val="10"/>
                <w:b w:val="1"/>
                <w:bCs w:val="1"/>
                <w:color w:val="auto"/>
              </w:rPr>
              <w:t>Shares Outstanding</w:t>
            </w:r>
          </w:p>
        </w:tc>
        <w:tc>
          <w:tcPr>
            <w:tcW w:w="560" w:type="dxa"/>
            <w:vAlign w:val="bottom"/>
            <w:tcBorders>
              <w:bottom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9"/>
              </w:rPr>
              <w:t>Senior</w:t>
            </w: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9"/>
                <w:szCs w:val="9"/>
                <w:b w:val="1"/>
                <w:bCs w:val="1"/>
                <w:color w:val="auto"/>
                <w:w w:val="99"/>
              </w:rPr>
              <w:t>Senior</w:t>
            </w: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Preferred</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rPr>
              <w:t>Common</w:t>
            </w:r>
          </w:p>
        </w:tc>
        <w:tc>
          <w:tcPr>
            <w:tcW w:w="120" w:type="dxa"/>
            <w:vAlign w:val="bottom"/>
          </w:tcPr>
          <w:p>
            <w:pPr>
              <w:spacing w:after="0"/>
              <w:rPr>
                <w:sz w:val="7"/>
                <w:szCs w:val="7"/>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Accumulated</w:t>
            </w: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4"/>
              </w:rPr>
              <w:t>Treasury</w:t>
            </w:r>
          </w:p>
        </w:tc>
        <w:tc>
          <w:tcPr>
            <w:tcW w:w="140" w:type="dxa"/>
            <w:vAlign w:val="bottom"/>
          </w:tcPr>
          <w:p>
            <w:pPr>
              <w:spacing w:after="0"/>
              <w:rPr>
                <w:sz w:val="7"/>
                <w:szCs w:val="7"/>
                <w:color w:val="auto"/>
              </w:rPr>
            </w:pPr>
          </w:p>
        </w:tc>
        <w:tc>
          <w:tcPr>
            <w:tcW w:w="600" w:type="dxa"/>
            <w:vAlign w:val="bottom"/>
            <w:vMerge w:val="restart"/>
          </w:tcPr>
          <w:p>
            <w:pPr>
              <w:jc w:val="right"/>
              <w:ind w:right="23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9"/>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9"/>
                <w:szCs w:val="9"/>
                <w:b w:val="1"/>
                <w:bCs w:val="1"/>
                <w:color w:val="auto"/>
                <w:w w:val="99"/>
              </w:rPr>
              <w:t>Preferred</w:t>
            </w:r>
          </w:p>
        </w:tc>
        <w:tc>
          <w:tcPr>
            <w:tcW w:w="66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Common</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center"/>
              <w:ind w:right="220"/>
              <w:spacing w:after="0" w:line="89" w:lineRule="exact"/>
              <w:rPr>
                <w:sz w:val="20"/>
                <w:szCs w:val="20"/>
                <w:color w:val="auto"/>
              </w:rPr>
            </w:pPr>
            <w:r>
              <w:rPr>
                <w:rFonts w:ascii="Arial" w:cs="Arial" w:eastAsia="Arial" w:hAnsi="Arial"/>
                <w:sz w:val="9"/>
                <w:szCs w:val="9"/>
                <w:b w:val="1"/>
                <w:bCs w:val="1"/>
                <w:color w:val="auto"/>
              </w:rPr>
              <w:t>Comprehensive</w:t>
            </w: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Preferred</w:t>
            </w: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8"/>
              </w:rPr>
              <w:t>Preferred Stock</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4"/>
              </w:rPr>
              <w:t>Deficit</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Income</w:t>
            </w: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Stock</w:t>
            </w:r>
          </w:p>
        </w:tc>
        <w:tc>
          <w:tcPr>
            <w:tcW w:w="140" w:type="dxa"/>
            <w:vAlign w:val="bottom"/>
          </w:tcPr>
          <w:p>
            <w:pPr>
              <w:spacing w:after="0"/>
              <w:rPr>
                <w:sz w:val="11"/>
                <w:szCs w:val="11"/>
                <w:color w:val="auto"/>
              </w:rPr>
            </w:pPr>
          </w:p>
        </w:tc>
        <w:tc>
          <w:tcPr>
            <w:tcW w:w="600" w:type="dxa"/>
            <w:vAlign w:val="bottom"/>
          </w:tcPr>
          <w:p>
            <w:pPr>
              <w:jc w:val="right"/>
              <w:ind w:right="190"/>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41"/>
        </w:trPr>
        <w:tc>
          <w:tcPr>
            <w:tcW w:w="302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December 31, 2023</w:t>
            </w:r>
          </w:p>
        </w:tc>
        <w:tc>
          <w:tcPr>
            <w:tcW w:w="66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tcBorders>
          </w:tcPr>
          <w:p>
            <w:pPr>
              <w:spacing w:after="0"/>
              <w:rPr>
                <w:sz w:val="12"/>
                <w:szCs w:val="12"/>
                <w:color w:val="auto"/>
              </w:rPr>
            </w:pPr>
          </w:p>
        </w:tc>
        <w:tc>
          <w:tcPr>
            <w:tcW w:w="56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(55,603)</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tcBorders>
          </w:tcPr>
          <w:p>
            <w:pPr>
              <w:jc w:val="right"/>
              <w:ind w:right="11"/>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2"/>
                <w:szCs w:val="12"/>
                <w:color w:val="auto"/>
              </w:rPr>
            </w:pPr>
          </w:p>
        </w:tc>
        <w:tc>
          <w:tcPr>
            <w:tcW w:w="10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tcBorders>
          </w:tcPr>
          <w:p>
            <w:pPr>
              <w:jc w:val="right"/>
              <w:ind w:right="10"/>
              <w:spacing w:after="0"/>
              <w:rPr>
                <w:sz w:val="20"/>
                <w:szCs w:val="20"/>
                <w:color w:val="auto"/>
              </w:rPr>
            </w:pPr>
            <w:r>
              <w:rPr>
                <w:rFonts w:ascii="Arial" w:cs="Arial" w:eastAsia="Arial" w:hAnsi="Arial"/>
                <w:sz w:val="10"/>
                <w:szCs w:val="10"/>
                <w:color w:val="auto"/>
              </w:rPr>
              <w:t>77,682</w:t>
            </w:r>
          </w:p>
        </w:tc>
        <w:tc>
          <w:tcPr>
            <w:tcW w:w="0" w:type="dxa"/>
            <w:vAlign w:val="bottom"/>
          </w:tcPr>
          <w:p>
            <w:pPr>
              <w:spacing w:after="0"/>
              <w:rPr>
                <w:sz w:val="1"/>
                <w:szCs w:val="1"/>
                <w:color w:val="auto"/>
              </w:rPr>
            </w:pPr>
          </w:p>
        </w:tc>
      </w:tr>
      <w:tr>
        <w:trPr>
          <w:trHeight w:val="149"/>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3"/>
                <w:szCs w:val="13"/>
                <w:color w:val="auto"/>
              </w:rPr>
            </w:pPr>
          </w:p>
        </w:tc>
        <w:tc>
          <w:tcPr>
            <w:tcW w:w="760" w:type="dxa"/>
            <w:vAlign w:val="bottom"/>
          </w:tcPr>
          <w:p>
            <w:pPr>
              <w:jc w:val="right"/>
              <w:ind w:right="30"/>
              <w:spacing w:after="0"/>
              <w:rPr>
                <w:sz w:val="20"/>
                <w:szCs w:val="20"/>
                <w:color w:val="auto"/>
              </w:rPr>
            </w:pPr>
            <w:r>
              <w:rPr>
                <w:rFonts w:ascii="Arial" w:cs="Arial" w:eastAsia="Arial" w:hAnsi="Arial"/>
                <w:sz w:val="10"/>
                <w:szCs w:val="10"/>
                <w:color w:val="auto"/>
              </w:rPr>
              <w:t>12,848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12,848</w:t>
            </w: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Other comprehensive income, net of tax effect: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Changes in net unrealized gains (losses) on available-for-</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sale securities (net of taxes of $1)</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Reclassification adjustment for (gains) losses included in</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35"/>
        </w:trPr>
        <w:tc>
          <w:tcPr>
            <w:tcW w:w="3020" w:type="dxa"/>
            <w:vAlign w:val="bottom"/>
            <w:gridSpan w:val="2"/>
          </w:tcPr>
          <w:p>
            <w:pPr>
              <w:ind w:left="320"/>
              <w:spacing w:after="0"/>
              <w:rPr>
                <w:sz w:val="20"/>
                <w:szCs w:val="20"/>
                <w:color w:val="auto"/>
              </w:rPr>
            </w:pPr>
            <w:r>
              <w:rPr>
                <w:rFonts w:ascii="Arial" w:cs="Arial" w:eastAsia="Arial" w:hAnsi="Arial"/>
                <w:sz w:val="10"/>
                <w:szCs w:val="10"/>
                <w:color w:val="auto"/>
              </w:rPr>
              <w:t>net income (net of taxes of $0)</w:t>
            </w:r>
          </w:p>
        </w:tc>
        <w:tc>
          <w:tcPr>
            <w:tcW w:w="76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ind w:left="180"/>
              <w:spacing w:after="0"/>
              <w:rPr>
                <w:sz w:val="20"/>
                <w:szCs w:val="20"/>
                <w:color w:val="auto"/>
              </w:rPr>
            </w:pPr>
            <w:r>
              <w:rPr>
                <w:rFonts w:ascii="Arial" w:cs="Arial" w:eastAsia="Arial" w:hAnsi="Arial"/>
                <w:sz w:val="10"/>
                <w:szCs w:val="10"/>
                <w:color w:val="auto"/>
              </w:rPr>
              <w:t>Other (net of taxes of $1)</w:t>
            </w:r>
          </w:p>
        </w:tc>
        <w:tc>
          <w:tcPr>
            <w:tcW w:w="7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2C6937"/>
            </w:tcBorders>
          </w:tcPr>
          <w:p>
            <w:pPr>
              <w:spacing w:after="0"/>
              <w:rPr>
                <w:sz w:val="14"/>
                <w:szCs w:val="14"/>
                <w:color w:val="auto"/>
              </w:rPr>
            </w:pPr>
          </w:p>
        </w:tc>
        <w:tc>
          <w:tcPr>
            <w:tcW w:w="600" w:type="dxa"/>
            <w:vAlign w:val="bottom"/>
            <w:tcBorders>
              <w:bottom w:val="single" w:sz="8" w:color="2C6937"/>
            </w:tcBorders>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48"/>
        </w:trPr>
        <w:tc>
          <w:tcPr>
            <w:tcW w:w="3020" w:type="dxa"/>
            <w:vAlign w:val="bottom"/>
            <w:gridSpan w:val="2"/>
          </w:tcPr>
          <w:p>
            <w:pPr>
              <w:ind w:left="20"/>
              <w:spacing w:after="0"/>
              <w:rPr>
                <w:sz w:val="20"/>
                <w:szCs w:val="20"/>
                <w:color w:val="auto"/>
              </w:rPr>
            </w:pPr>
            <w:r>
              <w:rPr>
                <w:rFonts w:ascii="Arial" w:cs="Arial" w:eastAsia="Arial" w:hAnsi="Arial"/>
                <w:sz w:val="10"/>
                <w:szCs w:val="10"/>
                <w:color w:val="auto"/>
              </w:rPr>
              <w:t>Total comprehensive 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0"/>
              <w:spacing w:after="0"/>
              <w:rPr>
                <w:sz w:val="20"/>
                <w:szCs w:val="20"/>
                <w:color w:val="auto"/>
              </w:rPr>
            </w:pPr>
            <w:r>
              <w:rPr>
                <w:rFonts w:ascii="Arial" w:cs="Arial" w:eastAsia="Arial" w:hAnsi="Arial"/>
                <w:sz w:val="10"/>
                <w:szCs w:val="10"/>
                <w:color w:val="auto"/>
              </w:rPr>
              <w:t>12,848</w:t>
            </w:r>
          </w:p>
        </w:tc>
        <w:tc>
          <w:tcPr>
            <w:tcW w:w="0" w:type="dxa"/>
            <w:vAlign w:val="bottom"/>
          </w:tcPr>
          <w:p>
            <w:pPr>
              <w:spacing w:after="0"/>
              <w:rPr>
                <w:sz w:val="1"/>
                <w:szCs w:val="1"/>
                <w:color w:val="auto"/>
              </w:rPr>
            </w:pPr>
          </w:p>
        </w:tc>
      </w:tr>
      <w:tr>
        <w:trPr>
          <w:trHeight w:val="148"/>
        </w:trPr>
        <w:tc>
          <w:tcPr>
            <w:tcW w:w="2900" w:type="dxa"/>
            <w:vAlign w:val="bottom"/>
            <w:tcBorders>
              <w:top w:val="single" w:sz="8" w:color="2C6937"/>
              <w:bottom w:val="single" w:sz="8" w:color="2C6937"/>
            </w:tcBorders>
          </w:tcPr>
          <w:p>
            <w:pPr>
              <w:ind w:left="40"/>
              <w:spacing w:after="0"/>
              <w:rPr>
                <w:sz w:val="20"/>
                <w:szCs w:val="20"/>
                <w:color w:val="auto"/>
              </w:rPr>
            </w:pPr>
            <w:r>
              <w:rPr>
                <w:rFonts w:ascii="Arial" w:cs="Arial" w:eastAsia="Arial" w:hAnsi="Arial"/>
                <w:sz w:val="10"/>
                <w:szCs w:val="10"/>
                <w:b w:val="1"/>
                <w:bCs w:val="1"/>
                <w:color w:val="auto"/>
              </w:rPr>
              <w:t>Balance as of September 30, 2024</w:t>
            </w:r>
          </w:p>
        </w:tc>
        <w:tc>
          <w:tcPr>
            <w:tcW w:w="12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556</w:t>
            </w:r>
          </w:p>
        </w:tc>
        <w:tc>
          <w:tcPr>
            <w:tcW w:w="100" w:type="dxa"/>
            <w:vAlign w:val="bottom"/>
          </w:tcPr>
          <w:p>
            <w:pPr>
              <w:spacing w:after="0"/>
              <w:rPr>
                <w:sz w:val="12"/>
                <w:szCs w:val="12"/>
                <w:color w:val="auto"/>
              </w:rPr>
            </w:pPr>
          </w:p>
        </w:tc>
        <w:tc>
          <w:tcPr>
            <w:tcW w:w="80" w:type="dxa"/>
            <w:vAlign w:val="bottom"/>
            <w:tcBorders>
              <w:top w:val="single" w:sz="8" w:color="2C6937"/>
              <w:bottom w:val="single" w:sz="8" w:color="2C6937"/>
            </w:tcBorders>
          </w:tcPr>
          <w:p>
            <w:pPr>
              <w:spacing w:after="0"/>
              <w:rPr>
                <w:sz w:val="12"/>
                <w:szCs w:val="12"/>
                <w:color w:val="auto"/>
              </w:rPr>
            </w:pPr>
          </w:p>
        </w:tc>
        <w:tc>
          <w:tcPr>
            <w:tcW w:w="56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1,158</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9"/>
              <w:spacing w:after="0"/>
              <w:rPr>
                <w:sz w:val="20"/>
                <w:szCs w:val="20"/>
                <w:color w:val="auto"/>
              </w:rPr>
            </w:pPr>
            <w:r>
              <w:rPr>
                <w:rFonts w:ascii="Arial" w:cs="Arial" w:eastAsia="Arial" w:hAnsi="Arial"/>
                <w:sz w:val="10"/>
                <w:szCs w:val="10"/>
                <w:color w:val="auto"/>
              </w:rPr>
              <w:t>120,836</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2C6937"/>
              <w:bottom w:val="single" w:sz="8" w:color="2C6937"/>
            </w:tcBorders>
          </w:tcPr>
          <w:p>
            <w:pPr>
              <w:jc w:val="right"/>
              <w:ind w:right="30"/>
              <w:spacing w:after="0"/>
              <w:rPr>
                <w:sz w:val="20"/>
                <w:szCs w:val="20"/>
                <w:color w:val="auto"/>
              </w:rPr>
            </w:pPr>
            <w:r>
              <w:rPr>
                <w:rFonts w:ascii="Arial" w:cs="Arial" w:eastAsia="Arial" w:hAnsi="Arial"/>
                <w:sz w:val="10"/>
                <w:szCs w:val="10"/>
                <w:color w:val="auto"/>
              </w:rPr>
              <w:t>19,130</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687</w:t>
            </w:r>
          </w:p>
        </w:tc>
        <w:tc>
          <w:tcPr>
            <w:tcW w:w="100" w:type="dxa"/>
            <w:vAlign w:val="bottom"/>
          </w:tcPr>
          <w:p>
            <w:pPr>
              <w:spacing w:after="0"/>
              <w:rPr>
                <w:sz w:val="12"/>
                <w:szCs w:val="12"/>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(42,755)</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2C6937"/>
              <w:bottom w:val="single" w:sz="8" w:color="2C6937"/>
            </w:tcBorders>
          </w:tcPr>
          <w:p>
            <w:pPr>
              <w:jc w:val="right"/>
              <w:ind w:right="11"/>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2"/>
                <w:szCs w:val="12"/>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0"/>
                <w:szCs w:val="10"/>
                <w:color w:val="auto"/>
              </w:rPr>
              <w:t>(7,400)</w:t>
            </w:r>
          </w:p>
        </w:tc>
        <w:tc>
          <w:tcPr>
            <w:tcW w:w="100" w:type="dxa"/>
            <w:vAlign w:val="bottom"/>
          </w:tcPr>
          <w:p>
            <w:pPr>
              <w:spacing w:after="0"/>
              <w:rPr>
                <w:sz w:val="12"/>
                <w:szCs w:val="12"/>
                <w:color w:val="auto"/>
              </w:rPr>
            </w:pPr>
          </w:p>
        </w:tc>
        <w:tc>
          <w:tcPr>
            <w:tcW w:w="140" w:type="dxa"/>
            <w:vAlign w:val="bottom"/>
            <w:tcBorders>
              <w:top w:val="single" w:sz="8" w:color="2C6937"/>
              <w:bottom w:val="single" w:sz="8" w:color="2C6937"/>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2C6937"/>
              <w:bottom w:val="single" w:sz="8" w:color="2C6937"/>
            </w:tcBorders>
          </w:tcPr>
          <w:p>
            <w:pPr>
              <w:jc w:val="right"/>
              <w:ind w:right="10"/>
              <w:spacing w:after="0"/>
              <w:rPr>
                <w:sz w:val="20"/>
                <w:szCs w:val="20"/>
                <w:color w:val="auto"/>
              </w:rPr>
            </w:pPr>
            <w:r>
              <w:rPr>
                <w:rFonts w:ascii="Arial" w:cs="Arial" w:eastAsia="Arial" w:hAnsi="Arial"/>
                <w:sz w:val="10"/>
                <w:szCs w:val="10"/>
                <w:color w:val="auto"/>
              </w:rPr>
              <w:t>90,530</w:t>
            </w:r>
          </w:p>
        </w:tc>
        <w:tc>
          <w:tcPr>
            <w:tcW w:w="0" w:type="dxa"/>
            <w:vAlign w:val="bottom"/>
          </w:tcPr>
          <w:p>
            <w:pPr>
              <w:spacing w:after="0"/>
              <w:rPr>
                <w:sz w:val="1"/>
                <w:szCs w:val="1"/>
                <w:color w:val="auto"/>
              </w:rPr>
            </w:pPr>
          </w:p>
        </w:tc>
      </w:tr>
      <w:tr>
        <w:trPr>
          <w:trHeight w:val="25"/>
        </w:trPr>
        <w:tc>
          <w:tcPr>
            <w:tcW w:w="290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60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1182370</wp:posOffset>
            </wp:positionV>
            <wp:extent cx="680593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160020</wp:posOffset>
            </wp:positionV>
            <wp:extent cx="7164070" cy="41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248" w:right="339" w:bottom="1440" w:gutter="0" w:footer="0" w:header="0"/>
        </w:sectPr>
      </w:pPr>
    </w:p>
    <w:bookmarkStart w:id="69" w:name="page70"/>
    <w:bookmarkEnd w:id="69"/>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Georgia" w:cs="Georgia" w:eastAsia="Georgia" w:hAnsi="Georgia"/>
          <w:sz w:val="31"/>
          <w:szCs w:val="31"/>
          <w:b w:val="1"/>
          <w:bCs w:val="1"/>
          <w:color w:val="05314D"/>
        </w:rPr>
        <w:t>FANNIE MAE</w:t>
      </w:r>
    </w:p>
    <w:p>
      <w:pPr>
        <w:spacing w:after="0" w:line="99" w:lineRule="exact"/>
        <w:rPr>
          <w:sz w:val="20"/>
          <w:szCs w:val="20"/>
          <w:color w:val="auto"/>
        </w:rPr>
      </w:pPr>
    </w:p>
    <w:p>
      <w:pPr>
        <w:jc w:val="center"/>
        <w:ind w:right="-19"/>
        <w:spacing w:after="0"/>
        <w:rPr>
          <w:sz w:val="20"/>
          <w:szCs w:val="20"/>
          <w:color w:val="auto"/>
        </w:rPr>
      </w:pPr>
      <w:r>
        <w:rPr>
          <w:rFonts w:ascii="Georgia" w:cs="Georgia" w:eastAsia="Georgia" w:hAnsi="Georgia"/>
          <w:sz w:val="17"/>
          <w:szCs w:val="17"/>
          <w:b w:val="1"/>
          <w:bCs w:val="1"/>
          <w:color w:val="001543"/>
        </w:rPr>
        <w:t>(In conservatorship)</w:t>
      </w:r>
    </w:p>
    <w:p>
      <w:pPr>
        <w:spacing w:after="0" w:line="176" w:lineRule="exact"/>
        <w:rPr>
          <w:sz w:val="20"/>
          <w:szCs w:val="20"/>
          <w:color w:val="auto"/>
        </w:rPr>
      </w:pPr>
    </w:p>
    <w:p>
      <w:pPr>
        <w:jc w:val="center"/>
        <w:ind w:right="-19"/>
        <w:spacing w:after="0"/>
        <w:rPr>
          <w:sz w:val="20"/>
          <w:szCs w:val="20"/>
          <w:color w:val="auto"/>
        </w:rPr>
      </w:pPr>
      <w:r>
        <w:rPr>
          <w:rFonts w:ascii="Georgia" w:cs="Georgia" w:eastAsia="Georgia" w:hAnsi="Georgia"/>
          <w:sz w:val="27"/>
          <w:szCs w:val="27"/>
          <w:b w:val="1"/>
          <w:bCs w:val="1"/>
          <w:color w:val="05314D"/>
        </w:rPr>
        <w:t>Notes to Condensed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Georgia" w:cs="Georgia" w:eastAsia="Georgia" w:hAnsi="Georgia"/>
          <w:sz w:val="27"/>
          <w:szCs w:val="27"/>
          <w:b w:val="1"/>
          <w:bCs w:val="1"/>
          <w:color w:val="05314D"/>
        </w:rPr>
        <w:t>(Unaudited)</w:t>
      </w:r>
    </w:p>
    <w:p>
      <w:pPr>
        <w:spacing w:after="0" w:line="175"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 Summary of Significant Accounting Policies</w:t>
      </w:r>
    </w:p>
    <w:p>
      <w:pPr>
        <w:spacing w:after="0" w:line="8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Fannie Mae is a leading source of financing for residential mortgages in the United States. We are a government-sponsored, stockholder-owned corporation, chartered by Congress to provide liquidity and stability to the U.S. housing market and to promote access to mortgage credit. We primarily do this by buying residential mortgage loans that are originated by lenders. We place these loans into trusts and issue guaranteed mortgage-backed securities (“MBS”) that global investors buy from us. We do not originate mortgage loans or lend money directly to borrowers.</w:t>
      </w:r>
    </w:p>
    <w:p>
      <w:pPr>
        <w:spacing w:after="0" w:line="48"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We are currently operating under conservatorship, with the Federal Housing Finance Agency (“FHFA”) acting as conservator. See “Note 2, Conservatorship, Senior Preferred Stock Purchase Agreement and Related Matters” below and in our annual report on Form 10-K for the year ended December 31, 2024 (“2024 Form 10-K”) for information on our conservatorship, the senior preferred stock purchase agreement, the impact of U.S. government support of our business, and related party relationships.</w:t>
      </w:r>
    </w:p>
    <w:p>
      <w:pPr>
        <w:spacing w:after="0" w:line="8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Basis of Presentation</w:t>
      </w:r>
    </w:p>
    <w:p>
      <w:pPr>
        <w:spacing w:after="0" w:line="81"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accounting principles generally accepted in the United States of America (“GAAP”) and include our accounts as well as the accounts of other entities in which we have a controlling financial interest. All intercompany balances and transactions have been eliminated.</w:t>
      </w:r>
    </w:p>
    <w:p>
      <w:pPr>
        <w:spacing w:after="0" w:line="32"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The accompanying financial statements should be read in conjunction with our audited consolidated financial statements and related notes included in our 2024 Form 10-K. Certain disclosures are condensed or omitted from the accompanying financial statements as they are not required for interim financial statements under GAAP. In the opinion of management, the accompanying financial statements contain all adjustments, which include only normal recurring adjustments, necessary for a fair presentation of our results. The nature of our business is such that the results of any interim period are not necessarily indicative of results for a full year. To conform to our current-period presentation, we have reclassified certain amounts reported in our prior period consolidated financial statements.</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Changes in Presentation</w:t>
      </w:r>
    </w:p>
    <w:p>
      <w:pPr>
        <w:spacing w:after="0" w:line="7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Beginning in the first quarter of 2025, we changed our presentation on the condensed consolidated statements of cash flows for certain borrowings with original contractual maturities of three months or less such that the proceeds from the issuance of these borrowings and the related payments to redeem them are presented on a net basis. Previously, proceeds from the issuance of these borrowings and the related repayments to redeem them were presented separately (i.e., gross) on the condensed consolidated statements of cash flows. As a result of this change, we recast the prior periods presented to reflect the net presentation of cash flows on these borrowings. For borrowings with original contractual maturities greater than three months, we continue to present proceeds from issuance and payments to redeem the borrowings on a gross basis.</w:t>
      </w:r>
    </w:p>
    <w:p>
      <w:pPr>
        <w:spacing w:after="0" w:line="5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Beginning in the third quarter of 2025, we changed the presentation of interest income from reverse repurchase agreements to separately disclose interest income from securities purchased under agreements to resell on the condensed consolidated statements of operations and other comprehensive income. We also combined the remaining interest income previously classified as other with interest income from investments in securities. We recast the prior periods presented on the condensed consolidated statements of operations and comprehensive income for these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363855</wp:posOffset>
            </wp:positionV>
            <wp:extent cx="680593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0" w:name="page71"/>
    <w:bookmarkEnd w:id="70"/>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Change in Accounting Principle</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Beginning in the third quarter of 2025, we have changed which financial instruments are presented as cash equivalents and restricted cash equivalents. Previously, we presented U.S. Treasury securities that had a maturity of three months or less at acquisition and overnight reverse repurchase agreements as cash equivalents (both unrestricted and restricted, as appropriate). As a result of this change, all U.S. Treasury securities are presented as “Investments in securities” and all reverse repurchase agreements are presented as “Securities purchased under agreements to resell” on our condensed consolidated balance sheets. Additionally, as a result of this change, there are no financial instruments presented as cash equivalents or restricted cash equivalents as of September 30, 2025 or December 31, 2024.</w:t>
      </w:r>
    </w:p>
    <w:p>
      <w:pPr>
        <w:spacing w:after="0" w:line="4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have concluded that the change in presentation of short-term U.S. Treasury securities and overnight reverse repurchase agreements is a change in accounting principle. Further, we concluded that the change is preferable because it provides consistency in the presentation of our holdings of investment securities and reverse repurchase agreements. Additionally, it more accurately reflects how these investments are managed within our corporate liquidity portfolio. Finally, the change aligns the presentation of short-term U.S. Treasury securities and overnight reverse repurchase agreements with the presentation used by other large financial institutions, increasing the comparability of our financial statements with the financial statements of those entities.</w:t>
      </w:r>
    </w:p>
    <w:p>
      <w:pPr>
        <w:spacing w:after="0" w:line="3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change in accounting principle made in the third quarter of 2025 is reflected in our financial statements on a retrospective basis. The following tables display our changes to the condensed consolidated balance sheets and condensed consolidated statements of cash flows.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Condensed Consolidated Balance Sheets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80" w:type="dxa"/>
            <w:vAlign w:val="bottom"/>
            <w:tcBorders>
              <w:top w:val="single" w:sz="8" w:color="2C6937"/>
            </w:tcBorders>
          </w:tcPr>
          <w:p>
            <w:pPr>
              <w:spacing w:after="0"/>
              <w:rPr>
                <w:sz w:val="17"/>
                <w:szCs w:val="17"/>
                <w:color w:val="auto"/>
              </w:rPr>
            </w:pPr>
          </w:p>
        </w:tc>
        <w:tc>
          <w:tcPr>
            <w:tcW w:w="220" w:type="dxa"/>
            <w:vAlign w:val="bottom"/>
            <w:tcBorders>
              <w:top w:val="single" w:sz="8" w:color="2C6937"/>
              <w:bottom w:val="single" w:sz="8" w:color="2C6937"/>
            </w:tcBorders>
          </w:tcPr>
          <w:p>
            <w:pPr>
              <w:spacing w:after="0"/>
              <w:rPr>
                <w:sz w:val="17"/>
                <w:szCs w:val="17"/>
                <w:color w:val="auto"/>
              </w:rPr>
            </w:pPr>
          </w:p>
        </w:tc>
        <w:tc>
          <w:tcPr>
            <w:tcW w:w="1440" w:type="dxa"/>
            <w:vAlign w:val="bottom"/>
            <w:tcBorders>
              <w:top w:val="single" w:sz="8" w:color="2C6937"/>
              <w:bottom w:val="single" w:sz="8" w:color="2C6937"/>
            </w:tcBorders>
          </w:tcPr>
          <w:p>
            <w:pPr>
              <w:spacing w:after="0"/>
              <w:rPr>
                <w:sz w:val="17"/>
                <w:szCs w:val="17"/>
                <w:color w:val="auto"/>
              </w:rPr>
            </w:pPr>
          </w:p>
        </w:tc>
        <w:tc>
          <w:tcPr>
            <w:tcW w:w="1860" w:type="dxa"/>
            <w:vAlign w:val="bottom"/>
            <w:tcBorders>
              <w:top w:val="single" w:sz="8" w:color="2C6937"/>
              <w:bottom w:val="single" w:sz="8" w:color="2C6937"/>
            </w:tcBorders>
            <w:gridSpan w:val="4"/>
          </w:tcPr>
          <w:p>
            <w:pPr>
              <w:jc w:val="center"/>
              <w:spacing w:after="0"/>
              <w:rPr>
                <w:sz w:val="20"/>
                <w:szCs w:val="20"/>
                <w:color w:val="auto"/>
              </w:rPr>
            </w:pPr>
            <w:r>
              <w:rPr>
                <w:rFonts w:ascii="Arial" w:cs="Arial" w:eastAsia="Arial" w:hAnsi="Arial"/>
                <w:sz w:val="15"/>
                <w:szCs w:val="15"/>
                <w:b w:val="1"/>
                <w:bCs w:val="1"/>
                <w:color w:val="auto"/>
                <w:w w:val="98"/>
              </w:rPr>
              <w:t>As of December 31, 2024</w:t>
            </w:r>
          </w:p>
        </w:tc>
        <w:tc>
          <w:tcPr>
            <w:tcW w:w="240" w:type="dxa"/>
            <w:vAlign w:val="bottom"/>
            <w:tcBorders>
              <w:top w:val="single" w:sz="8" w:color="2C6937"/>
              <w:bottom w:val="single" w:sz="8" w:color="2C6937"/>
            </w:tcBorders>
          </w:tcPr>
          <w:p>
            <w:pPr>
              <w:spacing w:after="0"/>
              <w:rPr>
                <w:sz w:val="17"/>
                <w:szCs w:val="17"/>
                <w:color w:val="auto"/>
              </w:rPr>
            </w:pPr>
          </w:p>
        </w:tc>
        <w:tc>
          <w:tcPr>
            <w:tcW w:w="1420" w:type="dxa"/>
            <w:vAlign w:val="bottom"/>
            <w:tcBorders>
              <w:top w:val="single" w:sz="8" w:color="2C6937"/>
              <w:bottom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vMerge w:val="restart"/>
          </w:tcPr>
          <w:p>
            <w:pPr>
              <w:jc w:val="right"/>
              <w:ind w:right="267"/>
              <w:spacing w:after="0"/>
              <w:rPr>
                <w:sz w:val="20"/>
                <w:szCs w:val="20"/>
                <w:color w:val="auto"/>
              </w:rPr>
            </w:pPr>
            <w:r>
              <w:rPr>
                <w:rFonts w:ascii="Arial" w:cs="Arial" w:eastAsia="Arial" w:hAnsi="Arial"/>
                <w:sz w:val="15"/>
                <w:szCs w:val="15"/>
                <w:b w:val="1"/>
                <w:bCs w:val="1"/>
                <w:color w:val="auto"/>
              </w:rPr>
              <w:t>As Previously</w:t>
            </w:r>
          </w:p>
        </w:tc>
        <w:tc>
          <w:tcPr>
            <w:tcW w:w="100" w:type="dxa"/>
            <w:vAlign w:val="bottom"/>
          </w:tcPr>
          <w:p>
            <w:pPr>
              <w:spacing w:after="0"/>
              <w:rPr>
                <w:sz w:val="11"/>
                <w:szCs w:val="11"/>
                <w:color w:val="auto"/>
              </w:rPr>
            </w:pPr>
          </w:p>
        </w:tc>
        <w:tc>
          <w:tcPr>
            <w:tcW w:w="1760" w:type="dxa"/>
            <w:vAlign w:val="bottom"/>
            <w:gridSpan w:val="3"/>
          </w:tcPr>
          <w:p>
            <w:pPr>
              <w:jc w:val="center"/>
              <w:ind w:right="100"/>
              <w:spacing w:after="0" w:line="135" w:lineRule="exact"/>
              <w:rPr>
                <w:sz w:val="20"/>
                <w:szCs w:val="20"/>
                <w:color w:val="auto"/>
              </w:rPr>
            </w:pPr>
            <w:r>
              <w:rPr>
                <w:rFonts w:ascii="Arial" w:cs="Arial" w:eastAsia="Arial" w:hAnsi="Arial"/>
                <w:sz w:val="15"/>
                <w:szCs w:val="15"/>
                <w:b w:val="1"/>
                <w:bCs w:val="1"/>
                <w:color w:val="auto"/>
                <w:w w:val="97"/>
              </w:rPr>
              <w:t>Adjustment for Change</w:t>
            </w: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200"/>
              <w:spacing w:after="0" w:line="142" w:lineRule="exact"/>
              <w:rPr>
                <w:sz w:val="20"/>
                <w:szCs w:val="20"/>
                <w:color w:val="auto"/>
              </w:rPr>
            </w:pPr>
            <w:r>
              <w:rPr>
                <w:rFonts w:ascii="Arial" w:cs="Arial" w:eastAsia="Arial" w:hAnsi="Arial"/>
                <w:sz w:val="15"/>
                <w:szCs w:val="15"/>
                <w:b w:val="1"/>
                <w:bCs w:val="1"/>
                <w:color w:val="auto"/>
                <w:w w:val="97"/>
              </w:rPr>
              <w:t>in Accounting</w:t>
            </w:r>
          </w:p>
        </w:tc>
        <w:tc>
          <w:tcPr>
            <w:tcW w:w="240" w:type="dxa"/>
            <w:vAlign w:val="bottom"/>
          </w:tcPr>
          <w:p>
            <w:pPr>
              <w:spacing w:after="0"/>
              <w:rPr>
                <w:sz w:val="12"/>
                <w:szCs w:val="12"/>
                <w:color w:val="auto"/>
              </w:rPr>
            </w:pPr>
          </w:p>
        </w:tc>
        <w:tc>
          <w:tcPr>
            <w:tcW w:w="1420" w:type="dxa"/>
            <w:vAlign w:val="bottom"/>
            <w:vMerge w:val="restart"/>
          </w:tcPr>
          <w:p>
            <w:pPr>
              <w:jc w:val="right"/>
              <w:ind w:right="347"/>
              <w:spacing w:after="0"/>
              <w:rPr>
                <w:sz w:val="20"/>
                <w:szCs w:val="20"/>
                <w:color w:val="auto"/>
              </w:rPr>
            </w:pPr>
            <w:r>
              <w:rPr>
                <w:rFonts w:ascii="Arial" w:cs="Arial" w:eastAsia="Arial" w:hAnsi="Arial"/>
                <w:sz w:val="15"/>
                <w:szCs w:val="15"/>
                <w:b w:val="1"/>
                <w:bCs w:val="1"/>
                <w:color w:val="auto"/>
              </w:rPr>
              <w:t>As Adjusted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5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27"/>
              <w:spacing w:after="0"/>
              <w:rPr>
                <w:sz w:val="20"/>
                <w:szCs w:val="20"/>
                <w:color w:val="auto"/>
              </w:rPr>
            </w:pPr>
            <w:r>
              <w:rPr>
                <w:rFonts w:ascii="Arial" w:cs="Arial" w:eastAsia="Arial" w:hAnsi="Arial"/>
                <w:sz w:val="15"/>
                <w:szCs w:val="15"/>
                <w:b w:val="1"/>
                <w:bCs w:val="1"/>
                <w:color w:val="auto"/>
              </w:rPr>
              <w:t>Reported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7"/>
              </w:rPr>
              <w:t>Principle</w:t>
            </w:r>
          </w:p>
        </w:tc>
        <w:tc>
          <w:tcPr>
            <w:tcW w:w="2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980" w:type="dxa"/>
            <w:vAlign w:val="bottom"/>
          </w:tcPr>
          <w:p>
            <w:pPr>
              <w:spacing w:after="0"/>
              <w:rPr>
                <w:sz w:val="15"/>
                <w:szCs w:val="15"/>
                <w:color w:val="auto"/>
              </w:rPr>
            </w:pPr>
          </w:p>
        </w:tc>
        <w:tc>
          <w:tcPr>
            <w:tcW w:w="220" w:type="dxa"/>
            <w:vAlign w:val="bottom"/>
            <w:tcBorders>
              <w:top w:val="single" w:sz="8" w:color="2C6937"/>
            </w:tcBorders>
          </w:tcPr>
          <w:p>
            <w:pPr>
              <w:spacing w:after="0"/>
              <w:rPr>
                <w:sz w:val="15"/>
                <w:szCs w:val="15"/>
                <w:color w:val="auto"/>
              </w:rPr>
            </w:pPr>
          </w:p>
        </w:tc>
        <w:tc>
          <w:tcPr>
            <w:tcW w:w="1440" w:type="dxa"/>
            <w:vAlign w:val="bottom"/>
            <w:tcBorders>
              <w:top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2C6937"/>
            </w:tcBorders>
          </w:tcPr>
          <w:p>
            <w:pPr>
              <w:spacing w:after="0"/>
              <w:rPr>
                <w:sz w:val="15"/>
                <w:szCs w:val="15"/>
                <w:color w:val="auto"/>
              </w:rPr>
            </w:pPr>
          </w:p>
        </w:tc>
        <w:tc>
          <w:tcPr>
            <w:tcW w:w="1560" w:type="dxa"/>
            <w:vAlign w:val="bottom"/>
            <w:tcBorders>
              <w:top w:val="single" w:sz="8" w:color="2C6937"/>
            </w:tcBorders>
          </w:tcPr>
          <w:p>
            <w:pPr>
              <w:spacing w:after="0"/>
              <w:rPr>
                <w:sz w:val="20"/>
                <w:szCs w:val="20"/>
                <w:color w:val="auto"/>
              </w:rPr>
            </w:pPr>
            <w:r>
              <w:rPr>
                <w:rFonts w:ascii="Arial" w:cs="Arial" w:eastAsia="Arial" w:hAnsi="Arial"/>
                <w:sz w:val="15"/>
                <w:szCs w:val="15"/>
                <w:b w:val="1"/>
                <w:bCs w:val="1"/>
                <w:color w:val="auto"/>
              </w:rPr>
              <w:t>(Dollars in millions)</w:t>
            </w:r>
          </w:p>
        </w:tc>
        <w:tc>
          <w:tcPr>
            <w:tcW w:w="100" w:type="dxa"/>
            <w:vAlign w:val="bottom"/>
          </w:tcPr>
          <w:p>
            <w:pPr>
              <w:spacing w:after="0"/>
              <w:rPr>
                <w:sz w:val="15"/>
                <w:szCs w:val="15"/>
                <w:color w:val="auto"/>
              </w:rPr>
            </w:pPr>
          </w:p>
        </w:tc>
        <w:tc>
          <w:tcPr>
            <w:tcW w:w="240" w:type="dxa"/>
            <w:vAlign w:val="bottom"/>
            <w:tcBorders>
              <w:top w:val="single" w:sz="8" w:color="2C6937"/>
            </w:tcBorders>
          </w:tcPr>
          <w:p>
            <w:pPr>
              <w:spacing w:after="0"/>
              <w:rPr>
                <w:sz w:val="15"/>
                <w:szCs w:val="15"/>
                <w:color w:val="auto"/>
              </w:rPr>
            </w:pPr>
          </w:p>
        </w:tc>
        <w:tc>
          <w:tcPr>
            <w:tcW w:w="1420" w:type="dxa"/>
            <w:vAlign w:val="bottom"/>
            <w:tcBorders>
              <w:top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980" w:type="dxa"/>
            <w:vAlign w:val="bottom"/>
          </w:tcPr>
          <w:p>
            <w:pPr>
              <w:ind w:left="20"/>
              <w:spacing w:after="0"/>
              <w:rPr>
                <w:sz w:val="20"/>
                <w:szCs w:val="20"/>
                <w:color w:val="auto"/>
              </w:rPr>
            </w:pPr>
            <w:r>
              <w:rPr>
                <w:rFonts w:ascii="Arial" w:cs="Arial" w:eastAsia="Arial" w:hAnsi="Arial"/>
                <w:sz w:val="15"/>
                <w:szCs w:val="15"/>
                <w:color w:val="auto"/>
              </w:rPr>
              <w:t>Cash</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38,853</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center"/>
              <w:ind w:left="907"/>
              <w:spacing w:after="0"/>
              <w:rPr>
                <w:sz w:val="20"/>
                <w:szCs w:val="20"/>
                <w:color w:val="auto"/>
              </w:rPr>
            </w:pPr>
            <w:r>
              <w:rPr>
                <w:rFonts w:ascii="Arial" w:cs="Arial" w:eastAsia="Arial" w:hAnsi="Arial"/>
                <w:sz w:val="15"/>
                <w:szCs w:val="15"/>
                <w:color w:val="auto"/>
                <w:w w:val="96"/>
              </w:rPr>
              <w:t>(25,376)</w:t>
            </w:r>
          </w:p>
        </w:tc>
        <w:tc>
          <w:tcPr>
            <w:tcW w:w="100" w:type="dxa"/>
            <w:vAlign w:val="bottom"/>
          </w:tcPr>
          <w:p>
            <w:pPr>
              <w:spacing w:after="0"/>
              <w:rPr>
                <w:sz w:val="18"/>
                <w:szCs w:val="18"/>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7"/>
              <w:spacing w:after="0"/>
              <w:rPr>
                <w:sz w:val="20"/>
                <w:szCs w:val="20"/>
                <w:color w:val="auto"/>
              </w:rPr>
            </w:pPr>
            <w:r>
              <w:rPr>
                <w:rFonts w:ascii="Arial" w:cs="Arial" w:eastAsia="Arial" w:hAnsi="Arial"/>
                <w:sz w:val="15"/>
                <w:szCs w:val="15"/>
                <w:color w:val="auto"/>
              </w:rPr>
              <w:t>13,477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980" w:type="dxa"/>
            <w:vAlign w:val="bottom"/>
          </w:tcPr>
          <w:p>
            <w:pPr>
              <w:ind w:left="2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39,958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center"/>
              <w:ind w:left="907"/>
              <w:spacing w:after="0"/>
              <w:rPr>
                <w:sz w:val="20"/>
                <w:szCs w:val="20"/>
                <w:color w:val="auto"/>
              </w:rPr>
            </w:pPr>
            <w:r>
              <w:rPr>
                <w:rFonts w:ascii="Arial" w:cs="Arial" w:eastAsia="Arial" w:hAnsi="Arial"/>
                <w:sz w:val="15"/>
                <w:szCs w:val="15"/>
                <w:color w:val="auto"/>
                <w:w w:val="96"/>
              </w:rPr>
              <w:t>(14,899)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7"/>
              <w:spacing w:after="0"/>
              <w:rPr>
                <w:sz w:val="20"/>
                <w:szCs w:val="20"/>
                <w:color w:val="auto"/>
              </w:rPr>
            </w:pPr>
            <w:r>
              <w:rPr>
                <w:rFonts w:ascii="Arial" w:cs="Arial" w:eastAsia="Arial" w:hAnsi="Arial"/>
                <w:sz w:val="15"/>
                <w:szCs w:val="15"/>
                <w:color w:val="auto"/>
              </w:rPr>
              <w:t>25,059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80" w:type="dxa"/>
            <w:vAlign w:val="bottom"/>
          </w:tcPr>
          <w:p>
            <w:pPr>
              <w:ind w:left="20"/>
              <w:spacing w:after="0"/>
              <w:rPr>
                <w:sz w:val="20"/>
                <w:szCs w:val="20"/>
                <w:color w:val="auto"/>
              </w:rPr>
            </w:pPr>
            <w:r>
              <w:rPr>
                <w:rFonts w:ascii="Arial" w:cs="Arial" w:eastAsia="Arial" w:hAnsi="Arial"/>
                <w:sz w:val="15"/>
                <w:szCs w:val="15"/>
                <w:color w:val="auto"/>
              </w:rPr>
              <w:t>Securities purchased under agreements to resell</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15,975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center"/>
              <w:ind w:left="907"/>
              <w:spacing w:after="0"/>
              <w:rPr>
                <w:sz w:val="20"/>
                <w:szCs w:val="20"/>
                <w:color w:val="auto"/>
              </w:rPr>
            </w:pPr>
            <w:r>
              <w:rPr>
                <w:rFonts w:ascii="Arial" w:cs="Arial" w:eastAsia="Arial" w:hAnsi="Arial"/>
                <w:sz w:val="15"/>
                <w:szCs w:val="15"/>
                <w:color w:val="auto"/>
              </w:rPr>
              <w:t>40,275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7"/>
              <w:spacing w:after="0"/>
              <w:rPr>
                <w:sz w:val="20"/>
                <w:szCs w:val="20"/>
                <w:color w:val="auto"/>
              </w:rPr>
            </w:pPr>
            <w:r>
              <w:rPr>
                <w:rFonts w:ascii="Arial" w:cs="Arial" w:eastAsia="Arial" w:hAnsi="Arial"/>
                <w:sz w:val="15"/>
                <w:szCs w:val="15"/>
                <w:color w:val="auto"/>
              </w:rPr>
              <w:t>56,250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05314D"/>
        </w:rPr>
        <w:t>Condensed Consolidated Statements of Cash Flows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80" w:type="dxa"/>
            <w:vAlign w:val="bottom"/>
            <w:tcBorders>
              <w:top w:val="single" w:sz="8" w:color="2C6937"/>
            </w:tcBorders>
          </w:tcPr>
          <w:p>
            <w:pPr>
              <w:spacing w:after="0"/>
              <w:rPr>
                <w:sz w:val="17"/>
                <w:szCs w:val="17"/>
                <w:color w:val="auto"/>
              </w:rPr>
            </w:pPr>
          </w:p>
        </w:tc>
        <w:tc>
          <w:tcPr>
            <w:tcW w:w="220" w:type="dxa"/>
            <w:vAlign w:val="bottom"/>
            <w:tcBorders>
              <w:top w:val="single" w:sz="8" w:color="2C6937"/>
              <w:bottom w:val="single" w:sz="8" w:color="2C6937"/>
            </w:tcBorders>
          </w:tcPr>
          <w:p>
            <w:pPr>
              <w:spacing w:after="0"/>
              <w:rPr>
                <w:sz w:val="17"/>
                <w:szCs w:val="17"/>
                <w:color w:val="auto"/>
              </w:rPr>
            </w:pPr>
          </w:p>
        </w:tc>
        <w:tc>
          <w:tcPr>
            <w:tcW w:w="4960" w:type="dxa"/>
            <w:vAlign w:val="bottom"/>
            <w:tcBorders>
              <w:top w:val="single" w:sz="8" w:color="2C6937"/>
              <w:bottom w:val="single" w:sz="8" w:color="2C6937"/>
            </w:tcBorders>
            <w:gridSpan w:val="7"/>
          </w:tcPr>
          <w:p>
            <w:pPr>
              <w:jc w:val="center"/>
              <w:ind w:right="147"/>
              <w:spacing w:after="0"/>
              <w:rPr>
                <w:sz w:val="20"/>
                <w:szCs w:val="20"/>
                <w:color w:val="auto"/>
              </w:rPr>
            </w:pPr>
            <w:r>
              <w:rPr>
                <w:rFonts w:ascii="Arial" w:cs="Arial" w:eastAsia="Arial" w:hAnsi="Arial"/>
                <w:sz w:val="15"/>
                <w:szCs w:val="15"/>
                <w:b w:val="1"/>
                <w:bCs w:val="1"/>
                <w:color w:val="auto"/>
                <w:w w:val="97"/>
              </w:rPr>
              <w:t>For the Nine Months Ended September 30, 2024</w:t>
            </w:r>
          </w:p>
        </w:tc>
        <w:tc>
          <w:tcPr>
            <w:tcW w:w="8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96"/>
              </w:rPr>
              <w:t>As Previously</w:t>
            </w:r>
          </w:p>
        </w:tc>
        <w:tc>
          <w:tcPr>
            <w:tcW w:w="1760" w:type="dxa"/>
            <w:vAlign w:val="bottom"/>
            <w:gridSpan w:val="3"/>
          </w:tcPr>
          <w:p>
            <w:pPr>
              <w:jc w:val="center"/>
              <w:ind w:right="100"/>
              <w:spacing w:after="0" w:line="144" w:lineRule="exact"/>
              <w:rPr>
                <w:sz w:val="20"/>
                <w:szCs w:val="20"/>
                <w:color w:val="auto"/>
              </w:rPr>
            </w:pPr>
            <w:r>
              <w:rPr>
                <w:rFonts w:ascii="Arial" w:cs="Arial" w:eastAsia="Arial" w:hAnsi="Arial"/>
                <w:sz w:val="15"/>
                <w:szCs w:val="15"/>
                <w:b w:val="1"/>
                <w:bCs w:val="1"/>
                <w:color w:val="auto"/>
                <w:w w:val="97"/>
              </w:rPr>
              <w:t>Adjustment for Change</w:t>
            </w: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200"/>
              <w:spacing w:after="0" w:line="146" w:lineRule="exact"/>
              <w:rPr>
                <w:sz w:val="20"/>
                <w:szCs w:val="20"/>
                <w:color w:val="auto"/>
              </w:rPr>
            </w:pPr>
            <w:r>
              <w:rPr>
                <w:rFonts w:ascii="Arial" w:cs="Arial" w:eastAsia="Arial" w:hAnsi="Arial"/>
                <w:sz w:val="15"/>
                <w:szCs w:val="15"/>
                <w:b w:val="1"/>
                <w:bCs w:val="1"/>
                <w:color w:val="auto"/>
                <w:w w:val="97"/>
              </w:rPr>
              <w:t>in Accounting</w:t>
            </w:r>
          </w:p>
        </w:tc>
        <w:tc>
          <w:tcPr>
            <w:tcW w:w="240" w:type="dxa"/>
            <w:vAlign w:val="bottom"/>
          </w:tcPr>
          <w:p>
            <w:pPr>
              <w:spacing w:after="0"/>
              <w:rPr>
                <w:sz w:val="12"/>
                <w:szCs w:val="12"/>
                <w:color w:val="auto"/>
              </w:rPr>
            </w:pPr>
          </w:p>
        </w:tc>
        <w:tc>
          <w:tcPr>
            <w:tcW w:w="1420" w:type="dxa"/>
            <w:vAlign w:val="bottom"/>
            <w:vMerge w:val="restart"/>
          </w:tcPr>
          <w:p>
            <w:pPr>
              <w:jc w:val="right"/>
              <w:ind w:right="347"/>
              <w:spacing w:after="0"/>
              <w:rPr>
                <w:sz w:val="20"/>
                <w:szCs w:val="20"/>
                <w:color w:val="auto"/>
              </w:rPr>
            </w:pPr>
            <w:r>
              <w:rPr>
                <w:rFonts w:ascii="Arial" w:cs="Arial" w:eastAsia="Arial" w:hAnsi="Arial"/>
                <w:sz w:val="15"/>
                <w:szCs w:val="15"/>
                <w:b w:val="1"/>
                <w:bCs w:val="1"/>
                <w:color w:val="auto"/>
              </w:rPr>
              <w:t>As Adjusted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7"/>
              </w:rPr>
              <w:t>Reported</w:t>
            </w:r>
          </w:p>
        </w:tc>
        <w:tc>
          <w:tcPr>
            <w:tcW w:w="10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7"/>
              </w:rPr>
              <w:t>Principle</w:t>
            </w:r>
          </w:p>
        </w:tc>
        <w:tc>
          <w:tcPr>
            <w:tcW w:w="2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980" w:type="dxa"/>
            <w:vAlign w:val="bottom"/>
          </w:tcPr>
          <w:p>
            <w:pPr>
              <w:spacing w:after="0"/>
              <w:rPr>
                <w:sz w:val="15"/>
                <w:szCs w:val="15"/>
                <w:color w:val="auto"/>
              </w:rPr>
            </w:pPr>
          </w:p>
        </w:tc>
        <w:tc>
          <w:tcPr>
            <w:tcW w:w="220" w:type="dxa"/>
            <w:vAlign w:val="bottom"/>
            <w:tcBorders>
              <w:top w:val="single" w:sz="8" w:color="2C6937"/>
            </w:tcBorders>
          </w:tcPr>
          <w:p>
            <w:pPr>
              <w:spacing w:after="0"/>
              <w:rPr>
                <w:sz w:val="15"/>
                <w:szCs w:val="15"/>
                <w:color w:val="auto"/>
              </w:rPr>
            </w:pPr>
          </w:p>
        </w:tc>
        <w:tc>
          <w:tcPr>
            <w:tcW w:w="1440" w:type="dxa"/>
            <w:vAlign w:val="bottom"/>
            <w:tcBorders>
              <w:top w:val="single" w:sz="8" w:color="2C6937"/>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2C6937"/>
            </w:tcBorders>
          </w:tcPr>
          <w:p>
            <w:pPr>
              <w:spacing w:after="0"/>
              <w:rPr>
                <w:sz w:val="15"/>
                <w:szCs w:val="15"/>
                <w:color w:val="auto"/>
              </w:rPr>
            </w:pPr>
          </w:p>
        </w:tc>
        <w:tc>
          <w:tcPr>
            <w:tcW w:w="1560" w:type="dxa"/>
            <w:vAlign w:val="bottom"/>
            <w:tcBorders>
              <w:top w:val="single" w:sz="8" w:color="2C6937"/>
            </w:tcBorders>
          </w:tcPr>
          <w:p>
            <w:pPr>
              <w:jc w:val="right"/>
              <w:ind w:right="127"/>
              <w:spacing w:after="0"/>
              <w:rPr>
                <w:sz w:val="20"/>
                <w:szCs w:val="20"/>
                <w:color w:val="auto"/>
              </w:rPr>
            </w:pPr>
            <w:r>
              <w:rPr>
                <w:rFonts w:ascii="Arial" w:cs="Arial" w:eastAsia="Arial" w:hAnsi="Arial"/>
                <w:sz w:val="15"/>
                <w:szCs w:val="15"/>
                <w:b w:val="1"/>
                <w:bCs w:val="1"/>
                <w:color w:val="auto"/>
                <w:w w:val="96"/>
              </w:rPr>
              <w:t>(Dollars in millions)</w:t>
            </w:r>
          </w:p>
        </w:tc>
        <w:tc>
          <w:tcPr>
            <w:tcW w:w="100" w:type="dxa"/>
            <w:vAlign w:val="bottom"/>
          </w:tcPr>
          <w:p>
            <w:pPr>
              <w:spacing w:after="0"/>
              <w:rPr>
                <w:sz w:val="15"/>
                <w:szCs w:val="15"/>
                <w:color w:val="auto"/>
              </w:rPr>
            </w:pPr>
          </w:p>
        </w:tc>
        <w:tc>
          <w:tcPr>
            <w:tcW w:w="240" w:type="dxa"/>
            <w:vAlign w:val="bottom"/>
            <w:tcBorders>
              <w:top w:val="single" w:sz="8" w:color="2C6937"/>
            </w:tcBorders>
          </w:tcPr>
          <w:p>
            <w:pPr>
              <w:spacing w:after="0"/>
              <w:rPr>
                <w:sz w:val="15"/>
                <w:szCs w:val="15"/>
                <w:color w:val="auto"/>
              </w:rPr>
            </w:pPr>
          </w:p>
        </w:tc>
        <w:tc>
          <w:tcPr>
            <w:tcW w:w="1420" w:type="dxa"/>
            <w:vAlign w:val="bottom"/>
            <w:tcBorders>
              <w:top w:val="single" w:sz="8" w:color="2C6937"/>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980" w:type="dxa"/>
            <w:vAlign w:val="bottom"/>
          </w:tcPr>
          <w:p>
            <w:pPr>
              <w:ind w:left="20"/>
              <w:spacing w:after="0"/>
              <w:rPr>
                <w:sz w:val="20"/>
                <w:szCs w:val="20"/>
                <w:color w:val="auto"/>
              </w:rPr>
            </w:pPr>
            <w:r>
              <w:rPr>
                <w:rFonts w:ascii="Arial" w:cs="Arial" w:eastAsia="Arial" w:hAnsi="Arial"/>
                <w:sz w:val="15"/>
                <w:szCs w:val="15"/>
                <w:color w:val="auto"/>
              </w:rPr>
              <w:t>Net change in securities purchased under agreements to resell</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12,635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(4,125)</w:t>
            </w:r>
          </w:p>
        </w:tc>
        <w:tc>
          <w:tcPr>
            <w:tcW w:w="100" w:type="dxa"/>
            <w:vAlign w:val="bottom"/>
          </w:tcPr>
          <w:p>
            <w:pPr>
              <w:spacing w:after="0"/>
              <w:rPr>
                <w:sz w:val="18"/>
                <w:szCs w:val="18"/>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7"/>
              <w:spacing w:after="0"/>
              <w:rPr>
                <w:sz w:val="20"/>
                <w:szCs w:val="20"/>
                <w:color w:val="auto"/>
              </w:rPr>
            </w:pPr>
            <w:r>
              <w:rPr>
                <w:rFonts w:ascii="Arial" w:cs="Arial" w:eastAsia="Arial" w:hAnsi="Arial"/>
                <w:sz w:val="15"/>
                <w:szCs w:val="15"/>
                <w:color w:val="auto"/>
              </w:rPr>
              <w:t>8,510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980" w:type="dxa"/>
            <w:vAlign w:val="bottom"/>
          </w:tcPr>
          <w:p>
            <w:pPr>
              <w:ind w:left="20"/>
              <w:spacing w:after="0"/>
              <w:rPr>
                <w:sz w:val="20"/>
                <w:szCs w:val="20"/>
                <w:color w:val="auto"/>
              </w:rPr>
            </w:pPr>
            <w:r>
              <w:rPr>
                <w:rFonts w:ascii="Arial" w:cs="Arial" w:eastAsia="Arial" w:hAnsi="Arial"/>
                <w:sz w:val="15"/>
                <w:szCs w:val="15"/>
                <w:color w:val="auto"/>
              </w:rPr>
              <w:t>Net cash provided by (used in) investing activities</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115,608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(4,125)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7"/>
              <w:spacing w:after="0"/>
              <w:rPr>
                <w:sz w:val="20"/>
                <w:szCs w:val="20"/>
                <w:color w:val="auto"/>
              </w:rPr>
            </w:pPr>
            <w:r>
              <w:rPr>
                <w:rFonts w:ascii="Arial" w:cs="Arial" w:eastAsia="Arial" w:hAnsi="Arial"/>
                <w:sz w:val="15"/>
                <w:szCs w:val="15"/>
                <w:color w:val="auto"/>
              </w:rPr>
              <w:t>111,483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80" w:type="dxa"/>
            <w:vAlign w:val="bottom"/>
          </w:tcPr>
          <w:p>
            <w:pPr>
              <w:ind w:left="20"/>
              <w:spacing w:after="0"/>
              <w:rPr>
                <w:sz w:val="20"/>
                <w:szCs w:val="20"/>
                <w:color w:val="auto"/>
              </w:rPr>
            </w:pPr>
            <w:r>
              <w:rPr>
                <w:rFonts w:ascii="Arial" w:cs="Arial" w:eastAsia="Arial" w:hAnsi="Arial"/>
                <w:sz w:val="15"/>
                <w:szCs w:val="15"/>
                <w:color w:val="auto"/>
              </w:rPr>
              <w:t>Net increase (decrease) in cash and restricted cash</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8,066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(4,125)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7"/>
              <w:spacing w:after="0"/>
              <w:rPr>
                <w:sz w:val="20"/>
                <w:szCs w:val="20"/>
                <w:color w:val="auto"/>
              </w:rPr>
            </w:pPr>
            <w:r>
              <w:rPr>
                <w:rFonts w:ascii="Arial" w:cs="Arial" w:eastAsia="Arial" w:hAnsi="Arial"/>
                <w:sz w:val="15"/>
                <w:szCs w:val="15"/>
                <w:color w:val="auto"/>
              </w:rPr>
              <w:t>3,941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80" w:type="dxa"/>
            <w:vAlign w:val="bottom"/>
          </w:tcPr>
          <w:p>
            <w:pPr>
              <w:ind w:left="20"/>
              <w:spacing w:after="0"/>
              <w:rPr>
                <w:sz w:val="20"/>
                <w:szCs w:val="20"/>
                <w:color w:val="auto"/>
              </w:rPr>
            </w:pPr>
            <w:r>
              <w:rPr>
                <w:rFonts w:ascii="Arial" w:cs="Arial" w:eastAsia="Arial" w:hAnsi="Arial"/>
                <w:sz w:val="15"/>
                <w:szCs w:val="15"/>
                <w:color w:val="auto"/>
              </w:rPr>
              <w:t>Cash and restricted cash at beginning of period</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68,706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(34,725)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7"/>
              <w:spacing w:after="0"/>
              <w:rPr>
                <w:sz w:val="20"/>
                <w:szCs w:val="20"/>
                <w:color w:val="auto"/>
              </w:rPr>
            </w:pPr>
            <w:r>
              <w:rPr>
                <w:rFonts w:ascii="Arial" w:cs="Arial" w:eastAsia="Arial" w:hAnsi="Arial"/>
                <w:sz w:val="15"/>
                <w:szCs w:val="15"/>
                <w:color w:val="auto"/>
              </w:rPr>
              <w:t>33,981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80" w:type="dxa"/>
            <w:vAlign w:val="bottom"/>
          </w:tcPr>
          <w:p>
            <w:pPr>
              <w:ind w:left="20"/>
              <w:spacing w:after="0"/>
              <w:rPr>
                <w:sz w:val="20"/>
                <w:szCs w:val="20"/>
                <w:color w:val="auto"/>
              </w:rPr>
            </w:pPr>
            <w:r>
              <w:rPr>
                <w:rFonts w:ascii="Arial" w:cs="Arial" w:eastAsia="Arial" w:hAnsi="Arial"/>
                <w:sz w:val="15"/>
                <w:szCs w:val="15"/>
                <w:color w:val="auto"/>
              </w:rPr>
              <w:t>Cash and restricted cash at end of period</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76,772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(38,850)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7"/>
              <w:spacing w:after="0"/>
              <w:rPr>
                <w:sz w:val="20"/>
                <w:szCs w:val="20"/>
                <w:color w:val="auto"/>
              </w:rPr>
            </w:pPr>
            <w:r>
              <w:rPr>
                <w:rFonts w:ascii="Arial" w:cs="Arial" w:eastAsia="Arial" w:hAnsi="Arial"/>
                <w:sz w:val="15"/>
                <w:szCs w:val="15"/>
                <w:color w:val="auto"/>
              </w:rPr>
              <w:t>37,922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Use of Estimates</w:t>
      </w:r>
    </w:p>
    <w:p>
      <w:pPr>
        <w:spacing w:after="0" w:line="6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Preparing condensed consolidated financial statements in accordance with GAAP requires management to make estimates and assumptions that affect our reported amounts of assets and liabilities and disclosure of contingent assets and liabilities as of the dates of our condensed consolidated financial statements, as well as our reported amounts of revenues and expenses during the reporting periods. Management has made significant estimates in a variety of areas including, but not limited to, the allowance for loan losses. Actual results could be different from these estimates.</w:t>
      </w:r>
    </w:p>
    <w:p>
      <w:pPr>
        <w:spacing w:after="0" w:line="7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Earnings per Share</w:t>
      </w:r>
    </w:p>
    <w:p>
      <w:pPr>
        <w:spacing w:after="0" w:line="68" w:lineRule="exact"/>
        <w:rPr>
          <w:sz w:val="20"/>
          <w:szCs w:val="20"/>
          <w:color w:val="auto"/>
        </w:rPr>
      </w:pPr>
    </w:p>
    <w:p>
      <w:pPr>
        <w:ind w:right="460"/>
        <w:spacing w:after="0" w:line="310" w:lineRule="auto"/>
        <w:rPr>
          <w:sz w:val="20"/>
          <w:szCs w:val="20"/>
          <w:color w:val="auto"/>
        </w:rPr>
      </w:pPr>
      <w:r>
        <w:rPr>
          <w:rFonts w:ascii="Arial" w:cs="Arial" w:eastAsia="Arial" w:hAnsi="Arial"/>
          <w:sz w:val="16"/>
          <w:szCs w:val="16"/>
          <w:color w:val="auto"/>
        </w:rPr>
        <w:t>Earnings per share (“EPS”) is presented for basic and diluted EPS. For the three months ended September 30, 2025 and 2024, the weighted average shares outstanding used in the computation of basic and diluted EPS includes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334010</wp:posOffset>
            </wp:positionV>
            <wp:extent cx="680593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1" w:name="page72"/>
    <w:bookmarkEnd w:id="71"/>
    <w:p>
      <w:pPr>
        <w:ind w:left="4960"/>
        <w:spacing w:after="0"/>
        <w:rPr>
          <w:sz w:val="20"/>
          <w:szCs w:val="20"/>
          <w:color w:val="auto"/>
        </w:rPr>
      </w:pPr>
      <w:r>
        <w:rPr>
          <w:rFonts w:ascii="Arial" w:cs="Arial" w:eastAsia="Arial" w:hAnsi="Arial"/>
          <w:sz w:val="13"/>
          <w:szCs w:val="13"/>
          <w:color w:val="05314D"/>
        </w:rPr>
        <w:t>Notes to Condensed Consolidated Financial Statements |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520"/>
        <w:spacing w:after="0" w:line="293" w:lineRule="auto"/>
        <w:rPr>
          <w:sz w:val="20"/>
          <w:szCs w:val="20"/>
          <w:color w:val="auto"/>
        </w:rPr>
      </w:pPr>
      <w:r>
        <w:rPr>
          <w:rFonts w:ascii="Arial" w:cs="Arial" w:eastAsia="Arial" w:hAnsi="Arial"/>
          <w:sz w:val="16"/>
          <w:szCs w:val="16"/>
          <w:color w:val="auto"/>
        </w:rPr>
        <w:t>billion shares of common stock that would be issuable upon full exercise of the common stock warrant issued to the U.S. Department of the Treasury (“Treasury”).</w:t>
      </w:r>
    </w:p>
    <w:p>
      <w:pPr>
        <w:spacing w:after="0" w:line="15"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For the calculation of diluted EPS, the weighted average shares outstanding is increased to include the number of additional common shares that would have been outstanding if the dilutive potential common shares had been issued. For the three and nine months ended September 30, 2025, our diluted EPS weighted-average shares outstanding includes the 26 million shares issuable upon the conversion of convertible preferred stock. For the three months ended September 30, 2024, our diluted EPS weighted-average shares outstanding does not include the 26 million shares issuable upon the conversion of convertible preferred stock because it would have had an antidilutive effect due to the net losses attributable to common stockholders recognized in that period. For the nine months ended September 30, 2024, shares issuable upon the conversion of convertible preferred stock are included in the calculation.</w:t>
      </w:r>
    </w:p>
    <w:p>
      <w:pPr>
        <w:spacing w:after="0" w:line="100"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Collateral</w:t>
      </w:r>
    </w:p>
    <w:p>
      <w:pPr>
        <w:spacing w:after="0" w:line="6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enter into various transactions where we pledge and accept collateral, the most common of which are our derivative transactions. We also pledge and receive collateral under our repurchase and reverse repurchase agreements.</w:t>
      </w:r>
    </w:p>
    <w:p>
      <w:pPr>
        <w:spacing w:after="0" w:line="15"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We posted U.S. Treasury securities of $9.5 billion and $8.9 billion as collateral as of September 30, 2025 and December 31, 2024, respectively. The fair value of non-cash collateral received was $61.6 billion and $56.3 billion, of which $59.4 billion and $49.0 billion could be sold or repledged as of September 30, 2025 and December 31, 2024, respectively. None of the underlying collateral we received was sold or repledged as of September 30, 2025 or December 31, 2024.</w:t>
      </w:r>
    </w:p>
    <w:p>
      <w:pPr>
        <w:spacing w:after="0" w:line="7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Foreclosed Property</w:t>
      </w:r>
    </w:p>
    <w:p>
      <w:pPr>
        <w:spacing w:after="0" w:line="68"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We present foreclosed property in “Other assets” in our condensed consolidated balance sheets. We held $1.8 billion and $1.7 billion of acquired property, net as of September 30, 2025 and December 31, 2024, respectively.</w:t>
      </w:r>
    </w:p>
    <w:p>
      <w:pPr>
        <w:spacing w:after="0" w:line="48"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New Accounting Guidance</w:t>
      </w:r>
    </w:p>
    <w:p>
      <w:pPr>
        <w:spacing w:after="0" w:line="11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Income Taxes</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 xml:space="preserve">In December 2023, the Financial Accounting Standards Board (“FASB”) issued Accounting Standards Update (“ASU”) 2023-09,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which enhances the required disclosures primarily related to the income tax rate reconciliation and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paid. The ASU requires an entity’s income tax rate reconciliation to provide additional information for reconciling items meeting a quantitative threshold, and to disclose certain selected categories within the income tax rate reconciliation. The ASU also requires entities to disclose the amount of income taxes paid, disaggregated by federal, state and foreign taxes. The ASU is effective for annual periods beginning after December 15, 2024, though early adoption is permitted. The adoption of this guidance is not expected to have a material impact on our consolidated financial statements.</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Disaggregation of Income Statement Expenses</w:t>
      </w:r>
    </w:p>
    <w:p>
      <w:pPr>
        <w:spacing w:after="0" w:line="7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 – Reporting Comprehensive Income – Expense Disaggregation Disclosures</w:t>
      </w:r>
      <w:r>
        <w:rPr>
          <w:rFonts w:ascii="Arial" w:cs="Arial" w:eastAsia="Arial" w:hAnsi="Arial"/>
          <w:sz w:val="16"/>
          <w:szCs w:val="16"/>
          <w:color w:val="auto"/>
        </w:rPr>
        <w:t>. The guidance enhances the disclosures about an entity’s expenses by requiring more detailed information about the types of expenses in commonly presented expense captions. This guidance is effective for fiscal years beginning after December 15, 2026 and interim periods beginning after December 15, 2027. The adoption of this guidance is not expected to have a material impact on our consolidated financial statements.</w:t>
      </w:r>
    </w:p>
    <w:p>
      <w:pPr>
        <w:spacing w:after="0" w:line="134" w:lineRule="exact"/>
        <w:rPr>
          <w:sz w:val="20"/>
          <w:szCs w:val="20"/>
          <w:color w:val="auto"/>
        </w:rPr>
      </w:pPr>
    </w:p>
    <w:p>
      <w:pPr>
        <w:ind w:right="220" w:firstLine="3"/>
        <w:spacing w:after="0" w:line="253" w:lineRule="auto"/>
        <w:tabs>
          <w:tab w:leader="none" w:pos="452" w:val="left"/>
        </w:tabs>
        <w:numPr>
          <w:ilvl w:val="0"/>
          <w:numId w:val="54"/>
        </w:numPr>
        <w:rPr>
          <w:rFonts w:ascii="Georgia" w:cs="Georgia" w:eastAsia="Georgia" w:hAnsi="Georgia"/>
          <w:sz w:val="31"/>
          <w:szCs w:val="31"/>
          <w:b w:val="1"/>
          <w:bCs w:val="1"/>
          <w:color w:val="05314D"/>
        </w:rPr>
      </w:pPr>
      <w:r>
        <w:rPr>
          <w:rFonts w:ascii="Georgia" w:cs="Georgia" w:eastAsia="Georgia" w:hAnsi="Georgia"/>
          <w:sz w:val="31"/>
          <w:szCs w:val="31"/>
          <w:b w:val="1"/>
          <w:bCs w:val="1"/>
          <w:color w:val="05314D"/>
        </w:rPr>
        <w:t>Conservatorship, Senior Preferred Stock Purchase Agreement and Related Matters</w:t>
      </w:r>
    </w:p>
    <w:p>
      <w:pPr>
        <w:spacing w:after="0" w:line="107"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Conservatorship</w:t>
      </w:r>
    </w:p>
    <w:p>
      <w:pPr>
        <w:spacing w:after="0" w:line="68" w:lineRule="exact"/>
        <w:rPr>
          <w:sz w:val="20"/>
          <w:szCs w:val="20"/>
          <w:color w:val="auto"/>
        </w:rPr>
      </w:pPr>
    </w:p>
    <w:p>
      <w:pPr>
        <w:ind w:right="600"/>
        <w:spacing w:after="0" w:line="310" w:lineRule="auto"/>
        <w:rPr>
          <w:sz w:val="20"/>
          <w:szCs w:val="20"/>
          <w:color w:val="auto"/>
        </w:rPr>
      </w:pPr>
      <w:r>
        <w:rPr>
          <w:rFonts w:ascii="Arial" w:cs="Arial" w:eastAsia="Arial" w:hAnsi="Arial"/>
          <w:sz w:val="16"/>
          <w:szCs w:val="16"/>
          <w:color w:val="auto"/>
        </w:rPr>
        <w:t>We are currently operating under conservatorship, with FHFA acting as conservator. The conservatorship and related matters significantly affect our management, business activities, financial condition and results of operations.</w:t>
      </w:r>
    </w:p>
    <w:p>
      <w:pPr>
        <w:spacing w:after="0" w:line="48"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Senior Preferred Stock Purchase Agreement</w:t>
      </w:r>
    </w:p>
    <w:p>
      <w:pPr>
        <w:spacing w:after="0" w:line="68"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FHFA, as conservator, entered into a senior preferred stock purchase agreement with Treasury on our behalf in September 2008. In connection with that agreement, we issued Treasury one million shares of Variable Liquidation Preference Senior Preferred Stock, Series 2008-2, which we refer to as the “senior preferred stock,” and a warrant to purchase shares equal to 79.9% of our common stock, on a fully diluted basis, for a nominal price of $0.00001.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353695</wp:posOffset>
            </wp:positionV>
            <wp:extent cx="68059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2" w:name="page73"/>
    <w:bookmarkEnd w:id="72"/>
    <w:p>
      <w:pPr>
        <w:ind w:left="2620"/>
        <w:spacing w:after="0"/>
        <w:rPr>
          <w:sz w:val="20"/>
          <w:szCs w:val="20"/>
          <w:color w:val="auto"/>
        </w:rPr>
      </w:pPr>
      <w:r>
        <w:rPr>
          <w:rFonts w:ascii="Arial" w:cs="Arial" w:eastAsia="Arial" w:hAnsi="Arial"/>
          <w:sz w:val="13"/>
          <w:szCs w:val="13"/>
          <w:color w:val="05314D"/>
        </w:rPr>
        <w:t>Notes to Condensed Consolidated Financial Statements | Conservatorship, Senior Preferred Stock Purchase Agreement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71221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agreement also provides funding to us under certain circumstances if we have a net worth deficit. Pursuant to the senior preferred stock purchase agreement, we have received a total of $119.8 billion from Treasury as of September 30, 2025, and the amount of remaining funding available to us under the agreement is $113.9 billion. We have not received any funding from Treasury under this commitment since the first quarter of 2018. We had a positive net worth of $105.5 billion as of September 30, 2025.</w:t>
      </w:r>
    </w:p>
    <w:p>
      <w:pPr>
        <w:spacing w:after="0" w:line="3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dividend provisions of the senior preferred stock permit us to retain increases in our net worth until our net worth exceeds the amount of adjusted total capital necessary for us to meet the capital requirements and buffers under the enterprise regulatory capital framework established by FHFA. As a result of our conservatorship status and the terms of the senior preferred stock, no amounts would be available to distribute as dividends to common or preferred stockholders (other than to Treasury as the holder of the senior preferred stock).</w:t>
      </w:r>
    </w:p>
    <w:p>
      <w:pPr>
        <w:spacing w:after="0" w:line="48"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The aggregate liquidation preference of the senior preferred stock increased to $223.1 billion as of September 30, 2025 from $219.8 billion as of June 30, 2025, due to the increase in our net worth in the second quarter of 2025. The aggregate liquidation preference of the senior preferred stock will further increase to $227.0 billion as of December 31, 2025, due to the increase in our net worth in the third quarter of 2025.</w:t>
      </w:r>
    </w:p>
    <w:p>
      <w:pPr>
        <w:spacing w:after="0" w:line="78"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Impact of U.S. Government Support</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have been operating under the control of FHFA as conservator since 2008, which is a form of government support. We continue to rely on financial support from Treasury pursuant to our senior preferred stock purchase agreement to eliminate any net worth deficits we may experience in the future, which would otherwise trigger our being placed into receivership by FHFA. Treasury also has authority under the Charter Act to purchase up to $2.25 billion of the debt obligations that we issue. We believe that continued support from Treasury and our status as a government-sponsored enterprise are essential to maintaining our access to debt funding and maintaining the liquidity necessary to conduct our normal business activities. Therefore, changes or perceived changes in (i) our status as a government-sponsored enterprise, (ii) our support from Treasury and/or (iii) the creditworthiness of the U.S. government could have a material adverse impact on our access to debt funding or the cost of debt funding. These events would have a negative impact on our liquidity, financial condition, and results of operations. Our reliance on support from the U.S. government is critical to keeping us operating as a going concern.</w:t>
      </w:r>
    </w:p>
    <w:p>
      <w:pPr>
        <w:spacing w:after="0" w:line="140"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3. Consolidations and Transfers of Financial Assets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interests in various entities that are considered to be variable interest entities (“VIEs”). The primary types of VIEs are securitization and resecuritization trusts, limited partnerships and special purpose vehicles (“SPVs”). Variable interests from Freddie Mac and other issuers may include a guaranty that reduces our exposure to credit risk when we hold them as investments or resecuritize them in a resecuritization trust that issues MBS that are backed by our guaranty. We consolidate the substantial majority of our single-class securitization trusts because our role as guarantor and master servicer provides us with the power to direct activities (primarily the servicing of mortgage loans) that impact the credit risk to which we are exposed. In contrast, we do not consolidate single-class securitization trusts when other organizations have the power to direct these activities unless we have the unilateral ability to dissolve the trust. We also do not consolidate our resecuritization trusts unless we have the unilateral ability to dissolve the trust. We may include securities issued by Freddie Mac in some of our resecuritization trusts. The mortgage loans that serve as collateral for Freddie Mac-issued securities are not held in trusts that are consolidated by Fannie Mae.</w:t>
      </w:r>
    </w:p>
    <w:p>
      <w:pPr>
        <w:spacing w:after="0" w:line="90"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Unconsolidated VIEs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our maximum exposure to loss as a result of our involvement with unconsolidated VIEs and the total assets of the VIEs.</w:t>
      </w:r>
    </w:p>
    <w:p>
      <w:pPr>
        <w:spacing w:after="0" w:line="11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maximum exposure to loss generally represents the greater of our carrying amount related to our involvement with unconsolidated securitization and resecuritization trusts or the unpaid principal balance of the assets covered by our guaranty. Our involvement in unconsolidated resecuritization trusts may give rise to additional exposure to loss depending on the type of resecuritization trust. Fannie Mae resecuritization trusts that are backed entirely by Fannie Mae MBS are not consolidated and do not give rise to any additional exposure to loss as we already consolidate the underlying collateral. In contrast, Fannie Mae resecuritization trusts that are backed in whole or in part by Freddie Mac securities may increase our exposure to loss to the extent that we are providing a guaranty for the timely payment and interest on the underlying Freddie Mac securities that we have not previously guaranteed. Our maximum exposure to loss for these unconsolidated trusts is measured by the amount of Freddie Mac securities that are held in these resecuritization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368935</wp:posOffset>
            </wp:positionV>
            <wp:extent cx="680593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3" w:name="page74"/>
    <w:bookmarkEnd w:id="73"/>
    <w:p>
      <w:pPr>
        <w:ind w:left="4640"/>
        <w:spacing w:after="0"/>
        <w:rPr>
          <w:sz w:val="20"/>
          <w:szCs w:val="20"/>
          <w:color w:val="auto"/>
        </w:rPr>
      </w:pPr>
      <w:r>
        <w:rPr>
          <w:rFonts w:ascii="Arial" w:cs="Arial" w:eastAsia="Arial" w:hAnsi="Arial"/>
          <w:sz w:val="13"/>
          <w:szCs w:val="13"/>
          <w:color w:val="05314D"/>
        </w:rPr>
        <w:t>Notes to Condensed Consolidated Financial Statements | Consolidations and Transfers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440" w:type="dxa"/>
            <w:vAlign w:val="bottom"/>
          </w:tcPr>
          <w:p>
            <w:pPr>
              <w:spacing w:after="0"/>
              <w:rPr>
                <w:sz w:val="18"/>
                <w:szCs w:val="18"/>
                <w:color w:val="auto"/>
              </w:rPr>
            </w:pPr>
          </w:p>
        </w:tc>
        <w:tc>
          <w:tcPr>
            <w:tcW w:w="280" w:type="dxa"/>
            <w:vAlign w:val="bottom"/>
            <w:tcBorders>
              <w:bottom w:val="single" w:sz="8" w:color="2C6937"/>
            </w:tcBorders>
          </w:tcPr>
          <w:p>
            <w:pPr>
              <w:spacing w:after="0"/>
              <w:rPr>
                <w:sz w:val="18"/>
                <w:szCs w:val="18"/>
                <w:color w:val="auto"/>
              </w:rPr>
            </w:pPr>
          </w:p>
        </w:tc>
        <w:tc>
          <w:tcPr>
            <w:tcW w:w="1600" w:type="dxa"/>
            <w:vAlign w:val="bottom"/>
            <w:tcBorders>
              <w:bottom w:val="single" w:sz="8" w:color="2C6937"/>
            </w:tcBorders>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2160" w:type="dxa"/>
            <w:vAlign w:val="bottom"/>
            <w:tcBorders>
              <w:bottom w:val="single" w:sz="8" w:color="2C6937"/>
            </w:tcBorders>
            <w:gridSpan w:val="3"/>
          </w:tcPr>
          <w:p>
            <w:pPr>
              <w:jc w:val="right"/>
              <w:ind w:right="83"/>
              <w:spacing w:after="0"/>
              <w:rPr>
                <w:sz w:val="20"/>
                <w:szCs w:val="20"/>
                <w:color w:val="auto"/>
              </w:rPr>
            </w:pPr>
            <w:r>
              <w:rPr>
                <w:rFonts w:ascii="Arial" w:cs="Arial" w:eastAsia="Arial" w:hAnsi="Arial"/>
                <w:sz w:val="15"/>
                <w:szCs w:val="15"/>
                <w:b w:val="1"/>
                <w:bCs w:val="1"/>
                <w:color w:val="auto"/>
              </w:rPr>
              <w:t>As of</w:t>
            </w:r>
          </w:p>
        </w:tc>
        <w:tc>
          <w:tcPr>
            <w:tcW w:w="1600" w:type="dxa"/>
            <w:vAlign w:val="bottom"/>
            <w:tcBorders>
              <w:bottom w:val="single" w:sz="8" w:color="2C6937"/>
            </w:tcBorders>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74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60" w:type="dxa"/>
            <w:vAlign w:val="bottom"/>
            <w:gridSpan w:val="4"/>
          </w:tcPr>
          <w:p>
            <w:pPr>
              <w:ind w:left="920"/>
              <w:spacing w:after="0"/>
              <w:rPr>
                <w:sz w:val="20"/>
                <w:szCs w:val="20"/>
                <w:color w:val="auto"/>
              </w:rPr>
            </w:pPr>
            <w:r>
              <w:rPr>
                <w:rFonts w:ascii="Arial" w:cs="Arial" w:eastAsia="Arial" w:hAnsi="Arial"/>
                <w:sz w:val="15"/>
                <w:szCs w:val="15"/>
                <w:b w:val="1"/>
                <w:bCs w:val="1"/>
                <w:color w:val="auto"/>
              </w:rPr>
              <w:t>September 30, 2025</w:t>
            </w:r>
          </w:p>
        </w:tc>
        <w:tc>
          <w:tcPr>
            <w:tcW w:w="300" w:type="dxa"/>
            <w:vAlign w:val="bottom"/>
          </w:tcPr>
          <w:p>
            <w:pPr>
              <w:spacing w:after="0"/>
              <w:rPr>
                <w:sz w:val="17"/>
                <w:szCs w:val="17"/>
                <w:color w:val="auto"/>
              </w:rPr>
            </w:pPr>
          </w:p>
        </w:tc>
        <w:tc>
          <w:tcPr>
            <w:tcW w:w="3540" w:type="dxa"/>
            <w:vAlign w:val="bottom"/>
            <w:gridSpan w:val="3"/>
          </w:tcPr>
          <w:p>
            <w:pPr>
              <w:jc w:val="right"/>
              <w:ind w:right="1143"/>
              <w:spacing w:after="0"/>
              <w:rPr>
                <w:sz w:val="20"/>
                <w:szCs w:val="20"/>
                <w:color w:val="auto"/>
              </w:rPr>
            </w:pPr>
            <w:r>
              <w:rPr>
                <w:rFonts w:ascii="Arial" w:cs="Arial" w:eastAsia="Arial" w:hAnsi="Arial"/>
                <w:sz w:val="15"/>
                <w:szCs w:val="15"/>
                <w:b w:val="1"/>
                <w:bCs w:val="1"/>
                <w:color w:val="auto"/>
              </w:rPr>
              <w:t>December 31, 2024</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280" w:type="dxa"/>
            <w:vAlign w:val="bottom"/>
            <w:tcBorders>
              <w:top w:val="single" w:sz="8" w:color="2C6937"/>
            </w:tcBorders>
          </w:tcPr>
          <w:p>
            <w:pPr>
              <w:spacing w:after="0"/>
              <w:rPr>
                <w:sz w:val="12"/>
                <w:szCs w:val="12"/>
                <w:color w:val="auto"/>
              </w:rPr>
            </w:pPr>
          </w:p>
        </w:tc>
        <w:tc>
          <w:tcPr>
            <w:tcW w:w="1600" w:type="dxa"/>
            <w:vAlign w:val="bottom"/>
            <w:tcBorders>
              <w:top w:val="single" w:sz="8" w:color="2C6937"/>
            </w:tcBorders>
            <w:vMerge w:val="restart"/>
          </w:tcPr>
          <w:p>
            <w:pPr>
              <w:jc w:val="right"/>
              <w:ind w:right="423"/>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top w:val="single" w:sz="8" w:color="2C6937"/>
            </w:tcBorders>
          </w:tcPr>
          <w:p>
            <w:pPr>
              <w:spacing w:after="0"/>
              <w:rPr>
                <w:sz w:val="12"/>
                <w:szCs w:val="12"/>
                <w:color w:val="auto"/>
              </w:rPr>
            </w:pPr>
          </w:p>
        </w:tc>
        <w:tc>
          <w:tcPr>
            <w:tcW w:w="1760" w:type="dxa"/>
            <w:vAlign w:val="bottom"/>
            <w:tcBorders>
              <w:top w:val="single" w:sz="8" w:color="2C6937"/>
            </w:tcBorders>
          </w:tcPr>
          <w:p>
            <w:pPr>
              <w:jc w:val="center"/>
              <w:ind w:right="23"/>
              <w:spacing w:after="0" w:line="148" w:lineRule="exact"/>
              <w:rPr>
                <w:sz w:val="20"/>
                <w:szCs w:val="20"/>
                <w:color w:val="auto"/>
              </w:rPr>
            </w:pPr>
            <w:r>
              <w:rPr>
                <w:rFonts w:ascii="Arial" w:cs="Arial" w:eastAsia="Arial" w:hAnsi="Arial"/>
                <w:sz w:val="15"/>
                <w:szCs w:val="15"/>
                <w:b w:val="1"/>
                <w:bCs w:val="1"/>
                <w:color w:val="auto"/>
              </w:rPr>
              <w:t>Maximum Exposure to</w:t>
            </w:r>
          </w:p>
        </w:tc>
        <w:tc>
          <w:tcPr>
            <w:tcW w:w="100" w:type="dxa"/>
            <w:vAlign w:val="bottom"/>
          </w:tcPr>
          <w:p>
            <w:pPr>
              <w:spacing w:after="0"/>
              <w:rPr>
                <w:sz w:val="12"/>
                <w:szCs w:val="12"/>
                <w:color w:val="auto"/>
              </w:rPr>
            </w:pPr>
          </w:p>
        </w:tc>
        <w:tc>
          <w:tcPr>
            <w:tcW w:w="300" w:type="dxa"/>
            <w:vAlign w:val="bottom"/>
            <w:tcBorders>
              <w:top w:val="single" w:sz="8" w:color="2C6937"/>
            </w:tcBorders>
          </w:tcPr>
          <w:p>
            <w:pPr>
              <w:spacing w:after="0"/>
              <w:rPr>
                <w:sz w:val="12"/>
                <w:szCs w:val="12"/>
                <w:color w:val="auto"/>
              </w:rPr>
            </w:pPr>
          </w:p>
        </w:tc>
        <w:tc>
          <w:tcPr>
            <w:tcW w:w="1600" w:type="dxa"/>
            <w:vAlign w:val="bottom"/>
            <w:tcBorders>
              <w:top w:val="single" w:sz="8" w:color="2C6937"/>
            </w:tcBorders>
            <w:vMerge w:val="restart"/>
          </w:tcPr>
          <w:p>
            <w:pPr>
              <w:jc w:val="right"/>
              <w:ind w:right="443"/>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top w:val="single" w:sz="8" w:color="2C6937"/>
            </w:tcBorders>
          </w:tcPr>
          <w:p>
            <w:pPr>
              <w:spacing w:after="0"/>
              <w:rPr>
                <w:sz w:val="12"/>
                <w:szCs w:val="12"/>
                <w:color w:val="auto"/>
              </w:rPr>
            </w:pPr>
          </w:p>
        </w:tc>
        <w:tc>
          <w:tcPr>
            <w:tcW w:w="1740" w:type="dxa"/>
            <w:vAlign w:val="bottom"/>
            <w:tcBorders>
              <w:top w:val="single" w:sz="8" w:color="2C6937"/>
            </w:tcBorders>
          </w:tcPr>
          <w:p>
            <w:pPr>
              <w:jc w:val="right"/>
              <w:ind w:right="23"/>
              <w:spacing w:after="0" w:line="148" w:lineRule="exact"/>
              <w:rPr>
                <w:sz w:val="20"/>
                <w:szCs w:val="20"/>
                <w:color w:val="auto"/>
              </w:rPr>
            </w:pPr>
            <w:r>
              <w:rPr>
                <w:rFonts w:ascii="Arial" w:cs="Arial" w:eastAsia="Arial" w:hAnsi="Arial"/>
                <w:sz w:val="15"/>
                <w:szCs w:val="15"/>
                <w:b w:val="1"/>
                <w:bCs w:val="1"/>
                <w:color w:val="auto"/>
              </w:rPr>
              <w:t>Maximum Exposure to</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vMerge w:val="continue"/>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5"/>
                <w:szCs w:val="15"/>
                <w:b w:val="1"/>
                <w:bCs w:val="1"/>
                <w:color w:val="auto"/>
              </w:rPr>
              <w:t>Loss</w:t>
            </w:r>
          </w:p>
        </w:tc>
        <w:tc>
          <w:tcPr>
            <w:tcW w:w="300" w:type="dxa"/>
            <w:vAlign w:val="bottom"/>
            <w:tcBorders>
              <w:bottom w:val="single" w:sz="8" w:color="2C6937"/>
            </w:tcBorders>
          </w:tcPr>
          <w:p>
            <w:pPr>
              <w:spacing w:after="0"/>
              <w:rPr>
                <w:sz w:val="17"/>
                <w:szCs w:val="17"/>
                <w:color w:val="auto"/>
              </w:rPr>
            </w:pPr>
          </w:p>
        </w:tc>
        <w:tc>
          <w:tcPr>
            <w:tcW w:w="1600" w:type="dxa"/>
            <w:vAlign w:val="bottom"/>
            <w:tcBorders>
              <w:bottom w:val="single" w:sz="8" w:color="2C6937"/>
            </w:tcBorders>
            <w:vMerge w:val="continue"/>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1740" w:type="dxa"/>
            <w:vAlign w:val="bottom"/>
            <w:tcBorders>
              <w:bottom w:val="single" w:sz="8" w:color="2C6937"/>
            </w:tcBorders>
          </w:tcPr>
          <w:p>
            <w:pPr>
              <w:jc w:val="right"/>
              <w:ind w:right="663"/>
              <w:spacing w:after="0"/>
              <w:rPr>
                <w:sz w:val="20"/>
                <w:szCs w:val="20"/>
                <w:color w:val="auto"/>
              </w:rPr>
            </w:pPr>
            <w:r>
              <w:rPr>
                <w:rFonts w:ascii="Arial" w:cs="Arial" w:eastAsia="Arial" w:hAnsi="Arial"/>
                <w:sz w:val="15"/>
                <w:szCs w:val="15"/>
                <w:b w:val="1"/>
                <w:bCs w:val="1"/>
                <w:color w:val="auto"/>
              </w:rPr>
              <w:t>Loss</w:t>
            </w: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gridSpan w:val="4"/>
          </w:tcPr>
          <w:p>
            <w:pPr>
              <w:jc w:val="right"/>
              <w:ind w:right="1163"/>
              <w:spacing w:after="0"/>
              <w:rPr>
                <w:sz w:val="20"/>
                <w:szCs w:val="20"/>
                <w:color w:val="auto"/>
              </w:rPr>
            </w:pPr>
            <w:r>
              <w:rPr>
                <w:rFonts w:ascii="Arial" w:cs="Arial" w:eastAsia="Arial" w:hAnsi="Arial"/>
                <w:sz w:val="15"/>
                <w:szCs w:val="15"/>
                <w:b w:val="1"/>
                <w:bCs w:val="1"/>
                <w:color w:val="auto"/>
              </w:rPr>
              <w:t>(Dollars in millions)</w:t>
            </w: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440" w:type="dxa"/>
            <w:vAlign w:val="bottom"/>
          </w:tcPr>
          <w:p>
            <w:pPr>
              <w:spacing w:after="0"/>
              <w:rPr>
                <w:sz w:val="20"/>
                <w:szCs w:val="20"/>
                <w:color w:val="auto"/>
              </w:rPr>
            </w:pPr>
            <w:r>
              <w:rPr>
                <w:rFonts w:ascii="Arial" w:cs="Arial" w:eastAsia="Arial" w:hAnsi="Arial"/>
                <w:sz w:val="15"/>
                <w:szCs w:val="15"/>
                <w:color w:val="auto"/>
              </w:rPr>
              <w:t>Securitization and resecuritization trusts</w:t>
            </w:r>
            <w:r>
              <w:rPr>
                <w:rFonts w:ascii="Arial" w:cs="Arial" w:eastAsia="Arial" w:hAnsi="Arial"/>
                <w:sz w:val="20"/>
                <w:szCs w:val="20"/>
                <w:color w:val="auto"/>
                <w:vertAlign w:val="superscript"/>
              </w:rPr>
              <w:t>(1)</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Pr>
          <w:p>
            <w:pPr>
              <w:jc w:val="right"/>
              <w:ind w:right="23"/>
              <w:spacing w:after="0"/>
              <w:rPr>
                <w:sz w:val="20"/>
                <w:szCs w:val="20"/>
                <w:color w:val="auto"/>
              </w:rPr>
            </w:pPr>
            <w:r>
              <w:rPr>
                <w:rFonts w:ascii="Arial" w:cs="Arial" w:eastAsia="Arial" w:hAnsi="Arial"/>
                <w:sz w:val="15"/>
                <w:szCs w:val="15"/>
                <w:b w:val="1"/>
                <w:bCs w:val="1"/>
                <w:color w:val="auto"/>
              </w:rPr>
              <w:t>404,895</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194,206</w:t>
            </w:r>
          </w:p>
        </w:tc>
        <w:tc>
          <w:tcPr>
            <w:tcW w:w="100" w:type="dxa"/>
            <w:vAlign w:val="bottom"/>
          </w:tcPr>
          <w:p>
            <w:pPr>
              <w:spacing w:after="0"/>
              <w:rPr>
                <w:sz w:val="20"/>
                <w:szCs w:val="20"/>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3"/>
              <w:spacing w:after="0"/>
              <w:rPr>
                <w:sz w:val="20"/>
                <w:szCs w:val="20"/>
                <w:color w:val="auto"/>
              </w:rPr>
            </w:pPr>
            <w:r>
              <w:rPr>
                <w:rFonts w:ascii="Arial" w:cs="Arial" w:eastAsia="Arial" w:hAnsi="Arial"/>
                <w:sz w:val="15"/>
                <w:szCs w:val="15"/>
                <w:color w:val="auto"/>
              </w:rPr>
              <w:t>203,841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203,316</w:t>
            </w:r>
          </w:p>
        </w:tc>
        <w:tc>
          <w:tcPr>
            <w:tcW w:w="0" w:type="dxa"/>
            <w:vAlign w:val="bottom"/>
          </w:tcPr>
          <w:p>
            <w:pPr>
              <w:spacing w:after="0"/>
              <w:rPr>
                <w:sz w:val="1"/>
                <w:szCs w:val="1"/>
                <w:color w:val="auto"/>
              </w:rPr>
            </w:pPr>
          </w:p>
        </w:tc>
      </w:tr>
      <w:tr>
        <w:trPr>
          <w:trHeight w:val="232"/>
        </w:trPr>
        <w:tc>
          <w:tcPr>
            <w:tcW w:w="3440" w:type="dxa"/>
            <w:vAlign w:val="bottom"/>
          </w:tcPr>
          <w:p>
            <w:pPr>
              <w:spacing w:after="0"/>
              <w:rPr>
                <w:sz w:val="20"/>
                <w:szCs w:val="20"/>
                <w:color w:val="auto"/>
              </w:rPr>
            </w:pPr>
            <w:r>
              <w:rPr>
                <w:rFonts w:ascii="Arial" w:cs="Arial" w:eastAsia="Arial" w:hAnsi="Arial"/>
                <w:sz w:val="15"/>
                <w:szCs w:val="15"/>
                <w:color w:val="auto"/>
              </w:rPr>
              <w:t>Credit risk transfer SPVs</w:t>
            </w:r>
            <w:r>
              <w:rPr>
                <w:rFonts w:ascii="Arial" w:cs="Arial" w:eastAsia="Arial" w:hAnsi="Arial"/>
                <w:sz w:val="20"/>
                <w:szCs w:val="20"/>
                <w:color w:val="auto"/>
                <w:vertAlign w:val="superscript"/>
              </w:rPr>
              <w:t>(2)</w:t>
            </w:r>
          </w:p>
        </w:tc>
        <w:tc>
          <w:tcPr>
            <w:tcW w:w="280" w:type="dxa"/>
            <w:vAlign w:val="bottom"/>
          </w:tcPr>
          <w:p>
            <w:pPr>
              <w:spacing w:after="0"/>
              <w:rPr>
                <w:sz w:val="20"/>
                <w:szCs w:val="20"/>
                <w:color w:val="auto"/>
              </w:rPr>
            </w:pPr>
          </w:p>
        </w:tc>
        <w:tc>
          <w:tcPr>
            <w:tcW w:w="1600" w:type="dxa"/>
            <w:vAlign w:val="bottom"/>
          </w:tcPr>
          <w:p>
            <w:pPr>
              <w:jc w:val="right"/>
              <w:ind w:right="23"/>
              <w:spacing w:after="0"/>
              <w:rPr>
                <w:sz w:val="20"/>
                <w:szCs w:val="20"/>
                <w:color w:val="auto"/>
              </w:rPr>
            </w:pPr>
            <w:r>
              <w:rPr>
                <w:rFonts w:ascii="Arial" w:cs="Arial" w:eastAsia="Arial" w:hAnsi="Arial"/>
                <w:sz w:val="15"/>
                <w:szCs w:val="15"/>
                <w:b w:val="1"/>
                <w:bCs w:val="1"/>
                <w:color w:val="auto"/>
              </w:rPr>
              <w:t>24,490</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24,499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ind w:right="43"/>
              <w:spacing w:after="0"/>
              <w:rPr>
                <w:sz w:val="20"/>
                <w:szCs w:val="20"/>
                <w:color w:val="auto"/>
              </w:rPr>
            </w:pPr>
            <w:r>
              <w:rPr>
                <w:rFonts w:ascii="Arial" w:cs="Arial" w:eastAsia="Arial" w:hAnsi="Arial"/>
                <w:sz w:val="15"/>
                <w:szCs w:val="15"/>
                <w:color w:val="auto"/>
              </w:rPr>
              <w:t>23,222</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23,224</w:t>
            </w:r>
          </w:p>
        </w:tc>
        <w:tc>
          <w:tcPr>
            <w:tcW w:w="0" w:type="dxa"/>
            <w:vAlign w:val="bottom"/>
          </w:tcPr>
          <w:p>
            <w:pPr>
              <w:spacing w:after="0"/>
              <w:rPr>
                <w:sz w:val="1"/>
                <w:szCs w:val="1"/>
                <w:color w:val="auto"/>
              </w:rPr>
            </w:pPr>
          </w:p>
        </w:tc>
      </w:tr>
      <w:tr>
        <w:trPr>
          <w:trHeight w:val="180"/>
        </w:trPr>
        <w:tc>
          <w:tcPr>
            <w:tcW w:w="3440" w:type="dxa"/>
            <w:vAlign w:val="bottom"/>
          </w:tcPr>
          <w:p>
            <w:pPr>
              <w:spacing w:after="0"/>
              <w:rPr>
                <w:sz w:val="20"/>
                <w:szCs w:val="20"/>
                <w:color w:val="auto"/>
              </w:rPr>
            </w:pPr>
            <w:r>
              <w:rPr>
                <w:rFonts w:ascii="Arial" w:cs="Arial" w:eastAsia="Arial" w:hAnsi="Arial"/>
                <w:sz w:val="15"/>
                <w:szCs w:val="15"/>
                <w:color w:val="auto"/>
              </w:rPr>
              <w:t>Limited partnerships, including low income</w:t>
            </w: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3440" w:type="dxa"/>
            <w:vAlign w:val="bottom"/>
          </w:tcPr>
          <w:p>
            <w:pPr>
              <w:ind w:left="160"/>
              <w:spacing w:after="0"/>
              <w:rPr>
                <w:sz w:val="20"/>
                <w:szCs w:val="20"/>
                <w:color w:val="auto"/>
              </w:rPr>
            </w:pPr>
            <w:r>
              <w:rPr>
                <w:rFonts w:ascii="Arial" w:cs="Arial" w:eastAsia="Arial" w:hAnsi="Arial"/>
                <w:sz w:val="15"/>
                <w:szCs w:val="15"/>
                <w:color w:val="auto"/>
              </w:rPr>
              <w:t>housing tax credit ("LIHTC") investments</w:t>
            </w:r>
            <w:r>
              <w:rPr>
                <w:rFonts w:ascii="Arial" w:cs="Arial" w:eastAsia="Arial" w:hAnsi="Arial"/>
                <w:sz w:val="20"/>
                <w:szCs w:val="20"/>
                <w:color w:val="auto"/>
                <w:vertAlign w:val="superscript"/>
              </w:rPr>
              <w:t>(3)</w:t>
            </w:r>
          </w:p>
        </w:tc>
        <w:tc>
          <w:tcPr>
            <w:tcW w:w="280" w:type="dxa"/>
            <w:vAlign w:val="bottom"/>
          </w:tcPr>
          <w:p>
            <w:pPr>
              <w:spacing w:after="0"/>
              <w:rPr>
                <w:sz w:val="23"/>
                <w:szCs w:val="23"/>
                <w:color w:val="auto"/>
              </w:rPr>
            </w:pPr>
          </w:p>
        </w:tc>
        <w:tc>
          <w:tcPr>
            <w:tcW w:w="1600" w:type="dxa"/>
            <w:vAlign w:val="bottom"/>
          </w:tcPr>
          <w:p>
            <w:pPr>
              <w:jc w:val="right"/>
              <w:ind w:right="23"/>
              <w:spacing w:after="0"/>
              <w:rPr>
                <w:sz w:val="20"/>
                <w:szCs w:val="20"/>
                <w:color w:val="auto"/>
              </w:rPr>
            </w:pPr>
            <w:r>
              <w:rPr>
                <w:rFonts w:ascii="Arial" w:cs="Arial" w:eastAsia="Arial" w:hAnsi="Arial"/>
                <w:sz w:val="15"/>
                <w:szCs w:val="15"/>
                <w:b w:val="1"/>
                <w:bCs w:val="1"/>
                <w:color w:val="auto"/>
              </w:rPr>
              <w:t>6,602</w:t>
            </w:r>
          </w:p>
        </w:tc>
        <w:tc>
          <w:tcPr>
            <w:tcW w:w="2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727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jc w:val="right"/>
              <w:ind w:right="43"/>
              <w:spacing w:after="0"/>
              <w:rPr>
                <w:sz w:val="20"/>
                <w:szCs w:val="20"/>
                <w:color w:val="auto"/>
              </w:rPr>
            </w:pPr>
            <w:r>
              <w:rPr>
                <w:rFonts w:ascii="Arial" w:cs="Arial" w:eastAsia="Arial" w:hAnsi="Arial"/>
                <w:sz w:val="15"/>
                <w:szCs w:val="15"/>
                <w:color w:val="auto"/>
              </w:rPr>
              <w:t>6,428</w:t>
            </w:r>
          </w:p>
        </w:tc>
        <w:tc>
          <w:tcPr>
            <w:tcW w:w="2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669</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40" w:right="340" w:hanging="237"/>
        <w:spacing w:after="0" w:line="226" w:lineRule="auto"/>
        <w:tabs>
          <w:tab w:leader="none" w:pos="233"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 net carrying amount of securitization and resecuritization trusts were $5.2 billion and $1.2 billion as of September 30, 2025 and December 31, 2024, respectively, which are primarily classified in Investments in securities, at fair value in our condensed consolidated balance sheets.</w:t>
      </w:r>
    </w:p>
    <w:p>
      <w:pPr>
        <w:spacing w:after="0" w:line="14" w:lineRule="exact"/>
        <w:rPr>
          <w:rFonts w:ascii="Arial" w:cs="Arial" w:eastAsia="Arial" w:hAnsi="Arial"/>
          <w:sz w:val="18"/>
          <w:szCs w:val="18"/>
          <w:color w:val="auto"/>
          <w:vertAlign w:val="superscript"/>
        </w:rPr>
      </w:pPr>
    </w:p>
    <w:p>
      <w:pPr>
        <w:ind w:left="240" w:right="740" w:hanging="237"/>
        <w:spacing w:after="0" w:line="275" w:lineRule="auto"/>
        <w:tabs>
          <w:tab w:leader="none" w:pos="233" w:val="left"/>
        </w:tabs>
        <w:numPr>
          <w:ilvl w:val="0"/>
          <w:numId w:val="55"/>
        </w:numPr>
        <w:rPr>
          <w:rFonts w:ascii="Arial" w:cs="Arial" w:eastAsia="Arial" w:hAnsi="Arial"/>
          <w:sz w:val="9"/>
          <w:szCs w:val="9"/>
          <w:color w:val="auto"/>
        </w:rPr>
      </w:pPr>
      <w:r>
        <w:rPr>
          <w:rFonts w:ascii="Arial" w:cs="Arial" w:eastAsia="Arial" w:hAnsi="Arial"/>
          <w:sz w:val="14"/>
          <w:szCs w:val="14"/>
          <w:color w:val="auto"/>
        </w:rPr>
        <w:t>Maximum exposure to loss of credit risk transfer SPVs consists of the unpaid principal balance and accrued interest payable of obligations issued by Connecticut Avenue Securities® ("CAS") and Multifamily Connecticut Avenue Securities® ("MCAS") SPVs.</w:t>
      </w:r>
    </w:p>
    <w:p>
      <w:pPr>
        <w:spacing w:after="0" w:line="4" w:lineRule="exact"/>
        <w:rPr>
          <w:rFonts w:ascii="Arial" w:cs="Arial" w:eastAsia="Arial" w:hAnsi="Arial"/>
          <w:sz w:val="9"/>
          <w:szCs w:val="9"/>
          <w:color w:val="auto"/>
        </w:rPr>
      </w:pPr>
    </w:p>
    <w:p>
      <w:pPr>
        <w:ind w:left="240" w:right="280" w:hanging="237"/>
        <w:spacing w:after="0" w:line="233" w:lineRule="auto"/>
        <w:tabs>
          <w:tab w:leader="none" w:pos="233"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 net carrying value of LIHTC investments that represent VIEs was $727 million and $669 million as of September 30, 2025 and December 31, 2024, respectively. The net carrying value of all LIHTC investments was $2.2 billion and $2.0 billion as of September 30, 2025 and December 31, 2024, respectively. In our condensed consolidated balance sheets, the LIHTC investment assets and liabilities are classified as Other assets and Other liabilities, respectively.</w:t>
      </w:r>
    </w:p>
    <w:p>
      <w:pPr>
        <w:spacing w:after="0" w:line="3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As of September 30, 2025, the unpaid principal balance of our multifamily loan portfolio was $511.9 billion. As our lending relationship does not provide us with a controlling financial interest in the borrower entity for loans in our multifamily loan portfolio, we do not consolidate these borrowers regardless of their status as either a VIE or a voting interest entity. We have excluded these entities from our VIE disclosures; however, the disclosures we have provided in “Note 4, Mortgage Loans,” “Note 5, Allowance for Loan Losses” and “Note 7, Financial Guarantees” with respect to this population are consistent with the FASB’s stated objectives for the disclosures related to unconsolidated VIEs.</w:t>
      </w:r>
    </w:p>
    <w:p>
      <w:pPr>
        <w:spacing w:after="0" w:line="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Transfers of Financial Assets and Portfolio Securitizations</w:t>
      </w:r>
    </w:p>
    <w:p>
      <w:pPr>
        <w:spacing w:after="0" w:line="81"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We issue single-class Fannie Mae MBS through portfolio securitization transactions by transferring pools of mortgage loans or mortgage-related securities to one or more trusts or special purpose entities. For the three months ended September 30, 2025 and 2024, the unpaid principal balance of portfolio securitizations was $36.8 billion and $35.3 billion, respectively. For the nine months ended September 30, 2025 and 2024, the unpaid principal balance of portfolio securitizations was $103.2 billion and $102.0 billion, respectively. We consolidate the substantial majority of these portfolio securitization transactions.</w:t>
      </w:r>
    </w:p>
    <w:p>
      <w:pPr>
        <w:spacing w:after="0" w:line="53"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We retain interests from the transfer and sale of mortgage-related securities to unconsolidated single-class portfolio securitization trusts and unconsolidated single-class and multi-class portfolio resecuritization trusts. As of September 30, 2025, the unpaid principal balance of retained interests was $678 million and its related fair value was $1.0 billion. As of December 31, 2024, the unpaid principal balance of retained interests was $661 million and its related fair value was $1.0 billion. For the three months ended September 30, 2025 and 2024, the principal, interest and other fees received on retained interests was $60 million and $66 million, respectively. For the nine months ended September 30, 2025 and 2024, the principal, interest and other fees received on retained interests was $183 million and $193 million, respectively.</w:t>
      </w:r>
    </w:p>
    <w:p>
      <w:pPr>
        <w:spacing w:after="0" w:line="137"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4. Mortgage Loans</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record on our consolidated balance sheets single-family mortgage loans, which are secured by four or fewer residential dwelling units, and multifamily mortgage loans, which are secured by five or more residential dwelling units. We classify these loans as either held for investment (“HFI”) or held for sale (“HFS”). Unless otherwise noted, within “Note 4, Mortgage Loans,” we report the amortized cost of HFI loans for which we have not elected the fair value option at the unpaid principal balance, adjusted for unamortized premiums and discounts, hedge-related basis adjustments, other cost basis adjustments, and accrued interest receivable. Within our condensed consolidated balance sheets, we present accrued interest receivable, net separately from the amortized cost of our loans held for investment. We report the carrying value of HFS loans at the lower of cost or fair value and record valuation changes in “Investment gains (losses), net” in our condensed consolidated statements of operations and comprehensive income.</w:t>
      </w:r>
    </w:p>
    <w:p>
      <w:pPr>
        <w:spacing w:after="0" w:line="43"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Within our single-family mortgage loan disclosures below, we display loans by class of financing receivable type. Financing receivable classes used for disclosure consist of: “20- and 30-year or more, amortizing fixed-rate,” “15-year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350520</wp:posOffset>
            </wp:positionV>
            <wp:extent cx="68059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4" w:name="page75"/>
    <w:bookmarkEnd w:id="74"/>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less, amortizing fixed-rate,” “Adjustable-rate,” and “Other.” The “Other” class primarily consists of reverse mortgage loans, interest-only loans, negative-amortizing loans and second liens.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carrying value of our mortgage loans and allowance for loan losses.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43674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436745" cy="8255"/>
                    </a:xfrm>
                    <a:prstGeom prst="rect">
                      <a:avLst/>
                    </a:prstGeom>
                    <a:noFill/>
                  </pic:spPr>
                </pic:pic>
              </a:graphicData>
            </a:graphic>
          </wp:anchor>
        </w:drawing>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unpaid principal balance of mortgage loans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Cost basis and fair value adjustments, net</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Allowance for loan losses for HFI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443674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436745" cy="8255"/>
                    </a:xfrm>
                    <a:prstGeom prst="rect">
                      <a:avLst/>
                    </a:prstGeom>
                    <a:noFill/>
                  </pic:spPr>
                </pic:pic>
              </a:graphicData>
            </a:graphic>
          </wp:anchor>
        </w:drawing>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mortgage loans</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443674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4367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wp:posOffset>
            </wp:positionV>
            <wp:extent cx="44367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436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As of</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0" w:type="dxa"/>
            <w:vAlign w:val="bottom"/>
            <w:tcBorders>
              <w:top w:val="single" w:sz="8" w:color="2C6937"/>
              <w:bottom w:val="single" w:sz="8" w:color="2C6937"/>
            </w:tcBorders>
          </w:tcPr>
          <w:p>
            <w:pPr>
              <w:spacing w:after="0"/>
              <w:rPr>
                <w:sz w:val="17"/>
                <w:szCs w:val="17"/>
                <w:color w:val="auto"/>
              </w:rPr>
            </w:pPr>
          </w:p>
        </w:tc>
        <w:tc>
          <w:tcPr>
            <w:tcW w:w="1920" w:type="dxa"/>
            <w:vAlign w:val="bottom"/>
            <w:tcBorders>
              <w:top w:val="single" w:sz="8" w:color="2C6937"/>
              <w:bottom w:val="single" w:sz="8" w:color="2C6937"/>
            </w:tcBorders>
            <w:gridSpan w:val="2"/>
          </w:tcPr>
          <w:p>
            <w:pPr>
              <w:ind w:left="80"/>
              <w:spacing w:after="0"/>
              <w:rPr>
                <w:sz w:val="20"/>
                <w:szCs w:val="20"/>
                <w:color w:val="auto"/>
              </w:rPr>
            </w:pPr>
            <w:r>
              <w:rPr>
                <w:rFonts w:ascii="Arial" w:cs="Arial" w:eastAsia="Arial" w:hAnsi="Arial"/>
                <w:sz w:val="15"/>
                <w:szCs w:val="15"/>
                <w:b w:val="1"/>
                <w:bCs w:val="1"/>
                <w:color w:val="auto"/>
              </w:rPr>
              <w:t>September 30, 2025</w:t>
            </w:r>
          </w:p>
        </w:tc>
        <w:tc>
          <w:tcPr>
            <w:tcW w:w="220" w:type="dxa"/>
            <w:vAlign w:val="bottom"/>
            <w:tcBorders>
              <w:top w:val="single" w:sz="8" w:color="2C6937"/>
              <w:bottom w:val="single" w:sz="8" w:color="2C6937"/>
            </w:tcBorders>
          </w:tcPr>
          <w:p>
            <w:pPr>
              <w:spacing w:after="0"/>
              <w:rPr>
                <w:sz w:val="17"/>
                <w:szCs w:val="17"/>
                <w:color w:val="auto"/>
              </w:rPr>
            </w:pPr>
          </w:p>
        </w:tc>
        <w:tc>
          <w:tcPr>
            <w:tcW w:w="1800" w:type="dxa"/>
            <w:vAlign w:val="bottom"/>
            <w:tcBorders>
              <w:top w:val="single" w:sz="8" w:color="2C6937"/>
              <w:bottom w:val="single" w:sz="8" w:color="2C6937"/>
            </w:tcBorders>
          </w:tcPr>
          <w:p>
            <w:pPr>
              <w:jc w:val="right"/>
              <w:ind w:right="243"/>
              <w:spacing w:after="0"/>
              <w:rPr>
                <w:sz w:val="20"/>
                <w:szCs w:val="20"/>
                <w:color w:val="auto"/>
              </w:rPr>
            </w:pPr>
            <w:r>
              <w:rPr>
                <w:rFonts w:ascii="Arial" w:cs="Arial" w:eastAsia="Arial" w:hAnsi="Arial"/>
                <w:sz w:val="15"/>
                <w:szCs w:val="15"/>
                <w:b w:val="1"/>
                <w:bCs w:val="1"/>
                <w:color w:val="auto"/>
              </w:rPr>
              <w:t>December 31, 2024</w:t>
            </w:r>
          </w:p>
        </w:tc>
      </w:tr>
      <w:tr>
        <w:trPr>
          <w:trHeight w:val="296"/>
        </w:trPr>
        <w:tc>
          <w:tcPr>
            <w:tcW w:w="200" w:type="dxa"/>
            <w:vAlign w:val="bottom"/>
          </w:tcPr>
          <w:p>
            <w:pPr>
              <w:spacing w:after="0"/>
              <w:rPr>
                <w:sz w:val="24"/>
                <w:szCs w:val="24"/>
                <w:color w:val="auto"/>
              </w:rPr>
            </w:pPr>
          </w:p>
        </w:tc>
        <w:tc>
          <w:tcPr>
            <w:tcW w:w="3940" w:type="dxa"/>
            <w:vAlign w:val="bottom"/>
            <w:gridSpan w:val="4"/>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322"/>
        </w:trPr>
        <w:tc>
          <w:tcPr>
            <w:tcW w:w="200" w:type="dxa"/>
            <w:vAlign w:val="bottom"/>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820" w:type="dxa"/>
            <w:vAlign w:val="bottom"/>
          </w:tcPr>
          <w:p>
            <w:pPr>
              <w:jc w:val="right"/>
              <w:ind w:right="3"/>
              <w:spacing w:after="0"/>
              <w:rPr>
                <w:sz w:val="20"/>
                <w:szCs w:val="20"/>
                <w:color w:val="auto"/>
              </w:rPr>
            </w:pPr>
            <w:r>
              <w:rPr>
                <w:rFonts w:ascii="Arial" w:cs="Arial" w:eastAsia="Arial" w:hAnsi="Arial"/>
                <w:sz w:val="15"/>
                <w:szCs w:val="15"/>
                <w:b w:val="1"/>
                <w:bCs w:val="1"/>
                <w:color w:val="auto"/>
              </w:rPr>
              <w:t>3,586,725</w:t>
            </w:r>
          </w:p>
        </w:tc>
        <w:tc>
          <w:tcPr>
            <w:tcW w:w="10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3,619,838</w:t>
            </w:r>
          </w:p>
        </w:tc>
      </w:tr>
      <w:tr>
        <w:trPr>
          <w:trHeight w:val="303"/>
        </w:trPr>
        <w:tc>
          <w:tcPr>
            <w:tcW w:w="200" w:type="dxa"/>
            <w:vAlign w:val="bottom"/>
            <w:tcBorders>
              <w:bottom w:val="single" w:sz="8" w:color="2C6937"/>
            </w:tcBorders>
          </w:tcPr>
          <w:p>
            <w:pPr>
              <w:spacing w:after="0"/>
              <w:rPr>
                <w:sz w:val="24"/>
                <w:szCs w:val="24"/>
                <w:color w:val="auto"/>
              </w:rPr>
            </w:pPr>
          </w:p>
        </w:tc>
        <w:tc>
          <w:tcPr>
            <w:tcW w:w="1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511,891</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490,358</w:t>
            </w:r>
          </w:p>
        </w:tc>
      </w:tr>
      <w:tr>
        <w:trPr>
          <w:trHeight w:val="309"/>
        </w:trPr>
        <w:tc>
          <w:tcPr>
            <w:tcW w:w="200" w:type="dxa"/>
            <w:vAlign w:val="bottom"/>
          </w:tcPr>
          <w:p>
            <w:pPr>
              <w:spacing w:after="0"/>
              <w:rPr>
                <w:sz w:val="24"/>
                <w:szCs w:val="24"/>
                <w:color w:val="auto"/>
              </w:rPr>
            </w:pPr>
          </w:p>
        </w:tc>
        <w:tc>
          <w:tcPr>
            <w:tcW w:w="1820" w:type="dxa"/>
            <w:vAlign w:val="bottom"/>
          </w:tcPr>
          <w:p>
            <w:pPr>
              <w:jc w:val="right"/>
              <w:ind w:right="3"/>
              <w:spacing w:after="0"/>
              <w:rPr>
                <w:sz w:val="20"/>
                <w:szCs w:val="20"/>
                <w:color w:val="auto"/>
              </w:rPr>
            </w:pPr>
            <w:r>
              <w:rPr>
                <w:rFonts w:ascii="Arial" w:cs="Arial" w:eastAsia="Arial" w:hAnsi="Arial"/>
                <w:sz w:val="15"/>
                <w:szCs w:val="15"/>
                <w:b w:val="1"/>
                <w:bCs w:val="1"/>
                <w:color w:val="auto"/>
              </w:rPr>
              <w:t>4,098,616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4,110,196</w:t>
            </w:r>
          </w:p>
        </w:tc>
      </w:tr>
      <w:tr>
        <w:trPr>
          <w:trHeight w:val="309"/>
        </w:trPr>
        <w:tc>
          <w:tcPr>
            <w:tcW w:w="200" w:type="dxa"/>
            <w:vAlign w:val="bottom"/>
          </w:tcPr>
          <w:p>
            <w:pPr>
              <w:spacing w:after="0"/>
              <w:rPr>
                <w:sz w:val="24"/>
                <w:szCs w:val="24"/>
                <w:color w:val="auto"/>
              </w:rPr>
            </w:pPr>
          </w:p>
        </w:tc>
        <w:tc>
          <w:tcPr>
            <w:tcW w:w="1820" w:type="dxa"/>
            <w:vAlign w:val="bottom"/>
          </w:tcPr>
          <w:p>
            <w:pPr>
              <w:jc w:val="right"/>
              <w:ind w:right="3"/>
              <w:spacing w:after="0"/>
              <w:rPr>
                <w:sz w:val="20"/>
                <w:szCs w:val="20"/>
                <w:color w:val="auto"/>
              </w:rPr>
            </w:pPr>
            <w:r>
              <w:rPr>
                <w:rFonts w:ascii="Arial" w:cs="Arial" w:eastAsia="Arial" w:hAnsi="Arial"/>
                <w:sz w:val="15"/>
                <w:szCs w:val="15"/>
                <w:b w:val="1"/>
                <w:bCs w:val="1"/>
                <w:color w:val="auto"/>
              </w:rPr>
              <w:t>33,020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35,517</w:t>
            </w:r>
          </w:p>
        </w:tc>
      </w:tr>
      <w:tr>
        <w:trPr>
          <w:trHeight w:val="303"/>
        </w:trPr>
        <w:tc>
          <w:tcPr>
            <w:tcW w:w="200" w:type="dxa"/>
            <w:vAlign w:val="bottom"/>
            <w:tcBorders>
              <w:bottom w:val="single" w:sz="8" w:color="2C6937"/>
            </w:tcBorders>
          </w:tcPr>
          <w:p>
            <w:pPr>
              <w:spacing w:after="0"/>
              <w:rPr>
                <w:sz w:val="24"/>
                <w:szCs w:val="24"/>
                <w:color w:val="auto"/>
              </w:rPr>
            </w:pPr>
          </w:p>
        </w:tc>
        <w:tc>
          <w:tcPr>
            <w:tcW w:w="18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(8,246)</w:t>
            </w:r>
          </w:p>
        </w:tc>
        <w:tc>
          <w:tcPr>
            <w:tcW w:w="100" w:type="dxa"/>
            <w:vAlign w:val="bottom"/>
          </w:tcPr>
          <w:p>
            <w:pPr>
              <w:spacing w:after="0"/>
              <w:rPr>
                <w:sz w:val="24"/>
                <w:szCs w:val="24"/>
                <w:color w:val="auto"/>
              </w:rPr>
            </w:pPr>
          </w:p>
        </w:tc>
        <w:tc>
          <w:tcPr>
            <w:tcW w:w="220" w:type="dxa"/>
            <w:vAlign w:val="bottom"/>
            <w:tcBorders>
              <w:bottom w:val="single" w:sz="8" w:color="2C6937"/>
            </w:tcBorders>
          </w:tcPr>
          <w:p>
            <w:pPr>
              <w:spacing w:after="0"/>
              <w:rPr>
                <w:sz w:val="24"/>
                <w:szCs w:val="24"/>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(7,707)</w:t>
            </w:r>
          </w:p>
        </w:tc>
      </w:tr>
      <w:tr>
        <w:trPr>
          <w:trHeight w:val="302"/>
        </w:trPr>
        <w:tc>
          <w:tcPr>
            <w:tcW w:w="200" w:type="dxa"/>
            <w:vAlign w:val="bottom"/>
            <w:tcBorders>
              <w:bottom w:val="single" w:sz="8" w:color="2C6937"/>
            </w:tcBorders>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4,123,390</w:t>
            </w:r>
          </w:p>
        </w:tc>
        <w:tc>
          <w:tcPr>
            <w:tcW w:w="100" w:type="dxa"/>
            <w:vAlign w:val="bottom"/>
          </w:tcPr>
          <w:p>
            <w:pPr>
              <w:spacing w:after="0"/>
              <w:rPr>
                <w:sz w:val="24"/>
                <w:szCs w:val="24"/>
                <w:color w:val="auto"/>
              </w:rPr>
            </w:pPr>
          </w:p>
        </w:tc>
        <w:tc>
          <w:tcPr>
            <w:tcW w:w="220" w:type="dxa"/>
            <w:vAlign w:val="bottom"/>
            <w:tcBorders>
              <w:bottom w:val="single" w:sz="8" w:color="2C6937"/>
            </w:tcBorders>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4,138,006</w:t>
            </w:r>
          </w:p>
        </w:tc>
      </w:tr>
      <w:tr>
        <w:trPr>
          <w:trHeight w:val="20"/>
        </w:trPr>
        <w:tc>
          <w:tcPr>
            <w:tcW w:w="200" w:type="dxa"/>
            <w:vAlign w:val="bottom"/>
            <w:tcBorders>
              <w:bottom w:val="single" w:sz="8" w:color="2C6937"/>
            </w:tcBorders>
          </w:tcPr>
          <w:p>
            <w:pPr>
              <w:spacing w:after="0" w:line="20" w:lineRule="exact"/>
              <w:rPr>
                <w:sz w:val="1"/>
                <w:szCs w:val="1"/>
                <w:color w:val="auto"/>
              </w:rPr>
            </w:pPr>
          </w:p>
        </w:tc>
        <w:tc>
          <w:tcPr>
            <w:tcW w:w="18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800" w:type="dxa"/>
            <w:vAlign w:val="bottom"/>
            <w:tcBorders>
              <w:bottom w:val="single" w:sz="8" w:color="2C6937"/>
            </w:tcBorders>
          </w:tcPr>
          <w:p>
            <w:pPr>
              <w:spacing w:after="0" w:line="20" w:lineRule="exact"/>
              <w:rPr>
                <w:sz w:val="1"/>
                <w:szCs w:val="1"/>
                <w:color w:val="auto"/>
              </w:rPr>
            </w:pPr>
          </w:p>
        </w:tc>
      </w:tr>
    </w:tbl>
    <w:p>
      <w:pPr>
        <w:spacing w:after="0" w:line="109" w:lineRule="exact"/>
        <w:rPr>
          <w:sz w:val="20"/>
          <w:szCs w:val="20"/>
          <w:color w:val="auto"/>
        </w:rPr>
      </w:pPr>
    </w:p>
    <w:p>
      <w:pPr>
        <w:sectPr>
          <w:pgSz w:w="11900" w:h="16838" w:orient="portrait"/>
          <w:cols w:equalWidth="0" w:num="2">
            <w:col w:w="6380" w:space="720"/>
            <w:col w:w="4140"/>
          </w:cols>
          <w:pgMar w:left="320" w:top="248" w:right="339" w:bottom="1440" w:gutter="0" w:footer="0" w:header="0"/>
          <w:type w:val="continuous"/>
        </w:sectPr>
      </w:pPr>
    </w:p>
    <w:p>
      <w:pPr>
        <w:ind w:left="220" w:hanging="217"/>
        <w:spacing w:after="0"/>
        <w:tabs>
          <w:tab w:leader="none" w:pos="220" w:val="left"/>
        </w:tabs>
        <w:numPr>
          <w:ilvl w:val="0"/>
          <w:numId w:val="56"/>
        </w:numPr>
        <w:rPr>
          <w:rFonts w:ascii="Arial" w:cs="Arial" w:eastAsia="Arial" w:hAnsi="Arial"/>
          <w:sz w:val="9"/>
          <w:szCs w:val="9"/>
          <w:color w:val="auto"/>
        </w:rPr>
      </w:pPr>
      <w:r>
        <w:rPr>
          <w:rFonts w:ascii="Arial" w:cs="Arial" w:eastAsia="Arial" w:hAnsi="Arial"/>
          <w:sz w:val="14"/>
          <w:szCs w:val="14"/>
          <w:color w:val="auto"/>
        </w:rPr>
        <w:t>Excludes $11.4 billion and $10.8 billion of accrued interest receivable as of September 30, 2025 and December 31, 2024,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information about our purchase of HFI loans, redesignation of loans and sales of mortgage loans during the period.</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jc w:val="center"/>
              <w:ind w:right="260"/>
              <w:spacing w:after="0"/>
              <w:rPr>
                <w:sz w:val="20"/>
                <w:szCs w:val="20"/>
                <w:color w:val="auto"/>
              </w:rPr>
            </w:pPr>
            <w:r>
              <w:rPr>
                <w:rFonts w:ascii="Arial" w:cs="Arial" w:eastAsia="Arial" w:hAnsi="Arial"/>
                <w:sz w:val="15"/>
                <w:szCs w:val="15"/>
                <w:b w:val="1"/>
                <w:bCs w:val="1"/>
                <w:color w:val="auto"/>
              </w:rPr>
              <w:t>For the Three Months Ended</w:t>
            </w:r>
          </w:p>
        </w:tc>
        <w:tc>
          <w:tcPr>
            <w:tcW w:w="180" w:type="dxa"/>
            <w:vAlign w:val="bottom"/>
          </w:tcPr>
          <w:p>
            <w:pPr>
              <w:spacing w:after="0"/>
              <w:rPr>
                <w:sz w:val="14"/>
                <w:szCs w:val="14"/>
                <w:color w:val="auto"/>
              </w:rPr>
            </w:pPr>
          </w:p>
        </w:tc>
        <w:tc>
          <w:tcPr>
            <w:tcW w:w="2360" w:type="dxa"/>
            <w:vAlign w:val="bottom"/>
            <w:gridSpan w:val="4"/>
          </w:tcPr>
          <w:p>
            <w:pPr>
              <w:jc w:val="right"/>
              <w:ind w:right="183"/>
              <w:spacing w:after="0"/>
              <w:rPr>
                <w:sz w:val="20"/>
                <w:szCs w:val="20"/>
                <w:color w:val="auto"/>
              </w:rPr>
            </w:pPr>
            <w:r>
              <w:rPr>
                <w:rFonts w:ascii="Arial" w:cs="Arial" w:eastAsia="Arial" w:hAnsi="Arial"/>
                <w:sz w:val="15"/>
                <w:szCs w:val="15"/>
                <w:b w:val="1"/>
                <w:bCs w:val="1"/>
                <w:color w:val="auto"/>
              </w:rPr>
              <w:t>For the Nine Months Ended</w:t>
            </w:r>
          </w:p>
        </w:tc>
      </w:tr>
      <w:tr>
        <w:trPr>
          <w:trHeight w:val="206"/>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5"/>
          </w:tcPr>
          <w:p>
            <w:pPr>
              <w:jc w:val="center"/>
              <w:ind w:right="26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Pr>
          <w:p>
            <w:pPr>
              <w:spacing w:after="0"/>
              <w:rPr>
                <w:sz w:val="17"/>
                <w:szCs w:val="17"/>
                <w:color w:val="auto"/>
              </w:rPr>
            </w:pPr>
          </w:p>
        </w:tc>
        <w:tc>
          <w:tcPr>
            <w:tcW w:w="2360" w:type="dxa"/>
            <w:vAlign w:val="bottom"/>
            <w:gridSpan w:val="4"/>
          </w:tcPr>
          <w:p>
            <w:pPr>
              <w:jc w:val="right"/>
              <w:ind w:right="663"/>
              <w:spacing w:after="0"/>
              <w:rPr>
                <w:sz w:val="20"/>
                <w:szCs w:val="20"/>
                <w:color w:val="auto"/>
              </w:rPr>
            </w:pPr>
            <w:r>
              <w:rPr>
                <w:rFonts w:ascii="Arial" w:cs="Arial" w:eastAsia="Arial" w:hAnsi="Arial"/>
                <w:sz w:val="15"/>
                <w:szCs w:val="15"/>
                <w:b w:val="1"/>
                <w:bCs w:val="1"/>
                <w:color w:val="auto"/>
              </w:rPr>
              <w:t>September 30,</w:t>
            </w:r>
          </w:p>
        </w:tc>
      </w:tr>
      <w:tr>
        <w:trPr>
          <w:trHeight w:val="199"/>
        </w:trPr>
        <w:tc>
          <w:tcPr>
            <w:tcW w:w="5860" w:type="dxa"/>
            <w:vAlign w:val="bottom"/>
          </w:tcPr>
          <w:p>
            <w:pPr>
              <w:spacing w:after="0"/>
              <w:rPr>
                <w:sz w:val="17"/>
                <w:szCs w:val="17"/>
                <w:color w:val="auto"/>
              </w:rPr>
            </w:pPr>
          </w:p>
        </w:tc>
        <w:tc>
          <w:tcPr>
            <w:tcW w:w="160" w:type="dxa"/>
            <w:vAlign w:val="bottom"/>
            <w:tcBorders>
              <w:top w:val="single" w:sz="8" w:color="2C6937"/>
              <w:bottom w:val="single" w:sz="8" w:color="2C6937"/>
            </w:tcBorders>
          </w:tcPr>
          <w:p>
            <w:pPr>
              <w:spacing w:after="0"/>
              <w:rPr>
                <w:sz w:val="17"/>
                <w:szCs w:val="17"/>
                <w:color w:val="auto"/>
              </w:rPr>
            </w:pPr>
          </w:p>
        </w:tc>
        <w:tc>
          <w:tcPr>
            <w:tcW w:w="1040" w:type="dxa"/>
            <w:vAlign w:val="bottom"/>
            <w:tcBorders>
              <w:top w:val="single" w:sz="8" w:color="2C6937"/>
              <w:bottom w:val="single" w:sz="8" w:color="2C6937"/>
            </w:tcBorders>
          </w:tcPr>
          <w:p>
            <w:pPr>
              <w:jc w:val="right"/>
              <w:ind w:right="343"/>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2C6937"/>
            </w:tcBorders>
          </w:tcPr>
          <w:p>
            <w:pPr>
              <w:spacing w:after="0"/>
              <w:rPr>
                <w:sz w:val="17"/>
                <w:szCs w:val="17"/>
                <w:color w:val="auto"/>
              </w:rPr>
            </w:pPr>
          </w:p>
        </w:tc>
        <w:tc>
          <w:tcPr>
            <w:tcW w:w="280" w:type="dxa"/>
            <w:vAlign w:val="bottom"/>
            <w:tcBorders>
              <w:top w:val="single" w:sz="8" w:color="2C6937"/>
              <w:bottom w:val="single" w:sz="8" w:color="2C6937"/>
            </w:tcBorders>
          </w:tcPr>
          <w:p>
            <w:pPr>
              <w:spacing w:after="0"/>
              <w:rPr>
                <w:sz w:val="17"/>
                <w:szCs w:val="17"/>
                <w:color w:val="auto"/>
              </w:rPr>
            </w:pPr>
          </w:p>
        </w:tc>
        <w:tc>
          <w:tcPr>
            <w:tcW w:w="940" w:type="dxa"/>
            <w:vAlign w:val="bottom"/>
            <w:tcBorders>
              <w:top w:val="single" w:sz="8" w:color="2C6937"/>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180" w:type="dxa"/>
            <w:vAlign w:val="bottom"/>
            <w:tcBorders>
              <w:top w:val="single" w:sz="8" w:color="2C6937"/>
              <w:bottom w:val="single" w:sz="8" w:color="2C6937"/>
            </w:tcBorders>
          </w:tcPr>
          <w:p>
            <w:pPr>
              <w:spacing w:after="0"/>
              <w:rPr>
                <w:sz w:val="17"/>
                <w:szCs w:val="17"/>
                <w:color w:val="auto"/>
              </w:rPr>
            </w:pPr>
          </w:p>
        </w:tc>
        <w:tc>
          <w:tcPr>
            <w:tcW w:w="1040" w:type="dxa"/>
            <w:vAlign w:val="bottom"/>
            <w:tcBorders>
              <w:top w:val="single" w:sz="8" w:color="2C6937"/>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2C6937"/>
            </w:tcBorders>
          </w:tcPr>
          <w:p>
            <w:pPr>
              <w:spacing w:after="0"/>
              <w:rPr>
                <w:sz w:val="17"/>
                <w:szCs w:val="17"/>
                <w:color w:val="auto"/>
              </w:rPr>
            </w:pPr>
          </w:p>
        </w:tc>
        <w:tc>
          <w:tcPr>
            <w:tcW w:w="260" w:type="dxa"/>
            <w:vAlign w:val="bottom"/>
            <w:tcBorders>
              <w:top w:val="single" w:sz="8" w:color="2C6937"/>
              <w:bottom w:val="single" w:sz="8" w:color="2C6937"/>
            </w:tcBorders>
          </w:tcPr>
          <w:p>
            <w:pPr>
              <w:spacing w:after="0"/>
              <w:rPr>
                <w:sz w:val="17"/>
                <w:szCs w:val="17"/>
                <w:color w:val="auto"/>
              </w:rPr>
            </w:pPr>
          </w:p>
        </w:tc>
        <w:tc>
          <w:tcPr>
            <w:tcW w:w="960" w:type="dxa"/>
            <w:vAlign w:val="bottom"/>
            <w:tcBorders>
              <w:top w:val="single" w:sz="8" w:color="2C6937"/>
              <w:bottom w:val="single" w:sz="8" w:color="2C6937"/>
            </w:tcBorders>
          </w:tcPr>
          <w:p>
            <w:pPr>
              <w:jc w:val="right"/>
              <w:ind w:right="363"/>
              <w:spacing w:after="0"/>
              <w:rPr>
                <w:sz w:val="20"/>
                <w:szCs w:val="20"/>
                <w:color w:val="auto"/>
              </w:rPr>
            </w:pPr>
            <w:r>
              <w:rPr>
                <w:rFonts w:ascii="Arial" w:cs="Arial" w:eastAsia="Arial" w:hAnsi="Arial"/>
                <w:sz w:val="15"/>
                <w:szCs w:val="15"/>
                <w:b w:val="1"/>
                <w:bCs w:val="1"/>
                <w:color w:val="auto"/>
              </w:rPr>
              <w:t>2024</w:t>
            </w:r>
          </w:p>
        </w:tc>
      </w:tr>
      <w:tr>
        <w:trPr>
          <w:trHeight w:val="283"/>
        </w:trPr>
        <w:tc>
          <w:tcPr>
            <w:tcW w:w="5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5"/>
          </w:tcPr>
          <w:p>
            <w:pPr>
              <w:ind w:left="240"/>
              <w:spacing w:after="0"/>
              <w:rPr>
                <w:sz w:val="20"/>
                <w:szCs w:val="20"/>
                <w:color w:val="auto"/>
              </w:rPr>
            </w:pPr>
            <w:r>
              <w:rPr>
                <w:rFonts w:ascii="Arial" w:cs="Arial" w:eastAsia="Arial" w:hAnsi="Arial"/>
                <w:sz w:val="15"/>
                <w:szCs w:val="15"/>
                <w:b w:val="1"/>
                <w:bCs w:val="1"/>
                <w:color w:val="auto"/>
              </w:rPr>
              <w:t>(Dollars in millions)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4"/>
        </w:trPr>
        <w:tc>
          <w:tcPr>
            <w:tcW w:w="5860" w:type="dxa"/>
            <w:vAlign w:val="bottom"/>
          </w:tcPr>
          <w:p>
            <w:pPr>
              <w:spacing w:after="0"/>
              <w:rPr>
                <w:sz w:val="20"/>
                <w:szCs w:val="20"/>
                <w:color w:val="auto"/>
              </w:rPr>
            </w:pPr>
            <w:r>
              <w:rPr>
                <w:rFonts w:ascii="Arial" w:cs="Arial" w:eastAsia="Arial" w:hAnsi="Arial"/>
                <w:sz w:val="15"/>
                <w:szCs w:val="15"/>
                <w:color w:val="auto"/>
              </w:rPr>
              <w:t>Purchase of HFI loans: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3"/>
        </w:trPr>
        <w:tc>
          <w:tcPr>
            <w:tcW w:w="5860" w:type="dxa"/>
            <w:vAlign w:val="bottom"/>
          </w:tcPr>
          <w:p>
            <w:pPr>
              <w:ind w:left="160"/>
              <w:spacing w:after="0"/>
              <w:rPr>
                <w:sz w:val="20"/>
                <w:szCs w:val="20"/>
                <w:color w:val="auto"/>
              </w:rPr>
            </w:pPr>
            <w:r>
              <w:rPr>
                <w:rFonts w:ascii="Arial" w:cs="Arial" w:eastAsia="Arial" w:hAnsi="Arial"/>
                <w:sz w:val="15"/>
                <w:szCs w:val="15"/>
                <w:color w:val="auto"/>
              </w:rPr>
              <w:t>Single-family unpaid principal balance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90,175</w:t>
            </w:r>
          </w:p>
        </w:tc>
        <w:tc>
          <w:tcPr>
            <w:tcW w:w="100" w:type="dxa"/>
            <w:vAlign w:val="bottom"/>
          </w:tcPr>
          <w:p>
            <w:pPr>
              <w:spacing w:after="0"/>
              <w:rPr>
                <w:sz w:val="21"/>
                <w:szCs w:val="21"/>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93,114</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237,369</w:t>
            </w:r>
          </w:p>
        </w:tc>
        <w:tc>
          <w:tcPr>
            <w:tcW w:w="100" w:type="dxa"/>
            <w:vAlign w:val="bottom"/>
          </w:tcPr>
          <w:p>
            <w:pPr>
              <w:spacing w:after="0"/>
              <w:rPr>
                <w:sz w:val="21"/>
                <w:szCs w:val="21"/>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241,180</w:t>
            </w:r>
          </w:p>
        </w:tc>
      </w:tr>
      <w:tr>
        <w:trPr>
          <w:trHeight w:val="232"/>
        </w:trPr>
        <w:tc>
          <w:tcPr>
            <w:tcW w:w="5860" w:type="dxa"/>
            <w:vAlign w:val="bottom"/>
          </w:tcPr>
          <w:p>
            <w:pPr>
              <w:ind w:left="160"/>
              <w:spacing w:after="0"/>
              <w:rPr>
                <w:sz w:val="20"/>
                <w:szCs w:val="20"/>
                <w:color w:val="auto"/>
              </w:rPr>
            </w:pPr>
            <w:r>
              <w:rPr>
                <w:rFonts w:ascii="Arial" w:cs="Arial" w:eastAsia="Arial" w:hAnsi="Arial"/>
                <w:sz w:val="15"/>
                <w:szCs w:val="15"/>
                <w:color w:val="auto"/>
              </w:rPr>
              <w:t>Multifamily unpaid principal balance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18,508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13,153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46,658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32,492</w:t>
            </w:r>
          </w:p>
        </w:tc>
      </w:tr>
      <w:tr>
        <w:trPr>
          <w:trHeight w:val="392"/>
        </w:trPr>
        <w:tc>
          <w:tcPr>
            <w:tcW w:w="5860" w:type="dxa"/>
            <w:vAlign w:val="bottom"/>
          </w:tcPr>
          <w:p>
            <w:pPr>
              <w:spacing w:after="0"/>
              <w:rPr>
                <w:sz w:val="20"/>
                <w:szCs w:val="20"/>
                <w:color w:val="auto"/>
              </w:rPr>
            </w:pPr>
            <w:r>
              <w:rPr>
                <w:rFonts w:ascii="Arial" w:cs="Arial" w:eastAsia="Arial" w:hAnsi="Arial"/>
                <w:sz w:val="15"/>
                <w:szCs w:val="15"/>
                <w:color w:val="auto"/>
              </w:rPr>
              <w:t>Single-family loans redesignated from HFI to HFS: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0"/>
        </w:trPr>
        <w:tc>
          <w:tcPr>
            <w:tcW w:w="5860" w:type="dxa"/>
            <w:vAlign w:val="bottom"/>
          </w:tcPr>
          <w:p>
            <w:pPr>
              <w:ind w:left="160"/>
              <w:spacing w:after="0"/>
              <w:rPr>
                <w:sz w:val="20"/>
                <w:szCs w:val="20"/>
                <w:color w:val="auto"/>
              </w:rPr>
            </w:pPr>
            <w:r>
              <w:rPr>
                <w:rFonts w:ascii="Arial" w:cs="Arial" w:eastAsia="Arial" w:hAnsi="Arial"/>
                <w:sz w:val="15"/>
                <w:szCs w:val="15"/>
                <w:color w:val="auto"/>
              </w:rPr>
              <w:t>Amortized cost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823</w:t>
            </w:r>
          </w:p>
        </w:tc>
        <w:tc>
          <w:tcPr>
            <w:tcW w:w="100" w:type="dxa"/>
            <w:vAlign w:val="bottom"/>
          </w:tcPr>
          <w:p>
            <w:pPr>
              <w:spacing w:after="0"/>
              <w:rPr>
                <w:sz w:val="24"/>
                <w:szCs w:val="24"/>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820</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1,527</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1,272</w:t>
            </w:r>
          </w:p>
        </w:tc>
      </w:tr>
      <w:tr>
        <w:trPr>
          <w:trHeight w:val="355"/>
        </w:trPr>
        <w:tc>
          <w:tcPr>
            <w:tcW w:w="5860" w:type="dxa"/>
            <w:vAlign w:val="bottom"/>
          </w:tcPr>
          <w:p>
            <w:pPr>
              <w:ind w:left="160"/>
              <w:spacing w:after="0"/>
              <w:rPr>
                <w:sz w:val="20"/>
                <w:szCs w:val="20"/>
                <w:color w:val="auto"/>
              </w:rPr>
            </w:pPr>
            <w:r>
              <w:rPr>
                <w:rFonts w:ascii="Arial" w:cs="Arial" w:eastAsia="Arial" w:hAnsi="Arial"/>
                <w:sz w:val="15"/>
                <w:szCs w:val="15"/>
                <w:color w:val="auto"/>
              </w:rPr>
              <w:t>Lower of cost or fair value adjustment at time of redesignation</w:t>
            </w:r>
            <w:r>
              <w:rPr>
                <w:rFonts w:ascii="Arial" w:cs="Arial" w:eastAsia="Arial" w:hAnsi="Arial"/>
                <w:sz w:val="20"/>
                <w:szCs w:val="20"/>
                <w:color w:val="auto"/>
                <w:vertAlign w:val="superscript"/>
              </w:rPr>
              <w:t>(1)</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(97)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(187)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(139)</w:t>
            </w:r>
          </w:p>
        </w:tc>
      </w:tr>
      <w:tr>
        <w:trPr>
          <w:trHeight w:val="263"/>
        </w:trPr>
        <w:tc>
          <w:tcPr>
            <w:tcW w:w="5860" w:type="dxa"/>
            <w:vAlign w:val="bottom"/>
          </w:tcPr>
          <w:p>
            <w:pPr>
              <w:ind w:left="160"/>
              <w:spacing w:after="0"/>
              <w:rPr>
                <w:sz w:val="20"/>
                <w:szCs w:val="20"/>
                <w:color w:val="auto"/>
              </w:rPr>
            </w:pPr>
            <w:r>
              <w:rPr>
                <w:rFonts w:ascii="Arial" w:cs="Arial" w:eastAsia="Arial" w:hAnsi="Arial"/>
                <w:sz w:val="15"/>
                <w:szCs w:val="15"/>
                <w:color w:val="auto"/>
              </w:rPr>
              <w:t>Allowance reversed at time of redesignation</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392"/>
        </w:trPr>
        <w:tc>
          <w:tcPr>
            <w:tcW w:w="5860" w:type="dxa"/>
            <w:vAlign w:val="bottom"/>
          </w:tcPr>
          <w:p>
            <w:pPr>
              <w:spacing w:after="0"/>
              <w:rPr>
                <w:sz w:val="20"/>
                <w:szCs w:val="20"/>
                <w:color w:val="auto"/>
              </w:rPr>
            </w:pPr>
            <w:r>
              <w:rPr>
                <w:rFonts w:ascii="Arial" w:cs="Arial" w:eastAsia="Arial" w:hAnsi="Arial"/>
                <w:sz w:val="15"/>
                <w:szCs w:val="15"/>
                <w:color w:val="auto"/>
              </w:rPr>
              <w:t>Single-family loans redesignated from HFS to HFI:</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0"/>
        </w:trPr>
        <w:tc>
          <w:tcPr>
            <w:tcW w:w="5860" w:type="dxa"/>
            <w:vAlign w:val="bottom"/>
          </w:tcPr>
          <w:p>
            <w:pPr>
              <w:ind w:left="160"/>
              <w:spacing w:after="0"/>
              <w:rPr>
                <w:sz w:val="20"/>
                <w:szCs w:val="20"/>
                <w:color w:val="auto"/>
              </w:rPr>
            </w:pPr>
            <w:r>
              <w:rPr>
                <w:rFonts w:ascii="Arial" w:cs="Arial" w:eastAsia="Arial" w:hAnsi="Arial"/>
                <w:sz w:val="15"/>
                <w:szCs w:val="15"/>
                <w:color w:val="auto"/>
              </w:rPr>
              <w:t>Amortized cost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482"/>
        </w:trPr>
        <w:tc>
          <w:tcPr>
            <w:tcW w:w="5860" w:type="dxa"/>
            <w:vAlign w:val="bottom"/>
          </w:tcPr>
          <w:p>
            <w:pPr>
              <w:spacing w:after="0"/>
              <w:rPr>
                <w:sz w:val="20"/>
                <w:szCs w:val="20"/>
                <w:color w:val="auto"/>
              </w:rPr>
            </w:pPr>
            <w:r>
              <w:rPr>
                <w:rFonts w:ascii="Arial" w:cs="Arial" w:eastAsia="Arial" w:hAnsi="Arial"/>
                <w:sz w:val="15"/>
                <w:szCs w:val="15"/>
                <w:color w:val="auto"/>
              </w:rPr>
              <w:t>Single-family loans sold:</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0"/>
        </w:trPr>
        <w:tc>
          <w:tcPr>
            <w:tcW w:w="5860" w:type="dxa"/>
            <w:vAlign w:val="bottom"/>
          </w:tcPr>
          <w:p>
            <w:pPr>
              <w:ind w:left="160"/>
              <w:spacing w:after="0"/>
              <w:rPr>
                <w:sz w:val="20"/>
                <w:szCs w:val="20"/>
                <w:color w:val="auto"/>
              </w:rPr>
            </w:pPr>
            <w:r>
              <w:rPr>
                <w:rFonts w:ascii="Arial" w:cs="Arial" w:eastAsia="Arial" w:hAnsi="Arial"/>
                <w:sz w:val="15"/>
                <w:szCs w:val="15"/>
                <w:color w:val="auto"/>
              </w:rPr>
              <w:t>Unpaid principal balance</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309</w:t>
            </w:r>
          </w:p>
        </w:tc>
        <w:tc>
          <w:tcPr>
            <w:tcW w:w="100" w:type="dxa"/>
            <w:vAlign w:val="bottom"/>
          </w:tcPr>
          <w:p>
            <w:pPr>
              <w:spacing w:after="0"/>
              <w:rPr>
                <w:sz w:val="24"/>
                <w:szCs w:val="24"/>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969</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2,345</w:t>
            </w:r>
          </w:p>
        </w:tc>
      </w:tr>
      <w:tr>
        <w:trPr>
          <w:trHeight w:val="309"/>
        </w:trPr>
        <w:tc>
          <w:tcPr>
            <w:tcW w:w="5860" w:type="dxa"/>
            <w:vAlign w:val="bottom"/>
          </w:tcPr>
          <w:p>
            <w:pPr>
              <w:ind w:left="160"/>
              <w:spacing w:after="0"/>
              <w:rPr>
                <w:sz w:val="20"/>
                <w:szCs w:val="20"/>
                <w:color w:val="auto"/>
              </w:rPr>
            </w:pPr>
            <w:r>
              <w:rPr>
                <w:rFonts w:ascii="Arial" w:cs="Arial" w:eastAsia="Arial" w:hAnsi="Arial"/>
                <w:sz w:val="15"/>
                <w:szCs w:val="15"/>
                <w:color w:val="auto"/>
              </w:rPr>
              <w:t>Realized gains (losses), net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w:t>
            </w:r>
          </w:p>
        </w:tc>
      </w:tr>
    </w:tbl>
    <w:p>
      <w:pPr>
        <w:spacing w:after="0" w:line="88" w:lineRule="exact"/>
        <w:rPr>
          <w:sz w:val="20"/>
          <w:szCs w:val="20"/>
          <w:color w:val="auto"/>
        </w:rPr>
      </w:pPr>
    </w:p>
    <w:p>
      <w:pPr>
        <w:ind w:left="220" w:hanging="217"/>
        <w:spacing w:after="0"/>
        <w:tabs>
          <w:tab w:leader="none" w:pos="22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Consists of the write-off against the allowance at the time of redesignation.</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328" w:lineRule="exact"/>
        <w:rPr>
          <w:rFonts w:ascii="Arial" w:cs="Arial" w:eastAsia="Arial" w:hAnsi="Arial"/>
          <w:sz w:val="18"/>
          <w:szCs w:val="18"/>
          <w:color w:val="auto"/>
          <w:vertAlign w:val="superscript"/>
        </w:rPr>
      </w:pPr>
    </w:p>
    <w:p>
      <w:pPr>
        <w:ind w:left="640"/>
        <w:spacing w:after="0"/>
        <w:rPr>
          <w:rFonts w:ascii="Arial" w:cs="Arial" w:eastAsia="Arial" w:hAnsi="Arial"/>
          <w:sz w:val="18"/>
          <w:szCs w:val="18"/>
          <w:color w:val="auto"/>
          <w:vertAlign w:val="superscript"/>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-113030</wp:posOffset>
            </wp:positionV>
            <wp:extent cx="68059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5" w:name="page76"/>
    <w:bookmarkEnd w:id="75"/>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Aging Analysis</w:t>
      </w:r>
    </w:p>
    <w:p>
      <w:pPr>
        <w:spacing w:after="0" w:line="68"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The following tables display an aging analysis of the total amortized cost of our HFI mortgage loans by portfolio segment and class of financing receivable, excluding loans for which we have elected the fair value option.</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Single-family:</w:t>
      </w:r>
    </w:p>
    <w:p>
      <w:pPr>
        <w:spacing w:after="0" w:line="136" w:lineRule="exact"/>
        <w:rPr>
          <w:sz w:val="20"/>
          <w:szCs w:val="20"/>
          <w:color w:val="auto"/>
        </w:rPr>
      </w:pPr>
    </w:p>
    <w:p>
      <w:pPr>
        <w:jc w:val="both"/>
        <w:ind w:left="320" w:right="220" w:hanging="154"/>
        <w:spacing w:after="0" w:line="283" w:lineRule="auto"/>
        <w:rPr>
          <w:sz w:val="20"/>
          <w:szCs w:val="20"/>
          <w:color w:val="auto"/>
        </w:rPr>
      </w:pPr>
      <w:r>
        <w:rPr>
          <w:rFonts w:ascii="Arial" w:cs="Arial" w:eastAsia="Arial" w:hAnsi="Arial"/>
          <w:sz w:val="13"/>
          <w:szCs w:val="13"/>
          <w:color w:val="auto"/>
        </w:rPr>
        <w:t>20- and 30-year or more, amortizing fixed-rate</w:t>
      </w:r>
    </w:p>
    <w:p>
      <w:pPr>
        <w:spacing w:after="0" w:line="90" w:lineRule="exact"/>
        <w:rPr>
          <w:sz w:val="20"/>
          <w:szCs w:val="20"/>
          <w:color w:val="auto"/>
        </w:rPr>
      </w:pPr>
    </w:p>
    <w:p>
      <w:pPr>
        <w:ind w:left="320" w:hanging="154"/>
        <w:spacing w:after="0" w:line="318" w:lineRule="auto"/>
        <w:rPr>
          <w:sz w:val="20"/>
          <w:szCs w:val="20"/>
          <w:color w:val="auto"/>
        </w:rPr>
      </w:pPr>
      <w:r>
        <w:rPr>
          <w:rFonts w:ascii="Arial" w:cs="Arial" w:eastAsia="Arial" w:hAnsi="Arial"/>
          <w:sz w:val="13"/>
          <w:szCs w:val="13"/>
          <w:color w:val="auto"/>
        </w:rPr>
        <w:t>15-year or less, amortizing fixed-rate</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Adjustable-rate</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0642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single-family</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Multifamily</w:t>
      </w:r>
      <w:r>
        <w:rPr>
          <w:rFonts w:ascii="Arial" w:cs="Arial" w:eastAsia="Arial" w:hAnsi="Arial"/>
          <w:sz w:val="17"/>
          <w:szCs w:val="17"/>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0642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642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064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0642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Single-family:</w:t>
      </w:r>
    </w:p>
    <w:p>
      <w:pPr>
        <w:spacing w:after="0" w:line="136" w:lineRule="exact"/>
        <w:rPr>
          <w:sz w:val="20"/>
          <w:szCs w:val="20"/>
          <w:color w:val="auto"/>
        </w:rPr>
      </w:pPr>
    </w:p>
    <w:p>
      <w:pPr>
        <w:jc w:val="both"/>
        <w:ind w:left="320" w:right="220" w:hanging="154"/>
        <w:spacing w:after="0" w:line="293" w:lineRule="auto"/>
        <w:rPr>
          <w:sz w:val="20"/>
          <w:szCs w:val="20"/>
          <w:color w:val="auto"/>
        </w:rPr>
      </w:pPr>
      <w:r>
        <w:rPr>
          <w:rFonts w:ascii="Arial" w:cs="Arial" w:eastAsia="Arial" w:hAnsi="Arial"/>
          <w:sz w:val="13"/>
          <w:szCs w:val="13"/>
          <w:color w:val="auto"/>
        </w:rPr>
        <w:t>20- and 30-year or more, amortizing fixed-rate</w:t>
      </w:r>
    </w:p>
    <w:p>
      <w:pPr>
        <w:spacing w:after="0" w:line="71" w:lineRule="exact"/>
        <w:rPr>
          <w:sz w:val="20"/>
          <w:szCs w:val="20"/>
          <w:color w:val="auto"/>
        </w:rPr>
      </w:pPr>
    </w:p>
    <w:p>
      <w:pPr>
        <w:ind w:left="320" w:hanging="154"/>
        <w:spacing w:after="0" w:line="318" w:lineRule="auto"/>
        <w:rPr>
          <w:sz w:val="20"/>
          <w:szCs w:val="20"/>
          <w:color w:val="auto"/>
        </w:rPr>
      </w:pPr>
      <w:r>
        <w:rPr>
          <w:rFonts w:ascii="Arial" w:cs="Arial" w:eastAsia="Arial" w:hAnsi="Arial"/>
          <w:sz w:val="13"/>
          <w:szCs w:val="13"/>
          <w:color w:val="auto"/>
        </w:rPr>
        <w:t>15-year or less, amortizing fixed-rate</w:t>
      </w:r>
    </w:p>
    <w:p>
      <w:pPr>
        <w:spacing w:after="0" w:line="68" w:lineRule="exact"/>
        <w:rPr>
          <w:sz w:val="20"/>
          <w:szCs w:val="20"/>
          <w:color w:val="auto"/>
        </w:rPr>
      </w:pPr>
    </w:p>
    <w:p>
      <w:pPr>
        <w:ind w:left="180" w:right="480"/>
        <w:spacing w:after="0" w:line="451" w:lineRule="auto"/>
        <w:rPr>
          <w:sz w:val="20"/>
          <w:szCs w:val="20"/>
          <w:color w:val="auto"/>
        </w:rPr>
      </w:pPr>
      <w:r>
        <w:rPr>
          <w:rFonts w:ascii="Arial" w:cs="Arial" w:eastAsia="Arial" w:hAnsi="Arial"/>
          <w:sz w:val="14"/>
          <w:szCs w:val="14"/>
          <w:color w:val="auto"/>
        </w:rPr>
        <w:t>Adjustable-rate Other</w:t>
      </w:r>
      <w:r>
        <w:rPr>
          <w:rFonts w:ascii="Arial" w:cs="Arial" w:eastAsia="Arial" w:hAnsi="Arial"/>
          <w:sz w:val="8"/>
          <w:szCs w:val="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10807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20" w:right="460"/>
        <w:spacing w:after="0" w:line="486" w:lineRule="auto"/>
        <w:rPr>
          <w:sz w:val="20"/>
          <w:szCs w:val="20"/>
          <w:color w:val="auto"/>
        </w:rPr>
      </w:pPr>
      <w:r>
        <w:rPr>
          <w:rFonts w:ascii="Arial" w:cs="Arial" w:eastAsia="Arial" w:hAnsi="Arial"/>
          <w:sz w:val="13"/>
          <w:szCs w:val="13"/>
          <w:color w:val="auto"/>
        </w:rPr>
        <w:t>Total single-family Multifamily</w:t>
      </w:r>
      <w:r>
        <w:rPr>
          <w:rFonts w:ascii="Arial" w:cs="Arial" w:eastAsia="Arial" w:hAnsi="Arial"/>
          <w:sz w:val="7"/>
          <w:szCs w:val="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10807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10807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807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10807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600900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16" w:lineRule="exact"/>
        <w:rPr>
          <w:sz w:val="20"/>
          <w:szCs w:val="20"/>
          <w:color w:val="auto"/>
        </w:rPr>
      </w:pPr>
    </w:p>
    <w:tbl>
      <w:tblPr>
        <w:tblLayout w:type="fixed"/>
        <w:tblInd w:w="140" w:type="dxa"/>
        <w:tblCellMar>
          <w:top w:w="0" w:type="dxa"/>
          <w:left w:w="0" w:type="dxa"/>
          <w:bottom w:w="0" w:type="dxa"/>
          <w:right w:w="0" w:type="dxa"/>
        </w:tblCellMar>
      </w:tblPr>
      <w:tr>
        <w:trPr>
          <w:trHeight w:val="168"/>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7"/>
              </w:rPr>
              <w:t>Loans 90 Days</w:t>
            </w:r>
          </w:p>
        </w:tc>
        <w:tc>
          <w:tcPr>
            <w:tcW w:w="1040" w:type="dxa"/>
            <w:vAlign w:val="bottom"/>
          </w:tcPr>
          <w:p>
            <w:pPr>
              <w:spacing w:after="0"/>
              <w:rPr>
                <w:sz w:val="14"/>
                <w:szCs w:val="14"/>
                <w:color w:val="auto"/>
              </w:rPr>
            </w:pPr>
          </w:p>
        </w:tc>
      </w:tr>
      <w:tr>
        <w:trPr>
          <w:trHeight w:val="155"/>
        </w:trPr>
        <w:tc>
          <w:tcPr>
            <w:tcW w:w="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tcPr>
          <w:p>
            <w:pPr>
              <w:jc w:val="center"/>
              <w:ind w:left="71"/>
              <w:spacing w:after="0" w:line="155" w:lineRule="exact"/>
              <w:rPr>
                <w:sz w:val="20"/>
                <w:szCs w:val="20"/>
                <w:color w:val="auto"/>
              </w:rPr>
            </w:pPr>
            <w:r>
              <w:rPr>
                <w:rFonts w:ascii="Arial" w:cs="Arial" w:eastAsia="Arial" w:hAnsi="Arial"/>
                <w:sz w:val="14"/>
                <w:szCs w:val="14"/>
                <w:b w:val="1"/>
                <w:bCs w:val="1"/>
                <w:color w:val="auto"/>
              </w:rPr>
              <w:t>or More</w:t>
            </w:r>
          </w:p>
        </w:tc>
        <w:tc>
          <w:tcPr>
            <w:tcW w:w="1040" w:type="dxa"/>
            <w:vAlign w:val="bottom"/>
          </w:tcPr>
          <w:p>
            <w:pPr>
              <w:spacing w:after="0"/>
              <w:rPr>
                <w:sz w:val="13"/>
                <w:szCs w:val="13"/>
                <w:color w:val="auto"/>
              </w:rPr>
            </w:pPr>
          </w:p>
        </w:tc>
      </w:tr>
      <w:tr>
        <w:trPr>
          <w:trHeight w:val="168"/>
        </w:trPr>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8"/>
              </w:rPr>
              <w:t>Delinquent and</w:t>
            </w:r>
          </w:p>
        </w:tc>
        <w:tc>
          <w:tcPr>
            <w:tcW w:w="1040" w:type="dxa"/>
            <w:vAlign w:val="bottom"/>
          </w:tcPr>
          <w:p>
            <w:pPr>
              <w:jc w:val="center"/>
              <w:ind w:left="51"/>
              <w:spacing w:after="0"/>
              <w:rPr>
                <w:sz w:val="20"/>
                <w:szCs w:val="20"/>
                <w:color w:val="auto"/>
              </w:rPr>
            </w:pPr>
            <w:r>
              <w:rPr>
                <w:rFonts w:ascii="Arial" w:cs="Arial" w:eastAsia="Arial" w:hAnsi="Arial"/>
                <w:sz w:val="14"/>
                <w:szCs w:val="14"/>
                <w:b w:val="1"/>
                <w:bCs w:val="1"/>
                <w:color w:val="auto"/>
                <w:w w:val="99"/>
              </w:rPr>
              <w:t>Nonaccrual</w:t>
            </w:r>
          </w:p>
        </w:tc>
      </w:tr>
      <w:tr>
        <w:trPr>
          <w:trHeight w:val="166"/>
        </w:trPr>
        <w:tc>
          <w:tcPr>
            <w:tcW w:w="980" w:type="dxa"/>
            <w:vAlign w:val="bottom"/>
          </w:tcPr>
          <w:p>
            <w:pPr>
              <w:jc w:val="center"/>
              <w:ind w:right="131"/>
              <w:spacing w:after="0"/>
              <w:rPr>
                <w:sz w:val="20"/>
                <w:szCs w:val="20"/>
                <w:color w:val="auto"/>
              </w:rPr>
            </w:pPr>
            <w:r>
              <w:rPr>
                <w:rFonts w:ascii="Arial" w:cs="Arial" w:eastAsia="Arial" w:hAnsi="Arial"/>
                <w:sz w:val="14"/>
                <w:szCs w:val="14"/>
                <w:b w:val="1"/>
                <w:bCs w:val="1"/>
                <w:color w:val="auto"/>
                <w:w w:val="96"/>
              </w:rPr>
              <w:t>30 - 59 Days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60 - 89 Days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c>
          <w:tcPr>
            <w:tcW w:w="1240" w:type="dxa"/>
            <w:vAlign w:val="bottom"/>
          </w:tcPr>
          <w:p>
            <w:pPr>
              <w:jc w:val="center"/>
              <w:ind w:right="11"/>
              <w:spacing w:after="0"/>
              <w:rPr>
                <w:sz w:val="20"/>
                <w:szCs w:val="20"/>
                <w:color w:val="auto"/>
              </w:rPr>
            </w:pPr>
            <w:r>
              <w:rPr>
                <w:rFonts w:ascii="Arial" w:cs="Arial" w:eastAsia="Arial" w:hAnsi="Arial"/>
                <w:sz w:val="14"/>
                <w:szCs w:val="14"/>
                <w:b w:val="1"/>
                <w:bCs w:val="1"/>
                <w:color w:val="auto"/>
                <w:w w:val="95"/>
              </w:rPr>
              <w:t>Total</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8"/>
              </w:rPr>
              <w:t>Accruing</w:t>
            </w:r>
          </w:p>
        </w:tc>
        <w:tc>
          <w:tcPr>
            <w:tcW w:w="1040" w:type="dxa"/>
            <w:vAlign w:val="bottom"/>
          </w:tcPr>
          <w:p>
            <w:pPr>
              <w:jc w:val="center"/>
              <w:ind w:left="31"/>
              <w:spacing w:after="0"/>
              <w:rPr>
                <w:sz w:val="20"/>
                <w:szCs w:val="20"/>
                <w:color w:val="auto"/>
              </w:rPr>
            </w:pPr>
            <w:r>
              <w:rPr>
                <w:rFonts w:ascii="Arial" w:cs="Arial" w:eastAsia="Arial" w:hAnsi="Arial"/>
                <w:sz w:val="14"/>
                <w:szCs w:val="14"/>
                <w:b w:val="1"/>
                <w:bCs w:val="1"/>
                <w:color w:val="auto"/>
                <w:w w:val="98"/>
              </w:rPr>
              <w:t>Loans with No</w:t>
            </w:r>
          </w:p>
        </w:tc>
      </w:tr>
      <w:tr>
        <w:trPr>
          <w:trHeight w:val="242"/>
        </w:trPr>
        <w:tc>
          <w:tcPr>
            <w:tcW w:w="980" w:type="dxa"/>
            <w:vAlign w:val="bottom"/>
          </w:tcPr>
          <w:p>
            <w:pPr>
              <w:jc w:val="center"/>
              <w:ind w:right="131"/>
              <w:spacing w:after="0"/>
              <w:rPr>
                <w:sz w:val="20"/>
                <w:szCs w:val="20"/>
                <w:color w:val="auto"/>
              </w:rPr>
            </w:pPr>
            <w:r>
              <w:rPr>
                <w:rFonts w:ascii="Arial" w:cs="Arial" w:eastAsia="Arial" w:hAnsi="Arial"/>
                <w:sz w:val="14"/>
                <w:szCs w:val="14"/>
                <w:b w:val="1"/>
                <w:bCs w:val="1"/>
                <w:color w:val="auto"/>
                <w:w w:val="96"/>
              </w:rPr>
              <w:t>Delinquent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(1)</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180" w:type="dxa"/>
            <w:vAlign w:val="bottom"/>
          </w:tcPr>
          <w:p>
            <w:pPr>
              <w:ind w:left="280"/>
              <w:spacing w:after="0"/>
              <w:rPr>
                <w:sz w:val="20"/>
                <w:szCs w:val="20"/>
                <w:color w:val="auto"/>
              </w:rPr>
            </w:pPr>
            <w:r>
              <w:rPr>
                <w:rFonts w:ascii="Arial" w:cs="Arial" w:eastAsia="Arial" w:hAnsi="Arial"/>
                <w:sz w:val="14"/>
                <w:szCs w:val="14"/>
                <w:b w:val="1"/>
                <w:bCs w:val="1"/>
                <w:color w:val="auto"/>
              </w:rPr>
              <w:t>Current</w:t>
            </w: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c>
          <w:tcPr>
            <w:tcW w:w="1380" w:type="dxa"/>
            <w:vAlign w:val="bottom"/>
          </w:tcPr>
          <w:p>
            <w:pPr>
              <w:jc w:val="center"/>
              <w:ind w:left="71"/>
              <w:spacing w:after="0"/>
              <w:rPr>
                <w:sz w:val="20"/>
                <w:szCs w:val="20"/>
                <w:color w:val="auto"/>
              </w:rPr>
            </w:pPr>
            <w:r>
              <w:rPr>
                <w:rFonts w:ascii="Arial" w:cs="Arial" w:eastAsia="Arial" w:hAnsi="Arial"/>
                <w:sz w:val="14"/>
                <w:szCs w:val="14"/>
                <w:b w:val="1"/>
                <w:bCs w:val="1"/>
                <w:color w:val="auto"/>
                <w:w w:val="94"/>
              </w:rPr>
              <w:t>Interest</w:t>
            </w:r>
          </w:p>
        </w:tc>
        <w:tc>
          <w:tcPr>
            <w:tcW w:w="1040" w:type="dxa"/>
            <w:vAlign w:val="bottom"/>
          </w:tcPr>
          <w:p>
            <w:pPr>
              <w:jc w:val="center"/>
              <w:ind w:left="51"/>
              <w:spacing w:after="0"/>
              <w:rPr>
                <w:sz w:val="20"/>
                <w:szCs w:val="20"/>
                <w:color w:val="auto"/>
              </w:rPr>
            </w:pPr>
            <w:r>
              <w:rPr>
                <w:rFonts w:ascii="Arial" w:cs="Arial" w:eastAsia="Arial" w:hAnsi="Arial"/>
                <w:sz w:val="14"/>
                <w:szCs w:val="14"/>
                <w:b w:val="1"/>
                <w:bCs w:val="1"/>
                <w:color w:val="auto"/>
              </w:rPr>
              <w:t>Allowance</w:t>
            </w:r>
            <w:r>
              <w:rPr>
                <w:rFonts w:ascii="Arial" w:cs="Arial" w:eastAsia="Arial" w:hAnsi="Arial"/>
                <w:sz w:val="8"/>
                <w:szCs w:val="8"/>
                <w:b w:val="1"/>
                <w:bCs w:val="1"/>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600900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32,049</w:t>
            </w:r>
          </w:p>
        </w:tc>
        <w:tc>
          <w:tcPr>
            <w:tcW w:w="100" w:type="dxa"/>
            <w:vAlign w:val="bottom"/>
          </w:tcPr>
          <w:p>
            <w:pPr>
              <w:spacing w:after="0"/>
              <w:rPr>
                <w:sz w:val="15"/>
                <w:szCs w:val="15"/>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8,895</w:t>
            </w:r>
          </w:p>
        </w:tc>
        <w:tc>
          <w:tcPr>
            <w:tcW w:w="100" w:type="dxa"/>
            <w:vAlign w:val="bottom"/>
          </w:tcPr>
          <w:p>
            <w:pPr>
              <w:spacing w:after="0"/>
              <w:rPr>
                <w:sz w:val="15"/>
                <w:szCs w:val="15"/>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19,469</w:t>
            </w:r>
          </w:p>
        </w:tc>
        <w:tc>
          <w:tcPr>
            <w:tcW w:w="10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60,413</w:t>
            </w:r>
          </w:p>
        </w:tc>
        <w:tc>
          <w:tcPr>
            <w:tcW w:w="10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3,189,133</w:t>
            </w:r>
          </w:p>
        </w:tc>
        <w:tc>
          <w:tcPr>
            <w:tcW w:w="12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3,249,546</w:t>
            </w:r>
          </w:p>
        </w:tc>
        <w:tc>
          <w:tcPr>
            <w:tcW w:w="120" w:type="dxa"/>
            <w:vAlign w:val="bottom"/>
          </w:tcPr>
          <w:p>
            <w:pPr>
              <w:spacing w:after="0"/>
              <w:rPr>
                <w:sz w:val="15"/>
                <w:szCs w:val="15"/>
                <w:color w:val="auto"/>
              </w:rPr>
            </w:pP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5"/>
                <w:szCs w:val="15"/>
                <w:color w:val="auto"/>
              </w:rPr>
            </w:pP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3,426</w:t>
            </w:r>
          </w:p>
        </w:tc>
      </w:tr>
      <w:tr>
        <w:trPr>
          <w:trHeight w:val="464"/>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2,162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330,166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332,328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297"/>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25,615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25,902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300"/>
        </w:trPr>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24"/>
                <w:szCs w:val="24"/>
                <w:color w:val="auto"/>
              </w:rPr>
            </w:pPr>
          </w:p>
        </w:tc>
        <w:tc>
          <w:tcPr>
            <w:tcW w:w="38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907</w:t>
            </w:r>
          </w:p>
        </w:tc>
        <w:tc>
          <w:tcPr>
            <w:tcW w:w="10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17,347</w:t>
            </w:r>
          </w:p>
        </w:tc>
        <w:tc>
          <w:tcPr>
            <w:tcW w:w="12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18,254</w:t>
            </w:r>
          </w:p>
        </w:tc>
        <w:tc>
          <w:tcPr>
            <w:tcW w:w="12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126</w:t>
            </w:r>
          </w:p>
        </w:tc>
      </w:tr>
      <w:tr>
        <w:trPr>
          <w:trHeight w:val="286"/>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33,996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9,341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20,432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63,769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3,562,261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3,626,030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3,755</w:t>
            </w:r>
          </w:p>
        </w:tc>
      </w:tr>
      <w:tr>
        <w:trPr>
          <w:trHeight w:val="300"/>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2,779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3,384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507,566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510,950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1,839</w:t>
            </w:r>
          </w:p>
        </w:tc>
      </w:tr>
      <w:tr>
        <w:trPr>
          <w:trHeight w:val="289"/>
        </w:trPr>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34,601</w:t>
            </w:r>
          </w:p>
        </w:tc>
        <w:tc>
          <w:tcPr>
            <w:tcW w:w="100" w:type="dxa"/>
            <w:vAlign w:val="bottom"/>
          </w:tcPr>
          <w:p>
            <w:pPr>
              <w:spacing w:after="0"/>
              <w:rPr>
                <w:sz w:val="24"/>
                <w:szCs w:val="24"/>
                <w:color w:val="auto"/>
              </w:rPr>
            </w:pPr>
          </w:p>
        </w:tc>
        <w:tc>
          <w:tcPr>
            <w:tcW w:w="380" w:type="dxa"/>
            <w:vAlign w:val="bottom"/>
            <w:tcBorders>
              <w:top w:val="single" w:sz="8" w:color="2C6937"/>
              <w:bottom w:val="single" w:sz="8" w:color="2C6937"/>
            </w:tcBorders>
          </w:tcPr>
          <w:p>
            <w:pPr>
              <w:jc w:val="right"/>
              <w:ind w:right="21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9,341</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23,211</w:t>
            </w:r>
          </w:p>
        </w:tc>
        <w:tc>
          <w:tcPr>
            <w:tcW w:w="100" w:type="dxa"/>
            <w:vAlign w:val="bottom"/>
          </w:tcPr>
          <w:p>
            <w:pPr>
              <w:spacing w:after="0"/>
              <w:rPr>
                <w:sz w:val="24"/>
                <w:szCs w:val="24"/>
                <w:color w:val="auto"/>
              </w:rPr>
            </w:pPr>
          </w:p>
        </w:tc>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67,153</w:t>
            </w:r>
          </w:p>
        </w:tc>
        <w:tc>
          <w:tcPr>
            <w:tcW w:w="10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9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4,069,827</w:t>
            </w:r>
          </w:p>
        </w:tc>
        <w:tc>
          <w:tcPr>
            <w:tcW w:w="120" w:type="dxa"/>
            <w:vAlign w:val="bottom"/>
          </w:tcPr>
          <w:p>
            <w:pPr>
              <w:spacing w:after="0"/>
              <w:rPr>
                <w:sz w:val="24"/>
                <w:szCs w:val="24"/>
                <w:color w:val="auto"/>
              </w:rPr>
            </w:pPr>
          </w:p>
        </w:tc>
        <w:tc>
          <w:tcPr>
            <w:tcW w:w="240" w:type="dxa"/>
            <w:vAlign w:val="bottom"/>
            <w:tcBorders>
              <w:top w:val="single" w:sz="8" w:color="2C6937"/>
              <w:bottom w:val="single" w:sz="8" w:color="2C6937"/>
            </w:tcBorders>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4,136,980</w:t>
            </w:r>
          </w:p>
        </w:tc>
        <w:tc>
          <w:tcPr>
            <w:tcW w:w="120" w:type="dxa"/>
            <w:vAlign w:val="bottom"/>
          </w:tcPr>
          <w:p>
            <w:pPr>
              <w:spacing w:after="0"/>
              <w:rPr>
                <w:sz w:val="24"/>
                <w:szCs w:val="24"/>
                <w:color w:val="auto"/>
              </w:rPr>
            </w:pPr>
          </w:p>
        </w:tc>
        <w:tc>
          <w:tcPr>
            <w:tcW w:w="420" w:type="dxa"/>
            <w:vAlign w:val="bottom"/>
            <w:tcBorders>
              <w:top w:val="single" w:sz="8" w:color="2C6937"/>
              <w:bottom w:val="single" w:sz="8" w:color="2C6937"/>
            </w:tcBorders>
          </w:tcPr>
          <w:p>
            <w:pPr>
              <w:jc w:val="right"/>
              <w:ind w:right="271"/>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5,594</w:t>
            </w:r>
          </w:p>
        </w:tc>
      </w:tr>
      <w:tr>
        <w:trPr>
          <w:trHeight w:val="22"/>
        </w:trPr>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18415</wp:posOffset>
            </wp:positionV>
            <wp:extent cx="599249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92495" cy="8255"/>
                    </a:xfrm>
                    <a:prstGeom prst="rect">
                      <a:avLst/>
                    </a:prstGeom>
                    <a:noFill/>
                  </pic:spPr>
                </pic:pic>
              </a:graphicData>
            </a:graphic>
          </wp:anchor>
        </w:drawing>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51"/>
              <w:spacing w:after="0"/>
              <w:rPr>
                <w:sz w:val="20"/>
                <w:szCs w:val="20"/>
                <w:color w:val="auto"/>
              </w:rPr>
            </w:pPr>
            <w:r>
              <w:rPr>
                <w:rFonts w:ascii="Arial" w:cs="Arial" w:eastAsia="Arial" w:hAnsi="Arial"/>
                <w:sz w:val="14"/>
                <w:szCs w:val="14"/>
                <w:b w:val="1"/>
                <w:bCs w:val="1"/>
                <w:color w:val="auto"/>
                <w:w w:val="97"/>
              </w:rPr>
              <w:t>Loans 90 Days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71"/>
              <w:spacing w:after="0"/>
              <w:rPr>
                <w:sz w:val="20"/>
                <w:szCs w:val="20"/>
                <w:color w:val="auto"/>
              </w:rPr>
            </w:pPr>
            <w:r>
              <w:rPr>
                <w:rFonts w:ascii="Arial" w:cs="Arial" w:eastAsia="Arial" w:hAnsi="Arial"/>
                <w:sz w:val="14"/>
                <w:szCs w:val="14"/>
                <w:b w:val="1"/>
                <w:bCs w:val="1"/>
                <w:color w:val="auto"/>
                <w:w w:val="97"/>
              </w:rPr>
              <w:t>or More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30 - 59 Days</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60 - 89 Days</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Seriously</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jc w:val="center"/>
              <w:ind w:left="51"/>
              <w:spacing w:after="0"/>
              <w:rPr>
                <w:sz w:val="20"/>
                <w:szCs w:val="20"/>
                <w:color w:val="auto"/>
              </w:rPr>
            </w:pPr>
            <w:r>
              <w:rPr>
                <w:rFonts w:ascii="Arial" w:cs="Arial" w:eastAsia="Arial" w:hAnsi="Arial"/>
                <w:sz w:val="14"/>
                <w:szCs w:val="14"/>
                <w:b w:val="1"/>
                <w:bCs w:val="1"/>
                <w:color w:val="auto"/>
                <w:w w:val="98"/>
              </w:rPr>
              <w:t>Delinquent and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Nonaccrual</w:t>
            </w: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tcPr>
          <w:p>
            <w:pPr>
              <w:jc w:val="center"/>
              <w:ind w:left="51"/>
              <w:spacing w:after="0" w:line="155" w:lineRule="exact"/>
              <w:rPr>
                <w:sz w:val="20"/>
                <w:szCs w:val="20"/>
                <w:color w:val="auto"/>
              </w:rPr>
            </w:pPr>
            <w:r>
              <w:rPr>
                <w:rFonts w:ascii="Arial" w:cs="Arial" w:eastAsia="Arial" w:hAnsi="Arial"/>
                <w:sz w:val="14"/>
                <w:szCs w:val="14"/>
                <w:b w:val="1"/>
                <w:bCs w:val="1"/>
                <w:color w:val="auto"/>
                <w:w w:val="98"/>
              </w:rPr>
              <w:t>Accruing</w:t>
            </w:r>
          </w:p>
        </w:tc>
        <w:tc>
          <w:tcPr>
            <w:tcW w:w="11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Loans with No</w:t>
            </w:r>
          </w:p>
        </w:tc>
        <w:tc>
          <w:tcPr>
            <w:tcW w:w="0" w:type="dxa"/>
            <w:vAlign w:val="bottom"/>
          </w:tcPr>
          <w:p>
            <w:pPr>
              <w:spacing w:after="0"/>
              <w:rPr>
                <w:sz w:val="1"/>
                <w:szCs w:val="1"/>
                <w:color w:val="auto"/>
              </w:rPr>
            </w:pPr>
          </w:p>
        </w:tc>
      </w:tr>
      <w:tr>
        <w:trPr>
          <w:trHeight w:val="203"/>
        </w:trPr>
        <w:tc>
          <w:tcPr>
            <w:tcW w:w="11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18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r>
              <w:rPr>
                <w:rFonts w:ascii="Arial" w:cs="Arial" w:eastAsia="Arial" w:hAnsi="Arial"/>
                <w:sz w:val="8"/>
                <w:szCs w:val="8"/>
                <w:b w:val="1"/>
                <w:bCs w:val="1"/>
                <w:color w:val="auto"/>
                <w:w w:val="99"/>
              </w:rPr>
              <w:t>(1)</w:t>
            </w:r>
          </w:p>
        </w:tc>
        <w:tc>
          <w:tcPr>
            <w:tcW w:w="122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c>
          <w:tcPr>
            <w:tcW w:w="1180" w:type="dxa"/>
            <w:vAlign w:val="bottom"/>
            <w:tcBorders>
              <w:bottom w:val="single" w:sz="8" w:color="2C6937"/>
            </w:tcBorders>
          </w:tcPr>
          <w:p>
            <w:pPr>
              <w:ind w:left="300"/>
              <w:spacing w:after="0"/>
              <w:rPr>
                <w:sz w:val="20"/>
                <w:szCs w:val="20"/>
                <w:color w:val="auto"/>
              </w:rPr>
            </w:pPr>
            <w:r>
              <w:rPr>
                <w:rFonts w:ascii="Arial" w:cs="Arial" w:eastAsia="Arial" w:hAnsi="Arial"/>
                <w:sz w:val="14"/>
                <w:szCs w:val="14"/>
                <w:b w:val="1"/>
                <w:bCs w:val="1"/>
                <w:color w:val="auto"/>
              </w:rPr>
              <w:t>Current</w:t>
            </w:r>
          </w:p>
        </w:tc>
        <w:tc>
          <w:tcPr>
            <w:tcW w:w="980" w:type="dxa"/>
            <w:vAlign w:val="bottom"/>
            <w:tcBorders>
              <w:bottom w:val="single" w:sz="8" w:color="2C6937"/>
            </w:tcBorders>
          </w:tcPr>
          <w:p>
            <w:pPr>
              <w:ind w:left="400"/>
              <w:spacing w:after="0"/>
              <w:rPr>
                <w:sz w:val="20"/>
                <w:szCs w:val="20"/>
                <w:color w:val="auto"/>
              </w:rPr>
            </w:pPr>
            <w:r>
              <w:rPr>
                <w:rFonts w:ascii="Arial" w:cs="Arial" w:eastAsia="Arial" w:hAnsi="Arial"/>
                <w:sz w:val="14"/>
                <w:szCs w:val="14"/>
                <w:b w:val="1"/>
                <w:bCs w:val="1"/>
                <w:color w:val="auto"/>
              </w:rPr>
              <w:t>Total</w:t>
            </w:r>
          </w:p>
        </w:tc>
        <w:tc>
          <w:tcPr>
            <w:tcW w:w="1360" w:type="dxa"/>
            <w:vAlign w:val="bottom"/>
            <w:tcBorders>
              <w:bottom w:val="single" w:sz="8" w:color="2C6937"/>
            </w:tcBorders>
          </w:tcPr>
          <w:p>
            <w:pPr>
              <w:jc w:val="center"/>
              <w:ind w:left="71"/>
              <w:spacing w:after="0"/>
              <w:rPr>
                <w:sz w:val="20"/>
                <w:szCs w:val="20"/>
                <w:color w:val="auto"/>
              </w:rPr>
            </w:pPr>
            <w:r>
              <w:rPr>
                <w:rFonts w:ascii="Arial" w:cs="Arial" w:eastAsia="Arial" w:hAnsi="Arial"/>
                <w:sz w:val="14"/>
                <w:szCs w:val="14"/>
                <w:b w:val="1"/>
                <w:bCs w:val="1"/>
                <w:color w:val="auto"/>
                <w:w w:val="98"/>
              </w:rPr>
              <w:t>Interest</w:t>
            </w: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3"/>
              </w:rPr>
              <w:t>Allowance</w:t>
            </w:r>
            <w:r>
              <w:rPr>
                <w:rFonts w:ascii="Arial" w:cs="Arial" w:eastAsia="Arial" w:hAnsi="Arial"/>
                <w:sz w:val="17"/>
                <w:szCs w:val="17"/>
                <w:b w:val="1"/>
                <w:bCs w:val="1"/>
                <w:color w:val="auto"/>
                <w:w w:val="93"/>
                <w:vertAlign w:val="superscript"/>
              </w:rPr>
              <w:t>(2)</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34,339</w:t>
            </w:r>
          </w:p>
        </w:tc>
        <w:tc>
          <w:tcPr>
            <w:tcW w:w="10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9,582</w:t>
            </w:r>
          </w:p>
        </w:tc>
        <w:tc>
          <w:tcPr>
            <w:tcW w:w="100" w:type="dxa"/>
            <w:vAlign w:val="bottom"/>
          </w:tcPr>
          <w:p>
            <w:pPr>
              <w:spacing w:after="0"/>
              <w:rPr>
                <w:sz w:val="15"/>
                <w:szCs w:val="15"/>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20,004</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63,925</w:t>
            </w:r>
          </w:p>
        </w:tc>
        <w:tc>
          <w:tcPr>
            <w:tcW w:w="12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3,183,403</w:t>
            </w:r>
          </w:p>
        </w:tc>
        <w:tc>
          <w:tcPr>
            <w:tcW w:w="10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3,247,328</w:t>
            </w:r>
          </w:p>
        </w:tc>
        <w:tc>
          <w:tcPr>
            <w:tcW w:w="100" w:type="dxa"/>
            <w:vAlign w:val="bottom"/>
          </w:tcPr>
          <w:p>
            <w:pPr>
              <w:spacing w:after="0"/>
              <w:rPr>
                <w:sz w:val="15"/>
                <w:szCs w:val="15"/>
                <w:color w:val="auto"/>
              </w:rPr>
            </w:pPr>
          </w:p>
        </w:tc>
        <w:tc>
          <w:tcPr>
            <w:tcW w:w="4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5"/>
                <w:szCs w:val="15"/>
                <w:color w:val="auto"/>
              </w:rPr>
            </w:pPr>
          </w:p>
        </w:tc>
        <w:tc>
          <w:tcPr>
            <w:tcW w:w="4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3,790</w:t>
            </w:r>
          </w:p>
        </w:tc>
      </w:tr>
      <w:tr>
        <w:trPr>
          <w:trHeight w:val="464"/>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2,513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367,214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369,727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297"/>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24,723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25,018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300"/>
        </w:trPr>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4"/>
                <w:szCs w:val="24"/>
                <w:color w:val="auto"/>
              </w:rPr>
            </w:pPr>
          </w:p>
        </w:tc>
        <w:tc>
          <w:tcPr>
            <w:tcW w:w="34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19,568</w:t>
            </w:r>
          </w:p>
        </w:tc>
        <w:tc>
          <w:tcPr>
            <w:tcW w:w="100" w:type="dxa"/>
            <w:vAlign w:val="bottom"/>
          </w:tcPr>
          <w:p>
            <w:pPr>
              <w:spacing w:after="0"/>
              <w:rPr>
                <w:sz w:val="24"/>
                <w:szCs w:val="24"/>
                <w:color w:val="auto"/>
              </w:rPr>
            </w:pPr>
          </w:p>
        </w:tc>
        <w:tc>
          <w:tcPr>
            <w:tcW w:w="240" w:type="dxa"/>
            <w:vAlign w:val="bottom"/>
            <w:tcBorders>
              <w:bottom w:val="single" w:sz="8" w:color="2C6937"/>
            </w:tcBorders>
          </w:tcPr>
          <w:p>
            <w:pPr>
              <w:spacing w:after="0"/>
              <w:rPr>
                <w:sz w:val="24"/>
                <w:szCs w:val="24"/>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20,606</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184</w:t>
            </w:r>
          </w:p>
        </w:tc>
      </w:tr>
      <w:tr>
        <w:trPr>
          <w:trHeight w:val="286"/>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36,530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10,122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21,119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67,771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3,594,908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3,662,679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4,200</w:t>
            </w:r>
          </w:p>
        </w:tc>
      </w:tr>
      <w:tr>
        <w:trPr>
          <w:trHeight w:val="300"/>
        </w:trPr>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2,551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487,176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489,727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1,070</w:t>
            </w:r>
          </w:p>
        </w:tc>
      </w:tr>
      <w:tr>
        <w:trPr>
          <w:trHeight w:val="289"/>
        </w:trPr>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37,021</w:t>
            </w:r>
          </w:p>
        </w:tc>
        <w:tc>
          <w:tcPr>
            <w:tcW w:w="100" w:type="dxa"/>
            <w:vAlign w:val="bottom"/>
          </w:tcPr>
          <w:p>
            <w:pPr>
              <w:spacing w:after="0"/>
              <w:rPr>
                <w:sz w:val="24"/>
                <w:szCs w:val="24"/>
                <w:color w:val="auto"/>
              </w:rPr>
            </w:pPr>
          </w:p>
        </w:tc>
        <w:tc>
          <w:tcPr>
            <w:tcW w:w="34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10,122</w:t>
            </w:r>
          </w:p>
        </w:tc>
        <w:tc>
          <w:tcPr>
            <w:tcW w:w="100" w:type="dxa"/>
            <w:vAlign w:val="bottom"/>
          </w:tcPr>
          <w:p>
            <w:pPr>
              <w:spacing w:after="0"/>
              <w:rPr>
                <w:sz w:val="24"/>
                <w:szCs w:val="24"/>
                <w:color w:val="auto"/>
              </w:rPr>
            </w:pPr>
          </w:p>
        </w:tc>
        <w:tc>
          <w:tcPr>
            <w:tcW w:w="400" w:type="dxa"/>
            <w:vAlign w:val="bottom"/>
            <w:tcBorders>
              <w:top w:val="single" w:sz="8" w:color="2C6937"/>
              <w:bottom w:val="single" w:sz="8" w:color="2C6937"/>
            </w:tcBorders>
          </w:tcPr>
          <w:p>
            <w:pPr>
              <w:jc w:val="right"/>
              <w:ind w:right="2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23,179</w:t>
            </w:r>
          </w:p>
        </w:tc>
        <w:tc>
          <w:tcPr>
            <w:tcW w:w="100" w:type="dxa"/>
            <w:vAlign w:val="bottom"/>
          </w:tcPr>
          <w:p>
            <w:pPr>
              <w:spacing w:after="0"/>
              <w:rPr>
                <w:sz w:val="24"/>
                <w:szCs w:val="24"/>
                <w:color w:val="auto"/>
              </w:rPr>
            </w:pPr>
          </w:p>
        </w:tc>
        <w:tc>
          <w:tcPr>
            <w:tcW w:w="320" w:type="dxa"/>
            <w:vAlign w:val="bottom"/>
            <w:tcBorders>
              <w:top w:val="single" w:sz="8" w:color="2C6937"/>
              <w:bottom w:val="single" w:sz="8" w:color="2C6937"/>
            </w:tcBorders>
          </w:tcPr>
          <w:p>
            <w:pPr>
              <w:jc w:val="right"/>
              <w:ind w:right="17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70,322</w:t>
            </w:r>
          </w:p>
        </w:tc>
        <w:tc>
          <w:tcPr>
            <w:tcW w:w="120" w:type="dxa"/>
            <w:vAlign w:val="bottom"/>
          </w:tcPr>
          <w:p>
            <w:pPr>
              <w:spacing w:after="0"/>
              <w:rPr>
                <w:sz w:val="24"/>
                <w:szCs w:val="24"/>
                <w:color w:val="auto"/>
              </w:rPr>
            </w:pPr>
          </w:p>
        </w:tc>
        <w:tc>
          <w:tcPr>
            <w:tcW w:w="260" w:type="dxa"/>
            <w:vAlign w:val="bottom"/>
            <w:tcBorders>
              <w:top w:val="single" w:sz="8" w:color="2C6937"/>
              <w:bottom w:val="single" w:sz="8" w:color="2C6937"/>
            </w:tcBorders>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4,082,084</w:t>
            </w:r>
          </w:p>
        </w:tc>
        <w:tc>
          <w:tcPr>
            <w:tcW w:w="100" w:type="dxa"/>
            <w:vAlign w:val="bottom"/>
          </w:tcPr>
          <w:p>
            <w:pPr>
              <w:spacing w:after="0"/>
              <w:rPr>
                <w:sz w:val="24"/>
                <w:szCs w:val="24"/>
                <w:color w:val="auto"/>
              </w:rPr>
            </w:pPr>
          </w:p>
        </w:tc>
        <w:tc>
          <w:tcPr>
            <w:tcW w:w="240" w:type="dxa"/>
            <w:vAlign w:val="bottom"/>
            <w:tcBorders>
              <w:top w:val="single" w:sz="8" w:color="2C6937"/>
              <w:bottom w:val="single" w:sz="8" w:color="2C6937"/>
            </w:tcBorders>
          </w:tcPr>
          <w:p>
            <w:pPr>
              <w:jc w:val="right"/>
              <w:ind w:right="7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4,152,406</w:t>
            </w:r>
          </w:p>
        </w:tc>
        <w:tc>
          <w:tcPr>
            <w:tcW w:w="100" w:type="dxa"/>
            <w:vAlign w:val="bottom"/>
          </w:tcPr>
          <w:p>
            <w:pPr>
              <w:spacing w:after="0"/>
              <w:rPr>
                <w:sz w:val="24"/>
                <w:szCs w:val="24"/>
                <w:color w:val="auto"/>
              </w:rPr>
            </w:pPr>
          </w:p>
        </w:tc>
        <w:tc>
          <w:tcPr>
            <w:tcW w:w="42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4"/>
                <w:szCs w:val="24"/>
                <w:color w:val="auto"/>
              </w:rPr>
            </w:pPr>
          </w:p>
        </w:tc>
        <w:tc>
          <w:tcPr>
            <w:tcW w:w="420" w:type="dxa"/>
            <w:vAlign w:val="bottom"/>
            <w:tcBorders>
              <w:top w:val="single" w:sz="8" w:color="2C6937"/>
              <w:bottom w:val="single" w:sz="8" w:color="2C6937"/>
            </w:tcBorders>
          </w:tcPr>
          <w:p>
            <w:pPr>
              <w:jc w:val="right"/>
              <w:ind w:right="25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color w:val="auto"/>
              </w:rPr>
              <w:t>5,270</w:t>
            </w:r>
          </w:p>
        </w:tc>
      </w:tr>
      <w:tr>
        <w:trPr>
          <w:trHeight w:val="22"/>
        </w:trPr>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1580" w:space="200"/>
            <w:col w:w="9460"/>
          </w:cols>
          <w:pgMar w:left="320" w:top="248" w:right="339" w:bottom="1440" w:gutter="0" w:footer="0" w:header="0"/>
          <w:type w:val="continuous"/>
        </w:sectPr>
      </w:pPr>
    </w:p>
    <w:p>
      <w:pPr>
        <w:ind w:left="240" w:right="160" w:hanging="237"/>
        <w:spacing w:after="0" w:line="226" w:lineRule="auto"/>
        <w:tabs>
          <w:tab w:leader="none" w:pos="233"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Single-family seriously delinquent loans are loans that are 90 days or more past due or in the foreclosure process. Multifamily seriously delinquent loans are loans that are 60 days or more past due.</w:t>
      </w:r>
    </w:p>
    <w:p>
      <w:pPr>
        <w:spacing w:after="0" w:line="27" w:lineRule="exact"/>
        <w:rPr>
          <w:rFonts w:ascii="Arial" w:cs="Arial" w:eastAsia="Arial" w:hAnsi="Arial"/>
          <w:sz w:val="18"/>
          <w:szCs w:val="18"/>
          <w:color w:val="auto"/>
          <w:vertAlign w:val="superscript"/>
        </w:rPr>
      </w:pPr>
    </w:p>
    <w:p>
      <w:pPr>
        <w:ind w:left="240" w:right="440" w:hanging="237"/>
        <w:spacing w:after="0" w:line="226" w:lineRule="auto"/>
        <w:tabs>
          <w:tab w:leader="none" w:pos="233"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Primarily consists of loans for which we have recorded write-offs upon determining that amounts are uncollectible, resulting in the removal of the associated allowance for loan losses.</w:t>
      </w:r>
    </w:p>
    <w:p>
      <w:pPr>
        <w:spacing w:after="0" w:line="14"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58"/>
        </w:numPr>
        <w:rPr>
          <w:rFonts w:ascii="Arial" w:cs="Arial" w:eastAsia="Arial" w:hAnsi="Arial"/>
          <w:sz w:val="9"/>
          <w:szCs w:val="9"/>
          <w:color w:val="auto"/>
        </w:rPr>
      </w:pPr>
      <w:r>
        <w:rPr>
          <w:rFonts w:ascii="Arial" w:cs="Arial" w:eastAsia="Arial" w:hAnsi="Arial"/>
          <w:sz w:val="14"/>
          <w:szCs w:val="14"/>
          <w:color w:val="auto"/>
        </w:rPr>
        <w:t>Reverse mortgage loans included in “Other” are not aged due to their nature and are included in the current column.</w:t>
      </w:r>
    </w:p>
    <w:p>
      <w:pPr>
        <w:spacing w:after="0" w:line="45" w:lineRule="exact"/>
        <w:rPr>
          <w:rFonts w:ascii="Arial" w:cs="Arial" w:eastAsia="Arial" w:hAnsi="Arial"/>
          <w:sz w:val="9"/>
          <w:szCs w:val="9"/>
          <w:color w:val="auto"/>
        </w:rPr>
      </w:pPr>
    </w:p>
    <w:p>
      <w:pPr>
        <w:ind w:left="220" w:hanging="217"/>
        <w:spacing w:after="0"/>
        <w:tabs>
          <w:tab w:leader="none" w:pos="220" w:val="left"/>
        </w:tabs>
        <w:numPr>
          <w:ilvl w:val="0"/>
          <w:numId w:val="58"/>
        </w:numPr>
        <w:rPr>
          <w:rFonts w:ascii="Arial" w:cs="Arial" w:eastAsia="Arial" w:hAnsi="Arial"/>
          <w:sz w:val="9"/>
          <w:szCs w:val="9"/>
          <w:color w:val="auto"/>
        </w:rPr>
      </w:pPr>
      <w:r>
        <w:rPr>
          <w:rFonts w:ascii="Arial" w:cs="Arial" w:eastAsia="Arial" w:hAnsi="Arial"/>
          <w:sz w:val="14"/>
          <w:szCs w:val="14"/>
          <w:color w:val="auto"/>
        </w:rPr>
        <w:t>Multifamily loans 60-89 days delinquent are included in the seriously delinquent column.</w:t>
      </w:r>
    </w:p>
    <w:p>
      <w:pPr>
        <w:spacing w:after="0" w:line="70" w:lineRule="exact"/>
        <w:rPr>
          <w:sz w:val="20"/>
          <w:szCs w:val="20"/>
          <w:color w:val="auto"/>
        </w:rPr>
      </w:pPr>
    </w:p>
    <w:p>
      <w:pPr>
        <w:ind w:right="680"/>
        <w:spacing w:after="0" w:line="293" w:lineRule="auto"/>
        <w:rPr>
          <w:sz w:val="20"/>
          <w:szCs w:val="20"/>
          <w:color w:val="auto"/>
        </w:rPr>
      </w:pPr>
      <w:r>
        <w:rPr>
          <w:rFonts w:ascii="Arial" w:cs="Arial" w:eastAsia="Arial" w:hAnsi="Arial"/>
          <w:sz w:val="16"/>
          <w:szCs w:val="16"/>
          <w:color w:val="auto"/>
        </w:rPr>
        <w:t>The amortized cost of single-family mortgage loans for which formal foreclosure proceedings were in process was $5.1 billion and $4.7 billion as of September 30, 2025 and December 31, 2024, respectively. As a result of our various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350520</wp:posOffset>
            </wp:positionV>
            <wp:extent cx="680593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6" w:name="page77"/>
    <w:bookmarkEnd w:id="76"/>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mitigation and foreclosure prevention efforts, we expect that only a small portion of the loans in the process of formal foreclosure proceedings will ultimately foreclose.</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Credit Quality Indicators and Write-offs by Year of Origination</w:t>
      </w:r>
    </w:p>
    <w:p>
      <w:pPr>
        <w:spacing w:after="0" w:line="81" w:lineRule="exact"/>
        <w:rPr>
          <w:sz w:val="20"/>
          <w:szCs w:val="20"/>
          <w:color w:val="auto"/>
        </w:rPr>
      </w:pPr>
    </w:p>
    <w:p>
      <w:pPr>
        <w:jc w:val="both"/>
        <w:ind w:right="300"/>
        <w:spacing w:after="0" w:line="272" w:lineRule="auto"/>
        <w:rPr>
          <w:sz w:val="20"/>
          <w:szCs w:val="20"/>
          <w:color w:val="auto"/>
        </w:rPr>
      </w:pPr>
      <w:r>
        <w:rPr>
          <w:rFonts w:ascii="Arial" w:cs="Arial" w:eastAsia="Arial" w:hAnsi="Arial"/>
          <w:sz w:val="16"/>
          <w:szCs w:val="16"/>
          <w:color w:val="auto"/>
        </w:rPr>
        <w:t>The estimated mark-to-market loan-to-value (“LTV”) ratio is a primary factor we consider when estimating our allowance for loan losses for single-family loans. As LTV ratios increase, the borrower’s equity in the home decreases, which may negatively affect the borrower’s ability to refinance or to sell the property for an amount at or above the outstanding balance of the loan.</w:t>
      </w:r>
    </w:p>
    <w:p>
      <w:pPr>
        <w:spacing w:after="0" w:line="3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following tables display information about the credit quality of our single-family HFI loans, based on total amortized cost. The tables below also include current year write-offs of our single-family HFI mortgage loans by class of financing receivable and year of origination, excluding loans for which we have elected the fair value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348615</wp:posOffset>
            </wp:positionV>
            <wp:extent cx="680593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sectPr>
      </w:pPr>
    </w:p>
    <w:bookmarkStart w:id="77" w:name="page78"/>
    <w:bookmarkEnd w:id="77"/>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Credit Quality Indicators as of September 30, 2025 and Write-offs for the Nine Months Ended September 30,</w:t>
      </w:r>
    </w:p>
    <w:p>
      <w:pPr>
        <w:spacing w:after="0" w:line="13"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2025, by 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635</wp:posOffset>
            </wp:positionV>
            <wp:extent cx="461708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7"/>
                <w:szCs w:val="17"/>
                <w:color w:val="auto"/>
              </w:rPr>
            </w:pPr>
          </w:p>
        </w:tc>
        <w:tc>
          <w:tcPr>
            <w:tcW w:w="20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2"/>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109,424</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168,156</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156,793</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319,469</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809,345</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1,331,420</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2,894,607</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34,846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66,461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56,508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52,956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13,157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2,879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226,807</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48,025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43,094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16,415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122,780</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1,090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1,461</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2,191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348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188</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5,352</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192,369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278,801</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231,177</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387,635</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824,629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1,334,935</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3,249,546</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541</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8,882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7,375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5,512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27,846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130,592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150,088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330,295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1,522</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509</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10,073</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7,966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5,671</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27,933</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130,597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150,088</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332,328</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2,434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1,489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1,684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4,161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4,986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8,247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23,001</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412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2,028</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821</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52</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3,432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2,103</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2,224</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4,869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5,020</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8,254</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25,902</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15,204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15,204</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15,292</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15,292</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311"/>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120,740</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177,020</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163,989</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351,476</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944,923</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1,504,959</w:t>
            </w:r>
          </w:p>
        </w:tc>
        <w:tc>
          <w:tcPr>
            <w:tcW w:w="12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3,263,107</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36,257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67,391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57,068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53,568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13,188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230,404</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48,802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43,364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16,538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13,172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469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124,130</w:t>
            </w:r>
          </w:p>
        </w:tc>
      </w:tr>
      <w:tr>
        <w:trPr>
          <w:trHeight w:val="278"/>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1,095</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1,477</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2,221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350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209</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5,427</w:t>
            </w:r>
          </w:p>
        </w:tc>
      </w:tr>
      <w:tr>
        <w:trPr>
          <w:trHeight w:val="24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205,874</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288,870</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239,072</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420,437</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960,246</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1,508,569</w:t>
            </w:r>
          </w:p>
        </w:tc>
        <w:tc>
          <w:tcPr>
            <w:tcW w:w="12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3,623,068</w:t>
            </w:r>
          </w:p>
        </w:tc>
      </w:tr>
      <w:tr>
        <w:trPr>
          <w:trHeight w:val="26"/>
        </w:trPr>
        <w:tc>
          <w:tcPr>
            <w:tcW w:w="3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0"/>
        </w:trPr>
        <w:tc>
          <w:tcPr>
            <w:tcW w:w="3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r>
      <w:tr>
        <w:trPr>
          <w:trHeight w:val="171"/>
        </w:trPr>
        <w:tc>
          <w:tcPr>
            <w:tcW w:w="398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67</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137</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261</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434340</wp:posOffset>
            </wp:positionV>
            <wp:extent cx="68059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78" w:name="page79"/>
    <w:bookmarkEnd w:id="78"/>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Credit Quality Indicators as of December 31, 2024 and Write-offs for the Year Ended December 31, 2024, by</w:t>
      </w:r>
    </w:p>
    <w:p>
      <w:pPr>
        <w:spacing w:after="0" w:line="13" w:lineRule="exact"/>
        <w:rPr>
          <w:sz w:val="20"/>
          <w:szCs w:val="20"/>
          <w:color w:val="auto"/>
        </w:rPr>
      </w:pPr>
    </w:p>
    <w:p>
      <w:pPr>
        <w:jc w:val="center"/>
        <w:ind w:left="396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635</wp:posOffset>
            </wp:positionV>
            <wp:extent cx="461708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617085"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0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6"/>
              </w:rPr>
              <w:t>(Dollars in millions)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12"/>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Estimated mark-to-market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7"/>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20- and 30-year or more, amortizing fixed-rate: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156,136</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161,237</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324,160</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849,984</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714,620</w:t>
            </w:r>
          </w:p>
        </w:tc>
        <w:tc>
          <w:tcPr>
            <w:tcW w:w="10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710,162</w:t>
            </w:r>
          </w:p>
        </w:tc>
        <w:tc>
          <w:tcPr>
            <w:tcW w:w="12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2,916,299</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53,904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67,163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71,059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18,333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213,875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67,749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27,468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16,801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114,213</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670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1,616</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133</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2,941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20- and 30-year or more,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278,055</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256,538</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413,636</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870,282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716,979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711,838</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3,247,328</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20- and 30-year or more,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amortizing fixed-rate write-offs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621</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15-year or less, amortizing fixed-rate: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7,508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6,455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31,140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145,254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102,032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75,904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368,293</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1,069</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364</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15-year or less, amortizing fixed-rate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8,407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6,793</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31,325</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145,266</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102,032</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75,904</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369,727</w:t>
            </w:r>
          </w:p>
        </w:tc>
      </w:tr>
      <w:tr>
        <w:trPr>
          <w:trHeight w:val="150"/>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15-year or less, amortizing</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3980" w:type="dxa"/>
            <w:vAlign w:val="bottom"/>
            <w:gridSpan w:val="2"/>
          </w:tcPr>
          <w:p>
            <w:pPr>
              <w:ind w:left="500"/>
              <w:spacing w:after="0"/>
              <w:rPr>
                <w:sz w:val="20"/>
                <w:szCs w:val="20"/>
                <w:color w:val="auto"/>
              </w:rPr>
            </w:pPr>
            <w:r>
              <w:rPr>
                <w:rFonts w:ascii="Arial" w:cs="Arial" w:eastAsia="Arial" w:hAnsi="Arial"/>
                <w:sz w:val="12"/>
                <w:szCs w:val="12"/>
                <w:color w:val="auto"/>
              </w:rPr>
              <w:t>fixed-rate write-offs</w:t>
            </w:r>
          </w:p>
        </w:tc>
        <w:tc>
          <w:tcPr>
            <w:tcW w:w="2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Adjustable-rate:</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1,471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1,790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4,369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5,400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1,478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8,159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22,667</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729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1,716</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597</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29</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38</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adjustable-rate</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2,177</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2,454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5,292</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5,449</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1,484</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8,162</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25,018</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adjustable-rate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58"/>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8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16,945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16,945</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271"/>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278"/>
        </w:trPr>
        <w:tc>
          <w:tcPr>
            <w:tcW w:w="3880" w:type="dxa"/>
            <w:vAlign w:val="bottom"/>
            <w:tcBorders>
              <w:bottom w:val="single" w:sz="8" w:color="2C6937"/>
            </w:tcBorders>
          </w:tcPr>
          <w:p>
            <w:pPr>
              <w:ind w:left="32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24</w:t>
            </w:r>
          </w:p>
        </w:tc>
      </w:tr>
      <w:tr>
        <w:trPr>
          <w:trHeight w:val="264"/>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Total other</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17,054</w:t>
            </w:r>
          </w:p>
        </w:tc>
        <w:tc>
          <w:tcPr>
            <w:tcW w:w="120" w:type="dxa"/>
            <w:vAlign w:val="bottom"/>
          </w:tcPr>
          <w:p>
            <w:pPr>
              <w:spacing w:after="0"/>
              <w:rPr>
                <w:sz w:val="22"/>
                <w:szCs w:val="22"/>
                <w:color w:val="auto"/>
              </w:rPr>
            </w:pPr>
          </w:p>
        </w:tc>
        <w:tc>
          <w:tcPr>
            <w:tcW w:w="20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17,054</w:t>
            </w:r>
          </w:p>
        </w:tc>
      </w:tr>
      <w:tr>
        <w:trPr>
          <w:trHeight w:val="179"/>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Current-year other write-offs</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311"/>
        </w:trPr>
        <w:tc>
          <w:tcPr>
            <w:tcW w:w="3980" w:type="dxa"/>
            <w:vAlign w:val="bottom"/>
            <w:gridSpan w:val="2"/>
          </w:tcPr>
          <w:p>
            <w:pPr>
              <w:ind w:left="20"/>
              <w:spacing w:after="0"/>
              <w:rPr>
                <w:sz w:val="20"/>
                <w:szCs w:val="20"/>
                <w:color w:val="auto"/>
              </w:rPr>
            </w:pPr>
            <w:r>
              <w:rPr>
                <w:rFonts w:ascii="Arial" w:cs="Arial" w:eastAsia="Arial" w:hAnsi="Arial"/>
                <w:sz w:val="12"/>
                <w:szCs w:val="12"/>
                <w:color w:val="auto"/>
              </w:rPr>
              <w:t>Total for all classes by LTV ratio:</w:t>
            </w:r>
            <w:r>
              <w:rPr>
                <w:rFonts w:ascii="Arial" w:cs="Arial" w:eastAsia="Arial" w:hAnsi="Arial"/>
                <w:sz w:val="15"/>
                <w:szCs w:val="15"/>
                <w:color w:val="auto"/>
                <w:vertAlign w:val="superscript"/>
              </w:rPr>
              <w:t>(2)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Less than or equal to 80%</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165,115</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169,482</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359,669</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1,000,638</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818,130</w:t>
            </w:r>
          </w:p>
        </w:tc>
        <w:tc>
          <w:tcPr>
            <w:tcW w:w="10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811,170</w:t>
            </w:r>
          </w:p>
        </w:tc>
        <w:tc>
          <w:tcPr>
            <w:tcW w:w="12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3,324,204</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80% and less than or equal to 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54,914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67,979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71,956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18,388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1,398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216,718</w:t>
            </w:r>
          </w:p>
        </w:tc>
      </w:tr>
      <w:tr>
        <w:trPr>
          <w:trHeight w:val="271"/>
        </w:trPr>
        <w:tc>
          <w:tcPr>
            <w:tcW w:w="3980" w:type="dxa"/>
            <w:vAlign w:val="bottom"/>
            <w:gridSpan w:val="2"/>
          </w:tcPr>
          <w:p>
            <w:pPr>
              <w:ind w:left="180"/>
              <w:spacing w:after="0"/>
              <w:rPr>
                <w:sz w:val="20"/>
                <w:szCs w:val="20"/>
                <w:color w:val="auto"/>
              </w:rPr>
            </w:pPr>
            <w:r>
              <w:rPr>
                <w:rFonts w:ascii="Arial" w:cs="Arial" w:eastAsia="Arial" w:hAnsi="Arial"/>
                <w:sz w:val="12"/>
                <w:szCs w:val="12"/>
                <w:color w:val="auto"/>
              </w:rPr>
              <w:t>Greater than 90% and less than or equal to 100%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68,344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27,646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16,982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115,201</w:t>
            </w:r>
          </w:p>
        </w:tc>
      </w:tr>
      <w:tr>
        <w:trPr>
          <w:trHeight w:val="278"/>
        </w:trPr>
        <w:tc>
          <w:tcPr>
            <w:tcW w:w="3880" w:type="dxa"/>
            <w:vAlign w:val="bottom"/>
            <w:tcBorders>
              <w:bottom w:val="single" w:sz="8" w:color="2C6937"/>
            </w:tcBorders>
          </w:tcPr>
          <w:p>
            <w:pPr>
              <w:ind w:left="180"/>
              <w:spacing w:after="0"/>
              <w:rPr>
                <w:sz w:val="20"/>
                <w:szCs w:val="20"/>
                <w:color w:val="auto"/>
              </w:rPr>
            </w:pPr>
            <w:r>
              <w:rPr>
                <w:rFonts w:ascii="Arial" w:cs="Arial" w:eastAsia="Arial" w:hAnsi="Arial"/>
                <w:sz w:val="12"/>
                <w:szCs w:val="12"/>
                <w:color w:val="auto"/>
              </w:rPr>
              <w:t>Greater than 100%</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678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1,646</w:t>
            </w:r>
          </w:p>
        </w:tc>
        <w:tc>
          <w:tcPr>
            <w:tcW w:w="60" w:type="dxa"/>
            <w:vAlign w:val="bottom"/>
            <w:tcBorders>
              <w:bottom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209</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48</w:t>
            </w:r>
          </w:p>
        </w:tc>
        <w:tc>
          <w:tcPr>
            <w:tcW w:w="10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157</w:t>
            </w:r>
          </w:p>
        </w:tc>
        <w:tc>
          <w:tcPr>
            <w:tcW w:w="120" w:type="dxa"/>
            <w:vAlign w:val="bottom"/>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jc w:val="right"/>
              <w:spacing w:after="0"/>
              <w:rPr>
                <w:sz w:val="20"/>
                <w:szCs w:val="20"/>
                <w:color w:val="auto"/>
              </w:rPr>
            </w:pPr>
            <w:r>
              <w:rPr>
                <w:rFonts w:ascii="Arial" w:cs="Arial" w:eastAsia="Arial" w:hAnsi="Arial"/>
                <w:sz w:val="12"/>
                <w:szCs w:val="12"/>
                <w:color w:val="auto"/>
              </w:rPr>
              <w:t>3,004</w:t>
            </w:r>
          </w:p>
        </w:tc>
      </w:tr>
      <w:tr>
        <w:trPr>
          <w:trHeight w:val="244"/>
        </w:trPr>
        <w:tc>
          <w:tcPr>
            <w:tcW w:w="3980" w:type="dxa"/>
            <w:vAlign w:val="bottom"/>
            <w:gridSpan w:val="2"/>
          </w:tcPr>
          <w:p>
            <w:pPr>
              <w:ind w:left="3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288,639</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265,785</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450,253</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1,020,997</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820,495</w:t>
            </w:r>
          </w:p>
        </w:tc>
        <w:tc>
          <w:tcPr>
            <w:tcW w:w="10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812,958</w:t>
            </w:r>
          </w:p>
        </w:tc>
        <w:tc>
          <w:tcPr>
            <w:tcW w:w="120" w:type="dxa"/>
            <w:vAlign w:val="bottom"/>
          </w:tcPr>
          <w:p>
            <w:pPr>
              <w:spacing w:after="0"/>
              <w:rPr>
                <w:sz w:val="21"/>
                <w:szCs w:val="21"/>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3,659,127</w:t>
            </w:r>
          </w:p>
        </w:tc>
      </w:tr>
      <w:tr>
        <w:trPr>
          <w:trHeight w:val="26"/>
        </w:trPr>
        <w:tc>
          <w:tcPr>
            <w:tcW w:w="388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00" w:type="dxa"/>
            <w:vAlign w:val="bottom"/>
            <w:tcBorders>
              <w:bottom w:val="single" w:sz="8" w:color="2C6937"/>
            </w:tcBorders>
          </w:tcPr>
          <w:p>
            <w:pPr>
              <w:spacing w:after="0"/>
              <w:rPr>
                <w:sz w:val="2"/>
                <w:szCs w:val="2"/>
                <w:color w:val="auto"/>
              </w:rPr>
            </w:pPr>
          </w:p>
        </w:tc>
        <w:tc>
          <w:tcPr>
            <w:tcW w:w="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740" w:type="dxa"/>
            <w:vAlign w:val="bottom"/>
            <w:tcBorders>
              <w:bottom w:val="single" w:sz="8" w:color="2C6937"/>
            </w:tcBorders>
          </w:tcPr>
          <w:p>
            <w:pPr>
              <w:spacing w:after="0"/>
              <w:rPr>
                <w:sz w:val="2"/>
                <w:szCs w:val="2"/>
                <w:color w:val="auto"/>
              </w:rPr>
            </w:pPr>
          </w:p>
        </w:tc>
      </w:tr>
      <w:tr>
        <w:trPr>
          <w:trHeight w:val="20"/>
        </w:trPr>
        <w:tc>
          <w:tcPr>
            <w:tcW w:w="3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r>
      <w:tr>
        <w:trPr>
          <w:trHeight w:val="171"/>
        </w:trPr>
        <w:tc>
          <w:tcPr>
            <w:tcW w:w="3980" w:type="dxa"/>
            <w:vAlign w:val="bottom"/>
            <w:gridSpan w:val="2"/>
          </w:tcPr>
          <w:p>
            <w:pPr>
              <w:ind w:left="440"/>
              <w:spacing w:after="0"/>
              <w:rPr>
                <w:sz w:val="20"/>
                <w:szCs w:val="20"/>
                <w:color w:val="auto"/>
              </w:rPr>
            </w:pPr>
            <w:r>
              <w:rPr>
                <w:rFonts w:ascii="Arial" w:cs="Arial" w:eastAsia="Arial" w:hAnsi="Arial"/>
                <w:sz w:val="12"/>
                <w:szCs w:val="12"/>
                <w:color w:val="auto"/>
              </w:rPr>
              <w:t>Total current-year write-offs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133</w:t>
            </w:r>
          </w:p>
        </w:tc>
        <w:tc>
          <w:tcPr>
            <w:tcW w:w="36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116</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303</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670</w:t>
            </w:r>
          </w:p>
        </w:tc>
      </w:tr>
    </w:tbl>
    <w:p>
      <w:pPr>
        <w:spacing w:after="0" w:line="109" w:lineRule="exact"/>
        <w:rPr>
          <w:sz w:val="20"/>
          <w:szCs w:val="20"/>
          <w:color w:val="auto"/>
        </w:rPr>
      </w:pPr>
    </w:p>
    <w:p>
      <w:pPr>
        <w:ind w:left="240" w:right="40" w:hanging="237"/>
        <w:spacing w:after="0" w:line="252" w:lineRule="auto"/>
        <w:tabs>
          <w:tab w:leader="none" w:pos="233" w:val="left"/>
        </w:tabs>
        <w:numPr>
          <w:ilvl w:val="0"/>
          <w:numId w:val="59"/>
        </w:numPr>
        <w:rPr>
          <w:rFonts w:ascii="Arial" w:cs="Arial" w:eastAsia="Arial" w:hAnsi="Arial"/>
          <w:sz w:val="17"/>
          <w:szCs w:val="17"/>
          <w:color w:val="auto"/>
          <w:vertAlign w:val="superscript"/>
        </w:rPr>
      </w:pPr>
      <w:r>
        <w:rPr>
          <w:rFonts w:ascii="Arial" w:cs="Arial" w:eastAsia="Arial" w:hAnsi="Arial"/>
          <w:sz w:val="13"/>
          <w:szCs w:val="13"/>
          <w:color w:val="auto"/>
        </w:rPr>
        <w:t>Excludes amortized cost of $3.0 billion and $3.6 billion as of September 30, 2025 and December 31, 2024, respectively, of mortgage loans guaranteed or insured, in whole or in part, by the U.S. government or one of its agencies, which represents primarily reverse mortgages for which we do not calculate an estimated mark-to-market LTV ratio. For the nine months ended September 30, 2025 and year ended December 31, 2024, it also excludes write-offs of $5 million and $47 million, respectively, of mortgage loans guaranteed or insured, in whole or in part, by the U.S. government or one of its agencies. Year of loan origination may not be the same as the period in which we subsequently acquired the loan.</w:t>
      </w:r>
    </w:p>
    <w:p>
      <w:pPr>
        <w:spacing w:after="0" w:line="20" w:lineRule="exact"/>
        <w:rPr>
          <w:rFonts w:ascii="Arial" w:cs="Arial" w:eastAsia="Arial" w:hAnsi="Arial"/>
          <w:sz w:val="17"/>
          <w:szCs w:val="17"/>
          <w:color w:val="auto"/>
          <w:vertAlign w:val="superscript"/>
        </w:rPr>
      </w:pPr>
    </w:p>
    <w:p>
      <w:pPr>
        <w:ind w:left="240" w:right="160" w:hanging="237"/>
        <w:spacing w:after="0" w:line="278" w:lineRule="auto"/>
        <w:tabs>
          <w:tab w:leader="none" w:pos="233" w:val="left"/>
        </w:tabs>
        <w:numPr>
          <w:ilvl w:val="0"/>
          <w:numId w:val="59"/>
        </w:numPr>
        <w:rPr>
          <w:rFonts w:ascii="Arial" w:cs="Arial" w:eastAsia="Arial" w:hAnsi="Arial"/>
          <w:sz w:val="9"/>
          <w:szCs w:val="9"/>
          <w:color w:val="auto"/>
        </w:rPr>
      </w:pPr>
      <w:r>
        <w:rPr>
          <w:rFonts w:ascii="Arial" w:cs="Arial" w:eastAsia="Arial" w:hAnsi="Arial"/>
          <w:sz w:val="14"/>
          <w:szCs w:val="14"/>
          <w:color w:val="auto"/>
        </w:rPr>
        <w:t>The aggregate estimated mark-to-market LTV ratio is based on the unpaid principal balance of the loan divided by the estimated current value of the property as of the end of each reported period, which we calculate using an internal valuation model that estimates periodic changes in home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349250</wp:posOffset>
            </wp:positionV>
            <wp:extent cx="680593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79" w:name="page80"/>
    <w:bookmarkEnd w:id="79"/>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40"/>
        <w:spacing w:after="0" w:line="271" w:lineRule="auto"/>
        <w:rPr>
          <w:sz w:val="20"/>
          <w:szCs w:val="20"/>
          <w:color w:val="auto"/>
        </w:rPr>
      </w:pPr>
      <w:r>
        <w:rPr>
          <w:rFonts w:ascii="Arial" w:cs="Arial" w:eastAsia="Arial" w:hAnsi="Arial"/>
          <w:sz w:val="16"/>
          <w:szCs w:val="16"/>
          <w:color w:val="auto"/>
        </w:rPr>
        <w:t>The following tables display the total amortized cost of our multifamily HFI loans by year of origination and credit-risk rating, excluding loans for which we have elected the fair value option. Property rental income and property valuations are key inputs to our internally assigned credit risk ratings. The tables below also include current year write-offs of our multifamily HFI mortgage loans by year of origination, excluding loans for which we have elected the fair value option.</w:t>
      </w:r>
    </w:p>
    <w:p>
      <w:pPr>
        <w:spacing w:after="0" w:line="200"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Credit Quality Indicators as of September 30, 2025 and Write-offs for the Nine Months Ended September 30,</w:t>
      </w:r>
    </w:p>
    <w:p>
      <w:pPr>
        <w:spacing w:after="0" w:line="13"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2025, by Year of Origination</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2490470</wp:posOffset>
            </wp:positionH>
            <wp:positionV relativeFrom="paragraph">
              <wp:posOffset>635</wp:posOffset>
            </wp:positionV>
            <wp:extent cx="450278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502785" cy="825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2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2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22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224"/>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204"/>
              <w:spacing w:after="0"/>
              <w:rPr>
                <w:sz w:val="20"/>
                <w:szCs w:val="20"/>
                <w:color w:val="auto"/>
              </w:rPr>
            </w:pPr>
            <w:r>
              <w:rPr>
                <w:rFonts w:ascii="Arial" w:cs="Arial" w:eastAsia="Arial" w:hAnsi="Arial"/>
                <w:sz w:val="14"/>
                <w:szCs w:val="14"/>
                <w:b w:val="1"/>
                <w:bCs w:val="1"/>
                <w:color w:val="auto"/>
                <w:w w:val="97"/>
              </w:rPr>
              <w:t>Prior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Total</w:t>
            </w:r>
          </w:p>
        </w:tc>
      </w:tr>
      <w:tr>
        <w:trPr>
          <w:trHeight w:val="276"/>
        </w:trPr>
        <w:tc>
          <w:tcPr>
            <w:tcW w:w="3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8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40" w:type="dxa"/>
            <w:vAlign w:val="bottom"/>
            <w:tcBorders>
              <w:top w:val="single" w:sz="8" w:color="2C6937"/>
            </w:tcBorders>
          </w:tcPr>
          <w:p>
            <w:pPr>
              <w:spacing w:after="0"/>
              <w:rPr>
                <w:sz w:val="23"/>
                <w:szCs w:val="23"/>
                <w:color w:val="auto"/>
              </w:rPr>
            </w:pPr>
          </w:p>
        </w:tc>
        <w:tc>
          <w:tcPr>
            <w:tcW w:w="66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20" w:type="dxa"/>
            <w:vAlign w:val="bottom"/>
            <w:tcBorders>
              <w:top w:val="single" w:sz="8" w:color="2C6937"/>
            </w:tcBorders>
          </w:tcPr>
          <w:p>
            <w:pPr>
              <w:spacing w:after="0"/>
              <w:rPr>
                <w:sz w:val="23"/>
                <w:szCs w:val="23"/>
                <w:color w:val="auto"/>
              </w:rPr>
            </w:pPr>
          </w:p>
        </w:tc>
        <w:tc>
          <w:tcPr>
            <w:tcW w:w="80" w:type="dxa"/>
            <w:vAlign w:val="bottom"/>
            <w:tcBorders>
              <w:top w:val="single" w:sz="8" w:color="2C6937"/>
            </w:tcBorders>
          </w:tcPr>
          <w:p>
            <w:pPr>
              <w:spacing w:after="0"/>
              <w:rPr>
                <w:sz w:val="23"/>
                <w:szCs w:val="23"/>
                <w:color w:val="auto"/>
              </w:rPr>
            </w:pPr>
          </w:p>
        </w:tc>
        <w:tc>
          <w:tcPr>
            <w:tcW w:w="160" w:type="dxa"/>
            <w:vAlign w:val="bottom"/>
            <w:tcBorders>
              <w:top w:val="single" w:sz="8" w:color="2C6937"/>
            </w:tcBorders>
          </w:tcPr>
          <w:p>
            <w:pPr>
              <w:spacing w:after="0"/>
              <w:rPr>
                <w:sz w:val="23"/>
                <w:szCs w:val="23"/>
                <w:color w:val="auto"/>
              </w:rPr>
            </w:pPr>
          </w:p>
        </w:tc>
        <w:tc>
          <w:tcPr>
            <w:tcW w:w="2020" w:type="dxa"/>
            <w:vAlign w:val="bottom"/>
            <w:tcBorders>
              <w:top w:val="single" w:sz="8" w:color="2C6937"/>
            </w:tcBorders>
            <w:gridSpan w:val="10"/>
          </w:tcPr>
          <w:p>
            <w:pPr>
              <w:jc w:val="right"/>
              <w:ind w:right="120"/>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20" w:type="dxa"/>
            <w:vAlign w:val="bottom"/>
            <w:tcBorders>
              <w:top w:val="single" w:sz="8" w:color="2C6937"/>
            </w:tcBorders>
          </w:tcPr>
          <w:p>
            <w:pPr>
              <w:spacing w:after="0"/>
              <w:rPr>
                <w:sz w:val="23"/>
                <w:szCs w:val="23"/>
                <w:color w:val="auto"/>
              </w:rPr>
            </w:pPr>
          </w:p>
        </w:tc>
        <w:tc>
          <w:tcPr>
            <w:tcW w:w="4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80" w:type="dxa"/>
            <w:vAlign w:val="bottom"/>
            <w:tcBorders>
              <w:top w:val="single" w:sz="8" w:color="2C6937"/>
            </w:tcBorders>
          </w:tcPr>
          <w:p>
            <w:pPr>
              <w:spacing w:after="0"/>
              <w:rPr>
                <w:sz w:val="23"/>
                <w:szCs w:val="23"/>
                <w:color w:val="auto"/>
              </w:rPr>
            </w:pPr>
          </w:p>
        </w:tc>
        <w:tc>
          <w:tcPr>
            <w:tcW w:w="100" w:type="dxa"/>
            <w:vAlign w:val="bottom"/>
            <w:tcBorders>
              <w:top w:val="single" w:sz="8" w:color="2C6937"/>
            </w:tcBorders>
          </w:tcPr>
          <w:p>
            <w:pPr>
              <w:spacing w:after="0"/>
              <w:rPr>
                <w:sz w:val="23"/>
                <w:szCs w:val="23"/>
                <w:color w:val="auto"/>
              </w:rPr>
            </w:pPr>
          </w:p>
        </w:tc>
        <w:tc>
          <w:tcPr>
            <w:tcW w:w="120" w:type="dxa"/>
            <w:vAlign w:val="bottom"/>
            <w:tcBorders>
              <w:top w:val="single" w:sz="8" w:color="2C6937"/>
            </w:tcBorders>
          </w:tcPr>
          <w:p>
            <w:pPr>
              <w:spacing w:after="0"/>
              <w:rPr>
                <w:sz w:val="23"/>
                <w:szCs w:val="23"/>
                <w:color w:val="auto"/>
              </w:rPr>
            </w:pPr>
          </w:p>
        </w:tc>
        <w:tc>
          <w:tcPr>
            <w:tcW w:w="680" w:type="dxa"/>
            <w:vAlign w:val="bottom"/>
            <w:tcBorders>
              <w:top w:val="single" w:sz="8" w:color="2C6937"/>
            </w:tcBorders>
          </w:tcPr>
          <w:p>
            <w:pPr>
              <w:spacing w:after="0"/>
              <w:rPr>
                <w:sz w:val="23"/>
                <w:szCs w:val="23"/>
                <w:color w:val="auto"/>
              </w:rPr>
            </w:pPr>
          </w:p>
        </w:tc>
        <w:tc>
          <w:tcPr>
            <w:tcW w:w="220" w:type="dxa"/>
            <w:vAlign w:val="bottom"/>
          </w:tcPr>
          <w:p>
            <w:pPr>
              <w:spacing w:after="0"/>
              <w:rPr>
                <w:sz w:val="23"/>
                <w:szCs w:val="23"/>
                <w:color w:val="auto"/>
              </w:rPr>
            </w:pPr>
          </w:p>
        </w:tc>
      </w:tr>
      <w:tr>
        <w:trPr>
          <w:trHeight w:val="309"/>
        </w:trPr>
        <w:tc>
          <w:tcPr>
            <w:tcW w:w="3920" w:type="dxa"/>
            <w:vAlign w:val="bottom"/>
            <w:gridSpan w:val="3"/>
          </w:tcPr>
          <w:p>
            <w:pPr>
              <w:ind w:left="20"/>
              <w:spacing w:after="0"/>
              <w:rPr>
                <w:sz w:val="20"/>
                <w:szCs w:val="20"/>
                <w:color w:val="auto"/>
              </w:rPr>
            </w:pPr>
            <w:r>
              <w:rPr>
                <w:rFonts w:ascii="Arial" w:cs="Arial" w:eastAsia="Arial" w:hAnsi="Arial"/>
                <w:sz w:val="15"/>
                <w:szCs w:val="15"/>
                <w:color w:val="auto"/>
              </w:rPr>
              <w:t>Internally assigned credit risk rating: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7"/>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2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42,455</w:t>
            </w:r>
          </w:p>
        </w:tc>
        <w:tc>
          <w:tcPr>
            <w:tcW w:w="10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53,537</w:t>
            </w: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49,962</w:t>
            </w:r>
          </w:p>
        </w:tc>
        <w:tc>
          <w:tcPr>
            <w:tcW w:w="10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49,035</w:t>
            </w:r>
          </w:p>
        </w:tc>
        <w:tc>
          <w:tcPr>
            <w:tcW w:w="10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58,886</w:t>
            </w:r>
          </w:p>
        </w:tc>
        <w:tc>
          <w:tcPr>
            <w:tcW w:w="12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228,139</w:t>
            </w:r>
          </w:p>
        </w:tc>
        <w:tc>
          <w:tcPr>
            <w:tcW w:w="34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482,014</w:t>
            </w:r>
          </w:p>
        </w:tc>
        <w:tc>
          <w:tcPr>
            <w:tcW w:w="220" w:type="dxa"/>
            <w:vAlign w:val="bottom"/>
          </w:tcPr>
          <w:p>
            <w:pPr>
              <w:spacing w:after="0"/>
              <w:rPr>
                <w:sz w:val="24"/>
                <w:szCs w:val="24"/>
                <w:color w:val="auto"/>
              </w:rPr>
            </w:pPr>
          </w:p>
        </w:tc>
      </w:tr>
      <w:tr>
        <w:trPr>
          <w:trHeight w:val="232"/>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192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347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1,268</w:t>
            </w:r>
          </w:p>
        </w:tc>
        <w:tc>
          <w:tcPr>
            <w:tcW w:w="220" w:type="dxa"/>
            <w:vAlign w:val="bottom"/>
          </w:tcPr>
          <w:p>
            <w:pPr>
              <w:spacing w:after="0"/>
              <w:rPr>
                <w:sz w:val="20"/>
                <w:szCs w:val="20"/>
                <w:color w:val="auto"/>
              </w:rPr>
            </w:pPr>
          </w:p>
        </w:tc>
      </w:tr>
      <w:tr>
        <w:trPr>
          <w:trHeight w:val="271"/>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1,028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3,239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7,725</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2,886</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12,750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27,628</w:t>
            </w:r>
          </w:p>
        </w:tc>
        <w:tc>
          <w:tcPr>
            <w:tcW w:w="220" w:type="dxa"/>
            <w:vAlign w:val="bottom"/>
          </w:tcPr>
          <w:p>
            <w:pPr>
              <w:spacing w:after="0"/>
              <w:rPr>
                <w:sz w:val="23"/>
                <w:szCs w:val="23"/>
                <w:color w:val="auto"/>
              </w:rPr>
            </w:pPr>
          </w:p>
        </w:tc>
      </w:tr>
      <w:tr>
        <w:trPr>
          <w:trHeight w:val="257"/>
        </w:trPr>
        <w:tc>
          <w:tcPr>
            <w:tcW w:w="38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100" w:type="dxa"/>
            <w:vAlign w:val="bottom"/>
            <w:gridSpan w:val="2"/>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20" w:type="dxa"/>
            <w:vAlign w:val="bottom"/>
            <w:tcBorders>
              <w:bottom w:val="single" w:sz="8" w:color="2C6937"/>
            </w:tcBorders>
          </w:tcPr>
          <w:p>
            <w:pPr>
              <w:spacing w:after="0"/>
              <w:rPr>
                <w:sz w:val="22"/>
                <w:szCs w:val="22"/>
                <w:color w:val="auto"/>
              </w:rPr>
            </w:pPr>
          </w:p>
        </w:tc>
        <w:tc>
          <w:tcPr>
            <w:tcW w:w="80" w:type="dxa"/>
            <w:vAlign w:val="bottom"/>
            <w:tcBorders>
              <w:bottom w:val="single" w:sz="8" w:color="2C6937"/>
            </w:tcBorders>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2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22"/>
                <w:szCs w:val="22"/>
                <w:color w:val="auto"/>
              </w:rPr>
            </w:pPr>
          </w:p>
        </w:tc>
        <w:tc>
          <w:tcPr>
            <w:tcW w:w="6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6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40" w:type="dxa"/>
            <w:vAlign w:val="bottom"/>
            <w:tcBorders>
              <w:bottom w:val="single" w:sz="8" w:color="2C6937"/>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bottom w:val="single" w:sz="8" w:color="2C6937"/>
            </w:tcBorders>
          </w:tcPr>
          <w:p>
            <w:pPr>
              <w:spacing w:after="0"/>
              <w:rPr>
                <w:sz w:val="22"/>
                <w:szCs w:val="22"/>
                <w:color w:val="auto"/>
              </w:rPr>
            </w:pPr>
          </w:p>
        </w:tc>
        <w:tc>
          <w:tcPr>
            <w:tcW w:w="100" w:type="dxa"/>
            <w:vAlign w:val="bottom"/>
            <w:tcBorders>
              <w:bottom w:val="single" w:sz="8" w:color="2C6937"/>
            </w:tcBorders>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40</w:t>
            </w:r>
          </w:p>
        </w:tc>
        <w:tc>
          <w:tcPr>
            <w:tcW w:w="220" w:type="dxa"/>
            <w:vAlign w:val="bottom"/>
          </w:tcPr>
          <w:p>
            <w:pPr>
              <w:spacing w:after="0"/>
              <w:rPr>
                <w:sz w:val="22"/>
                <w:szCs w:val="22"/>
                <w:color w:val="auto"/>
              </w:rPr>
            </w:pPr>
          </w:p>
        </w:tc>
      </w:tr>
      <w:tr>
        <w:trPr>
          <w:trHeight w:val="302"/>
        </w:trPr>
        <w:tc>
          <w:tcPr>
            <w:tcW w:w="382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Total</w:t>
            </w:r>
          </w:p>
        </w:tc>
        <w:tc>
          <w:tcPr>
            <w:tcW w:w="100" w:type="dxa"/>
            <w:vAlign w:val="bottom"/>
            <w:gridSpan w:val="2"/>
          </w:tcPr>
          <w:p>
            <w:pPr>
              <w:spacing w:after="0"/>
              <w:rPr>
                <w:sz w:val="24"/>
                <w:szCs w:val="24"/>
                <w:color w:val="auto"/>
              </w:rPr>
            </w:pPr>
          </w:p>
        </w:tc>
        <w:tc>
          <w:tcPr>
            <w:tcW w:w="220" w:type="dxa"/>
            <w:vAlign w:val="bottom"/>
            <w:tcBorders>
              <w:bottom w:val="single" w:sz="8" w:color="2C6937"/>
            </w:tcBorders>
            <w:gridSpan w:val="2"/>
          </w:tcPr>
          <w:p>
            <w:pPr>
              <w:jc w:val="right"/>
              <w:ind w:right="120"/>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42,455</w:t>
            </w:r>
          </w:p>
        </w:tc>
        <w:tc>
          <w:tcPr>
            <w:tcW w:w="100" w:type="dxa"/>
            <w:vAlign w:val="bottom"/>
          </w:tcPr>
          <w:p>
            <w:pPr>
              <w:spacing w:after="0"/>
              <w:rPr>
                <w:sz w:val="24"/>
                <w:szCs w:val="24"/>
                <w:color w:val="auto"/>
              </w:rPr>
            </w:pPr>
          </w:p>
        </w:tc>
        <w:tc>
          <w:tcPr>
            <w:tcW w:w="260" w:type="dxa"/>
            <w:vAlign w:val="bottom"/>
            <w:tcBorders>
              <w:bottom w:val="single" w:sz="8" w:color="2C6937"/>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54,622</w:t>
            </w:r>
          </w:p>
        </w:tc>
        <w:tc>
          <w:tcPr>
            <w:tcW w:w="100" w:type="dxa"/>
            <w:vAlign w:val="bottom"/>
          </w:tcPr>
          <w:p>
            <w:pPr>
              <w:spacing w:after="0"/>
              <w:rPr>
                <w:sz w:val="24"/>
                <w:szCs w:val="24"/>
                <w:color w:val="auto"/>
              </w:rPr>
            </w:pPr>
          </w:p>
        </w:tc>
        <w:tc>
          <w:tcPr>
            <w:tcW w:w="10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53,269</w:t>
            </w:r>
          </w:p>
        </w:tc>
        <w:tc>
          <w:tcPr>
            <w:tcW w:w="100" w:type="dxa"/>
            <w:vAlign w:val="bottom"/>
          </w:tcPr>
          <w:p>
            <w:pPr>
              <w:spacing w:after="0"/>
              <w:rPr>
                <w:sz w:val="24"/>
                <w:szCs w:val="24"/>
                <w:color w:val="auto"/>
              </w:rPr>
            </w:pPr>
          </w:p>
        </w:tc>
        <w:tc>
          <w:tcPr>
            <w:tcW w:w="120" w:type="dxa"/>
            <w:vAlign w:val="bottom"/>
            <w:tcBorders>
              <w:bottom w:val="single" w:sz="8" w:color="2C6937"/>
            </w:tcBorders>
            <w:gridSpan w:val="2"/>
          </w:tcPr>
          <w:p>
            <w:pPr>
              <w:ind w:left="20"/>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2C6937"/>
            </w:tcBorders>
          </w:tcPr>
          <w:p>
            <w:pPr>
              <w:spacing w:after="0"/>
              <w:rPr>
                <w:sz w:val="24"/>
                <w:szCs w:val="24"/>
                <w:color w:val="auto"/>
              </w:rPr>
            </w:pPr>
          </w:p>
        </w:tc>
        <w:tc>
          <w:tcPr>
            <w:tcW w:w="6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56,991</w:t>
            </w:r>
          </w:p>
        </w:tc>
        <w:tc>
          <w:tcPr>
            <w:tcW w:w="100" w:type="dxa"/>
            <w:vAlign w:val="bottom"/>
          </w:tcPr>
          <w:p>
            <w:pPr>
              <w:spacing w:after="0"/>
              <w:rPr>
                <w:sz w:val="24"/>
                <w:szCs w:val="24"/>
                <w:color w:val="auto"/>
              </w:rPr>
            </w:pPr>
          </w:p>
        </w:tc>
        <w:tc>
          <w:tcPr>
            <w:tcW w:w="1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62,119</w:t>
            </w:r>
          </w:p>
        </w:tc>
        <w:tc>
          <w:tcPr>
            <w:tcW w:w="120" w:type="dxa"/>
            <w:vAlign w:val="bottom"/>
          </w:tcPr>
          <w:p>
            <w:pPr>
              <w:spacing w:after="0"/>
              <w:rPr>
                <w:sz w:val="24"/>
                <w:szCs w:val="24"/>
                <w:color w:val="auto"/>
              </w:rPr>
            </w:pPr>
          </w:p>
        </w:tc>
        <w:tc>
          <w:tcPr>
            <w:tcW w:w="18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241,494</w:t>
            </w:r>
          </w:p>
        </w:tc>
        <w:tc>
          <w:tcPr>
            <w:tcW w:w="40" w:type="dxa"/>
            <w:vAlign w:val="bottom"/>
            <w:tcBorders>
              <w:bottom w:val="single" w:sz="8" w:color="2C6937"/>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2C6937"/>
            </w:tcBorders>
          </w:tcPr>
          <w:p>
            <w:pPr>
              <w:spacing w:after="0"/>
              <w:rPr>
                <w:sz w:val="24"/>
                <w:szCs w:val="24"/>
                <w:color w:val="auto"/>
              </w:rPr>
            </w:pPr>
          </w:p>
        </w:tc>
        <w:tc>
          <w:tcPr>
            <w:tcW w:w="6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510,950</w:t>
            </w:r>
          </w:p>
        </w:tc>
        <w:tc>
          <w:tcPr>
            <w:tcW w:w="220" w:type="dxa"/>
            <w:vAlign w:val="bottom"/>
          </w:tcPr>
          <w:p>
            <w:pPr>
              <w:spacing w:after="0"/>
              <w:rPr>
                <w:sz w:val="24"/>
                <w:szCs w:val="24"/>
                <w:color w:val="auto"/>
              </w:rPr>
            </w:pPr>
          </w:p>
        </w:tc>
      </w:tr>
      <w:tr>
        <w:trPr>
          <w:trHeight w:val="20"/>
        </w:trPr>
        <w:tc>
          <w:tcPr>
            <w:tcW w:w="38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680" w:type="dxa"/>
            <w:vAlign w:val="bottom"/>
            <w:tcBorders>
              <w:bottom w:val="single" w:sz="8" w:color="2C693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920" w:type="dxa"/>
            <w:vAlign w:val="bottom"/>
            <w:gridSpan w:val="3"/>
          </w:tcPr>
          <w:p>
            <w:pPr>
              <w:ind w:left="440"/>
              <w:spacing w:after="0"/>
              <w:rPr>
                <w:sz w:val="20"/>
                <w:szCs w:val="20"/>
                <w:color w:val="auto"/>
              </w:rPr>
            </w:pPr>
            <w:r>
              <w:rPr>
                <w:rFonts w:ascii="Arial" w:cs="Arial" w:eastAsia="Arial" w:hAnsi="Arial"/>
                <w:sz w:val="15"/>
                <w:szCs w:val="15"/>
                <w:color w:val="auto"/>
              </w:rPr>
              <w:t>Current-year write-offs</w:t>
            </w:r>
          </w:p>
        </w:tc>
        <w:tc>
          <w:tcPr>
            <w:tcW w:w="22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52</w:t>
            </w: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125</w:t>
            </w:r>
          </w:p>
        </w:tc>
        <w:tc>
          <w:tcPr>
            <w:tcW w:w="340" w:type="dxa"/>
            <w:vAlign w:val="bottom"/>
            <w:gridSpan w:val="4"/>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350</w:t>
            </w:r>
          </w:p>
        </w:tc>
        <w:tc>
          <w:tcPr>
            <w:tcW w:w="220" w:type="dxa"/>
            <w:vAlign w:val="bottom"/>
          </w:tcPr>
          <w:p>
            <w:pPr>
              <w:spacing w:after="0"/>
              <w:rPr>
                <w:sz w:val="19"/>
                <w:szCs w:val="19"/>
                <w:color w:val="auto"/>
              </w:rPr>
            </w:pPr>
          </w:p>
        </w:tc>
      </w:tr>
      <w:tr>
        <w:trPr>
          <w:trHeight w:val="390"/>
        </w:trPr>
        <w:tc>
          <w:tcPr>
            <w:tcW w:w="3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00" w:type="dxa"/>
            <w:vAlign w:val="bottom"/>
            <w:gridSpan w:val="32"/>
          </w:tcPr>
          <w:p>
            <w:pPr>
              <w:jc w:val="right"/>
              <w:ind w:right="140"/>
              <w:spacing w:after="0"/>
              <w:rPr>
                <w:sz w:val="20"/>
                <w:szCs w:val="20"/>
                <w:color w:val="auto"/>
              </w:rPr>
            </w:pPr>
            <w:r>
              <w:rPr>
                <w:rFonts w:ascii="Arial" w:cs="Arial" w:eastAsia="Arial" w:hAnsi="Arial"/>
                <w:sz w:val="14"/>
                <w:szCs w:val="14"/>
                <w:b w:val="1"/>
                <w:bCs w:val="1"/>
                <w:color w:val="auto"/>
                <w:w w:val="97"/>
              </w:rPr>
              <w:t>Credit Quality Indicators as of December 31, 2024 and Write-offs for the Year Ended December 31, 2024, by</w:t>
            </w:r>
          </w:p>
        </w:tc>
      </w:tr>
      <w:tr>
        <w:trPr>
          <w:trHeight w:val="205"/>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66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6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2020" w:type="dxa"/>
            <w:vAlign w:val="bottom"/>
            <w:tcBorders>
              <w:bottom w:val="single" w:sz="8" w:color="2C6937"/>
            </w:tcBorders>
            <w:gridSpan w:val="10"/>
          </w:tcPr>
          <w:p>
            <w:pPr>
              <w:ind w:left="20"/>
              <w:spacing w:after="0"/>
              <w:rPr>
                <w:sz w:val="20"/>
                <w:szCs w:val="20"/>
                <w:color w:val="auto"/>
              </w:rPr>
            </w:pPr>
            <w:r>
              <w:rPr>
                <w:rFonts w:ascii="Arial" w:cs="Arial" w:eastAsia="Arial" w:hAnsi="Arial"/>
                <w:sz w:val="14"/>
                <w:szCs w:val="14"/>
                <w:b w:val="1"/>
                <w:bCs w:val="1"/>
                <w:color w:val="auto"/>
              </w:rPr>
              <w:t>Year of Origination</w:t>
            </w:r>
            <w:r>
              <w:rPr>
                <w:rFonts w:ascii="Arial" w:cs="Arial" w:eastAsia="Arial" w:hAnsi="Arial"/>
                <w:sz w:val="17"/>
                <w:szCs w:val="17"/>
                <w:b w:val="1"/>
                <w:bCs w:val="1"/>
                <w:color w:val="auto"/>
                <w:vertAlign w:val="superscript"/>
              </w:rPr>
              <w:t>(1)</w:t>
            </w:r>
          </w:p>
        </w:tc>
        <w:tc>
          <w:tcPr>
            <w:tcW w:w="6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2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680" w:type="dxa"/>
            <w:vAlign w:val="bottom"/>
            <w:tcBorders>
              <w:bottom w:val="single" w:sz="8" w:color="2C6937"/>
            </w:tcBorders>
          </w:tcPr>
          <w:p>
            <w:pPr>
              <w:spacing w:after="0"/>
              <w:rPr>
                <w:sz w:val="17"/>
                <w:szCs w:val="17"/>
                <w:color w:val="auto"/>
              </w:rPr>
            </w:pPr>
          </w:p>
        </w:tc>
        <w:tc>
          <w:tcPr>
            <w:tcW w:w="220" w:type="dxa"/>
            <w:vAlign w:val="bottom"/>
            <w:tcBorders>
              <w:bottom w:val="single" w:sz="8" w:color="2C6937"/>
            </w:tcBorders>
          </w:tcPr>
          <w:p>
            <w:pPr>
              <w:spacing w:after="0"/>
              <w:rPr>
                <w:sz w:val="17"/>
                <w:szCs w:val="17"/>
                <w:color w:val="auto"/>
              </w:rPr>
            </w:pPr>
          </w:p>
        </w:tc>
      </w:tr>
      <w:tr>
        <w:trPr>
          <w:trHeight w:val="211"/>
        </w:trPr>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68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60" w:type="dxa"/>
            <w:vAlign w:val="bottom"/>
            <w:tcBorders>
              <w:bottom w:val="single" w:sz="8" w:color="2C6937"/>
            </w:tcBorders>
          </w:tcPr>
          <w:p>
            <w:pPr>
              <w:jc w:val="right"/>
              <w:ind w:right="12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2C6937"/>
            </w:tcBorders>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10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2C6937"/>
            </w:tcBorders>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640" w:type="dxa"/>
            <w:vAlign w:val="bottom"/>
            <w:tcBorders>
              <w:bottom w:val="single" w:sz="8" w:color="2C6937"/>
            </w:tcBorders>
          </w:tcPr>
          <w:p>
            <w:pPr>
              <w:jc w:val="right"/>
              <w:ind w:right="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ind w:right="4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2C6937"/>
            </w:tcBorders>
          </w:tcPr>
          <w:p>
            <w:pPr>
              <w:spacing w:after="0"/>
              <w:rPr>
                <w:sz w:val="18"/>
                <w:szCs w:val="18"/>
                <w:color w:val="auto"/>
              </w:rPr>
            </w:pPr>
          </w:p>
        </w:tc>
        <w:tc>
          <w:tcPr>
            <w:tcW w:w="6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620" w:type="dxa"/>
            <w:vAlign w:val="bottom"/>
            <w:tcBorders>
              <w:bottom w:val="single" w:sz="8" w:color="2C6937"/>
            </w:tcBorders>
          </w:tcPr>
          <w:p>
            <w:pPr>
              <w:jc w:val="right"/>
              <w:ind w:right="24"/>
              <w:spacing w:after="0"/>
              <w:rPr>
                <w:sz w:val="20"/>
                <w:szCs w:val="20"/>
                <w:color w:val="auto"/>
              </w:rPr>
            </w:pPr>
            <w:r>
              <w:rPr>
                <w:rFonts w:ascii="Arial" w:cs="Arial" w:eastAsia="Arial" w:hAnsi="Arial"/>
                <w:sz w:val="14"/>
                <w:szCs w:val="14"/>
                <w:b w:val="1"/>
                <w:bCs w:val="1"/>
                <w:color w:val="auto"/>
              </w:rPr>
              <w:t>Prior</w:t>
            </w:r>
          </w:p>
        </w:tc>
        <w:tc>
          <w:tcPr>
            <w:tcW w:w="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76"/>
        </w:trPr>
        <w:tc>
          <w:tcPr>
            <w:tcW w:w="3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w w:val="98"/>
              </w:rPr>
              <w:t>(Dollars in millions)</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309"/>
        </w:trPr>
        <w:tc>
          <w:tcPr>
            <w:tcW w:w="3920" w:type="dxa"/>
            <w:vAlign w:val="bottom"/>
            <w:gridSpan w:val="3"/>
          </w:tcPr>
          <w:p>
            <w:pPr>
              <w:ind w:left="20"/>
              <w:spacing w:after="0"/>
              <w:rPr>
                <w:sz w:val="20"/>
                <w:szCs w:val="20"/>
                <w:color w:val="auto"/>
              </w:rPr>
            </w:pPr>
            <w:r>
              <w:rPr>
                <w:rFonts w:ascii="Arial" w:cs="Arial" w:eastAsia="Arial" w:hAnsi="Arial"/>
                <w:sz w:val="15"/>
                <w:szCs w:val="15"/>
                <w:color w:val="auto"/>
              </w:rPr>
              <w:t>Internally assigned credit risk rating: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7"/>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Pass</w:t>
            </w:r>
            <w:r>
              <w:rPr>
                <w:rFonts w:ascii="Arial" w:cs="Arial" w:eastAsia="Arial" w:hAnsi="Arial"/>
                <w:sz w:val="20"/>
                <w:szCs w:val="20"/>
                <w:color w:val="auto"/>
                <w:vertAlign w:val="superscript"/>
              </w:rPr>
              <w:t>(2)</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49,867</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51,194</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49,570</w:t>
            </w:r>
          </w:p>
        </w:tc>
        <w:tc>
          <w:tcPr>
            <w:tcW w:w="26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59,687</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71,657</w:t>
            </w:r>
          </w:p>
        </w:tc>
        <w:tc>
          <w:tcPr>
            <w:tcW w:w="30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175,887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457,862</w:t>
            </w:r>
          </w:p>
        </w:tc>
      </w:tr>
      <w:tr>
        <w:trPr>
          <w:trHeight w:val="232"/>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Special mention</w:t>
            </w:r>
            <w:r>
              <w:rPr>
                <w:rFonts w:ascii="Arial" w:cs="Arial" w:eastAsia="Arial" w:hAnsi="Arial"/>
                <w:sz w:val="20"/>
                <w:szCs w:val="20"/>
                <w:color w:val="auto"/>
                <w:vertAlign w:val="superscript"/>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68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165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353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162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280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1,082</w:t>
            </w:r>
          </w:p>
        </w:tc>
      </w:tr>
      <w:tr>
        <w:trPr>
          <w:trHeight w:val="271"/>
        </w:trPr>
        <w:tc>
          <w:tcPr>
            <w:tcW w:w="3920" w:type="dxa"/>
            <w:vAlign w:val="bottom"/>
            <w:gridSpan w:val="3"/>
          </w:tcPr>
          <w:p>
            <w:pPr>
              <w:ind w:left="180"/>
              <w:spacing w:after="0"/>
              <w:rPr>
                <w:sz w:val="20"/>
                <w:szCs w:val="20"/>
                <w:color w:val="auto"/>
              </w:rPr>
            </w:pPr>
            <w:r>
              <w:rPr>
                <w:rFonts w:ascii="Arial" w:cs="Arial" w:eastAsia="Arial" w:hAnsi="Arial"/>
                <w:sz w:val="15"/>
                <w:szCs w:val="15"/>
                <w:color w:val="auto"/>
              </w:rPr>
              <w:t>Substandard</w:t>
            </w:r>
            <w:r>
              <w:rPr>
                <w:rFonts w:ascii="Arial" w:cs="Arial" w:eastAsia="Arial" w:hAnsi="Arial"/>
                <w:sz w:val="20"/>
                <w:szCs w:val="20"/>
                <w:color w:val="auto"/>
                <w:vertAlign w:val="superscript"/>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429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2,626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9,045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3,259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2,500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12,820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30,679</w:t>
            </w:r>
          </w:p>
        </w:tc>
      </w:tr>
      <w:tr>
        <w:trPr>
          <w:trHeight w:val="257"/>
        </w:trPr>
        <w:tc>
          <w:tcPr>
            <w:tcW w:w="3900" w:type="dxa"/>
            <w:vAlign w:val="bottom"/>
            <w:tcBorders>
              <w:bottom w:val="single" w:sz="8" w:color="2C6937"/>
            </w:tcBorders>
            <w:gridSpan w:val="2"/>
          </w:tcPr>
          <w:p>
            <w:pPr>
              <w:ind w:left="180"/>
              <w:spacing w:after="0"/>
              <w:rPr>
                <w:sz w:val="20"/>
                <w:szCs w:val="20"/>
                <w:color w:val="auto"/>
              </w:rPr>
            </w:pPr>
            <w:r>
              <w:rPr>
                <w:rFonts w:ascii="Arial" w:cs="Arial" w:eastAsia="Arial" w:hAnsi="Arial"/>
                <w:sz w:val="15"/>
                <w:szCs w:val="15"/>
                <w:color w:val="auto"/>
              </w:rPr>
              <w:t>Doubtful</w:t>
            </w:r>
            <w:r>
              <w:rPr>
                <w:rFonts w:ascii="Arial" w:cs="Arial" w:eastAsia="Arial" w:hAnsi="Arial"/>
                <w:sz w:val="20"/>
                <w:szCs w:val="20"/>
                <w:color w:val="auto"/>
                <w:vertAlign w:val="superscript"/>
              </w:rPr>
              <w:t>(5)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78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76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42</w:t>
            </w:r>
          </w:p>
        </w:tc>
        <w:tc>
          <w:tcPr>
            <w:tcW w:w="20" w:type="dxa"/>
            <w:vAlign w:val="bottom"/>
            <w:tcBorders>
              <w:bottom w:val="single" w:sz="8" w:color="2C6937"/>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62</w:t>
            </w:r>
          </w:p>
        </w:tc>
        <w:tc>
          <w:tcPr>
            <w:tcW w:w="60" w:type="dxa"/>
            <w:vAlign w:val="bottom"/>
            <w:tcBorders>
              <w:bottom w:val="single" w:sz="8" w:color="2C6937"/>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74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2C6937"/>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620" w:type="dxa"/>
            <w:vAlign w:val="bottom"/>
            <w:tcBorders>
              <w:bottom w:val="single" w:sz="8" w:color="2C6937"/>
            </w:tcBorders>
          </w:tcPr>
          <w:p>
            <w:pPr>
              <w:spacing w:after="0"/>
              <w:rPr>
                <w:sz w:val="22"/>
                <w:szCs w:val="22"/>
                <w:color w:val="auto"/>
              </w:rPr>
            </w:pPr>
          </w:p>
        </w:tc>
        <w:tc>
          <w:tcPr>
            <w:tcW w:w="240" w:type="dxa"/>
            <w:vAlign w:val="bottom"/>
            <w:tcBorders>
              <w:bottom w:val="single" w:sz="8" w:color="2C6937"/>
            </w:tcBorders>
            <w:gridSpan w:val="3"/>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2"/>
                <w:szCs w:val="22"/>
                <w:color w:val="auto"/>
              </w:rPr>
            </w:pPr>
          </w:p>
        </w:tc>
        <w:tc>
          <w:tcPr>
            <w:tcW w:w="120" w:type="dxa"/>
            <w:vAlign w:val="bottom"/>
            <w:tcBorders>
              <w:bottom w:val="single" w:sz="8" w:color="2C6937"/>
            </w:tcBorders>
          </w:tcPr>
          <w:p>
            <w:pPr>
              <w:spacing w:after="0"/>
              <w:rPr>
                <w:sz w:val="22"/>
                <w:szCs w:val="22"/>
                <w:color w:val="auto"/>
              </w:rPr>
            </w:pPr>
          </w:p>
        </w:tc>
        <w:tc>
          <w:tcPr>
            <w:tcW w:w="90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104</w:t>
            </w:r>
          </w:p>
        </w:tc>
      </w:tr>
      <w:tr>
        <w:trPr>
          <w:trHeight w:val="302"/>
        </w:trPr>
        <w:tc>
          <w:tcPr>
            <w:tcW w:w="3920" w:type="dxa"/>
            <w:vAlign w:val="bottom"/>
            <w:gridSpan w:val="3"/>
          </w:tcPr>
          <w:p>
            <w:pPr>
              <w:ind w:left="320"/>
              <w:spacing w:after="0"/>
              <w:rPr>
                <w:sz w:val="20"/>
                <w:szCs w:val="20"/>
                <w:color w:val="auto"/>
              </w:rPr>
            </w:pPr>
            <w:r>
              <w:rPr>
                <w:rFonts w:ascii="Arial" w:cs="Arial" w:eastAsia="Arial" w:hAnsi="Arial"/>
                <w:sz w:val="15"/>
                <w:szCs w:val="15"/>
                <w:color w:val="auto"/>
              </w:rPr>
              <w:t>Total</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50,350</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53,930</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58,780</w:t>
            </w:r>
          </w:p>
        </w:tc>
        <w:tc>
          <w:tcPr>
            <w:tcW w:w="26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63,361</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74,319</w:t>
            </w:r>
          </w:p>
        </w:tc>
        <w:tc>
          <w:tcPr>
            <w:tcW w:w="30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188,987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489,727</w:t>
            </w:r>
          </w:p>
        </w:tc>
      </w:tr>
      <w:tr>
        <w:trPr>
          <w:trHeight w:val="20"/>
        </w:trPr>
        <w:tc>
          <w:tcPr>
            <w:tcW w:w="390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40" w:type="dxa"/>
            <w:vAlign w:val="bottom"/>
            <w:tcBorders>
              <w:top w:val="single" w:sz="8" w:color="2C6937"/>
              <w:bottom w:val="single" w:sz="8" w:color="2C6937"/>
            </w:tcBorders>
            <w:gridSpan w:val="2"/>
          </w:tcPr>
          <w:p>
            <w:pPr>
              <w:spacing w:after="0" w:line="20" w:lineRule="exact"/>
              <w:rPr>
                <w:sz w:val="1"/>
                <w:szCs w:val="1"/>
                <w:color w:val="auto"/>
              </w:rPr>
            </w:pPr>
          </w:p>
        </w:tc>
        <w:tc>
          <w:tcPr>
            <w:tcW w:w="6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gridSpan w:val="2"/>
          </w:tcPr>
          <w:p>
            <w:pPr>
              <w:spacing w:after="0" w:line="20" w:lineRule="exact"/>
              <w:rPr>
                <w:sz w:val="1"/>
                <w:szCs w:val="1"/>
                <w:color w:val="auto"/>
              </w:rPr>
            </w:pPr>
          </w:p>
        </w:tc>
      </w:tr>
      <w:tr>
        <w:trPr>
          <w:trHeight w:val="223"/>
        </w:trPr>
        <w:tc>
          <w:tcPr>
            <w:tcW w:w="3920" w:type="dxa"/>
            <w:vAlign w:val="bottom"/>
            <w:gridSpan w:val="3"/>
          </w:tcPr>
          <w:p>
            <w:pPr>
              <w:ind w:left="440"/>
              <w:spacing w:after="0"/>
              <w:rPr>
                <w:sz w:val="20"/>
                <w:szCs w:val="20"/>
                <w:color w:val="auto"/>
              </w:rPr>
            </w:pPr>
            <w:r>
              <w:rPr>
                <w:rFonts w:ascii="Arial" w:cs="Arial" w:eastAsia="Arial" w:hAnsi="Arial"/>
                <w:sz w:val="15"/>
                <w:szCs w:val="15"/>
                <w:color w:val="auto"/>
              </w:rPr>
              <w:t>Current-year write-offs</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81</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192</w:t>
            </w:r>
          </w:p>
        </w:tc>
        <w:tc>
          <w:tcPr>
            <w:tcW w:w="260" w:type="dxa"/>
            <w:vAlign w:val="bottom"/>
            <w:gridSpan w:val="3"/>
          </w:tcPr>
          <w:p>
            <w:pPr>
              <w:ind w:left="14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16</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30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4"/>
          </w:tcPr>
          <w:p>
            <w:pPr>
              <w:jc w:val="right"/>
              <w:spacing w:after="0"/>
              <w:rPr>
                <w:sz w:val="20"/>
                <w:szCs w:val="20"/>
                <w:color w:val="auto"/>
              </w:rPr>
            </w:pPr>
            <w:r>
              <w:rPr>
                <w:rFonts w:ascii="Arial" w:cs="Arial" w:eastAsia="Arial" w:hAnsi="Arial"/>
                <w:sz w:val="15"/>
                <w:szCs w:val="15"/>
                <w:color w:val="auto"/>
              </w:rPr>
              <w:t>189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505</w:t>
            </w:r>
          </w:p>
        </w:tc>
      </w:tr>
    </w:tbl>
    <w:p>
      <w:pPr>
        <w:spacing w:after="0" w:line="58" w:lineRule="exact"/>
        <w:rPr>
          <w:sz w:val="20"/>
          <w:szCs w:val="20"/>
          <w:color w:val="auto"/>
        </w:rPr>
      </w:pPr>
    </w:p>
    <w:p>
      <w:pPr>
        <w:ind w:left="220" w:hanging="217"/>
        <w:spacing w:after="0"/>
        <w:tabs>
          <w:tab w:leader="none" w:pos="22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Year of loan origination may not be the same as the period in which we subsequently acquired the loan.</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A loan categorized as “Pass” is current or adequately protected by the current financial strength and debt service capability of the borrower.</w:t>
      </w:r>
    </w:p>
    <w:p>
      <w:pPr>
        <w:spacing w:after="0" w:line="25" w:lineRule="exact"/>
        <w:rPr>
          <w:rFonts w:ascii="Arial" w:cs="Arial" w:eastAsia="Arial" w:hAnsi="Arial"/>
          <w:sz w:val="18"/>
          <w:szCs w:val="18"/>
          <w:color w:val="auto"/>
          <w:vertAlign w:val="superscript"/>
        </w:rPr>
      </w:pPr>
    </w:p>
    <w:p>
      <w:pPr>
        <w:ind w:left="240" w:right="120" w:hanging="237"/>
        <w:spacing w:after="0" w:line="260" w:lineRule="auto"/>
        <w:tabs>
          <w:tab w:leader="none" w:pos="233" w:val="left"/>
        </w:tabs>
        <w:numPr>
          <w:ilvl w:val="0"/>
          <w:numId w:val="60"/>
        </w:numPr>
        <w:rPr>
          <w:rFonts w:ascii="Arial" w:cs="Arial" w:eastAsia="Arial" w:hAnsi="Arial"/>
          <w:sz w:val="9"/>
          <w:szCs w:val="9"/>
          <w:color w:val="auto"/>
        </w:rPr>
      </w:pPr>
      <w:r>
        <w:rPr>
          <w:rFonts w:ascii="Arial" w:cs="Arial" w:eastAsia="Arial" w:hAnsi="Arial"/>
          <w:sz w:val="14"/>
          <w:szCs w:val="14"/>
          <w:color w:val="auto"/>
        </w:rPr>
        <w:t>“Special mention” refers to loans that are otherwise performing but have potential weaknesses that, if left uncorrected, may result in deterioration in the borrower’s ability to repay in full.</w:t>
      </w:r>
    </w:p>
    <w:p>
      <w:pPr>
        <w:ind w:left="220" w:hanging="217"/>
        <w:spacing w:after="0"/>
        <w:tabs>
          <w:tab w:leader="none" w:pos="22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“Substandard” refers to loans that have a well-defined weakness that jeopardizes the timely full repayment.</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“Doubtful” refers to a loan with a weakness that makes collection or liquidation in full highly questionable and improbable based on existing conditions and values.</w:t>
      </w:r>
    </w:p>
    <w:p>
      <w:pPr>
        <w:spacing w:after="0" w:line="9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Loss Mitigation Options for Borrowers Experiencing Financial Difficulty</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As part of our loss mitigation activities, we offer several types of loan restructurings to assist borrowers who experience financial difficulties. We do not typically offer principal forgiveness to our single-family or multifamily borrowers. Below we provide disclosures relating to loan restructurings where borrowers were experiencing financial difficulty, including restructurings that resulted in an insignificant payment delay. The disclosures exclude loans classified as HFS and those for which we have elected the fair value option. See “Note 1, Summary of Significant Accounting Policies” in our 2024 Form 10-K for additional information on our accounting policies for single-family and multifamily loans that have been restructured. Also see “Note 4, Mortgage Loans” in our 2024 Form 10-K for additional information about our single-family and multifamily loss mitigation options.</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Restructurings for Borrowers Experiencing Financial Difficulty</w:t>
      </w:r>
    </w:p>
    <w:p>
      <w:pPr>
        <w:spacing w:after="0" w:line="63"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auto"/>
        </w:rPr>
        <w:t>The following tables display the amortized cost of HFI mortgage loans that were restructured, during the periods indicated, presented by portfolio segment and class of financing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334010</wp:posOffset>
            </wp:positionV>
            <wp:extent cx="680593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0" w:name="page81"/>
    <w:bookmarkEnd w:id="80"/>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860" w:type="dxa"/>
            <w:vAlign w:val="bottom"/>
            <w:tcBorders>
              <w:bottom w:val="single" w:sz="8" w:color="2C6937"/>
            </w:tcBorders>
            <w:gridSpan w:val="8"/>
          </w:tcPr>
          <w:p>
            <w:pPr>
              <w:jc w:val="center"/>
              <w:ind w:right="80"/>
              <w:spacing w:after="0"/>
              <w:rPr>
                <w:sz w:val="20"/>
                <w:szCs w:val="20"/>
                <w:color w:val="auto"/>
              </w:rPr>
            </w:pPr>
            <w:r>
              <w:rPr>
                <w:rFonts w:ascii="Arial" w:cs="Arial" w:eastAsia="Arial" w:hAnsi="Arial"/>
                <w:sz w:val="14"/>
                <w:szCs w:val="14"/>
                <w:b w:val="1"/>
                <w:bCs w:val="1"/>
                <w:color w:val="auto"/>
                <w:w w:val="98"/>
              </w:rPr>
              <w:t>For the Three Months Ended September 30, 2025</w:t>
            </w:r>
          </w:p>
        </w:tc>
        <w:tc>
          <w:tcPr>
            <w:tcW w:w="2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gridSpan w:val="6"/>
          </w:tcPr>
          <w:p>
            <w:pPr>
              <w:jc w:val="center"/>
              <w:spacing w:after="0"/>
              <w:rPr>
                <w:sz w:val="20"/>
                <w:szCs w:val="20"/>
                <w:color w:val="auto"/>
              </w:rPr>
            </w:pPr>
            <w:r>
              <w:rPr>
                <w:rFonts w:ascii="Arial" w:cs="Arial" w:eastAsia="Arial" w:hAnsi="Arial"/>
                <w:sz w:val="14"/>
                <w:szCs w:val="14"/>
                <w:b w:val="1"/>
                <w:bCs w:val="1"/>
                <w:color w:val="auto"/>
                <w:w w:val="98"/>
              </w:rPr>
              <w:t>Payment Delay (Only)</w:t>
            </w: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80"/>
              <w:spacing w:after="0" w:line="127" w:lineRule="exact"/>
              <w:rPr>
                <w:sz w:val="20"/>
                <w:szCs w:val="20"/>
                <w:color w:val="auto"/>
              </w:rPr>
            </w:pPr>
            <w:r>
              <w:rPr>
                <w:rFonts w:ascii="Arial" w:cs="Arial" w:eastAsia="Arial" w:hAnsi="Arial"/>
                <w:sz w:val="14"/>
                <w:szCs w:val="14"/>
                <w:b w:val="1"/>
                <w:bCs w:val="1"/>
                <w:color w:val="auto"/>
                <w:w w:val="96"/>
              </w:rPr>
              <w:t>Payment Delay,</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Trial Modification</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w:t>
            </w:r>
          </w:p>
        </w:tc>
        <w:tc>
          <w:tcPr>
            <w:tcW w:w="132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Term Extension,</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restart"/>
          </w:tcPr>
          <w:p>
            <w:pPr>
              <w:jc w:val="center"/>
              <w:ind w:left="25"/>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Interest Rate</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Forbearance Plan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8"/>
              </w:rPr>
              <w:t>Payment Deferral</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and Term</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Reduction, and</w:t>
            </w:r>
          </w:p>
        </w:tc>
        <w:tc>
          <w:tcPr>
            <w:tcW w:w="280" w:type="dxa"/>
            <w:vAlign w:val="bottom"/>
          </w:tcPr>
          <w:p>
            <w:pPr>
              <w:spacing w:after="0"/>
              <w:rPr>
                <w:sz w:val="12"/>
                <w:szCs w:val="12"/>
                <w:color w:val="auto"/>
              </w:rPr>
            </w:pPr>
          </w:p>
        </w:tc>
        <w:tc>
          <w:tcPr>
            <w:tcW w:w="94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25"/>
              <w:spacing w:after="0" w:line="142" w:lineRule="exact"/>
              <w:rPr>
                <w:sz w:val="20"/>
                <w:szCs w:val="20"/>
                <w:color w:val="auto"/>
              </w:rPr>
            </w:pPr>
            <w:r>
              <w:rPr>
                <w:rFonts w:ascii="Arial" w:cs="Arial" w:eastAsia="Arial" w:hAnsi="Arial"/>
                <w:sz w:val="14"/>
                <w:szCs w:val="14"/>
                <w:b w:val="1"/>
                <w:bCs w:val="1"/>
                <w:color w:val="auto"/>
                <w:w w:val="99"/>
              </w:rPr>
              <w:t>by Financing</w:t>
            </w: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2C6937"/>
            </w:tcBorders>
            <w:gridSpan w:val="2"/>
            <w:vMerge w:val="continue"/>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4"/>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Plans</w:t>
            </w: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Extension</w:t>
            </w:r>
            <w:r>
              <w:rPr>
                <w:rFonts w:ascii="Arial" w:cs="Arial" w:eastAsia="Arial" w:hAnsi="Arial"/>
                <w:sz w:val="8"/>
                <w:szCs w:val="8"/>
                <w:b w:val="1"/>
                <w:bCs w:val="1"/>
                <w:color w:val="auto"/>
              </w:rPr>
              <w:t>(1)</w:t>
            </w: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180"/>
              <w:spacing w:after="0" w:line="180" w:lineRule="exact"/>
              <w:rPr>
                <w:sz w:val="20"/>
                <w:szCs w:val="20"/>
                <w:color w:val="auto"/>
              </w:rPr>
            </w:pPr>
            <w:r>
              <w:rPr>
                <w:rFonts w:ascii="Arial" w:cs="Arial" w:eastAsia="Arial" w:hAnsi="Arial"/>
                <w:sz w:val="14"/>
                <w:szCs w:val="14"/>
                <w:b w:val="1"/>
                <w:bCs w:val="1"/>
                <w:color w:val="auto"/>
                <w:w w:val="93"/>
              </w:rPr>
              <w:t>Other</w:t>
            </w:r>
            <w:r>
              <w:rPr>
                <w:rFonts w:ascii="Arial" w:cs="Arial" w:eastAsia="Arial" w:hAnsi="Arial"/>
                <w:sz w:val="17"/>
                <w:szCs w:val="17"/>
                <w:b w:val="1"/>
                <w:bCs w:val="1"/>
                <w:color w:val="auto"/>
                <w:w w:val="93"/>
                <w:vertAlign w:val="superscript"/>
              </w:rPr>
              <w:t>(1)</w:t>
            </w:r>
          </w:p>
        </w:tc>
        <w:tc>
          <w:tcPr>
            <w:tcW w:w="2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440" w:type="dxa"/>
            <w:vAlign w:val="bottom"/>
            <w:tcBorders>
              <w:bottom w:val="single" w:sz="8" w:color="2C6937"/>
            </w:tcBorders>
          </w:tcPr>
          <w:p>
            <w:pPr>
              <w:jc w:val="center"/>
              <w:ind w:left="25"/>
              <w:spacing w:after="0"/>
              <w:rPr>
                <w:sz w:val="20"/>
                <w:szCs w:val="20"/>
                <w:color w:val="auto"/>
              </w:rPr>
            </w:pPr>
            <w:r>
              <w:rPr>
                <w:rFonts w:ascii="Arial" w:cs="Arial" w:eastAsia="Arial" w:hAnsi="Arial"/>
                <w:sz w:val="14"/>
                <w:szCs w:val="14"/>
                <w:b w:val="1"/>
                <w:bCs w:val="1"/>
                <w:color w:val="auto"/>
                <w:w w:val="97"/>
              </w:rPr>
              <w:t>Class</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4,809</w:t>
            </w:r>
          </w:p>
        </w:tc>
        <w:tc>
          <w:tcPr>
            <w:tcW w:w="560" w:type="dxa"/>
            <w:vAlign w:val="bottom"/>
            <w:gridSpan w:val="3"/>
          </w:tcPr>
          <w:p>
            <w:pPr>
              <w:jc w:val="right"/>
              <w:ind w:right="268"/>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2,404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5,277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2,837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226</w:t>
            </w:r>
          </w:p>
        </w:tc>
        <w:tc>
          <w:tcPr>
            <w:tcW w:w="10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15,553</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420</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51</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w:t>
            </w:r>
          </w:p>
        </w:tc>
        <w:tc>
          <w:tcPr>
            <w:tcW w:w="4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24</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116</w:t>
            </w:r>
          </w:p>
        </w:tc>
        <w:tc>
          <w:tcPr>
            <w:tcW w:w="1440" w:type="dxa"/>
            <w:vAlign w:val="bottom"/>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24"/>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5,014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2,504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5,479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2,909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16,140</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474</w:t>
            </w:r>
          </w:p>
        </w:tc>
        <w:tc>
          <w:tcPr>
            <w:tcW w:w="4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589</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1880" w:type="dxa"/>
            <w:vAlign w:val="bottom"/>
            <w:tcBorders>
              <w:bottom w:val="single" w:sz="8" w:color="2C6937"/>
            </w:tcBorders>
          </w:tcPr>
          <w:p>
            <w:pPr>
              <w:ind w:left="180"/>
              <w:spacing w:after="0" w:line="226"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100" w:type="dxa"/>
            <w:vAlign w:val="bottom"/>
          </w:tcPr>
          <w:p>
            <w:pPr>
              <w:spacing w:after="0"/>
              <w:rPr>
                <w:sz w:val="19"/>
                <w:szCs w:val="19"/>
                <w:color w:val="auto"/>
              </w:rPr>
            </w:pPr>
          </w:p>
        </w:tc>
        <w:tc>
          <w:tcPr>
            <w:tcW w:w="440" w:type="dxa"/>
            <w:vAlign w:val="bottom"/>
            <w:tcBorders>
              <w:bottom w:val="single" w:sz="8" w:color="2C6937"/>
            </w:tcBorders>
          </w:tcPr>
          <w:p>
            <w:pPr>
              <w:jc w:val="right"/>
              <w:ind w:right="266"/>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5,488</w:t>
            </w:r>
          </w:p>
        </w:tc>
        <w:tc>
          <w:tcPr>
            <w:tcW w:w="4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2C6937"/>
            </w:tcBorders>
          </w:tcPr>
          <w:p>
            <w:pPr>
              <w:jc w:val="right"/>
              <w:ind w:right="268"/>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2,504</w:t>
            </w:r>
          </w:p>
        </w:tc>
        <w:tc>
          <w:tcPr>
            <w:tcW w:w="80" w:type="dxa"/>
            <w:vAlign w:val="bottom"/>
          </w:tcPr>
          <w:p>
            <w:pPr>
              <w:spacing w:after="0"/>
              <w:rPr>
                <w:sz w:val="19"/>
                <w:szCs w:val="19"/>
                <w:color w:val="auto"/>
              </w:rPr>
            </w:pPr>
          </w:p>
        </w:tc>
        <w:tc>
          <w:tcPr>
            <w:tcW w:w="20" w:type="dxa"/>
            <w:vAlign w:val="bottom"/>
            <w:tcBorders>
              <w:bottom w:val="single" w:sz="8" w:color="2C6937"/>
            </w:tcBorders>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5,479</w:t>
            </w:r>
          </w:p>
        </w:tc>
        <w:tc>
          <w:tcPr>
            <w:tcW w:w="1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2,909</w:t>
            </w:r>
          </w:p>
        </w:tc>
        <w:tc>
          <w:tcPr>
            <w:tcW w:w="8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349</w:t>
            </w:r>
          </w:p>
        </w:tc>
        <w:tc>
          <w:tcPr>
            <w:tcW w:w="100" w:type="dxa"/>
            <w:vAlign w:val="bottom"/>
          </w:tcPr>
          <w:p>
            <w:pPr>
              <w:spacing w:after="0"/>
              <w:rPr>
                <w:sz w:val="19"/>
                <w:szCs w:val="19"/>
                <w:color w:val="auto"/>
              </w:rPr>
            </w:pPr>
          </w:p>
        </w:tc>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16,729</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860" w:type="dxa"/>
            <w:vAlign w:val="bottom"/>
            <w:tcBorders>
              <w:bottom w:val="single" w:sz="8" w:color="2C6937"/>
            </w:tcBorders>
            <w:gridSpan w:val="8"/>
          </w:tcPr>
          <w:p>
            <w:pPr>
              <w:jc w:val="center"/>
              <w:ind w:right="80"/>
              <w:spacing w:after="0"/>
              <w:rPr>
                <w:sz w:val="20"/>
                <w:szCs w:val="20"/>
                <w:color w:val="auto"/>
              </w:rPr>
            </w:pPr>
            <w:r>
              <w:rPr>
                <w:rFonts w:ascii="Arial" w:cs="Arial" w:eastAsia="Arial" w:hAnsi="Arial"/>
                <w:sz w:val="14"/>
                <w:szCs w:val="14"/>
                <w:b w:val="1"/>
                <w:bCs w:val="1"/>
                <w:color w:val="auto"/>
                <w:w w:val="97"/>
              </w:rPr>
              <w:t>For the Nine Months Ended September 30, 2025</w:t>
            </w:r>
          </w:p>
        </w:tc>
        <w:tc>
          <w:tcPr>
            <w:tcW w:w="28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gridSpan w:val="6"/>
          </w:tcPr>
          <w:p>
            <w:pPr>
              <w:jc w:val="center"/>
              <w:spacing w:after="0"/>
              <w:rPr>
                <w:sz w:val="20"/>
                <w:szCs w:val="20"/>
                <w:color w:val="auto"/>
              </w:rPr>
            </w:pPr>
            <w:r>
              <w:rPr>
                <w:rFonts w:ascii="Arial" w:cs="Arial" w:eastAsia="Arial" w:hAnsi="Arial"/>
                <w:sz w:val="14"/>
                <w:szCs w:val="14"/>
                <w:b w:val="1"/>
                <w:bCs w:val="1"/>
                <w:color w:val="auto"/>
                <w:w w:val="98"/>
              </w:rPr>
              <w:t>Payment Delay (Only)</w:t>
            </w:r>
          </w:p>
        </w:tc>
        <w:tc>
          <w:tcPr>
            <w:tcW w:w="10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80"/>
              <w:spacing w:after="0" w:line="127" w:lineRule="exact"/>
              <w:rPr>
                <w:sz w:val="20"/>
                <w:szCs w:val="20"/>
                <w:color w:val="auto"/>
              </w:rPr>
            </w:pPr>
            <w:r>
              <w:rPr>
                <w:rFonts w:ascii="Arial" w:cs="Arial" w:eastAsia="Arial" w:hAnsi="Arial"/>
                <w:sz w:val="14"/>
                <w:szCs w:val="14"/>
                <w:b w:val="1"/>
                <w:bCs w:val="1"/>
                <w:color w:val="auto"/>
                <w:w w:val="96"/>
              </w:rPr>
              <w:t>Payment Delay,</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Trial Modification</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w:t>
            </w:r>
          </w:p>
        </w:tc>
        <w:tc>
          <w:tcPr>
            <w:tcW w:w="132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Term Extension,</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restart"/>
          </w:tcPr>
          <w:p>
            <w:pPr>
              <w:jc w:val="center"/>
              <w:ind w:left="25"/>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Interest Rate</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Forbearance Plan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8"/>
              </w:rPr>
              <w:t>Payment Deferral</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and Term</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Reduction, and</w:t>
            </w:r>
          </w:p>
        </w:tc>
        <w:tc>
          <w:tcPr>
            <w:tcW w:w="280" w:type="dxa"/>
            <w:vAlign w:val="bottom"/>
          </w:tcPr>
          <w:p>
            <w:pPr>
              <w:spacing w:after="0"/>
              <w:rPr>
                <w:sz w:val="12"/>
                <w:szCs w:val="12"/>
                <w:color w:val="auto"/>
              </w:rPr>
            </w:pPr>
          </w:p>
        </w:tc>
        <w:tc>
          <w:tcPr>
            <w:tcW w:w="94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5"/>
              <w:spacing w:after="0" w:line="142" w:lineRule="exact"/>
              <w:rPr>
                <w:sz w:val="20"/>
                <w:szCs w:val="20"/>
                <w:color w:val="auto"/>
              </w:rPr>
            </w:pPr>
            <w:r>
              <w:rPr>
                <w:rFonts w:ascii="Arial" w:cs="Arial" w:eastAsia="Arial" w:hAnsi="Arial"/>
                <w:sz w:val="14"/>
                <w:szCs w:val="14"/>
                <w:b w:val="1"/>
                <w:bCs w:val="1"/>
                <w:color w:val="auto"/>
                <w:w w:val="96"/>
              </w:rPr>
              <w:t>Total by Financing</w:t>
            </w: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2C6937"/>
            </w:tcBorders>
            <w:gridSpan w:val="2"/>
            <w:vMerge w:val="continue"/>
          </w:tcPr>
          <w:p>
            <w:pPr>
              <w:spacing w:after="0"/>
              <w:rPr>
                <w:sz w:val="15"/>
                <w:szCs w:val="15"/>
                <w:color w:val="auto"/>
              </w:rPr>
            </w:pPr>
          </w:p>
        </w:tc>
        <w:tc>
          <w:tcPr>
            <w:tcW w:w="40" w:type="dxa"/>
            <w:vAlign w:val="bottom"/>
            <w:tcBorders>
              <w:bottom w:val="single" w:sz="8" w:color="2C6937"/>
            </w:tcBorders>
          </w:tcPr>
          <w:p>
            <w:pPr>
              <w:spacing w:after="0"/>
              <w:rPr>
                <w:sz w:val="15"/>
                <w:szCs w:val="15"/>
                <w:color w:val="auto"/>
              </w:rPr>
            </w:pPr>
          </w:p>
        </w:tc>
        <w:tc>
          <w:tcPr>
            <w:tcW w:w="80" w:type="dxa"/>
            <w:vAlign w:val="bottom"/>
            <w:tcBorders>
              <w:bottom w:val="single" w:sz="8" w:color="2C6937"/>
            </w:tcBorders>
          </w:tcPr>
          <w:p>
            <w:pPr>
              <w:spacing w:after="0"/>
              <w:rPr>
                <w:sz w:val="15"/>
                <w:szCs w:val="15"/>
                <w:color w:val="auto"/>
              </w:rPr>
            </w:pPr>
          </w:p>
        </w:tc>
        <w:tc>
          <w:tcPr>
            <w:tcW w:w="1320" w:type="dxa"/>
            <w:vAlign w:val="bottom"/>
            <w:tcBorders>
              <w:bottom w:val="single" w:sz="8" w:color="2C6937"/>
            </w:tcBorders>
            <w:gridSpan w:val="4"/>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Plans</w:t>
            </w: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Extension</w:t>
            </w:r>
            <w:r>
              <w:rPr>
                <w:rFonts w:ascii="Arial" w:cs="Arial" w:eastAsia="Arial" w:hAnsi="Arial"/>
                <w:sz w:val="8"/>
                <w:szCs w:val="8"/>
                <w:b w:val="1"/>
                <w:bCs w:val="1"/>
                <w:color w:val="auto"/>
              </w:rPr>
              <w:t>(1)</w:t>
            </w:r>
          </w:p>
        </w:tc>
        <w:tc>
          <w:tcPr>
            <w:tcW w:w="1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180"/>
              <w:spacing w:after="0" w:line="180" w:lineRule="exact"/>
              <w:rPr>
                <w:sz w:val="20"/>
                <w:szCs w:val="20"/>
                <w:color w:val="auto"/>
              </w:rPr>
            </w:pPr>
            <w:r>
              <w:rPr>
                <w:rFonts w:ascii="Arial" w:cs="Arial" w:eastAsia="Arial" w:hAnsi="Arial"/>
                <w:sz w:val="14"/>
                <w:szCs w:val="14"/>
                <w:b w:val="1"/>
                <w:bCs w:val="1"/>
                <w:color w:val="auto"/>
                <w:w w:val="93"/>
              </w:rPr>
              <w:t>Other</w:t>
            </w:r>
            <w:r>
              <w:rPr>
                <w:rFonts w:ascii="Arial" w:cs="Arial" w:eastAsia="Arial" w:hAnsi="Arial"/>
                <w:sz w:val="17"/>
                <w:szCs w:val="17"/>
                <w:b w:val="1"/>
                <w:bCs w:val="1"/>
                <w:color w:val="auto"/>
                <w:w w:val="93"/>
                <w:vertAlign w:val="superscript"/>
              </w:rPr>
              <w:t>(1)</w:t>
            </w:r>
          </w:p>
        </w:tc>
        <w:tc>
          <w:tcPr>
            <w:tcW w:w="2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440" w:type="dxa"/>
            <w:vAlign w:val="bottom"/>
            <w:tcBorders>
              <w:bottom w:val="single" w:sz="8" w:color="2C6937"/>
            </w:tcBorders>
          </w:tcPr>
          <w:p>
            <w:pPr>
              <w:jc w:val="center"/>
              <w:ind w:left="25"/>
              <w:spacing w:after="0"/>
              <w:rPr>
                <w:sz w:val="20"/>
                <w:szCs w:val="20"/>
                <w:color w:val="auto"/>
              </w:rPr>
            </w:pPr>
            <w:r>
              <w:rPr>
                <w:rFonts w:ascii="Arial" w:cs="Arial" w:eastAsia="Arial" w:hAnsi="Arial"/>
                <w:sz w:val="14"/>
                <w:szCs w:val="14"/>
                <w:b w:val="1"/>
                <w:bCs w:val="1"/>
                <w:color w:val="auto"/>
                <w:w w:val="97"/>
              </w:rPr>
              <w:t>Class</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7,866</w:t>
            </w:r>
          </w:p>
        </w:tc>
        <w:tc>
          <w:tcPr>
            <w:tcW w:w="560" w:type="dxa"/>
            <w:vAlign w:val="bottom"/>
            <w:gridSpan w:val="3"/>
          </w:tcPr>
          <w:p>
            <w:pPr>
              <w:jc w:val="right"/>
              <w:ind w:right="268"/>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8,268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9,312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8,427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575</w:t>
            </w:r>
          </w:p>
        </w:tc>
        <w:tc>
          <w:tcPr>
            <w:tcW w:w="10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34,448</w:t>
            </w:r>
          </w:p>
        </w:tc>
        <w:tc>
          <w:tcPr>
            <w:tcW w:w="1440" w:type="dxa"/>
            <w:vAlign w:val="bottom"/>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196"/>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272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890</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111</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w:t>
            </w:r>
          </w:p>
        </w:tc>
        <w:tc>
          <w:tcPr>
            <w:tcW w:w="4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79</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295</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4"/>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8,228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8,630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9,709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8,574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35,744</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587</w:t>
            </w:r>
          </w:p>
        </w:tc>
        <w:tc>
          <w:tcPr>
            <w:tcW w:w="4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138</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725</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1980" w:type="dxa"/>
            <w:vAlign w:val="bottom"/>
            <w:gridSpan w:val="2"/>
          </w:tcPr>
          <w:p>
            <w:pPr>
              <w:ind w:left="180"/>
              <w:spacing w:after="0" w:line="226"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440" w:type="dxa"/>
            <w:vAlign w:val="bottom"/>
          </w:tcPr>
          <w:p>
            <w:pPr>
              <w:jc w:val="right"/>
              <w:ind w:right="266"/>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8,815</w:t>
            </w:r>
          </w:p>
        </w:tc>
        <w:tc>
          <w:tcPr>
            <w:tcW w:w="560" w:type="dxa"/>
            <w:vAlign w:val="bottom"/>
            <w:gridSpan w:val="3"/>
          </w:tcPr>
          <w:p>
            <w:pPr>
              <w:jc w:val="right"/>
              <w:ind w:right="268"/>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8,630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9,709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8,574</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741</w:t>
            </w:r>
          </w:p>
        </w:tc>
        <w:tc>
          <w:tcPr>
            <w:tcW w:w="100" w:type="dxa"/>
            <w:vAlign w:val="bottom"/>
          </w:tcPr>
          <w:p>
            <w:pPr>
              <w:spacing w:after="0"/>
              <w:rPr>
                <w:sz w:val="19"/>
                <w:szCs w:val="19"/>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36,469</w:t>
            </w:r>
          </w:p>
        </w:tc>
        <w:tc>
          <w:tcPr>
            <w:tcW w:w="1440" w:type="dxa"/>
            <w:vAlign w:val="bottom"/>
          </w:tcPr>
          <w:p>
            <w:pPr>
              <w:jc w:val="right"/>
              <w:ind w:right="145"/>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1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76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622300</wp:posOffset>
            </wp:positionV>
            <wp:extent cx="680593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1" w:name="page82"/>
    <w:bookmarkEnd w:id="81"/>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tcPr>
          <w:p>
            <w:pPr>
              <w:spacing w:after="0"/>
              <w:rPr>
                <w:sz w:val="17"/>
                <w:szCs w:val="17"/>
                <w:color w:val="auto"/>
              </w:rPr>
            </w:pPr>
          </w:p>
        </w:tc>
        <w:tc>
          <w:tcPr>
            <w:tcW w:w="78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3880" w:type="dxa"/>
            <w:vAlign w:val="bottom"/>
            <w:tcBorders>
              <w:bottom w:val="single" w:sz="8" w:color="2C6937"/>
            </w:tcBorders>
            <w:gridSpan w:val="8"/>
          </w:tcPr>
          <w:p>
            <w:pPr>
              <w:jc w:val="center"/>
              <w:ind w:right="60"/>
              <w:spacing w:after="0"/>
              <w:rPr>
                <w:sz w:val="20"/>
                <w:szCs w:val="20"/>
                <w:color w:val="auto"/>
              </w:rPr>
            </w:pPr>
            <w:r>
              <w:rPr>
                <w:rFonts w:ascii="Arial" w:cs="Arial" w:eastAsia="Arial" w:hAnsi="Arial"/>
                <w:sz w:val="14"/>
                <w:szCs w:val="14"/>
                <w:b w:val="1"/>
                <w:bCs w:val="1"/>
                <w:color w:val="auto"/>
                <w:w w:val="98"/>
              </w:rPr>
              <w:t>For the Three Months Ended September 30, 2024</w:t>
            </w:r>
          </w:p>
        </w:tc>
        <w:tc>
          <w:tcPr>
            <w:tcW w:w="28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1420" w:type="dxa"/>
            <w:vAlign w:val="bottom"/>
            <w:tcBorders>
              <w:bottom w:val="single" w:sz="8" w:color="2C6937"/>
            </w:tcBorders>
            <w:gridSpan w:val="5"/>
          </w:tcPr>
          <w:p>
            <w:pPr>
              <w:jc w:val="center"/>
              <w:spacing w:after="0"/>
              <w:rPr>
                <w:sz w:val="20"/>
                <w:szCs w:val="20"/>
                <w:color w:val="auto"/>
              </w:rPr>
            </w:pPr>
            <w:r>
              <w:rPr>
                <w:rFonts w:ascii="Arial" w:cs="Arial" w:eastAsia="Arial" w:hAnsi="Arial"/>
                <w:sz w:val="14"/>
                <w:szCs w:val="14"/>
                <w:b w:val="1"/>
                <w:bCs w:val="1"/>
                <w:color w:val="auto"/>
                <w:w w:val="97"/>
              </w:rPr>
              <w:t>Payment Delay (Only)</w:t>
            </w:r>
          </w:p>
        </w:tc>
        <w:tc>
          <w:tcPr>
            <w:tcW w:w="10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Trial Modification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Payment Delay</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96"/>
              </w:rPr>
              <w:t>Payment Delay,</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vMerge w:val="restart"/>
          </w:tcPr>
          <w:p>
            <w:pPr>
              <w:jc w:val="center"/>
              <w:ind w:left="27"/>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7"/>
              </w:rPr>
              <w:t>Term Extension</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Forbearance Plan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Payment Deferral</w:t>
            </w:r>
          </w:p>
        </w:tc>
        <w:tc>
          <w:tcPr>
            <w:tcW w:w="100" w:type="dxa"/>
            <w:vAlign w:val="bottom"/>
          </w:tcPr>
          <w:p>
            <w:pPr>
              <w:spacing w:after="0"/>
              <w:rPr>
                <w:sz w:val="12"/>
                <w:szCs w:val="12"/>
                <w:color w:val="auto"/>
              </w:rPr>
            </w:pPr>
          </w:p>
        </w:tc>
        <w:tc>
          <w:tcPr>
            <w:tcW w:w="1140" w:type="dxa"/>
            <w:vAlign w:val="bottom"/>
          </w:tcPr>
          <w:p>
            <w:pPr>
              <w:jc w:val="center"/>
              <w:ind w:right="47"/>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and Term</w:t>
            </w:r>
          </w:p>
        </w:tc>
        <w:tc>
          <w:tcPr>
            <w:tcW w:w="134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and Interest Rate</w:t>
            </w:r>
          </w:p>
        </w:tc>
        <w:tc>
          <w:tcPr>
            <w:tcW w:w="280" w:type="dxa"/>
            <w:vAlign w:val="bottom"/>
          </w:tcPr>
          <w:p>
            <w:pPr>
              <w:spacing w:after="0"/>
              <w:rPr>
                <w:sz w:val="12"/>
                <w:szCs w:val="12"/>
                <w:color w:val="auto"/>
              </w:rPr>
            </w:pPr>
          </w:p>
        </w:tc>
        <w:tc>
          <w:tcPr>
            <w:tcW w:w="94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27"/>
              <w:spacing w:after="0" w:line="142" w:lineRule="exact"/>
              <w:rPr>
                <w:sz w:val="20"/>
                <w:szCs w:val="20"/>
                <w:color w:val="auto"/>
              </w:rPr>
            </w:pPr>
            <w:r>
              <w:rPr>
                <w:rFonts w:ascii="Arial" w:cs="Arial" w:eastAsia="Arial" w:hAnsi="Arial"/>
                <w:sz w:val="14"/>
                <w:szCs w:val="14"/>
                <w:b w:val="1"/>
                <w:bCs w:val="1"/>
                <w:color w:val="auto"/>
                <w:w w:val="99"/>
              </w:rPr>
              <w:t>by Financing</w:t>
            </w: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2C6937"/>
            </w:tcBorders>
            <w:gridSpan w:val="2"/>
            <w:vMerge w:val="continue"/>
          </w:tcPr>
          <w:p>
            <w:pPr>
              <w:spacing w:after="0"/>
              <w:rPr>
                <w:sz w:val="15"/>
                <w:szCs w:val="15"/>
                <w:color w:val="auto"/>
              </w:rPr>
            </w:pPr>
          </w:p>
        </w:tc>
        <w:tc>
          <w:tcPr>
            <w:tcW w:w="2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3"/>
            <w:vMerge w:val="continue"/>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140" w:type="dxa"/>
            <w:vAlign w:val="bottom"/>
            <w:tcBorders>
              <w:bottom w:val="single" w:sz="8" w:color="2C6937"/>
            </w:tcBorders>
          </w:tcPr>
          <w:p>
            <w:pPr>
              <w:jc w:val="center"/>
              <w:ind w:right="47"/>
              <w:spacing w:after="0"/>
              <w:rPr>
                <w:sz w:val="20"/>
                <w:szCs w:val="20"/>
                <w:color w:val="auto"/>
              </w:rPr>
            </w:pPr>
            <w:r>
              <w:rPr>
                <w:rFonts w:ascii="Arial" w:cs="Arial" w:eastAsia="Arial" w:hAnsi="Arial"/>
                <w:sz w:val="14"/>
                <w:szCs w:val="14"/>
                <w:b w:val="1"/>
                <w:bCs w:val="1"/>
                <w:color w:val="auto"/>
              </w:rPr>
              <w:t>Plans</w:t>
            </w:r>
          </w:p>
        </w:tc>
        <w:tc>
          <w:tcPr>
            <w:tcW w:w="80" w:type="dxa"/>
            <w:vAlign w:val="bottom"/>
            <w:tcBorders>
              <w:bottom w:val="single" w:sz="8" w:color="2C6937"/>
            </w:tcBorders>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9"/>
              </w:rPr>
              <w:t>Extension</w:t>
            </w:r>
            <w:r>
              <w:rPr>
                <w:rFonts w:ascii="Arial" w:cs="Arial" w:eastAsia="Arial" w:hAnsi="Arial"/>
                <w:sz w:val="8"/>
                <w:szCs w:val="8"/>
                <w:b w:val="1"/>
                <w:bCs w:val="1"/>
                <w:color w:val="auto"/>
                <w:w w:val="99"/>
              </w:rPr>
              <w:t>(1)</w:t>
            </w:r>
          </w:p>
        </w:tc>
        <w:tc>
          <w:tcPr>
            <w:tcW w:w="12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00"/>
              <w:spacing w:after="0" w:line="180" w:lineRule="exact"/>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2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440" w:type="dxa"/>
            <w:vAlign w:val="bottom"/>
            <w:tcBorders>
              <w:bottom w:val="single" w:sz="8" w:color="2C6937"/>
            </w:tcBorders>
          </w:tcPr>
          <w:p>
            <w:pPr>
              <w:jc w:val="center"/>
              <w:ind w:left="27"/>
              <w:spacing w:after="0"/>
              <w:rPr>
                <w:sz w:val="20"/>
                <w:szCs w:val="20"/>
                <w:color w:val="auto"/>
              </w:rPr>
            </w:pPr>
            <w:r>
              <w:rPr>
                <w:rFonts w:ascii="Arial" w:cs="Arial" w:eastAsia="Arial" w:hAnsi="Arial"/>
                <w:sz w:val="14"/>
                <w:szCs w:val="14"/>
                <w:b w:val="1"/>
                <w:bCs w:val="1"/>
                <w:color w:val="auto"/>
                <w:w w:val="97"/>
              </w:rPr>
              <w:t>Class</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tcPr>
          <w:p>
            <w:pPr>
              <w:ind w:left="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5,782</w:t>
            </w:r>
          </w:p>
        </w:tc>
        <w:tc>
          <w:tcPr>
            <w:tcW w:w="540" w:type="dxa"/>
            <w:vAlign w:val="bottom"/>
            <w:gridSpan w:val="3"/>
          </w:tcPr>
          <w:p>
            <w:pPr>
              <w:jc w:val="right"/>
              <w:ind w:right="248"/>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2,379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7"/>
              <w:spacing w:after="0"/>
              <w:rPr>
                <w:sz w:val="20"/>
                <w:szCs w:val="20"/>
                <w:color w:val="auto"/>
              </w:rPr>
            </w:pPr>
            <w:r>
              <w:rPr>
                <w:rFonts w:ascii="Arial" w:cs="Arial" w:eastAsia="Arial" w:hAnsi="Arial"/>
                <w:sz w:val="15"/>
                <w:szCs w:val="15"/>
                <w:color w:val="auto"/>
              </w:rPr>
              <w:t>4,315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2,405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14,934</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7"/>
              <w:spacing w:after="0"/>
              <w:rPr>
                <w:sz w:val="20"/>
                <w:szCs w:val="20"/>
                <w:color w:val="auto"/>
              </w:rPr>
            </w:pPr>
            <w:r>
              <w:rPr>
                <w:rFonts w:ascii="Arial" w:cs="Arial" w:eastAsia="Arial" w:hAnsi="Arial"/>
                <w:sz w:val="15"/>
                <w:szCs w:val="15"/>
                <w:color w:val="auto"/>
              </w:rPr>
              <w:t>140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457</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7"/>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57</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7"/>
        </w:trPr>
        <w:tc>
          <w:tcPr>
            <w:tcW w:w="1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9"/>
                <w:szCs w:val="19"/>
                <w:color w:val="auto"/>
              </w:rPr>
            </w:pPr>
          </w:p>
        </w:tc>
        <w:tc>
          <w:tcPr>
            <w:tcW w:w="440" w:type="dxa"/>
            <w:vAlign w:val="bottom"/>
            <w:tcBorders>
              <w:bottom w:val="single" w:sz="8" w:color="2C6937"/>
            </w:tcBorders>
          </w:tcPr>
          <w:p>
            <w:pPr>
              <w:spacing w:after="0"/>
              <w:rPr>
                <w:sz w:val="19"/>
                <w:szCs w:val="19"/>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w:t>
            </w: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2C6937"/>
            </w:tcBorders>
          </w:tcPr>
          <w:p>
            <w:pPr>
              <w:spacing w:after="0"/>
              <w:rPr>
                <w:sz w:val="19"/>
                <w:szCs w:val="19"/>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14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9"/>
                <w:szCs w:val="19"/>
                <w:color w:val="auto"/>
              </w:rPr>
            </w:pPr>
          </w:p>
        </w:tc>
        <w:tc>
          <w:tcPr>
            <w:tcW w:w="120" w:type="dxa"/>
            <w:vAlign w:val="bottom"/>
            <w:tcBorders>
              <w:bottom w:val="single" w:sz="8" w:color="2C6937"/>
            </w:tcBorders>
          </w:tcPr>
          <w:p>
            <w:pPr>
              <w:spacing w:after="0"/>
              <w:rPr>
                <w:sz w:val="19"/>
                <w:szCs w:val="19"/>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9"/>
                <w:szCs w:val="19"/>
                <w:color w:val="auto"/>
              </w:rPr>
            </w:pPr>
          </w:p>
        </w:tc>
        <w:tc>
          <w:tcPr>
            <w:tcW w:w="2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136</w:t>
            </w:r>
          </w:p>
        </w:tc>
        <w:tc>
          <w:tcPr>
            <w:tcW w:w="1440" w:type="dxa"/>
            <w:vAlign w:val="bottom"/>
          </w:tcPr>
          <w:p>
            <w:pPr>
              <w:ind w:left="1160"/>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6,082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2,489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7"/>
              <w:spacing w:after="0"/>
              <w:rPr>
                <w:sz w:val="20"/>
                <w:szCs w:val="20"/>
                <w:color w:val="auto"/>
              </w:rPr>
            </w:pPr>
            <w:r>
              <w:rPr>
                <w:rFonts w:ascii="Arial" w:cs="Arial" w:eastAsia="Arial" w:hAnsi="Arial"/>
                <w:sz w:val="15"/>
                <w:szCs w:val="15"/>
                <w:color w:val="auto"/>
              </w:rPr>
              <w:t>4,522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2,428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15,584</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328</w:t>
            </w:r>
          </w:p>
        </w:tc>
        <w:tc>
          <w:tcPr>
            <w:tcW w:w="20" w:type="dxa"/>
            <w:vAlign w:val="bottom"/>
            <w:tcBorders>
              <w:bottom w:val="single" w:sz="8" w:color="2C6937"/>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280" w:type="dxa"/>
            <w:vAlign w:val="bottom"/>
            <w:tcBorders>
              <w:bottom w:val="single" w:sz="8" w:color="2C6937"/>
            </w:tcBorders>
          </w:tcPr>
          <w:p>
            <w:pPr>
              <w:spacing w:after="0"/>
              <w:rPr>
                <w:sz w:val="20"/>
                <w:szCs w:val="20"/>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388</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1880" w:type="dxa"/>
            <w:vAlign w:val="bottom"/>
            <w:tcBorders>
              <w:bottom w:val="single" w:sz="8" w:color="2C6937"/>
            </w:tcBorders>
          </w:tcPr>
          <w:p>
            <w:pPr>
              <w:ind w:left="180"/>
              <w:spacing w:after="0" w:line="226" w:lineRule="exact"/>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100" w:type="dxa"/>
            <w:vAlign w:val="bottom"/>
          </w:tcPr>
          <w:p>
            <w:pPr>
              <w:spacing w:after="0"/>
              <w:rPr>
                <w:sz w:val="19"/>
                <w:szCs w:val="19"/>
                <w:color w:val="auto"/>
              </w:rPr>
            </w:pPr>
          </w:p>
        </w:tc>
        <w:tc>
          <w:tcPr>
            <w:tcW w:w="4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6,410</w:t>
            </w:r>
          </w:p>
        </w:tc>
        <w:tc>
          <w:tcPr>
            <w:tcW w:w="2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2C6937"/>
            </w:tcBorders>
          </w:tcPr>
          <w:p>
            <w:pPr>
              <w:jc w:val="right"/>
              <w:ind w:right="248"/>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2,489</w:t>
            </w:r>
          </w:p>
        </w:tc>
        <w:tc>
          <w:tcPr>
            <w:tcW w:w="10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4,522</w:t>
            </w:r>
          </w:p>
        </w:tc>
        <w:tc>
          <w:tcPr>
            <w:tcW w:w="8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2C6937"/>
            </w:tcBorders>
          </w:tcPr>
          <w:p>
            <w:pPr>
              <w:jc w:val="right"/>
              <w:ind w:right="7"/>
              <w:spacing w:after="0"/>
              <w:rPr>
                <w:sz w:val="20"/>
                <w:szCs w:val="20"/>
                <w:color w:val="auto"/>
              </w:rPr>
            </w:pPr>
            <w:r>
              <w:rPr>
                <w:rFonts w:ascii="Arial" w:cs="Arial" w:eastAsia="Arial" w:hAnsi="Arial"/>
                <w:sz w:val="15"/>
                <w:szCs w:val="15"/>
                <w:color w:val="auto"/>
              </w:rPr>
              <w:t>2,428</w:t>
            </w:r>
          </w:p>
        </w:tc>
        <w:tc>
          <w:tcPr>
            <w:tcW w:w="8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9"/>
                <w:szCs w:val="19"/>
                <w:color w:val="auto"/>
              </w:rPr>
            </w:pPr>
          </w:p>
        </w:tc>
        <w:tc>
          <w:tcPr>
            <w:tcW w:w="280" w:type="dxa"/>
            <w:vAlign w:val="bottom"/>
            <w:tcBorders>
              <w:bottom w:val="single" w:sz="8" w:color="2C6937"/>
            </w:tcBorders>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15,972</w:t>
            </w:r>
          </w:p>
        </w:tc>
        <w:tc>
          <w:tcPr>
            <w:tcW w:w="1440" w:type="dxa"/>
            <w:vAlign w:val="bottom"/>
          </w:tcPr>
          <w:p>
            <w:pPr>
              <w:ind w:left="1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7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940" w:type="dxa"/>
            <w:vAlign w:val="bottom"/>
            <w:tcBorders>
              <w:bottom w:val="single" w:sz="8" w:color="2C693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78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880" w:type="dxa"/>
            <w:vAlign w:val="bottom"/>
            <w:tcBorders>
              <w:bottom w:val="single" w:sz="8" w:color="2C6937"/>
            </w:tcBorders>
            <w:gridSpan w:val="8"/>
          </w:tcPr>
          <w:p>
            <w:pPr>
              <w:jc w:val="center"/>
              <w:ind w:right="60"/>
              <w:spacing w:after="0"/>
              <w:rPr>
                <w:sz w:val="20"/>
                <w:szCs w:val="20"/>
                <w:color w:val="auto"/>
              </w:rPr>
            </w:pPr>
            <w:r>
              <w:rPr>
                <w:rFonts w:ascii="Arial" w:cs="Arial" w:eastAsia="Arial" w:hAnsi="Arial"/>
                <w:sz w:val="14"/>
                <w:szCs w:val="14"/>
                <w:b w:val="1"/>
                <w:bCs w:val="1"/>
                <w:color w:val="auto"/>
                <w:w w:val="97"/>
              </w:rPr>
              <w:t>For the Nine Months Ended September 30, 2024</w:t>
            </w:r>
          </w:p>
        </w:tc>
        <w:tc>
          <w:tcPr>
            <w:tcW w:w="280" w:type="dxa"/>
            <w:vAlign w:val="bottom"/>
            <w:tcBorders>
              <w:bottom w:val="single" w:sz="8" w:color="2C6937"/>
            </w:tcBorders>
          </w:tcPr>
          <w:p>
            <w:pPr>
              <w:spacing w:after="0"/>
              <w:rPr>
                <w:sz w:val="24"/>
                <w:szCs w:val="24"/>
                <w:color w:val="auto"/>
              </w:rPr>
            </w:pPr>
          </w:p>
        </w:tc>
        <w:tc>
          <w:tcPr>
            <w:tcW w:w="94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1420" w:type="dxa"/>
            <w:vAlign w:val="bottom"/>
            <w:tcBorders>
              <w:bottom w:val="single" w:sz="8" w:color="2C6937"/>
            </w:tcBorders>
            <w:gridSpan w:val="5"/>
          </w:tcPr>
          <w:p>
            <w:pPr>
              <w:jc w:val="center"/>
              <w:spacing w:after="0"/>
              <w:rPr>
                <w:sz w:val="20"/>
                <w:szCs w:val="20"/>
                <w:color w:val="auto"/>
              </w:rPr>
            </w:pPr>
            <w:r>
              <w:rPr>
                <w:rFonts w:ascii="Arial" w:cs="Arial" w:eastAsia="Arial" w:hAnsi="Arial"/>
                <w:sz w:val="14"/>
                <w:szCs w:val="14"/>
                <w:b w:val="1"/>
                <w:bCs w:val="1"/>
                <w:color w:val="auto"/>
                <w:w w:val="97"/>
              </w:rPr>
              <w:t>Payment Delay (Only)</w:t>
            </w:r>
          </w:p>
        </w:tc>
        <w:tc>
          <w:tcPr>
            <w:tcW w:w="100" w:type="dxa"/>
            <w:vAlign w:val="bottom"/>
            <w:tcBorders>
              <w:bottom w:val="single" w:sz="8" w:color="2C6937"/>
            </w:tcBorders>
          </w:tcPr>
          <w:p>
            <w:pPr>
              <w:spacing w:after="0"/>
              <w:rPr>
                <w:sz w:val="16"/>
                <w:szCs w:val="16"/>
                <w:color w:val="auto"/>
              </w:rPr>
            </w:pPr>
          </w:p>
        </w:tc>
        <w:tc>
          <w:tcPr>
            <w:tcW w:w="1140" w:type="dxa"/>
            <w:vAlign w:val="bottom"/>
            <w:tcBorders>
              <w:bottom w:val="single" w:sz="8" w:color="2C6937"/>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Trial Modification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Payment Delay</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96"/>
              </w:rPr>
              <w:t>Payment Delay,</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vMerge w:val="restart"/>
          </w:tcPr>
          <w:p>
            <w:pPr>
              <w:jc w:val="center"/>
              <w:ind w:left="27"/>
              <w:spacing w:after="0"/>
              <w:rPr>
                <w:sz w:val="20"/>
                <w:szCs w:val="20"/>
                <w:color w:val="auto"/>
              </w:rPr>
            </w:pPr>
            <w:r>
              <w:rPr>
                <w:rFonts w:ascii="Arial" w:cs="Arial" w:eastAsia="Arial" w:hAnsi="Arial"/>
                <w:sz w:val="14"/>
                <w:szCs w:val="14"/>
                <w:b w:val="1"/>
                <w:bCs w:val="1"/>
                <w:color w:val="auto"/>
                <w:w w:val="96"/>
              </w:rPr>
              <w:t>Percentage of Total</w:t>
            </w: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7"/>
              </w:rPr>
              <w:t>Term Extension</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Forbearance Plan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Payment Deferral</w:t>
            </w:r>
          </w:p>
        </w:tc>
        <w:tc>
          <w:tcPr>
            <w:tcW w:w="100" w:type="dxa"/>
            <w:vAlign w:val="bottom"/>
          </w:tcPr>
          <w:p>
            <w:pPr>
              <w:spacing w:after="0"/>
              <w:rPr>
                <w:sz w:val="12"/>
                <w:szCs w:val="12"/>
                <w:color w:val="auto"/>
              </w:rPr>
            </w:pPr>
          </w:p>
        </w:tc>
        <w:tc>
          <w:tcPr>
            <w:tcW w:w="1140" w:type="dxa"/>
            <w:vAlign w:val="bottom"/>
          </w:tcPr>
          <w:p>
            <w:pPr>
              <w:jc w:val="center"/>
              <w:ind w:right="47"/>
              <w:spacing w:after="0" w:line="142" w:lineRule="exact"/>
              <w:rPr>
                <w:sz w:val="20"/>
                <w:szCs w:val="20"/>
                <w:color w:val="auto"/>
              </w:rPr>
            </w:pPr>
            <w:r>
              <w:rPr>
                <w:rFonts w:ascii="Arial" w:cs="Arial" w:eastAsia="Arial" w:hAnsi="Arial"/>
                <w:sz w:val="14"/>
                <w:szCs w:val="14"/>
                <w:b w:val="1"/>
                <w:bCs w:val="1"/>
                <w:color w:val="auto"/>
                <w:w w:val="97"/>
              </w:rPr>
              <w:t>and Repayment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and Term</w:t>
            </w:r>
          </w:p>
        </w:tc>
        <w:tc>
          <w:tcPr>
            <w:tcW w:w="134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and Interest Rate</w:t>
            </w:r>
          </w:p>
        </w:tc>
        <w:tc>
          <w:tcPr>
            <w:tcW w:w="280" w:type="dxa"/>
            <w:vAlign w:val="bottom"/>
          </w:tcPr>
          <w:p>
            <w:pPr>
              <w:spacing w:after="0"/>
              <w:rPr>
                <w:sz w:val="12"/>
                <w:szCs w:val="12"/>
                <w:color w:val="auto"/>
              </w:rPr>
            </w:pPr>
          </w:p>
        </w:tc>
        <w:tc>
          <w:tcPr>
            <w:tcW w:w="94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jc w:val="center"/>
              <w:ind w:left="27"/>
              <w:spacing w:after="0" w:line="142" w:lineRule="exact"/>
              <w:rPr>
                <w:sz w:val="20"/>
                <w:szCs w:val="20"/>
                <w:color w:val="auto"/>
              </w:rPr>
            </w:pPr>
            <w:r>
              <w:rPr>
                <w:rFonts w:ascii="Arial" w:cs="Arial" w:eastAsia="Arial" w:hAnsi="Arial"/>
                <w:sz w:val="14"/>
                <w:szCs w:val="14"/>
                <w:b w:val="1"/>
                <w:bCs w:val="1"/>
                <w:color w:val="auto"/>
                <w:w w:val="99"/>
              </w:rPr>
              <w:t>by Financing</w:t>
            </w:r>
          </w:p>
        </w:tc>
        <w:tc>
          <w:tcPr>
            <w:tcW w:w="0" w:type="dxa"/>
            <w:vAlign w:val="bottom"/>
          </w:tcPr>
          <w:p>
            <w:pPr>
              <w:spacing w:after="0"/>
              <w:rPr>
                <w:sz w:val="1"/>
                <w:szCs w:val="1"/>
                <w:color w:val="auto"/>
              </w:rPr>
            </w:pPr>
          </w:p>
        </w:tc>
      </w:tr>
      <w:tr>
        <w:trPr>
          <w:trHeight w:val="224"/>
        </w:trPr>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47"/>
              <w:spacing w:after="0"/>
              <w:rPr>
                <w:sz w:val="20"/>
                <w:szCs w:val="20"/>
                <w:color w:val="auto"/>
              </w:rPr>
            </w:pPr>
            <w:r>
              <w:rPr>
                <w:rFonts w:ascii="Arial" w:cs="Arial" w:eastAsia="Arial" w:hAnsi="Arial"/>
                <w:sz w:val="14"/>
                <w:szCs w:val="14"/>
                <w:b w:val="1"/>
                <w:bCs w:val="1"/>
                <w:color w:val="auto"/>
              </w:rPr>
              <w:t>Plans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Extension</w:t>
            </w:r>
            <w:r>
              <w:rPr>
                <w:rFonts w:ascii="Arial" w:cs="Arial" w:eastAsia="Arial" w:hAnsi="Arial"/>
                <w:sz w:val="8"/>
                <w:szCs w:val="8"/>
                <w:b w:val="1"/>
                <w:bCs w:val="1"/>
                <w:color w:val="auto"/>
                <w:w w:val="99"/>
              </w:rPr>
              <w:t>(1)</w:t>
            </w:r>
          </w:p>
        </w:tc>
        <w:tc>
          <w:tcPr>
            <w:tcW w:w="12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Reduction</w:t>
            </w:r>
            <w:r>
              <w:rPr>
                <w:rFonts w:ascii="Arial" w:cs="Arial" w:eastAsia="Arial" w:hAnsi="Arial"/>
                <w:sz w:val="17"/>
                <w:szCs w:val="17"/>
                <w:b w:val="1"/>
                <w:bCs w:val="1"/>
                <w:color w:val="auto"/>
                <w:w w:val="94"/>
                <w:vertAlign w:val="superscript"/>
              </w:rPr>
              <w:t>(1)</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440" w:type="dxa"/>
            <w:vAlign w:val="bottom"/>
          </w:tcPr>
          <w:p>
            <w:pPr>
              <w:jc w:val="center"/>
              <w:ind w:left="27"/>
              <w:spacing w:after="0"/>
              <w:rPr>
                <w:sz w:val="20"/>
                <w:szCs w:val="20"/>
                <w:color w:val="auto"/>
              </w:rPr>
            </w:pPr>
            <w:r>
              <w:rPr>
                <w:rFonts w:ascii="Arial" w:cs="Arial" w:eastAsia="Arial" w:hAnsi="Arial"/>
                <w:sz w:val="14"/>
                <w:szCs w:val="14"/>
                <w:b w:val="1"/>
                <w:bCs w:val="1"/>
                <w:color w:val="auto"/>
                <w:w w:val="97"/>
              </w:rPr>
              <w:t>Class</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1254760</wp:posOffset>
            </wp:positionH>
            <wp:positionV relativeFrom="paragraph">
              <wp:posOffset>-26670</wp:posOffset>
            </wp:positionV>
            <wp:extent cx="58858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885815" cy="825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4"/>
          <w:szCs w:val="14"/>
          <w:b w:val="1"/>
          <w:bCs w:val="1"/>
          <w:color w:val="auto"/>
        </w:rPr>
        <w:t>(Dollars in millions)</w:t>
      </w:r>
    </w:p>
    <w:p>
      <w:pPr>
        <w:sectPr>
          <w:pgSz w:w="11900" w:h="16838" w:orient="portrait"/>
          <w:cols w:equalWidth="0" w:num="1">
            <w:col w:w="11240"/>
          </w:cols>
          <w:pgMar w:left="320" w:top="248" w:right="339" w:bottom="1440" w:gutter="0" w:footer="0" w:header="0"/>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9"/>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20- and 30-year or</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3"/>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more, amortizing</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4"/>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fixed-rate</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8,373</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8,312</w:t>
            </w:r>
          </w:p>
        </w:tc>
        <w:tc>
          <w:tcPr>
            <w:tcW w:w="1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7,542</w:t>
            </w:r>
          </w:p>
        </w:tc>
        <w:tc>
          <w:tcPr>
            <w:tcW w:w="8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6,908</w:t>
            </w:r>
          </w:p>
        </w:tc>
        <w:tc>
          <w:tcPr>
            <w:tcW w:w="80" w:type="dxa"/>
            <w:vAlign w:val="bottom"/>
          </w:tcPr>
          <w:p>
            <w:pPr>
              <w:spacing w:after="0"/>
              <w:rPr>
                <w:sz w:val="17"/>
                <w:szCs w:val="17"/>
                <w:color w:val="auto"/>
              </w:rPr>
            </w:pP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31,249</w:t>
            </w:r>
          </w:p>
        </w:tc>
      </w:tr>
      <w:tr>
        <w:trPr>
          <w:trHeight w:val="209"/>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15-year or less,</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7"/>
        </w:trPr>
        <w:tc>
          <w:tcPr>
            <w:tcW w:w="1980" w:type="dxa"/>
            <w:vAlign w:val="bottom"/>
            <w:gridSpan w:val="2"/>
          </w:tcPr>
          <w:p>
            <w:pPr>
              <w:ind w:left="320"/>
              <w:spacing w:after="0"/>
              <w:rPr>
                <w:sz w:val="20"/>
                <w:szCs w:val="20"/>
                <w:color w:val="auto"/>
              </w:rPr>
            </w:pPr>
            <w:r>
              <w:rPr>
                <w:rFonts w:ascii="Arial" w:cs="Arial" w:eastAsia="Arial" w:hAnsi="Arial"/>
                <w:sz w:val="15"/>
                <w:szCs w:val="15"/>
                <w:color w:val="auto"/>
              </w:rPr>
              <w:t>amortizing fixed-rate</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265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255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876</w:t>
            </w:r>
          </w:p>
        </w:tc>
      </w:tr>
      <w:tr>
        <w:trPr>
          <w:trHeight w:val="232"/>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112</w:t>
            </w:r>
          </w:p>
        </w:tc>
      </w:tr>
      <w:tr>
        <w:trPr>
          <w:trHeight w:val="239"/>
        </w:trPr>
        <w:tc>
          <w:tcPr>
            <w:tcW w:w="188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77</w:t>
            </w:r>
          </w:p>
        </w:tc>
        <w:tc>
          <w:tcPr>
            <w:tcW w:w="80" w:type="dxa"/>
            <w:vAlign w:val="bottom"/>
          </w:tcPr>
          <w:p>
            <w:pPr>
              <w:spacing w:after="0"/>
              <w:rPr>
                <w:sz w:val="20"/>
                <w:szCs w:val="20"/>
                <w:color w:val="auto"/>
              </w:rPr>
            </w:pPr>
          </w:p>
        </w:tc>
        <w:tc>
          <w:tcPr>
            <w:tcW w:w="5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362</w:t>
            </w:r>
          </w:p>
        </w:tc>
      </w:tr>
      <w:tr>
        <w:trPr>
          <w:trHeight w:val="218"/>
        </w:trPr>
        <w:tc>
          <w:tcPr>
            <w:tcW w:w="198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8,818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8,715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7,927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6,988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32,599</w:t>
            </w:r>
          </w:p>
        </w:tc>
      </w:tr>
      <w:tr>
        <w:trPr>
          <w:trHeight w:val="239"/>
        </w:trPr>
        <w:tc>
          <w:tcPr>
            <w:tcW w:w="188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330</w:t>
            </w:r>
          </w:p>
        </w:tc>
        <w:tc>
          <w:tcPr>
            <w:tcW w:w="100" w:type="dxa"/>
            <w:vAlign w:val="bottom"/>
          </w:tcPr>
          <w:p>
            <w:pPr>
              <w:spacing w:after="0"/>
              <w:rPr>
                <w:sz w:val="20"/>
                <w:szCs w:val="20"/>
                <w:color w:val="auto"/>
              </w:rPr>
            </w:pPr>
          </w:p>
        </w:tc>
        <w:tc>
          <w:tcPr>
            <w:tcW w:w="4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44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5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20"/>
                <w:szCs w:val="20"/>
                <w:color w:val="auto"/>
              </w:rPr>
            </w:pPr>
          </w:p>
        </w:tc>
        <w:tc>
          <w:tcPr>
            <w:tcW w:w="3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394</w:t>
            </w:r>
          </w:p>
        </w:tc>
      </w:tr>
      <w:tr>
        <w:trPr>
          <w:trHeight w:val="232"/>
        </w:trPr>
        <w:tc>
          <w:tcPr>
            <w:tcW w:w="1980" w:type="dxa"/>
            <w:vAlign w:val="bottom"/>
            <w:gridSpan w:val="2"/>
          </w:tcPr>
          <w:p>
            <w:pPr>
              <w:ind w:left="180"/>
              <w:spacing w:after="0"/>
              <w:rPr>
                <w:sz w:val="20"/>
                <w:szCs w:val="20"/>
                <w:color w:val="auto"/>
              </w:rPr>
            </w:pPr>
            <w:r>
              <w:rPr>
                <w:rFonts w:ascii="Arial" w:cs="Arial" w:eastAsia="Arial" w:hAnsi="Arial"/>
                <w:sz w:val="15"/>
                <w:szCs w:val="15"/>
                <w:color w:val="auto"/>
              </w:rPr>
              <w:t>Total</w:t>
            </w:r>
            <w:r>
              <w:rPr>
                <w:rFonts w:ascii="Arial" w:cs="Arial" w:eastAsia="Arial" w:hAnsi="Arial"/>
                <w:sz w:val="20"/>
                <w:szCs w:val="20"/>
                <w:color w:val="auto"/>
                <w:vertAlign w:val="superscript"/>
              </w:rPr>
              <w:t>(3)</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9,148</w:t>
            </w:r>
          </w:p>
        </w:tc>
        <w:tc>
          <w:tcPr>
            <w:tcW w:w="100" w:type="dxa"/>
            <w:vAlign w:val="bottom"/>
          </w:tcPr>
          <w:p>
            <w:pPr>
              <w:spacing w:after="0"/>
              <w:rPr>
                <w:sz w:val="20"/>
                <w:szCs w:val="20"/>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8,715</w:t>
            </w:r>
          </w:p>
        </w:tc>
        <w:tc>
          <w:tcPr>
            <w:tcW w:w="100" w:type="dxa"/>
            <w:vAlign w:val="bottom"/>
          </w:tcPr>
          <w:p>
            <w:pPr>
              <w:spacing w:after="0"/>
              <w:rPr>
                <w:sz w:val="20"/>
                <w:szCs w:val="20"/>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7,927</w:t>
            </w:r>
          </w:p>
        </w:tc>
        <w:tc>
          <w:tcPr>
            <w:tcW w:w="80" w:type="dxa"/>
            <w:vAlign w:val="bottom"/>
          </w:tcPr>
          <w:p>
            <w:pPr>
              <w:spacing w:after="0"/>
              <w:rPr>
                <w:sz w:val="20"/>
                <w:szCs w:val="20"/>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6,988</w:t>
            </w:r>
          </w:p>
        </w:tc>
        <w:tc>
          <w:tcPr>
            <w:tcW w:w="80" w:type="dxa"/>
            <w:vAlign w:val="bottom"/>
          </w:tcPr>
          <w:p>
            <w:pPr>
              <w:spacing w:after="0"/>
              <w:rPr>
                <w:sz w:val="20"/>
                <w:szCs w:val="20"/>
                <w:color w:val="auto"/>
              </w:rPr>
            </w:pP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215</w:t>
            </w:r>
          </w:p>
        </w:tc>
        <w:tc>
          <w:tcPr>
            <w:tcW w:w="100" w:type="dxa"/>
            <w:vAlign w:val="bottom"/>
          </w:tcPr>
          <w:p>
            <w:pPr>
              <w:spacing w:after="0"/>
              <w:rPr>
                <w:sz w:val="20"/>
                <w:szCs w:val="20"/>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32,993</w:t>
            </w:r>
          </w:p>
        </w:tc>
      </w:tr>
      <w:tr>
        <w:trPr>
          <w:trHeight w:val="20"/>
        </w:trPr>
        <w:tc>
          <w:tcPr>
            <w:tcW w:w="1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00" w:hanging="197"/>
        <w:spacing w:after="0"/>
        <w:tabs>
          <w:tab w:leader="none" w:pos="2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less than 0.5% of total by financing class.</w:t>
      </w:r>
    </w:p>
    <w:p>
      <w:pPr>
        <w:spacing w:after="0" w:line="19" w:lineRule="exact"/>
        <w:rPr>
          <w:sz w:val="20"/>
          <w:szCs w:val="20"/>
          <w:color w:val="auto"/>
        </w:rPr>
      </w:pPr>
    </w:p>
    <w:p>
      <w:pPr>
        <w:ind w:left="260" w:hanging="257"/>
        <w:spacing w:after="0"/>
        <w:tabs>
          <w:tab w:leader="none" w:pos="260"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Represents loans that received a contractual modification.</w:t>
      </w:r>
    </w:p>
    <w:p>
      <w:pPr>
        <w:spacing w:after="0" w:line="25" w:lineRule="exact"/>
        <w:rPr>
          <w:rFonts w:ascii="Arial" w:cs="Arial" w:eastAsia="Arial" w:hAnsi="Arial"/>
          <w:sz w:val="18"/>
          <w:szCs w:val="18"/>
          <w:color w:val="auto"/>
          <w:vertAlign w:val="superscript"/>
        </w:rPr>
      </w:pPr>
    </w:p>
    <w:p>
      <w:pPr>
        <w:ind w:left="260" w:hanging="257"/>
        <w:spacing w:after="0"/>
        <w:tabs>
          <w:tab w:leader="none" w:pos="260" w:val="left"/>
        </w:tabs>
        <w:numPr>
          <w:ilvl w:val="0"/>
          <w:numId w:val="62"/>
        </w:numPr>
        <w:rPr>
          <w:rFonts w:ascii="Arial" w:cs="Arial" w:eastAsia="Arial" w:hAnsi="Arial"/>
          <w:sz w:val="9"/>
          <w:szCs w:val="9"/>
          <w:color w:val="auto"/>
        </w:rPr>
      </w:pPr>
      <w:r>
        <w:rPr>
          <w:rFonts w:ascii="Arial" w:cs="Arial" w:eastAsia="Arial" w:hAnsi="Arial"/>
          <w:sz w:val="14"/>
          <w:szCs w:val="14"/>
          <w:color w:val="auto"/>
        </w:rPr>
        <w:t>Based on the amortized cost basis as of period end, divided by the period-end amortized cost basis of the corresponding class of financing receivable.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1 %</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5"/>
          <w:szCs w:val="15"/>
          <w:color w:val="auto"/>
        </w:rPr>
        <w:t>*</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2</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1</w:t>
      </w:r>
    </w:p>
    <w:p>
      <w:pPr>
        <w:spacing w:after="0" w:line="785" w:lineRule="exact"/>
        <w:rPr>
          <w:sz w:val="20"/>
          <w:szCs w:val="20"/>
          <w:color w:val="auto"/>
        </w:rPr>
      </w:pPr>
    </w:p>
    <w:p>
      <w:pPr>
        <w:sectPr>
          <w:pgSz w:w="11900" w:h="16838" w:orient="portrait"/>
          <w:cols w:equalWidth="0" w:num="2">
            <w:col w:w="10220" w:space="720"/>
            <w:col w:w="300"/>
          </w:cols>
          <w:pgMar w:left="320" w:top="248" w:right="339" w:bottom="1440" w:gutter="0" w:footer="0" w:header="0"/>
          <w:type w:val="continuous"/>
        </w:sectPr>
      </w:pPr>
    </w:p>
    <w:p>
      <w:pPr>
        <w:ind w:left="240" w:right="20" w:hanging="237"/>
        <w:spacing w:after="0" w:line="259" w:lineRule="auto"/>
        <w:tabs>
          <w:tab w:leader="none" w:pos="216" w:val="left"/>
        </w:tabs>
        <w:numPr>
          <w:ilvl w:val="0"/>
          <w:numId w:val="63"/>
        </w:numPr>
        <w:rPr>
          <w:rFonts w:ascii="Arial" w:cs="Arial" w:eastAsia="Arial" w:hAnsi="Arial"/>
          <w:sz w:val="9"/>
          <w:szCs w:val="9"/>
          <w:color w:val="auto"/>
        </w:rPr>
      </w:pPr>
      <w:r>
        <w:rPr>
          <w:rFonts w:ascii="Arial" w:cs="Arial" w:eastAsia="Arial" w:hAnsi="Arial"/>
          <w:sz w:val="14"/>
          <w:szCs w:val="14"/>
          <w:color w:val="auto"/>
        </w:rPr>
        <w:t>Excludes $341 million and $1.2 billion for the three and nine months ended September 30, 2025, respectively, and $269 million and $1.0 billion for the three and nine months ended September 30, 2024, respectively, for loans that were the subject of loss mitigation activity during the period that paid off, were repurchased or were sold prior to period end. Also excludes loans that liquidated either through foreclosure, deed-in-lieu of foreclosure, or a short sale. Loans may move from one category to another, as a result of the restructuring(s) they received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357505</wp:posOffset>
            </wp:positionV>
            <wp:extent cx="680593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2" w:name="page83"/>
    <w:bookmarkEnd w:id="82"/>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20"/>
        <w:spacing w:after="0" w:line="272" w:lineRule="auto"/>
        <w:rPr>
          <w:sz w:val="20"/>
          <w:szCs w:val="20"/>
          <w:color w:val="auto"/>
        </w:rPr>
      </w:pPr>
      <w:r>
        <w:rPr>
          <w:rFonts w:ascii="Arial" w:cs="Arial" w:eastAsia="Arial" w:hAnsi="Arial"/>
          <w:sz w:val="16"/>
          <w:szCs w:val="16"/>
          <w:color w:val="auto"/>
        </w:rPr>
        <w:t>The following tables summarize the financial impacts of loan modifications and payment deferrals made to single-family HFI loans presented by class of financing receivable. We discuss the qualitative impacts of forbearance plans, repayment plans, and trial modifications in our 2024 Form 10-K in “Note 4, Mortgage Loans.” As a result, those loss mitigation options are excluded from the table below.</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3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spacing w:after="0"/>
              <w:rPr>
                <w:sz w:val="17"/>
                <w:szCs w:val="17"/>
                <w:color w:val="auto"/>
              </w:rPr>
            </w:pPr>
          </w:p>
        </w:tc>
        <w:tc>
          <w:tcPr>
            <w:tcW w:w="2880" w:type="dxa"/>
            <w:vAlign w:val="bottom"/>
            <w:tcBorders>
              <w:bottom w:val="single" w:sz="8" w:color="2C6937"/>
            </w:tcBorders>
            <w:gridSpan w:val="7"/>
          </w:tcPr>
          <w:p>
            <w:pPr>
              <w:jc w:val="center"/>
              <w:ind w:right="40"/>
              <w:spacing w:after="0"/>
              <w:rPr>
                <w:sz w:val="20"/>
                <w:szCs w:val="20"/>
                <w:color w:val="auto"/>
              </w:rPr>
            </w:pPr>
            <w:r>
              <w:rPr>
                <w:rFonts w:ascii="Arial" w:cs="Arial" w:eastAsia="Arial" w:hAnsi="Arial"/>
                <w:sz w:val="14"/>
                <w:szCs w:val="14"/>
                <w:b w:val="1"/>
                <w:bCs w:val="1"/>
                <w:color w:val="auto"/>
                <w:w w:val="98"/>
              </w:rPr>
              <w:t>For the Three Months Ended September 30,</w:t>
            </w:r>
          </w:p>
        </w:tc>
        <w:tc>
          <w:tcPr>
            <w:tcW w:w="120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3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120" w:type="dxa"/>
            <w:vAlign w:val="bottom"/>
            <w:tcBorders>
              <w:bottom w:val="single" w:sz="8" w:color="2C6937"/>
            </w:tcBorders>
          </w:tcPr>
          <w:p>
            <w:pPr>
              <w:jc w:val="right"/>
              <w:ind w:right="34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10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restart"/>
          </w:tcPr>
          <w:p>
            <w:pPr>
              <w:jc w:val="center"/>
              <w:ind w:left="27"/>
              <w:spacing w:after="0"/>
              <w:rPr>
                <w:sz w:val="20"/>
                <w:szCs w:val="20"/>
                <w:color w:val="auto"/>
              </w:rPr>
            </w:pPr>
            <w:r>
              <w:rPr>
                <w:rFonts w:ascii="Arial" w:cs="Arial" w:eastAsia="Arial" w:hAnsi="Arial"/>
                <w:sz w:val="14"/>
                <w:szCs w:val="14"/>
                <w:b w:val="1"/>
                <w:bCs w:val="1"/>
                <w:color w:val="auto"/>
                <w:w w:val="97"/>
              </w:rPr>
              <w:t>Weighted-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8"/>
              </w:rPr>
              <w:t>Average Amount</w:t>
            </w: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w:t>
            </w:r>
          </w:p>
        </w:tc>
        <w:tc>
          <w:tcPr>
            <w:tcW w:w="12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7"/>
              </w:rPr>
              <w:t>Weighted-</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Average Amount</w:t>
            </w: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Weighted-Average</w:t>
            </w:r>
          </w:p>
        </w:tc>
        <w:tc>
          <w:tcPr>
            <w:tcW w:w="1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7"/>
              </w:rPr>
              <w:t>Average</w:t>
            </w: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20" w:type="dxa"/>
            <w:vAlign w:val="bottom"/>
          </w:tcPr>
          <w:p>
            <w:pPr>
              <w:jc w:val="center"/>
              <w:ind w:left="27"/>
              <w:spacing w:after="0" w:line="142" w:lineRule="exact"/>
              <w:rPr>
                <w:sz w:val="20"/>
                <w:szCs w:val="20"/>
                <w:color w:val="auto"/>
              </w:rPr>
            </w:pPr>
            <w:r>
              <w:rPr>
                <w:rFonts w:ascii="Arial" w:cs="Arial" w:eastAsia="Arial" w:hAnsi="Arial"/>
                <w:sz w:val="14"/>
                <w:szCs w:val="14"/>
                <w:b w:val="1"/>
                <w:bCs w:val="1"/>
                <w:color w:val="auto"/>
                <w:w w:val="96"/>
              </w:rPr>
              <w:t>Average Term</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Capitalized as</w:t>
            </w:r>
          </w:p>
        </w:tc>
        <w:tc>
          <w:tcPr>
            <w:tcW w:w="14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7"/>
              </w:rPr>
              <w:t>Average</w:t>
            </w:r>
          </w:p>
        </w:tc>
        <w:tc>
          <w:tcPr>
            <w:tcW w:w="12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1100" w:type="dxa"/>
            <w:vAlign w:val="bottom"/>
          </w:tcPr>
          <w:p>
            <w:pPr>
              <w:jc w:val="center"/>
              <w:ind w:right="66"/>
              <w:spacing w:after="0" w:line="142" w:lineRule="exact"/>
              <w:rPr>
                <w:sz w:val="20"/>
                <w:szCs w:val="20"/>
                <w:color w:val="auto"/>
              </w:rPr>
            </w:pPr>
            <w:r>
              <w:rPr>
                <w:rFonts w:ascii="Arial" w:cs="Arial" w:eastAsia="Arial" w:hAnsi="Arial"/>
                <w:sz w:val="14"/>
                <w:szCs w:val="14"/>
                <w:b w:val="1"/>
                <w:bCs w:val="1"/>
                <w:color w:val="auto"/>
                <w:w w:val="98"/>
              </w:rPr>
              <w:t>Capitalized as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120" w:type="dxa"/>
            <w:vAlign w:val="bottom"/>
          </w:tcPr>
          <w:p>
            <w:pPr>
              <w:jc w:val="center"/>
              <w:ind w:left="27"/>
              <w:spacing w:after="0" w:line="142" w:lineRule="exact"/>
              <w:rPr>
                <w:sz w:val="20"/>
                <w:szCs w:val="20"/>
                <w:color w:val="auto"/>
              </w:rPr>
            </w:pPr>
            <w:r>
              <w:rPr>
                <w:rFonts w:ascii="Arial" w:cs="Arial" w:eastAsia="Arial" w:hAnsi="Arial"/>
                <w:sz w:val="14"/>
                <w:szCs w:val="14"/>
                <w:b w:val="1"/>
                <w:bCs w:val="1"/>
                <w:color w:val="auto"/>
                <w:w w:val="97"/>
              </w:rPr>
              <w:t>Extension (in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14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2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Extension</w:t>
            </w:r>
          </w:p>
        </w:tc>
        <w:tc>
          <w:tcPr>
            <w:tcW w:w="120" w:type="dxa"/>
            <w:vAlign w:val="bottom"/>
          </w:tcPr>
          <w:p>
            <w:pPr>
              <w:spacing w:after="0"/>
              <w:rPr>
                <w:sz w:val="12"/>
                <w:szCs w:val="12"/>
                <w:color w:val="auto"/>
              </w:rPr>
            </w:pPr>
          </w:p>
        </w:tc>
        <w:tc>
          <w:tcPr>
            <w:tcW w:w="1100" w:type="dxa"/>
            <w:vAlign w:val="bottom"/>
          </w:tcPr>
          <w:p>
            <w:pPr>
              <w:jc w:val="center"/>
              <w:ind w:right="46"/>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Reduction</w:t>
            </w:r>
          </w:p>
        </w:tc>
        <w:tc>
          <w:tcPr>
            <w:tcW w:w="1120" w:type="dxa"/>
            <w:vAlign w:val="bottom"/>
          </w:tcPr>
          <w:p>
            <w:pPr>
              <w:jc w:val="center"/>
              <w:ind w:left="7"/>
              <w:spacing w:after="0"/>
              <w:rPr>
                <w:sz w:val="20"/>
                <w:szCs w:val="20"/>
                <w:color w:val="auto"/>
              </w:rPr>
            </w:pPr>
            <w:r>
              <w:rPr>
                <w:rFonts w:ascii="Arial" w:cs="Arial" w:eastAsia="Arial" w:hAnsi="Arial"/>
                <w:sz w:val="14"/>
                <w:szCs w:val="14"/>
                <w:b w:val="1"/>
                <w:bCs w:val="1"/>
                <w:color w:val="auto"/>
                <w:w w:val="95"/>
              </w:rPr>
              <w:t>Months)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80"/>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Reduction</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 Months)</w:t>
            </w:r>
          </w:p>
        </w:tc>
        <w:tc>
          <w:tcPr>
            <w:tcW w:w="1220" w:type="dxa"/>
            <w:vAlign w:val="bottom"/>
            <w:gridSpan w:val="2"/>
          </w:tcPr>
          <w:p>
            <w:pPr>
              <w:jc w:val="center"/>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288"/>
        </w:trPr>
        <w:tc>
          <w:tcPr>
            <w:tcW w:w="3100" w:type="dxa"/>
            <w:vAlign w:val="bottom"/>
          </w:tcPr>
          <w:p>
            <w:pPr>
              <w:spacing w:after="0"/>
              <w:rPr>
                <w:sz w:val="20"/>
                <w:szCs w:val="20"/>
                <w:color w:val="auto"/>
              </w:rPr>
            </w:pPr>
            <w:r>
              <w:rPr>
                <w:rFonts w:ascii="Arial" w:cs="Arial" w:eastAsia="Arial" w:hAnsi="Arial"/>
                <w:sz w:val="14"/>
                <w:szCs w:val="14"/>
                <w:color w:val="auto"/>
              </w:rPr>
              <w:t>Loan by class of financing receivable:</w:t>
            </w:r>
            <w:r>
              <w:rPr>
                <w:rFonts w:ascii="Arial" w:cs="Arial" w:eastAsia="Arial" w:hAnsi="Arial"/>
                <w:sz w:val="17"/>
                <w:szCs w:val="17"/>
                <w:color w:val="auto"/>
                <w:vertAlign w:val="superscript"/>
              </w:rPr>
              <w:t>(2)</w:t>
            </w:r>
          </w:p>
        </w:tc>
        <w:tc>
          <w:tcPr>
            <w:tcW w:w="132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top w:val="single" w:sz="8" w:color="2C6937"/>
            </w:tcBorders>
          </w:tcPr>
          <w:p>
            <w:pPr>
              <w:spacing w:after="0"/>
              <w:rPr>
                <w:sz w:val="24"/>
                <w:szCs w:val="24"/>
                <w:color w:val="auto"/>
              </w:rPr>
            </w:pPr>
          </w:p>
        </w:tc>
        <w:tc>
          <w:tcPr>
            <w:tcW w:w="8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108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top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2C6937"/>
            </w:tcBorders>
          </w:tcPr>
          <w:p>
            <w:pPr>
              <w:spacing w:after="0"/>
              <w:rPr>
                <w:sz w:val="24"/>
                <w:szCs w:val="24"/>
                <w:color w:val="auto"/>
              </w:rPr>
            </w:pPr>
          </w:p>
        </w:tc>
        <w:tc>
          <w:tcPr>
            <w:tcW w:w="1100" w:type="dxa"/>
            <w:vAlign w:val="bottom"/>
            <w:tcBorders>
              <w:top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00" w:type="dxa"/>
            <w:vAlign w:val="bottom"/>
          </w:tcPr>
          <w:p>
            <w:pPr>
              <w:ind w:left="160"/>
              <w:spacing w:after="0"/>
              <w:rPr>
                <w:sz w:val="20"/>
                <w:szCs w:val="20"/>
                <w:color w:val="auto"/>
              </w:rPr>
            </w:pPr>
            <w:r>
              <w:rPr>
                <w:rFonts w:ascii="Arial" w:cs="Arial" w:eastAsia="Arial" w:hAnsi="Arial"/>
                <w:sz w:val="14"/>
                <w:szCs w:val="14"/>
                <w:color w:val="auto"/>
              </w:rPr>
              <w:t>20- and 30-year or more, amortizing fixed-rate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0.54 %</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142</w:t>
            </w:r>
          </w:p>
        </w:tc>
        <w:tc>
          <w:tcPr>
            <w:tcW w:w="30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13,469</w:t>
            </w:r>
          </w:p>
        </w:tc>
        <w:tc>
          <w:tcPr>
            <w:tcW w:w="80" w:type="dxa"/>
            <w:vAlign w:val="bottom"/>
          </w:tcPr>
          <w:p>
            <w:pPr>
              <w:spacing w:after="0"/>
              <w:rPr>
                <w:sz w:val="18"/>
                <w:szCs w:val="18"/>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0.59 %</w:t>
            </w:r>
          </w:p>
        </w:tc>
        <w:tc>
          <w:tcPr>
            <w:tcW w:w="10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160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12,928</w:t>
            </w:r>
          </w:p>
        </w:tc>
        <w:tc>
          <w:tcPr>
            <w:tcW w:w="0" w:type="dxa"/>
            <w:vAlign w:val="bottom"/>
          </w:tcPr>
          <w:p>
            <w:pPr>
              <w:spacing w:after="0"/>
              <w:rPr>
                <w:sz w:val="1"/>
                <w:szCs w:val="1"/>
                <w:color w:val="auto"/>
              </w:rPr>
            </w:pPr>
          </w:p>
        </w:tc>
      </w:tr>
      <w:tr>
        <w:trPr>
          <w:trHeight w:val="219"/>
        </w:trPr>
        <w:tc>
          <w:tcPr>
            <w:tcW w:w="3100" w:type="dxa"/>
            <w:vAlign w:val="bottom"/>
          </w:tcPr>
          <w:p>
            <w:pPr>
              <w:ind w:left="160"/>
              <w:spacing w:after="0"/>
              <w:rPr>
                <w:sz w:val="20"/>
                <w:szCs w:val="20"/>
                <w:color w:val="auto"/>
              </w:rPr>
            </w:pPr>
            <w:r>
              <w:rPr>
                <w:rFonts w:ascii="Arial" w:cs="Arial" w:eastAsia="Arial" w:hAnsi="Arial"/>
                <w:sz w:val="14"/>
                <w:szCs w:val="14"/>
                <w:color w:val="auto"/>
              </w:rPr>
              <w:t>15-year or less, amortizing fixed-rate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0.87</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10,061</w:t>
            </w:r>
          </w:p>
        </w:tc>
        <w:tc>
          <w:tcPr>
            <w:tcW w:w="80" w:type="dxa"/>
            <w:vAlign w:val="bottom"/>
          </w:tcPr>
          <w:p>
            <w:pPr>
              <w:spacing w:after="0"/>
              <w:rPr>
                <w:sz w:val="19"/>
                <w:szCs w:val="19"/>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1.03</w:t>
            </w:r>
          </w:p>
        </w:tc>
        <w:tc>
          <w:tcPr>
            <w:tcW w:w="100" w:type="dxa"/>
            <w:vAlign w:val="bottom"/>
          </w:tcPr>
          <w:p>
            <w:pPr>
              <w:spacing w:after="0"/>
              <w:rPr>
                <w:sz w:val="19"/>
                <w:szCs w:val="19"/>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9,652</w:t>
            </w:r>
          </w:p>
        </w:tc>
        <w:tc>
          <w:tcPr>
            <w:tcW w:w="0" w:type="dxa"/>
            <w:vAlign w:val="bottom"/>
          </w:tcPr>
          <w:p>
            <w:pPr>
              <w:spacing w:after="0"/>
              <w:rPr>
                <w:sz w:val="1"/>
                <w:szCs w:val="1"/>
                <w:color w:val="auto"/>
              </w:rPr>
            </w:pPr>
          </w:p>
        </w:tc>
      </w:tr>
      <w:tr>
        <w:trPr>
          <w:trHeight w:val="297"/>
        </w:trPr>
        <w:tc>
          <w:tcPr>
            <w:tcW w:w="3100" w:type="dxa"/>
            <w:vAlign w:val="bottom"/>
          </w:tcPr>
          <w:p>
            <w:pPr>
              <w:ind w:left="160"/>
              <w:spacing w:after="0"/>
              <w:rPr>
                <w:sz w:val="20"/>
                <w:szCs w:val="20"/>
                <w:color w:val="auto"/>
              </w:rPr>
            </w:pPr>
            <w:r>
              <w:rPr>
                <w:rFonts w:ascii="Arial" w:cs="Arial" w:eastAsia="Arial" w:hAnsi="Arial"/>
                <w:sz w:val="14"/>
                <w:szCs w:val="14"/>
                <w:color w:val="auto"/>
              </w:rPr>
              <w:t>Adjustable-rate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1.19</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9,970</w:t>
            </w:r>
          </w:p>
        </w:tc>
        <w:tc>
          <w:tcPr>
            <w:tcW w:w="80" w:type="dxa"/>
            <w:vAlign w:val="bottom"/>
          </w:tcPr>
          <w:p>
            <w:pPr>
              <w:spacing w:after="0"/>
              <w:rPr>
                <w:sz w:val="24"/>
                <w:szCs w:val="24"/>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2.88</w:t>
            </w:r>
          </w:p>
        </w:tc>
        <w:tc>
          <w:tcPr>
            <w:tcW w:w="1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11,157</w:t>
            </w:r>
          </w:p>
        </w:tc>
        <w:tc>
          <w:tcPr>
            <w:tcW w:w="0" w:type="dxa"/>
            <w:vAlign w:val="bottom"/>
          </w:tcPr>
          <w:p>
            <w:pPr>
              <w:spacing w:after="0"/>
              <w:rPr>
                <w:sz w:val="1"/>
                <w:szCs w:val="1"/>
                <w:color w:val="auto"/>
              </w:rPr>
            </w:pPr>
          </w:p>
        </w:tc>
      </w:tr>
      <w:tr>
        <w:trPr>
          <w:trHeight w:val="297"/>
        </w:trPr>
        <w:tc>
          <w:tcPr>
            <w:tcW w:w="3100" w:type="dxa"/>
            <w:vAlign w:val="bottom"/>
          </w:tcPr>
          <w:p>
            <w:pPr>
              <w:ind w:left="160"/>
              <w:spacing w:after="0"/>
              <w:rPr>
                <w:sz w:val="20"/>
                <w:szCs w:val="20"/>
                <w:color w:val="auto"/>
              </w:rPr>
            </w:pPr>
            <w:r>
              <w:rPr>
                <w:rFonts w:ascii="Arial" w:cs="Arial" w:eastAsia="Arial" w:hAnsi="Arial"/>
                <w:sz w:val="14"/>
                <w:szCs w:val="14"/>
                <w:color w:val="auto"/>
              </w:rPr>
              <w:t>Other</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0.67</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131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14,735</w:t>
            </w:r>
          </w:p>
        </w:tc>
        <w:tc>
          <w:tcPr>
            <w:tcW w:w="80" w:type="dxa"/>
            <w:vAlign w:val="bottom"/>
          </w:tcPr>
          <w:p>
            <w:pPr>
              <w:spacing w:after="0"/>
              <w:rPr>
                <w:sz w:val="24"/>
                <w:szCs w:val="24"/>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0.96</w:t>
            </w:r>
          </w:p>
        </w:tc>
        <w:tc>
          <w:tcPr>
            <w:tcW w:w="10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182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21,043</w:t>
            </w:r>
          </w:p>
        </w:tc>
        <w:tc>
          <w:tcPr>
            <w:tcW w:w="0" w:type="dxa"/>
            <w:vAlign w:val="bottom"/>
          </w:tcPr>
          <w:p>
            <w:pPr>
              <w:spacing w:after="0"/>
              <w:rPr>
                <w:sz w:val="1"/>
                <w:szCs w:val="1"/>
                <w:color w:val="auto"/>
              </w:rPr>
            </w:pPr>
          </w:p>
        </w:tc>
      </w:tr>
      <w:tr>
        <w:trPr>
          <w:trHeight w:val="412"/>
        </w:trPr>
        <w:tc>
          <w:tcPr>
            <w:tcW w:w="3100" w:type="dxa"/>
            <w:vAlign w:val="bottom"/>
          </w:tcPr>
          <w:p>
            <w:pPr>
              <w:spacing w:after="0"/>
              <w:rPr>
                <w:sz w:val="24"/>
                <w:szCs w:val="24"/>
                <w:color w:val="auto"/>
              </w:rPr>
            </w:pPr>
          </w:p>
        </w:tc>
        <w:tc>
          <w:tcPr>
            <w:tcW w:w="13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spacing w:after="0"/>
              <w:rPr>
                <w:sz w:val="24"/>
                <w:szCs w:val="24"/>
                <w:color w:val="auto"/>
              </w:rPr>
            </w:pPr>
          </w:p>
        </w:tc>
        <w:tc>
          <w:tcPr>
            <w:tcW w:w="2880" w:type="dxa"/>
            <w:vAlign w:val="bottom"/>
            <w:tcBorders>
              <w:bottom w:val="single" w:sz="8" w:color="2C6937"/>
            </w:tcBorders>
            <w:gridSpan w:val="7"/>
          </w:tcPr>
          <w:p>
            <w:pPr>
              <w:jc w:val="center"/>
              <w:ind w:right="40"/>
              <w:spacing w:after="0"/>
              <w:rPr>
                <w:sz w:val="20"/>
                <w:szCs w:val="20"/>
                <w:color w:val="auto"/>
              </w:rPr>
            </w:pPr>
            <w:r>
              <w:rPr>
                <w:rFonts w:ascii="Arial" w:cs="Arial" w:eastAsia="Arial" w:hAnsi="Arial"/>
                <w:sz w:val="14"/>
                <w:szCs w:val="14"/>
                <w:b w:val="1"/>
                <w:bCs w:val="1"/>
                <w:color w:val="auto"/>
                <w:w w:val="97"/>
              </w:rPr>
              <w:t>For the Nine Months Ended September 30,</w:t>
            </w:r>
          </w:p>
        </w:tc>
        <w:tc>
          <w:tcPr>
            <w:tcW w:w="120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11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3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120" w:type="dxa"/>
            <w:vAlign w:val="bottom"/>
            <w:tcBorders>
              <w:bottom w:val="single" w:sz="8" w:color="2C6937"/>
            </w:tcBorders>
          </w:tcPr>
          <w:p>
            <w:pPr>
              <w:jc w:val="right"/>
              <w:ind w:right="34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8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1200" w:type="dxa"/>
            <w:vAlign w:val="bottom"/>
            <w:tcBorders>
              <w:bottom w:val="single" w:sz="8" w:color="2C6937"/>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1100" w:type="dxa"/>
            <w:vAlign w:val="bottom"/>
            <w:tcBorders>
              <w:bottom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restart"/>
          </w:tcPr>
          <w:p>
            <w:pPr>
              <w:jc w:val="center"/>
              <w:ind w:left="27"/>
              <w:spacing w:after="0"/>
              <w:rPr>
                <w:sz w:val="20"/>
                <w:szCs w:val="20"/>
                <w:color w:val="auto"/>
              </w:rPr>
            </w:pPr>
            <w:r>
              <w:rPr>
                <w:rFonts w:ascii="Arial" w:cs="Arial" w:eastAsia="Arial" w:hAnsi="Arial"/>
                <w:sz w:val="14"/>
                <w:szCs w:val="14"/>
                <w:b w:val="1"/>
                <w:bCs w:val="1"/>
                <w:color w:val="auto"/>
                <w:w w:val="97"/>
              </w:rPr>
              <w:t>Weighted-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8"/>
              </w:rPr>
              <w:t>Average Amount</w:t>
            </w: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w:t>
            </w:r>
          </w:p>
        </w:tc>
        <w:tc>
          <w:tcPr>
            <w:tcW w:w="12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7"/>
              </w:rPr>
              <w:t>Weighted-</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Average Amount</w:t>
            </w: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Weighted-Average</w:t>
            </w:r>
          </w:p>
        </w:tc>
        <w:tc>
          <w:tcPr>
            <w:tcW w:w="1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7"/>
              </w:rPr>
              <w:t>Average</w:t>
            </w: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20" w:type="dxa"/>
            <w:vAlign w:val="bottom"/>
          </w:tcPr>
          <w:p>
            <w:pPr>
              <w:jc w:val="center"/>
              <w:ind w:left="27"/>
              <w:spacing w:after="0" w:line="142" w:lineRule="exact"/>
              <w:rPr>
                <w:sz w:val="20"/>
                <w:szCs w:val="20"/>
                <w:color w:val="auto"/>
              </w:rPr>
            </w:pPr>
            <w:r>
              <w:rPr>
                <w:rFonts w:ascii="Arial" w:cs="Arial" w:eastAsia="Arial" w:hAnsi="Arial"/>
                <w:sz w:val="14"/>
                <w:szCs w:val="14"/>
                <w:b w:val="1"/>
                <w:bCs w:val="1"/>
                <w:color w:val="auto"/>
                <w:w w:val="96"/>
              </w:rPr>
              <w:t>Average Term</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Capitalized as</w:t>
            </w:r>
          </w:p>
        </w:tc>
        <w:tc>
          <w:tcPr>
            <w:tcW w:w="14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7"/>
              </w:rPr>
              <w:t>Average</w:t>
            </w:r>
          </w:p>
        </w:tc>
        <w:tc>
          <w:tcPr>
            <w:tcW w:w="12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1100" w:type="dxa"/>
            <w:vAlign w:val="bottom"/>
          </w:tcPr>
          <w:p>
            <w:pPr>
              <w:jc w:val="center"/>
              <w:ind w:right="66"/>
              <w:spacing w:after="0" w:line="142" w:lineRule="exact"/>
              <w:rPr>
                <w:sz w:val="20"/>
                <w:szCs w:val="20"/>
                <w:color w:val="auto"/>
              </w:rPr>
            </w:pPr>
            <w:r>
              <w:rPr>
                <w:rFonts w:ascii="Arial" w:cs="Arial" w:eastAsia="Arial" w:hAnsi="Arial"/>
                <w:sz w:val="14"/>
                <w:szCs w:val="14"/>
                <w:b w:val="1"/>
                <w:bCs w:val="1"/>
                <w:color w:val="auto"/>
                <w:w w:val="98"/>
              </w:rPr>
              <w:t>Capitalized as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120" w:type="dxa"/>
            <w:vAlign w:val="bottom"/>
          </w:tcPr>
          <w:p>
            <w:pPr>
              <w:jc w:val="center"/>
              <w:ind w:left="27"/>
              <w:spacing w:after="0" w:line="142" w:lineRule="exact"/>
              <w:rPr>
                <w:sz w:val="20"/>
                <w:szCs w:val="20"/>
                <w:color w:val="auto"/>
              </w:rPr>
            </w:pPr>
            <w:r>
              <w:rPr>
                <w:rFonts w:ascii="Arial" w:cs="Arial" w:eastAsia="Arial" w:hAnsi="Arial"/>
                <w:sz w:val="14"/>
                <w:szCs w:val="14"/>
                <w:b w:val="1"/>
                <w:bCs w:val="1"/>
                <w:color w:val="auto"/>
                <w:w w:val="97"/>
              </w:rPr>
              <w:t>Extension (in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14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Interest Rate</w:t>
            </w:r>
          </w:p>
        </w:tc>
        <w:tc>
          <w:tcPr>
            <w:tcW w:w="12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Extension</w:t>
            </w:r>
          </w:p>
        </w:tc>
        <w:tc>
          <w:tcPr>
            <w:tcW w:w="120" w:type="dxa"/>
            <w:vAlign w:val="bottom"/>
          </w:tcPr>
          <w:p>
            <w:pPr>
              <w:spacing w:after="0"/>
              <w:rPr>
                <w:sz w:val="12"/>
                <w:szCs w:val="12"/>
                <w:color w:val="auto"/>
              </w:rPr>
            </w:pPr>
          </w:p>
        </w:tc>
        <w:tc>
          <w:tcPr>
            <w:tcW w:w="1100" w:type="dxa"/>
            <w:vAlign w:val="bottom"/>
          </w:tcPr>
          <w:p>
            <w:pPr>
              <w:jc w:val="center"/>
              <w:ind w:right="46"/>
              <w:spacing w:after="0" w:line="142" w:lineRule="exact"/>
              <w:rPr>
                <w:sz w:val="20"/>
                <w:szCs w:val="20"/>
                <w:color w:val="auto"/>
              </w:rPr>
            </w:pPr>
            <w:r>
              <w:rPr>
                <w:rFonts w:ascii="Arial" w:cs="Arial" w:eastAsia="Arial" w:hAnsi="Arial"/>
                <w:sz w:val="14"/>
                <w:szCs w:val="14"/>
                <w:b w:val="1"/>
                <w:bCs w:val="1"/>
                <w:color w:val="auto"/>
                <w:w w:val="98"/>
              </w:rPr>
              <w:t>a Result of a</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Reduction</w:t>
            </w:r>
          </w:p>
        </w:tc>
        <w:tc>
          <w:tcPr>
            <w:tcW w:w="1120" w:type="dxa"/>
            <w:vAlign w:val="bottom"/>
          </w:tcPr>
          <w:p>
            <w:pPr>
              <w:jc w:val="center"/>
              <w:ind w:left="7"/>
              <w:spacing w:after="0"/>
              <w:rPr>
                <w:sz w:val="20"/>
                <w:szCs w:val="20"/>
                <w:color w:val="auto"/>
              </w:rPr>
            </w:pPr>
            <w:r>
              <w:rPr>
                <w:rFonts w:ascii="Arial" w:cs="Arial" w:eastAsia="Arial" w:hAnsi="Arial"/>
                <w:sz w:val="14"/>
                <w:szCs w:val="14"/>
                <w:b w:val="1"/>
                <w:bCs w:val="1"/>
                <w:color w:val="auto"/>
                <w:w w:val="95"/>
              </w:rPr>
              <w:t>Months)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80"/>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Reduction</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 Months)</w:t>
            </w:r>
          </w:p>
        </w:tc>
        <w:tc>
          <w:tcPr>
            <w:tcW w:w="1220" w:type="dxa"/>
            <w:vAlign w:val="bottom"/>
            <w:gridSpan w:val="2"/>
          </w:tcPr>
          <w:p>
            <w:pPr>
              <w:jc w:val="center"/>
              <w:spacing w:after="0" w:line="180" w:lineRule="exact"/>
              <w:rPr>
                <w:sz w:val="20"/>
                <w:szCs w:val="20"/>
                <w:color w:val="auto"/>
              </w:rPr>
            </w:pPr>
            <w:r>
              <w:rPr>
                <w:rFonts w:ascii="Arial" w:cs="Arial" w:eastAsia="Arial" w:hAnsi="Arial"/>
                <w:sz w:val="14"/>
                <w:szCs w:val="14"/>
                <w:b w:val="1"/>
                <w:bCs w:val="1"/>
                <w:color w:val="auto"/>
                <w:w w:val="96"/>
              </w:rPr>
              <w:t>Payment Delay</w:t>
            </w:r>
            <w:r>
              <w:rPr>
                <w:rFonts w:ascii="Arial" w:cs="Arial" w:eastAsia="Arial" w:hAnsi="Arial"/>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288"/>
        </w:trPr>
        <w:tc>
          <w:tcPr>
            <w:tcW w:w="3100" w:type="dxa"/>
            <w:vAlign w:val="bottom"/>
          </w:tcPr>
          <w:p>
            <w:pPr>
              <w:spacing w:after="0"/>
              <w:rPr>
                <w:sz w:val="20"/>
                <w:szCs w:val="20"/>
                <w:color w:val="auto"/>
              </w:rPr>
            </w:pPr>
            <w:r>
              <w:rPr>
                <w:rFonts w:ascii="Arial" w:cs="Arial" w:eastAsia="Arial" w:hAnsi="Arial"/>
                <w:sz w:val="14"/>
                <w:szCs w:val="14"/>
                <w:color w:val="auto"/>
              </w:rPr>
              <w:t>Loan by class of financing receivable:</w:t>
            </w:r>
            <w:r>
              <w:rPr>
                <w:rFonts w:ascii="Arial" w:cs="Arial" w:eastAsia="Arial" w:hAnsi="Arial"/>
                <w:sz w:val="17"/>
                <w:szCs w:val="17"/>
                <w:color w:val="auto"/>
                <w:vertAlign w:val="superscript"/>
              </w:rPr>
              <w:t>(2)</w:t>
            </w:r>
          </w:p>
        </w:tc>
        <w:tc>
          <w:tcPr>
            <w:tcW w:w="132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top w:val="single" w:sz="8" w:color="2C6937"/>
            </w:tcBorders>
          </w:tcPr>
          <w:p>
            <w:pPr>
              <w:spacing w:after="0"/>
              <w:rPr>
                <w:sz w:val="24"/>
                <w:szCs w:val="24"/>
                <w:color w:val="auto"/>
              </w:rPr>
            </w:pPr>
          </w:p>
        </w:tc>
        <w:tc>
          <w:tcPr>
            <w:tcW w:w="8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C6937"/>
            </w:tcBorders>
          </w:tcPr>
          <w:p>
            <w:pPr>
              <w:spacing w:after="0"/>
              <w:rPr>
                <w:sz w:val="24"/>
                <w:szCs w:val="24"/>
                <w:color w:val="auto"/>
              </w:rPr>
            </w:pPr>
          </w:p>
        </w:tc>
        <w:tc>
          <w:tcPr>
            <w:tcW w:w="108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top w:val="single" w:sz="8" w:color="2C6937"/>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2C6937"/>
            </w:tcBorders>
          </w:tcPr>
          <w:p>
            <w:pPr>
              <w:spacing w:after="0"/>
              <w:rPr>
                <w:sz w:val="24"/>
                <w:szCs w:val="24"/>
                <w:color w:val="auto"/>
              </w:rPr>
            </w:pPr>
          </w:p>
        </w:tc>
        <w:tc>
          <w:tcPr>
            <w:tcW w:w="1100" w:type="dxa"/>
            <w:vAlign w:val="bottom"/>
            <w:tcBorders>
              <w:top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00" w:type="dxa"/>
            <w:vAlign w:val="bottom"/>
          </w:tcPr>
          <w:p>
            <w:pPr>
              <w:ind w:left="160"/>
              <w:spacing w:after="0"/>
              <w:rPr>
                <w:sz w:val="20"/>
                <w:szCs w:val="20"/>
                <w:color w:val="auto"/>
              </w:rPr>
            </w:pPr>
            <w:r>
              <w:rPr>
                <w:rFonts w:ascii="Arial" w:cs="Arial" w:eastAsia="Arial" w:hAnsi="Arial"/>
                <w:sz w:val="14"/>
                <w:szCs w:val="14"/>
                <w:color w:val="auto"/>
              </w:rPr>
              <w:t>20- and 30-year or more, amortizing fixed-rate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0.58 %</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148</w:t>
            </w:r>
          </w:p>
        </w:tc>
        <w:tc>
          <w:tcPr>
            <w:tcW w:w="300" w:type="dxa"/>
            <w:vAlign w:val="bottom"/>
            <w:gridSpan w:val="3"/>
          </w:tcPr>
          <w:p>
            <w:pPr>
              <w:jc w:val="right"/>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13,162</w:t>
            </w:r>
          </w:p>
        </w:tc>
        <w:tc>
          <w:tcPr>
            <w:tcW w:w="80" w:type="dxa"/>
            <w:vAlign w:val="bottom"/>
          </w:tcPr>
          <w:p>
            <w:pPr>
              <w:spacing w:after="0"/>
              <w:rPr>
                <w:sz w:val="18"/>
                <w:szCs w:val="18"/>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0.72 %</w:t>
            </w:r>
          </w:p>
        </w:tc>
        <w:tc>
          <w:tcPr>
            <w:tcW w:w="10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161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13,408</w:t>
            </w:r>
          </w:p>
        </w:tc>
        <w:tc>
          <w:tcPr>
            <w:tcW w:w="0" w:type="dxa"/>
            <w:vAlign w:val="bottom"/>
          </w:tcPr>
          <w:p>
            <w:pPr>
              <w:spacing w:after="0"/>
              <w:rPr>
                <w:sz w:val="1"/>
                <w:szCs w:val="1"/>
                <w:color w:val="auto"/>
              </w:rPr>
            </w:pPr>
          </w:p>
        </w:tc>
      </w:tr>
      <w:tr>
        <w:trPr>
          <w:trHeight w:val="219"/>
        </w:trPr>
        <w:tc>
          <w:tcPr>
            <w:tcW w:w="3100" w:type="dxa"/>
            <w:vAlign w:val="bottom"/>
          </w:tcPr>
          <w:p>
            <w:pPr>
              <w:ind w:left="160"/>
              <w:spacing w:after="0"/>
              <w:rPr>
                <w:sz w:val="20"/>
                <w:szCs w:val="20"/>
                <w:color w:val="auto"/>
              </w:rPr>
            </w:pPr>
            <w:r>
              <w:rPr>
                <w:rFonts w:ascii="Arial" w:cs="Arial" w:eastAsia="Arial" w:hAnsi="Arial"/>
                <w:sz w:val="14"/>
                <w:szCs w:val="14"/>
                <w:color w:val="auto"/>
              </w:rPr>
              <w:t>15-year or less, amortizing fixed-rate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1.02</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51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9,642</w:t>
            </w:r>
          </w:p>
        </w:tc>
        <w:tc>
          <w:tcPr>
            <w:tcW w:w="80" w:type="dxa"/>
            <w:vAlign w:val="bottom"/>
          </w:tcPr>
          <w:p>
            <w:pPr>
              <w:spacing w:after="0"/>
              <w:rPr>
                <w:sz w:val="19"/>
                <w:szCs w:val="19"/>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1.82</w:t>
            </w:r>
          </w:p>
        </w:tc>
        <w:tc>
          <w:tcPr>
            <w:tcW w:w="100" w:type="dxa"/>
            <w:vAlign w:val="bottom"/>
          </w:tcPr>
          <w:p>
            <w:pPr>
              <w:spacing w:after="0"/>
              <w:rPr>
                <w:sz w:val="19"/>
                <w:szCs w:val="19"/>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11,538</w:t>
            </w:r>
          </w:p>
        </w:tc>
        <w:tc>
          <w:tcPr>
            <w:tcW w:w="0" w:type="dxa"/>
            <w:vAlign w:val="bottom"/>
          </w:tcPr>
          <w:p>
            <w:pPr>
              <w:spacing w:after="0"/>
              <w:rPr>
                <w:sz w:val="1"/>
                <w:szCs w:val="1"/>
                <w:color w:val="auto"/>
              </w:rPr>
            </w:pPr>
          </w:p>
        </w:tc>
      </w:tr>
      <w:tr>
        <w:trPr>
          <w:trHeight w:val="297"/>
        </w:trPr>
        <w:tc>
          <w:tcPr>
            <w:tcW w:w="3100" w:type="dxa"/>
            <w:vAlign w:val="bottom"/>
          </w:tcPr>
          <w:p>
            <w:pPr>
              <w:ind w:left="160"/>
              <w:spacing w:after="0"/>
              <w:rPr>
                <w:sz w:val="20"/>
                <w:szCs w:val="20"/>
                <w:color w:val="auto"/>
              </w:rPr>
            </w:pPr>
            <w:r>
              <w:rPr>
                <w:rFonts w:ascii="Arial" w:cs="Arial" w:eastAsia="Arial" w:hAnsi="Arial"/>
                <w:sz w:val="14"/>
                <w:szCs w:val="14"/>
                <w:color w:val="auto"/>
              </w:rPr>
              <w:t>Adjustable-rate</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1.09</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10,115</w:t>
            </w:r>
          </w:p>
        </w:tc>
        <w:tc>
          <w:tcPr>
            <w:tcW w:w="80" w:type="dxa"/>
            <w:vAlign w:val="bottom"/>
          </w:tcPr>
          <w:p>
            <w:pPr>
              <w:spacing w:after="0"/>
              <w:rPr>
                <w:sz w:val="24"/>
                <w:szCs w:val="24"/>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2.58</w:t>
            </w:r>
          </w:p>
        </w:tc>
        <w:tc>
          <w:tcPr>
            <w:tcW w:w="1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11,508</w:t>
            </w:r>
          </w:p>
        </w:tc>
        <w:tc>
          <w:tcPr>
            <w:tcW w:w="0" w:type="dxa"/>
            <w:vAlign w:val="bottom"/>
          </w:tcPr>
          <w:p>
            <w:pPr>
              <w:spacing w:after="0"/>
              <w:rPr>
                <w:sz w:val="1"/>
                <w:szCs w:val="1"/>
                <w:color w:val="auto"/>
              </w:rPr>
            </w:pPr>
          </w:p>
        </w:tc>
      </w:tr>
      <w:tr>
        <w:trPr>
          <w:trHeight w:val="297"/>
        </w:trPr>
        <w:tc>
          <w:tcPr>
            <w:tcW w:w="3100" w:type="dxa"/>
            <w:vAlign w:val="bottom"/>
          </w:tcPr>
          <w:p>
            <w:pPr>
              <w:ind w:left="160"/>
              <w:spacing w:after="0"/>
              <w:rPr>
                <w:sz w:val="20"/>
                <w:szCs w:val="20"/>
                <w:color w:val="auto"/>
              </w:rPr>
            </w:pPr>
            <w:r>
              <w:rPr>
                <w:rFonts w:ascii="Arial" w:cs="Arial" w:eastAsia="Arial" w:hAnsi="Arial"/>
                <w:sz w:val="14"/>
                <w:szCs w:val="14"/>
                <w:color w:val="auto"/>
              </w:rPr>
              <w:t>Other</w:t>
            </w:r>
          </w:p>
        </w:tc>
        <w:tc>
          <w:tcPr>
            <w:tcW w:w="1320" w:type="dxa"/>
            <w:vAlign w:val="bottom"/>
          </w:tcPr>
          <w:p>
            <w:pPr>
              <w:ind w:left="820"/>
              <w:spacing w:after="0"/>
              <w:rPr>
                <w:sz w:val="20"/>
                <w:szCs w:val="20"/>
                <w:color w:val="auto"/>
              </w:rPr>
            </w:pPr>
            <w:r>
              <w:rPr>
                <w:rFonts w:ascii="Arial" w:cs="Arial" w:eastAsia="Arial" w:hAnsi="Arial"/>
                <w:sz w:val="15"/>
                <w:szCs w:val="15"/>
                <w:b w:val="1"/>
                <w:bCs w:val="1"/>
                <w:color w:val="auto"/>
              </w:rPr>
              <w:t>1.05</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150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b w:val="1"/>
                <w:bCs w:val="1"/>
                <w:color w:val="auto"/>
              </w:rPr>
              <w:t>13,571</w:t>
            </w:r>
          </w:p>
        </w:tc>
        <w:tc>
          <w:tcPr>
            <w:tcW w:w="80" w:type="dxa"/>
            <w:vAlign w:val="bottom"/>
          </w:tcPr>
          <w:p>
            <w:pPr>
              <w:spacing w:after="0"/>
              <w:rPr>
                <w:sz w:val="24"/>
                <w:szCs w:val="24"/>
                <w:color w:val="auto"/>
              </w:rPr>
            </w:pPr>
          </w:p>
        </w:tc>
        <w:tc>
          <w:tcPr>
            <w:tcW w:w="1320" w:type="dxa"/>
            <w:vAlign w:val="bottom"/>
          </w:tcPr>
          <w:p>
            <w:pPr>
              <w:ind w:left="820"/>
              <w:spacing w:after="0"/>
              <w:rPr>
                <w:sz w:val="20"/>
                <w:szCs w:val="20"/>
                <w:color w:val="auto"/>
              </w:rPr>
            </w:pPr>
            <w:r>
              <w:rPr>
                <w:rFonts w:ascii="Arial" w:cs="Arial" w:eastAsia="Arial" w:hAnsi="Arial"/>
                <w:sz w:val="15"/>
                <w:szCs w:val="15"/>
                <w:color w:val="auto"/>
              </w:rPr>
              <w:t>0.86</w:t>
            </w:r>
          </w:p>
        </w:tc>
        <w:tc>
          <w:tcPr>
            <w:tcW w:w="10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Arial" w:cs="Arial" w:eastAsia="Arial" w:hAnsi="Arial"/>
                <w:sz w:val="15"/>
                <w:szCs w:val="15"/>
                <w:color w:val="auto"/>
              </w:rPr>
              <w:t>162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18,705</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20" w:hanging="217"/>
        <w:spacing w:after="0"/>
        <w:tabs>
          <w:tab w:leader="none" w:pos="220" w:val="left"/>
        </w:tabs>
        <w:numPr>
          <w:ilvl w:val="0"/>
          <w:numId w:val="64"/>
        </w:numPr>
        <w:rPr>
          <w:rFonts w:ascii="Arial" w:cs="Arial" w:eastAsia="Arial" w:hAnsi="Arial"/>
          <w:sz w:val="9"/>
          <w:szCs w:val="9"/>
          <w:color w:val="auto"/>
        </w:rPr>
      </w:pPr>
      <w:r>
        <w:rPr>
          <w:rFonts w:ascii="Arial" w:cs="Arial" w:eastAsia="Arial" w:hAnsi="Arial"/>
          <w:sz w:val="14"/>
          <w:szCs w:val="14"/>
          <w:color w:val="auto"/>
        </w:rPr>
        <w:t>Represents the average amount of delinquency-related amounts that were capitalized as part of the loan balance. Amounts are in whole dollars.</w:t>
      </w:r>
    </w:p>
    <w:p>
      <w:pPr>
        <w:spacing w:after="0" w:line="19" w:lineRule="exact"/>
        <w:rPr>
          <w:rFonts w:ascii="Arial" w:cs="Arial" w:eastAsia="Arial" w:hAnsi="Arial"/>
          <w:sz w:val="9"/>
          <w:szCs w:val="9"/>
          <w:color w:val="auto"/>
        </w:rPr>
      </w:pPr>
    </w:p>
    <w:p>
      <w:pPr>
        <w:ind w:left="220" w:hanging="217"/>
        <w:spacing w:after="0"/>
        <w:tabs>
          <w:tab w:leader="none" w:pos="220"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Excludes the financial effects of modifications for loans that were paid off or otherwise liquidated as of period end.</w:t>
      </w:r>
    </w:p>
    <w:p>
      <w:pPr>
        <w:spacing w:after="0" w:line="75"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following tables display the amortized cost of HFI loans that defaulted during the period and had received a completed modification or payment deferral in the twelve months prior to the payment default. For purposes of this disclosure, we define loans that had a payment default as single-family loans with completed modifications that are two or more months delinquent during the period; or multifamily loans with completed modifications that are one or more months delinquent during the period. For loans that receive a forbearance plan, repayment plan or trial modification, these loss mitigation options generally remain in default until the loan is no longer delinquent as a result of the payment of all past-due amounts or as a result of a loan modification or payment deferral. Therefore, forbearance plans, repayment plans and trial modifications are not included in default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391795</wp:posOffset>
            </wp:positionV>
            <wp:extent cx="680593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83" w:name="page84"/>
    <w:bookmarkEnd w:id="83"/>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6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3300" w:type="dxa"/>
            <w:vAlign w:val="bottom"/>
            <w:tcBorders>
              <w:bottom w:val="single" w:sz="8" w:color="2C6937"/>
            </w:tcBorders>
            <w:gridSpan w:val="6"/>
          </w:tcPr>
          <w:p>
            <w:pPr>
              <w:ind w:left="20"/>
              <w:spacing w:after="0"/>
              <w:rPr>
                <w:sz w:val="20"/>
                <w:szCs w:val="20"/>
                <w:color w:val="auto"/>
              </w:rPr>
            </w:pPr>
            <w:r>
              <w:rPr>
                <w:rFonts w:ascii="Arial" w:cs="Arial" w:eastAsia="Arial" w:hAnsi="Arial"/>
                <w:sz w:val="14"/>
                <w:szCs w:val="14"/>
                <w:b w:val="1"/>
                <w:bCs w:val="1"/>
                <w:color w:val="auto"/>
              </w:rPr>
              <w:t>For the Three Months Ended September 30, 2025</w:t>
            </w:r>
          </w:p>
        </w:tc>
        <w:tc>
          <w:tcPr>
            <w:tcW w:w="360" w:type="dxa"/>
            <w:vAlign w:val="bottom"/>
            <w:tcBorders>
              <w:bottom w:val="single" w:sz="8" w:color="2C6937"/>
            </w:tcBorders>
          </w:tcPr>
          <w:p>
            <w:pPr>
              <w:spacing w:after="0"/>
              <w:rPr>
                <w:sz w:val="17"/>
                <w:szCs w:val="17"/>
                <w:color w:val="auto"/>
              </w:rPr>
            </w:pPr>
          </w:p>
        </w:tc>
        <w:tc>
          <w:tcPr>
            <w:tcW w:w="1200" w:type="dxa"/>
            <w:vAlign w:val="bottom"/>
            <w:tcBorders>
              <w:bottom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Extension, Interest</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Rate Reduction and</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460" w:type="dxa"/>
            <w:vAlign w:val="bottom"/>
            <w:tcBorders>
              <w:bottom w:val="single" w:sz="8" w:color="2C6937"/>
            </w:tcBorders>
          </w:tcPr>
          <w:p>
            <w:pPr>
              <w:jc w:val="center"/>
              <w:ind w:right="25"/>
              <w:spacing w:after="0"/>
              <w:rPr>
                <w:sz w:val="20"/>
                <w:szCs w:val="20"/>
                <w:color w:val="auto"/>
              </w:rPr>
            </w:pPr>
            <w:r>
              <w:rPr>
                <w:rFonts w:ascii="Arial" w:cs="Arial" w:eastAsia="Arial" w:hAnsi="Arial"/>
                <w:sz w:val="14"/>
                <w:szCs w:val="14"/>
                <w:b w:val="1"/>
                <w:bCs w:val="1"/>
                <w:color w:val="auto"/>
                <w:w w:val="98"/>
              </w:rPr>
              <w:t>Deferral (Only)</w:t>
            </w:r>
          </w:p>
        </w:tc>
        <w:tc>
          <w:tcPr>
            <w:tcW w:w="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42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7"/>
              </w:rPr>
              <w:t>Term Extension</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5"/>
          </w:tcPr>
          <w:p>
            <w:pPr>
              <w:ind w:left="78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1,280</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1,021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21"/>
                <w:szCs w:val="21"/>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2,358</w:t>
            </w:r>
          </w:p>
        </w:tc>
        <w:tc>
          <w:tcPr>
            <w:tcW w:w="0" w:type="dxa"/>
            <w:vAlign w:val="bottom"/>
          </w:tcPr>
          <w:p>
            <w:pPr>
              <w:spacing w:after="0"/>
              <w:rPr>
                <w:sz w:val="1"/>
                <w:szCs w:val="1"/>
                <w:color w:val="auto"/>
              </w:rPr>
            </w:pPr>
          </w:p>
        </w:tc>
      </w:tr>
      <w:tr>
        <w:trPr>
          <w:trHeight w:val="232"/>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32"/>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3"/>
        </w:trPr>
        <w:tc>
          <w:tcPr>
            <w:tcW w:w="46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24"/>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19"/>
                <w:szCs w:val="19"/>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1,328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2,421</w:t>
            </w:r>
          </w:p>
        </w:tc>
        <w:tc>
          <w:tcPr>
            <w:tcW w:w="0" w:type="dxa"/>
            <w:vAlign w:val="bottom"/>
          </w:tcPr>
          <w:p>
            <w:pPr>
              <w:spacing w:after="0"/>
              <w:rPr>
                <w:sz w:val="1"/>
                <w:szCs w:val="1"/>
                <w:color w:val="auto"/>
              </w:rPr>
            </w:pPr>
          </w:p>
        </w:tc>
      </w:tr>
      <w:tr>
        <w:trPr>
          <w:trHeight w:val="233"/>
        </w:trPr>
        <w:tc>
          <w:tcPr>
            <w:tcW w:w="46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26"/>
        </w:trPr>
        <w:tc>
          <w:tcPr>
            <w:tcW w:w="4640" w:type="dxa"/>
            <w:vAlign w:val="bottom"/>
            <w:tcBorders>
              <w:bottom w:val="single" w:sz="8" w:color="2C6937"/>
            </w:tcBorders>
          </w:tcPr>
          <w:p>
            <w:pPr>
              <w:ind w:left="180"/>
              <w:spacing w:after="0" w:line="226" w:lineRule="exact"/>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0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1,328</w:t>
            </w:r>
          </w:p>
        </w:tc>
        <w:tc>
          <w:tcPr>
            <w:tcW w:w="80" w:type="dxa"/>
            <w:vAlign w:val="bottom"/>
          </w:tcPr>
          <w:p>
            <w:pPr>
              <w:spacing w:after="0"/>
              <w:rPr>
                <w:sz w:val="19"/>
                <w:szCs w:val="19"/>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1,030</w:t>
            </w:r>
          </w:p>
        </w:tc>
        <w:tc>
          <w:tcPr>
            <w:tcW w:w="1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19"/>
                <w:szCs w:val="19"/>
                <w:color w:val="auto"/>
              </w:rPr>
            </w:pPr>
          </w:p>
        </w:tc>
        <w:tc>
          <w:tcPr>
            <w:tcW w:w="360" w:type="dxa"/>
            <w:vAlign w:val="bottom"/>
            <w:tcBorders>
              <w:bottom w:val="single" w:sz="8" w:color="2C6937"/>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2,442</w:t>
            </w:r>
          </w:p>
        </w:tc>
        <w:tc>
          <w:tcPr>
            <w:tcW w:w="0" w:type="dxa"/>
            <w:vAlign w:val="bottom"/>
          </w:tcPr>
          <w:p>
            <w:pPr>
              <w:spacing w:after="0"/>
              <w:rPr>
                <w:sz w:val="1"/>
                <w:szCs w:val="1"/>
                <w:color w:val="auto"/>
              </w:rPr>
            </w:pPr>
          </w:p>
        </w:tc>
      </w:tr>
      <w:tr>
        <w:trPr>
          <w:trHeight w:val="20"/>
        </w:trPr>
        <w:tc>
          <w:tcPr>
            <w:tcW w:w="46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46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6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3300" w:type="dxa"/>
            <w:vAlign w:val="bottom"/>
            <w:tcBorders>
              <w:bottom w:val="single" w:sz="8" w:color="2C6937"/>
            </w:tcBorders>
            <w:gridSpan w:val="6"/>
          </w:tcPr>
          <w:p>
            <w:pPr>
              <w:ind w:left="60"/>
              <w:spacing w:after="0"/>
              <w:rPr>
                <w:sz w:val="20"/>
                <w:szCs w:val="20"/>
                <w:color w:val="auto"/>
              </w:rPr>
            </w:pPr>
            <w:r>
              <w:rPr>
                <w:rFonts w:ascii="Arial" w:cs="Arial" w:eastAsia="Arial" w:hAnsi="Arial"/>
                <w:sz w:val="14"/>
                <w:szCs w:val="14"/>
                <w:b w:val="1"/>
                <w:bCs w:val="1"/>
                <w:color w:val="auto"/>
              </w:rPr>
              <w:t>For the Nine Months Ended September 30, 2025</w:t>
            </w:r>
          </w:p>
        </w:tc>
        <w:tc>
          <w:tcPr>
            <w:tcW w:w="360" w:type="dxa"/>
            <w:vAlign w:val="bottom"/>
            <w:tcBorders>
              <w:bottom w:val="single" w:sz="8" w:color="2C6937"/>
            </w:tcBorders>
          </w:tcPr>
          <w:p>
            <w:pPr>
              <w:spacing w:after="0"/>
              <w:rPr>
                <w:sz w:val="24"/>
                <w:szCs w:val="24"/>
                <w:color w:val="auto"/>
              </w:rPr>
            </w:pPr>
          </w:p>
        </w:tc>
        <w:tc>
          <w:tcPr>
            <w:tcW w:w="12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Payment Delay as a</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6"/>
              </w:rPr>
              <w:t>Payment Delay, Term</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Payment Delay and</w:t>
            </w: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Extension, Interest</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Result of a Payment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Rate Reduction and</w:t>
            </w:r>
          </w:p>
        </w:tc>
        <w:tc>
          <w:tcPr>
            <w:tcW w:w="360" w:type="dxa"/>
            <w:vAlign w:val="bottom"/>
          </w:tcPr>
          <w:p>
            <w:pPr>
              <w:spacing w:after="0"/>
              <w:rPr>
                <w:sz w:val="12"/>
                <w:szCs w:val="12"/>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460" w:type="dxa"/>
            <w:vAlign w:val="bottom"/>
            <w:tcBorders>
              <w:bottom w:val="single" w:sz="8" w:color="2C6937"/>
            </w:tcBorders>
          </w:tcPr>
          <w:p>
            <w:pPr>
              <w:jc w:val="center"/>
              <w:ind w:right="25"/>
              <w:spacing w:after="0"/>
              <w:rPr>
                <w:sz w:val="20"/>
                <w:szCs w:val="20"/>
                <w:color w:val="auto"/>
              </w:rPr>
            </w:pPr>
            <w:r>
              <w:rPr>
                <w:rFonts w:ascii="Arial" w:cs="Arial" w:eastAsia="Arial" w:hAnsi="Arial"/>
                <w:sz w:val="14"/>
                <w:szCs w:val="14"/>
                <w:b w:val="1"/>
                <w:bCs w:val="1"/>
                <w:color w:val="auto"/>
                <w:w w:val="98"/>
              </w:rPr>
              <w:t>Deferral (Only)</w:t>
            </w:r>
          </w:p>
        </w:tc>
        <w:tc>
          <w:tcPr>
            <w:tcW w:w="8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42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7"/>
              </w:rPr>
              <w:t>Term Extension</w:t>
            </w:r>
          </w:p>
        </w:tc>
        <w:tc>
          <w:tcPr>
            <w:tcW w:w="100" w:type="dxa"/>
            <w:vAlign w:val="bottom"/>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440" w:type="dxa"/>
            <w:vAlign w:val="bottom"/>
            <w:tcBorders>
              <w:bottom w:val="single" w:sz="8" w:color="2C6937"/>
            </w:tcBorders>
          </w:tcPr>
          <w:p>
            <w:pPr>
              <w:jc w:val="center"/>
              <w:ind w:right="45"/>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5"/>
          </w:tcPr>
          <w:p>
            <w:pPr>
              <w:ind w:left="78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2,631</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1,863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85</w:t>
            </w:r>
          </w:p>
        </w:tc>
        <w:tc>
          <w:tcPr>
            <w:tcW w:w="80" w:type="dxa"/>
            <w:vAlign w:val="bottom"/>
          </w:tcPr>
          <w:p>
            <w:pPr>
              <w:spacing w:after="0"/>
              <w:rPr>
                <w:sz w:val="21"/>
                <w:szCs w:val="21"/>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4,579</w:t>
            </w:r>
          </w:p>
        </w:tc>
        <w:tc>
          <w:tcPr>
            <w:tcW w:w="0" w:type="dxa"/>
            <w:vAlign w:val="bottom"/>
          </w:tcPr>
          <w:p>
            <w:pPr>
              <w:spacing w:after="0"/>
              <w:rPr>
                <w:sz w:val="1"/>
                <w:szCs w:val="1"/>
                <w:color w:val="auto"/>
              </w:rPr>
            </w:pPr>
          </w:p>
        </w:tc>
      </w:tr>
      <w:tr>
        <w:trPr>
          <w:trHeight w:val="232"/>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32"/>
        </w:trPr>
        <w:tc>
          <w:tcPr>
            <w:tcW w:w="474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20"/>
                <w:szCs w:val="20"/>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33"/>
        </w:trPr>
        <w:tc>
          <w:tcPr>
            <w:tcW w:w="46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24"/>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19"/>
                <w:szCs w:val="19"/>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2,728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1,878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95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4,701</w:t>
            </w:r>
          </w:p>
        </w:tc>
        <w:tc>
          <w:tcPr>
            <w:tcW w:w="0" w:type="dxa"/>
            <w:vAlign w:val="bottom"/>
          </w:tcPr>
          <w:p>
            <w:pPr>
              <w:spacing w:after="0"/>
              <w:rPr>
                <w:sz w:val="1"/>
                <w:szCs w:val="1"/>
                <w:color w:val="auto"/>
              </w:rPr>
            </w:pPr>
          </w:p>
        </w:tc>
      </w:tr>
      <w:tr>
        <w:trPr>
          <w:trHeight w:val="233"/>
        </w:trPr>
        <w:tc>
          <w:tcPr>
            <w:tcW w:w="46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4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26"/>
        </w:trPr>
        <w:tc>
          <w:tcPr>
            <w:tcW w:w="4740" w:type="dxa"/>
            <w:vAlign w:val="bottom"/>
            <w:gridSpan w:val="2"/>
          </w:tcPr>
          <w:p>
            <w:pPr>
              <w:ind w:left="180"/>
              <w:spacing w:after="0" w:line="226" w:lineRule="exact"/>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2,728</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1,878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5"/>
              <w:spacing w:after="0"/>
              <w:rPr>
                <w:sz w:val="20"/>
                <w:szCs w:val="20"/>
                <w:color w:val="auto"/>
              </w:rPr>
            </w:pPr>
            <w:r>
              <w:rPr>
                <w:rFonts w:ascii="Arial" w:cs="Arial" w:eastAsia="Arial" w:hAnsi="Arial"/>
                <w:sz w:val="15"/>
                <w:szCs w:val="15"/>
                <w:color w:val="auto"/>
              </w:rPr>
              <w:t>116</w:t>
            </w:r>
          </w:p>
        </w:tc>
        <w:tc>
          <w:tcPr>
            <w:tcW w:w="8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4,722</w:t>
            </w:r>
          </w:p>
        </w:tc>
        <w:tc>
          <w:tcPr>
            <w:tcW w:w="0" w:type="dxa"/>
            <w:vAlign w:val="bottom"/>
          </w:tcPr>
          <w:p>
            <w:pPr>
              <w:spacing w:after="0"/>
              <w:rPr>
                <w:sz w:val="1"/>
                <w:szCs w:val="1"/>
                <w:color w:val="auto"/>
              </w:rPr>
            </w:pPr>
          </w:p>
        </w:tc>
      </w:tr>
      <w:tr>
        <w:trPr>
          <w:trHeight w:val="20"/>
        </w:trPr>
        <w:tc>
          <w:tcPr>
            <w:tcW w:w="46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46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84" w:name="page85"/>
    <w:bookmarkEnd w:id="84"/>
    <w:p>
      <w:pPr>
        <w:ind w:left="6620"/>
        <w:spacing w:after="0"/>
        <w:rPr>
          <w:sz w:val="20"/>
          <w:szCs w:val="20"/>
          <w:color w:val="auto"/>
        </w:rPr>
      </w:pPr>
      <w:r>
        <w:rPr>
          <w:rFonts w:ascii="Arial" w:cs="Arial" w:eastAsia="Arial" w:hAnsi="Arial"/>
          <w:sz w:val="13"/>
          <w:szCs w:val="13"/>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For the Three Months Ended September 30, 2024</w:t>
      </w:r>
    </w:p>
    <w:p>
      <w:pPr>
        <w:sectPr>
          <w:pgSz w:w="11900" w:h="16838" w:orient="portrait"/>
          <w:cols w:equalWidth="0" w:num="1">
            <w:col w:w="11140"/>
          </w:cols>
          <w:pgMar w:left="320" w:top="24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20- and 30-year or more, amortizing fixed-rate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15-year or less, amortizing fixed-rate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Adjustable-rate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89814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single-family</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289814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289814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8981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289814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00" w:type="dxa"/>
            <w:vAlign w:val="bottom"/>
            <w:tcBorders>
              <w:top w:val="single" w:sz="8" w:color="2C6937"/>
            </w:tcBorders>
          </w:tcPr>
          <w:p>
            <w:pPr>
              <w:spacing w:after="0"/>
              <w:rPr>
                <w:sz w:val="13"/>
                <w:szCs w:val="13"/>
                <w:color w:val="auto"/>
              </w:rPr>
            </w:pPr>
          </w:p>
        </w:tc>
        <w:tc>
          <w:tcPr>
            <w:tcW w:w="1500" w:type="dxa"/>
            <w:vAlign w:val="bottom"/>
            <w:tcBorders>
              <w:top w:val="single" w:sz="8" w:color="2C6937"/>
            </w:tcBorders>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Payment Delay as a</w:t>
            </w:r>
          </w:p>
        </w:tc>
        <w:tc>
          <w:tcPr>
            <w:tcW w:w="120" w:type="dxa"/>
            <w:vAlign w:val="bottom"/>
            <w:tcBorders>
              <w:top w:val="single" w:sz="8" w:color="2C6937"/>
            </w:tcBorders>
          </w:tcPr>
          <w:p>
            <w:pPr>
              <w:spacing w:after="0"/>
              <w:rPr>
                <w:sz w:val="13"/>
                <w:szCs w:val="13"/>
                <w:color w:val="auto"/>
              </w:rPr>
            </w:pPr>
          </w:p>
        </w:tc>
        <w:tc>
          <w:tcPr>
            <w:tcW w:w="1500" w:type="dxa"/>
            <w:vAlign w:val="bottom"/>
            <w:tcBorders>
              <w:top w:val="single" w:sz="8" w:color="2C6937"/>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Payment Delay and</w:t>
            </w:r>
          </w:p>
        </w:tc>
        <w:tc>
          <w:tcPr>
            <w:tcW w:w="1620" w:type="dxa"/>
            <w:vAlign w:val="bottom"/>
            <w:tcBorders>
              <w:top w:val="single" w:sz="8" w:color="2C6937"/>
            </w:tcBorders>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Payment Delay, Term</w:t>
            </w:r>
          </w:p>
        </w:tc>
        <w:tc>
          <w:tcPr>
            <w:tcW w:w="340" w:type="dxa"/>
            <w:vAlign w:val="bottom"/>
            <w:tcBorders>
              <w:top w:val="single" w:sz="8" w:color="2C6937"/>
            </w:tcBorders>
          </w:tcPr>
          <w:p>
            <w:pPr>
              <w:spacing w:after="0"/>
              <w:rPr>
                <w:sz w:val="13"/>
                <w:szCs w:val="13"/>
                <w:color w:val="auto"/>
              </w:rPr>
            </w:pPr>
          </w:p>
        </w:tc>
        <w:tc>
          <w:tcPr>
            <w:tcW w:w="1180" w:type="dxa"/>
            <w:vAlign w:val="bottom"/>
            <w:tcBorders>
              <w:top w:val="single" w:sz="8" w:color="2C6937"/>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150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8"/>
              </w:rPr>
              <w:t>Result of a Payment</w:t>
            </w: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2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Extension and Interest</w:t>
            </w:r>
          </w:p>
        </w:tc>
        <w:tc>
          <w:tcPr>
            <w:tcW w:w="340" w:type="dxa"/>
            <w:vAlign w:val="bottom"/>
          </w:tcPr>
          <w:p>
            <w:pPr>
              <w:spacing w:after="0"/>
              <w:rPr>
                <w:sz w:val="12"/>
                <w:szCs w:val="12"/>
                <w:color w:val="auto"/>
              </w:rPr>
            </w:pPr>
          </w:p>
        </w:tc>
        <w:tc>
          <w:tcPr>
            <w:tcW w:w="1180" w:type="dxa"/>
            <w:vAlign w:val="bottom"/>
            <w:vMerge w:val="restart"/>
          </w:tcPr>
          <w:p>
            <w:pPr>
              <w:jc w:val="right"/>
              <w:ind w:right="5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0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Deferral (Only)</w:t>
            </w:r>
          </w:p>
        </w:tc>
        <w:tc>
          <w:tcPr>
            <w:tcW w:w="12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Term Extension</w:t>
            </w:r>
          </w:p>
        </w:tc>
        <w:tc>
          <w:tcPr>
            <w:tcW w:w="1280" w:type="dxa"/>
            <w:vAlign w:val="bottom"/>
            <w:tcBorders>
              <w:bottom w:val="single" w:sz="8" w:color="2C6937"/>
            </w:tcBorders>
          </w:tcPr>
          <w:p>
            <w:pPr>
              <w:jc w:val="center"/>
              <w:ind w:left="168"/>
              <w:spacing w:after="0"/>
              <w:rPr>
                <w:sz w:val="20"/>
                <w:szCs w:val="20"/>
                <w:color w:val="auto"/>
              </w:rPr>
            </w:pPr>
            <w:r>
              <w:rPr>
                <w:rFonts w:ascii="Arial" w:cs="Arial" w:eastAsia="Arial" w:hAnsi="Arial"/>
                <w:sz w:val="14"/>
                <w:szCs w:val="14"/>
                <w:b w:val="1"/>
                <w:bCs w:val="1"/>
                <w:color w:val="auto"/>
                <w:w w:val="97"/>
              </w:rPr>
              <w:t>Rate Reduction</w:t>
            </w:r>
          </w:p>
        </w:tc>
        <w:tc>
          <w:tcPr>
            <w:tcW w:w="2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340" w:type="dxa"/>
            <w:vAlign w:val="bottom"/>
            <w:tcBorders>
              <w:bottom w:val="single" w:sz="8" w:color="2C6937"/>
            </w:tcBorders>
          </w:tcPr>
          <w:p>
            <w:pPr>
              <w:spacing w:after="0"/>
              <w:rPr>
                <w:sz w:val="15"/>
                <w:szCs w:val="15"/>
                <w:color w:val="auto"/>
              </w:rPr>
            </w:pPr>
          </w:p>
        </w:tc>
        <w:tc>
          <w:tcPr>
            <w:tcW w:w="118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3"/>
          </w:tcPr>
          <w:p>
            <w:pPr>
              <w:ind w:left="8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1,438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774</w:t>
            </w: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95"/>
              </w:rPr>
              <w:t>11</w:t>
            </w:r>
          </w:p>
        </w:tc>
        <w:tc>
          <w:tcPr>
            <w:tcW w:w="100" w:type="dxa"/>
            <w:vAlign w:val="bottom"/>
          </w:tcPr>
          <w:p>
            <w:pPr>
              <w:spacing w:after="0"/>
              <w:rPr>
                <w:sz w:val="24"/>
                <w:szCs w:val="24"/>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2,223</w:t>
            </w: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0"/>
                <w:szCs w:val="20"/>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0"/>
                <w:szCs w:val="20"/>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9"/>
        </w:trPr>
        <w:tc>
          <w:tcPr>
            <w:tcW w:w="10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20"/>
                <w:szCs w:val="20"/>
                <w:color w:val="auto"/>
              </w:rPr>
            </w:pPr>
          </w:p>
        </w:tc>
        <w:tc>
          <w:tcPr>
            <w:tcW w:w="1280" w:type="dxa"/>
            <w:vAlign w:val="bottom"/>
            <w:tcBorders>
              <w:bottom w:val="single" w:sz="8" w:color="2C6937"/>
            </w:tcBorders>
          </w:tcPr>
          <w:p>
            <w:pPr>
              <w:spacing w:after="0"/>
              <w:rPr>
                <w:sz w:val="20"/>
                <w:szCs w:val="20"/>
                <w:color w:val="auto"/>
              </w:rPr>
            </w:pPr>
          </w:p>
        </w:tc>
        <w:tc>
          <w:tcPr>
            <w:tcW w:w="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11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1,499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783</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w w:val="95"/>
              </w:rPr>
              <w:t>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2,299</w:t>
            </w: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0"/>
                <w:szCs w:val="20"/>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1,499</w:t>
            </w:r>
          </w:p>
        </w:tc>
        <w:tc>
          <w:tcPr>
            <w:tcW w:w="80" w:type="dxa"/>
            <w:vAlign w:val="bottom"/>
          </w:tcPr>
          <w:p>
            <w:pPr>
              <w:spacing w:after="0"/>
              <w:rPr>
                <w:sz w:val="19"/>
                <w:szCs w:val="19"/>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4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783</w:t>
            </w:r>
          </w:p>
        </w:tc>
        <w:tc>
          <w:tcPr>
            <w:tcW w:w="100" w:type="dxa"/>
            <w:vAlign w:val="bottom"/>
          </w:tcPr>
          <w:p>
            <w:pPr>
              <w:spacing w:after="0"/>
              <w:rPr>
                <w:sz w:val="19"/>
                <w:szCs w:val="19"/>
                <w:color w:val="auto"/>
              </w:rPr>
            </w:pPr>
          </w:p>
        </w:tc>
        <w:tc>
          <w:tcPr>
            <w:tcW w:w="128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17</w:t>
            </w:r>
          </w:p>
        </w:tc>
        <w:tc>
          <w:tcPr>
            <w:tcW w:w="100" w:type="dxa"/>
            <w:vAlign w:val="bottom"/>
          </w:tcPr>
          <w:p>
            <w:pPr>
              <w:spacing w:after="0"/>
              <w:rPr>
                <w:sz w:val="19"/>
                <w:szCs w:val="19"/>
                <w:color w:val="auto"/>
              </w:rPr>
            </w:pPr>
          </w:p>
        </w:tc>
        <w:tc>
          <w:tcPr>
            <w:tcW w:w="340" w:type="dxa"/>
            <w:vAlign w:val="bottom"/>
            <w:tcBorders>
              <w:top w:val="single" w:sz="8" w:color="2C6937"/>
              <w:bottom w:val="single" w:sz="8" w:color="2C6937"/>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2C6937"/>
              <w:bottom w:val="single" w:sz="8" w:color="2C6937"/>
            </w:tcBorders>
          </w:tcPr>
          <w:p>
            <w:pPr>
              <w:jc w:val="right"/>
              <w:ind w:right="4"/>
              <w:spacing w:after="0"/>
              <w:rPr>
                <w:sz w:val="20"/>
                <w:szCs w:val="20"/>
                <w:color w:val="auto"/>
              </w:rPr>
            </w:pPr>
            <w:r>
              <w:rPr>
                <w:rFonts w:ascii="Arial" w:cs="Arial" w:eastAsia="Arial" w:hAnsi="Arial"/>
                <w:sz w:val="15"/>
                <w:szCs w:val="15"/>
                <w:color w:val="auto"/>
              </w:rPr>
              <w:t>2,299</w:t>
            </w:r>
          </w:p>
        </w:tc>
        <w:tc>
          <w:tcPr>
            <w:tcW w:w="0" w:type="dxa"/>
            <w:vAlign w:val="bottom"/>
          </w:tcPr>
          <w:p>
            <w:pPr>
              <w:spacing w:after="0"/>
              <w:rPr>
                <w:sz w:val="1"/>
                <w:szCs w:val="1"/>
                <w:color w:val="auto"/>
              </w:rPr>
            </w:pPr>
          </w:p>
        </w:tc>
      </w:tr>
      <w:tr>
        <w:trPr>
          <w:trHeight w:val="26"/>
        </w:trPr>
        <w:tc>
          <w:tcPr>
            <w:tcW w:w="100" w:type="dxa"/>
            <w:vAlign w:val="bottom"/>
            <w:tcBorders>
              <w:bottom w:val="single" w:sz="8" w:color="2C6937"/>
            </w:tcBorders>
          </w:tcPr>
          <w:p>
            <w:pPr>
              <w:spacing w:after="0"/>
              <w:rPr>
                <w:sz w:val="2"/>
                <w:szCs w:val="2"/>
                <w:color w:val="auto"/>
              </w:rPr>
            </w:pPr>
          </w:p>
        </w:tc>
        <w:tc>
          <w:tcPr>
            <w:tcW w:w="14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14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2C6937"/>
            </w:tcBorders>
          </w:tcPr>
          <w:p>
            <w:pPr>
              <w:spacing w:after="0"/>
              <w:rPr>
                <w:sz w:val="2"/>
                <w:szCs w:val="2"/>
                <w:color w:val="auto"/>
              </w:rPr>
            </w:pPr>
          </w:p>
        </w:tc>
        <w:tc>
          <w:tcPr>
            <w:tcW w:w="24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2C6937"/>
            </w:tcBorders>
          </w:tcPr>
          <w:p>
            <w:pPr>
              <w:spacing w:after="0"/>
              <w:rPr>
                <w:sz w:val="2"/>
                <w:szCs w:val="2"/>
                <w:color w:val="auto"/>
              </w:rPr>
            </w:pPr>
          </w:p>
        </w:tc>
        <w:tc>
          <w:tcPr>
            <w:tcW w:w="118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For the Nine Months Ended September 30, 2024</w:t>
      </w:r>
    </w:p>
    <w:p>
      <w:pPr>
        <w:spacing w:after="0" w:line="27" w:lineRule="exact"/>
        <w:rPr>
          <w:sz w:val="20"/>
          <w:szCs w:val="20"/>
          <w:color w:val="auto"/>
        </w:rPr>
      </w:pPr>
    </w:p>
    <w:p>
      <w:pPr>
        <w:sectPr>
          <w:pgSz w:w="11900" w:h="16838" w:orient="portrait"/>
          <w:cols w:equalWidth="0" w:num="2">
            <w:col w:w="3940" w:space="720"/>
            <w:col w:w="6480"/>
          </w:cols>
          <w:pgMar w:left="320" w:top="248" w:right="43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500" w:type="dxa"/>
            <w:vAlign w:val="bottom"/>
            <w:tcBorders>
              <w:top w:val="single" w:sz="8" w:color="2C6937"/>
            </w:tcBorders>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Payment Delay as a</w:t>
            </w:r>
          </w:p>
        </w:tc>
        <w:tc>
          <w:tcPr>
            <w:tcW w:w="120" w:type="dxa"/>
            <w:vAlign w:val="bottom"/>
            <w:tcBorders>
              <w:top w:val="single" w:sz="8" w:color="2C6937"/>
            </w:tcBorders>
          </w:tcPr>
          <w:p>
            <w:pPr>
              <w:spacing w:after="0"/>
              <w:rPr>
                <w:sz w:val="13"/>
                <w:szCs w:val="13"/>
                <w:color w:val="auto"/>
              </w:rPr>
            </w:pPr>
          </w:p>
        </w:tc>
        <w:tc>
          <w:tcPr>
            <w:tcW w:w="1500" w:type="dxa"/>
            <w:vAlign w:val="bottom"/>
            <w:tcBorders>
              <w:top w:val="single" w:sz="8" w:color="2C6937"/>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Payment Delay and</w:t>
            </w:r>
          </w:p>
        </w:tc>
        <w:tc>
          <w:tcPr>
            <w:tcW w:w="1620" w:type="dxa"/>
            <w:vAlign w:val="bottom"/>
            <w:tcBorders>
              <w:top w:val="single" w:sz="8" w:color="2C6937"/>
            </w:tcBorders>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Payment Delay, Term</w:t>
            </w:r>
          </w:p>
        </w:tc>
        <w:tc>
          <w:tcPr>
            <w:tcW w:w="340" w:type="dxa"/>
            <w:vAlign w:val="bottom"/>
            <w:tcBorders>
              <w:top w:val="single" w:sz="8" w:color="2C6937"/>
            </w:tcBorders>
          </w:tcPr>
          <w:p>
            <w:pPr>
              <w:spacing w:after="0"/>
              <w:rPr>
                <w:sz w:val="13"/>
                <w:szCs w:val="13"/>
                <w:color w:val="auto"/>
              </w:rPr>
            </w:pPr>
          </w:p>
        </w:tc>
        <w:tc>
          <w:tcPr>
            <w:tcW w:w="1180" w:type="dxa"/>
            <w:vAlign w:val="bottom"/>
            <w:tcBorders>
              <w:top w:val="single" w:sz="8" w:color="2C6937"/>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8"/>
              </w:rPr>
              <w:t>Result of a Payment</w:t>
            </w: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2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Extension and Interest</w:t>
            </w:r>
          </w:p>
        </w:tc>
        <w:tc>
          <w:tcPr>
            <w:tcW w:w="340" w:type="dxa"/>
            <w:vAlign w:val="bottom"/>
          </w:tcPr>
          <w:p>
            <w:pPr>
              <w:spacing w:after="0"/>
              <w:rPr>
                <w:sz w:val="12"/>
                <w:szCs w:val="12"/>
                <w:color w:val="auto"/>
              </w:rPr>
            </w:pPr>
          </w:p>
        </w:tc>
        <w:tc>
          <w:tcPr>
            <w:tcW w:w="1180" w:type="dxa"/>
            <w:vAlign w:val="bottom"/>
            <w:vMerge w:val="restart"/>
          </w:tcPr>
          <w:p>
            <w:pPr>
              <w:jc w:val="right"/>
              <w:ind w:right="5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Deferral (Only)</w:t>
            </w:r>
          </w:p>
        </w:tc>
        <w:tc>
          <w:tcPr>
            <w:tcW w:w="120" w:type="dxa"/>
            <w:vAlign w:val="bottom"/>
            <w:tcBorders>
              <w:bottom w:val="single" w:sz="8" w:color="2C6937"/>
            </w:tcBorders>
          </w:tcPr>
          <w:p>
            <w:pPr>
              <w:spacing w:after="0"/>
              <w:rPr>
                <w:sz w:val="15"/>
                <w:szCs w:val="15"/>
                <w:color w:val="auto"/>
              </w:rPr>
            </w:pPr>
          </w:p>
        </w:tc>
        <w:tc>
          <w:tcPr>
            <w:tcW w:w="150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Term Extension</w:t>
            </w:r>
          </w:p>
        </w:tc>
        <w:tc>
          <w:tcPr>
            <w:tcW w:w="1280" w:type="dxa"/>
            <w:vAlign w:val="bottom"/>
            <w:tcBorders>
              <w:bottom w:val="single" w:sz="8" w:color="2C6937"/>
            </w:tcBorders>
          </w:tcPr>
          <w:p>
            <w:pPr>
              <w:jc w:val="center"/>
              <w:ind w:left="168"/>
              <w:spacing w:after="0"/>
              <w:rPr>
                <w:sz w:val="20"/>
                <w:szCs w:val="20"/>
                <w:color w:val="auto"/>
              </w:rPr>
            </w:pPr>
            <w:r>
              <w:rPr>
                <w:rFonts w:ascii="Arial" w:cs="Arial" w:eastAsia="Arial" w:hAnsi="Arial"/>
                <w:sz w:val="14"/>
                <w:szCs w:val="14"/>
                <w:b w:val="1"/>
                <w:bCs w:val="1"/>
                <w:color w:val="auto"/>
                <w:w w:val="97"/>
              </w:rPr>
              <w:t>Rate Reduction</w:t>
            </w:r>
          </w:p>
        </w:tc>
        <w:tc>
          <w:tcPr>
            <w:tcW w:w="24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340" w:type="dxa"/>
            <w:vAlign w:val="bottom"/>
            <w:tcBorders>
              <w:bottom w:val="single" w:sz="8" w:color="2C6937"/>
            </w:tcBorders>
          </w:tcPr>
          <w:p>
            <w:pPr>
              <w:spacing w:after="0"/>
              <w:rPr>
                <w:sz w:val="15"/>
                <w:szCs w:val="15"/>
                <w:color w:val="auto"/>
              </w:rPr>
            </w:pPr>
          </w:p>
        </w:tc>
        <w:tc>
          <w:tcPr>
            <w:tcW w:w="118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3"/>
          </w:tcPr>
          <w:p>
            <w:pPr>
              <w:ind w:left="8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2,592</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1,383</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95"/>
              </w:rPr>
              <w:t>25</w:t>
            </w:r>
          </w:p>
        </w:tc>
        <w:tc>
          <w:tcPr>
            <w:tcW w:w="100" w:type="dxa"/>
            <w:vAlign w:val="bottom"/>
          </w:tcPr>
          <w:p>
            <w:pPr>
              <w:spacing w:after="0"/>
              <w:rPr>
                <w:sz w:val="20"/>
                <w:szCs w:val="20"/>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4,000</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100" w:type="dxa"/>
            <w:vAlign w:val="bottom"/>
          </w:tcPr>
          <w:p>
            <w:pPr>
              <w:spacing w:after="0"/>
              <w:rPr>
                <w:sz w:val="20"/>
                <w:szCs w:val="20"/>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73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0"/>
                <w:szCs w:val="20"/>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100" w:type="dxa"/>
            <w:vAlign w:val="bottom"/>
          </w:tcPr>
          <w:p>
            <w:pPr>
              <w:spacing w:after="0"/>
              <w:rPr>
                <w:sz w:val="20"/>
                <w:szCs w:val="20"/>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39"/>
        </w:trPr>
        <w:tc>
          <w:tcPr>
            <w:tcW w:w="4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0"/>
                <w:szCs w:val="20"/>
                <w:color w:val="auto"/>
              </w:rPr>
            </w:pPr>
          </w:p>
        </w:tc>
        <w:tc>
          <w:tcPr>
            <w:tcW w:w="1280" w:type="dxa"/>
            <w:vAlign w:val="bottom"/>
            <w:tcBorders>
              <w:bottom w:val="single" w:sz="8" w:color="2C6937"/>
            </w:tcBorders>
          </w:tcPr>
          <w:p>
            <w:pPr>
              <w:spacing w:after="0"/>
              <w:rPr>
                <w:sz w:val="20"/>
                <w:szCs w:val="20"/>
                <w:color w:val="auto"/>
              </w:rPr>
            </w:pPr>
          </w:p>
        </w:tc>
        <w:tc>
          <w:tcPr>
            <w:tcW w:w="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12</w:t>
            </w:r>
          </w:p>
        </w:tc>
        <w:tc>
          <w:tcPr>
            <w:tcW w:w="10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11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18"/>
        </w:trPr>
        <w:tc>
          <w:tcPr>
            <w:tcW w:w="466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100" w:type="dxa"/>
            <w:vAlign w:val="bottom"/>
          </w:tcPr>
          <w:p>
            <w:pPr>
              <w:spacing w:after="0"/>
              <w:rPr>
                <w:sz w:val="18"/>
                <w:szCs w:val="18"/>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2,705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1,398</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w w:val="95"/>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4,142</w:t>
            </w:r>
          </w:p>
        </w:tc>
        <w:tc>
          <w:tcPr>
            <w:tcW w:w="0" w:type="dxa"/>
            <w:vAlign w:val="bottom"/>
          </w:tcPr>
          <w:p>
            <w:pPr>
              <w:spacing w:after="0"/>
              <w:rPr>
                <w:sz w:val="1"/>
                <w:szCs w:val="1"/>
                <w:color w:val="auto"/>
              </w:rPr>
            </w:pPr>
          </w:p>
        </w:tc>
      </w:tr>
      <w:tr>
        <w:trPr>
          <w:trHeight w:val="239"/>
        </w:trPr>
        <w:tc>
          <w:tcPr>
            <w:tcW w:w="45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142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4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280" w:type="dxa"/>
            <w:vAlign w:val="bottom"/>
            <w:tcBorders>
              <w:bottom w:val="single" w:sz="8" w:color="2C6937"/>
            </w:tcBorders>
          </w:tcPr>
          <w:p>
            <w:pPr>
              <w:spacing w:after="0"/>
              <w:rPr>
                <w:sz w:val="20"/>
                <w:szCs w:val="20"/>
                <w:color w:val="auto"/>
              </w:rPr>
            </w:pPr>
          </w:p>
        </w:tc>
        <w:tc>
          <w:tcPr>
            <w:tcW w:w="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0"/>
                <w:szCs w:val="20"/>
                <w:color w:val="auto"/>
              </w:rPr>
            </w:pPr>
          </w:p>
        </w:tc>
        <w:tc>
          <w:tcPr>
            <w:tcW w:w="340" w:type="dxa"/>
            <w:vAlign w:val="bottom"/>
            <w:tcBorders>
              <w:bottom w:val="single" w:sz="8" w:color="2C6937"/>
            </w:tcBorders>
          </w:tcPr>
          <w:p>
            <w:pPr>
              <w:spacing w:after="0"/>
              <w:rPr>
                <w:sz w:val="20"/>
                <w:szCs w:val="20"/>
                <w:color w:val="auto"/>
              </w:rPr>
            </w:pPr>
          </w:p>
        </w:tc>
        <w:tc>
          <w:tcPr>
            <w:tcW w:w="118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2"/>
        </w:trPr>
        <w:tc>
          <w:tcPr>
            <w:tcW w:w="4660" w:type="dxa"/>
            <w:vAlign w:val="bottom"/>
            <w:gridSpan w:val="2"/>
          </w:tcPr>
          <w:p>
            <w:pPr>
              <w:ind w:left="180"/>
              <w:spacing w:after="0"/>
              <w:rPr>
                <w:sz w:val="20"/>
                <w:szCs w:val="20"/>
                <w:color w:val="auto"/>
              </w:rPr>
            </w:pPr>
            <w:r>
              <w:rPr>
                <w:rFonts w:ascii="Arial" w:cs="Arial" w:eastAsia="Arial" w:hAnsi="Arial"/>
                <w:sz w:val="15"/>
                <w:szCs w:val="15"/>
                <w:color w:val="auto"/>
              </w:rPr>
              <w:t>Total loans that subsequently defaulted</w:t>
            </w:r>
            <w:r>
              <w:rPr>
                <w:rFonts w:ascii="Arial" w:cs="Arial" w:eastAsia="Arial" w:hAnsi="Arial"/>
                <w:sz w:val="20"/>
                <w:szCs w:val="20"/>
                <w:color w:val="auto"/>
                <w:vertAlign w:val="superscript"/>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2,705</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1,398</w:t>
            </w:r>
          </w:p>
        </w:tc>
        <w:tc>
          <w:tcPr>
            <w:tcW w:w="10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95"/>
              </w:rPr>
              <w:t>43</w:t>
            </w:r>
          </w:p>
        </w:tc>
        <w:tc>
          <w:tcPr>
            <w:tcW w:w="100" w:type="dxa"/>
            <w:vAlign w:val="bottom"/>
          </w:tcPr>
          <w:p>
            <w:pPr>
              <w:spacing w:after="0"/>
              <w:rPr>
                <w:sz w:val="20"/>
                <w:szCs w:val="20"/>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4,146</w:t>
            </w:r>
          </w:p>
        </w:tc>
        <w:tc>
          <w:tcPr>
            <w:tcW w:w="0" w:type="dxa"/>
            <w:vAlign w:val="bottom"/>
          </w:tcPr>
          <w:p>
            <w:pPr>
              <w:spacing w:after="0"/>
              <w:rPr>
                <w:sz w:val="1"/>
                <w:szCs w:val="1"/>
                <w:color w:val="auto"/>
              </w:rPr>
            </w:pPr>
          </w:p>
        </w:tc>
      </w:tr>
      <w:tr>
        <w:trPr>
          <w:trHeight w:val="20"/>
        </w:trPr>
        <w:tc>
          <w:tcPr>
            <w:tcW w:w="4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4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4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220" w:hanging="217"/>
        <w:spacing w:after="0"/>
        <w:tabs>
          <w:tab w:leader="none" w:pos="22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Represents amortized cost as of period end. Excludes loans that liquidated either through foreclosure, deed-in-lieu of foreclosure, or a short sale.</w:t>
      </w:r>
    </w:p>
    <w:p>
      <w:pPr>
        <w:spacing w:after="0" w:line="37" w:lineRule="exact"/>
        <w:rPr>
          <w:rFonts w:ascii="Arial" w:cs="Arial" w:eastAsia="Arial" w:hAnsi="Arial"/>
          <w:sz w:val="18"/>
          <w:szCs w:val="18"/>
          <w:color w:val="auto"/>
          <w:vertAlign w:val="superscript"/>
        </w:rPr>
      </w:pPr>
    </w:p>
    <w:p>
      <w:pPr>
        <w:ind w:left="240" w:right="100" w:hanging="237"/>
        <w:spacing w:after="0" w:line="222" w:lineRule="auto"/>
        <w:tabs>
          <w:tab w:leader="none" w:pos="216"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The substantial majority of loans that received a completed modification or a payment deferral during the three months ended September 30, 2025 did not default during the third quarter of 2025. The substantial majority of loans that received a completed modification or a payment deferral during the three months ended September 30, 2024 did not default during the third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48" w:right="439" w:bottom="1440" w:gutter="0" w:footer="0" w:header="0"/>
          <w:type w:val="continuous"/>
        </w:sectPr>
      </w:pPr>
    </w:p>
    <w:bookmarkStart w:id="85" w:name="page86"/>
    <w:bookmarkEnd w:id="85"/>
    <w:p>
      <w:pPr>
        <w:jc w:val="right"/>
        <w:ind w:right="10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The following tables display an aging analysis of HFI mortgage loans that were restructured during the twelve months prior to September 30, 2025 and September 30, 2024, respectively, presented by portfolio segment and class of financing receivable.</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20- and 30-year or more, amortizing</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fixed-rate</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15-year or less, amortizing fixed-rate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Adjustable-rate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17272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52" w:lineRule="exact"/>
        <w:rPr>
          <w:sz w:val="20"/>
          <w:szCs w:val="20"/>
          <w:color w:val="auto"/>
        </w:rPr>
      </w:pPr>
    </w:p>
    <w:p>
      <w:pPr>
        <w:ind w:left="20" w:right="380"/>
        <w:spacing w:after="0" w:line="331" w:lineRule="auto"/>
        <w:rPr>
          <w:sz w:val="20"/>
          <w:szCs w:val="20"/>
          <w:color w:val="auto"/>
        </w:rPr>
      </w:pPr>
      <w:r>
        <w:rPr>
          <w:rFonts w:ascii="Arial" w:cs="Arial" w:eastAsia="Arial" w:hAnsi="Arial"/>
          <w:sz w:val="15"/>
          <w:szCs w:val="15"/>
          <w:color w:val="auto"/>
        </w:rPr>
        <w:t>Total single-family loans modified 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7272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7272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727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7272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20- and 30-year or more, amortizing</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fixed-rate</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15-year or less, amortizing fixed-rate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Adjustable-rate</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172720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52" w:lineRule="exact"/>
        <w:rPr>
          <w:sz w:val="20"/>
          <w:szCs w:val="20"/>
          <w:color w:val="auto"/>
        </w:rPr>
      </w:pPr>
    </w:p>
    <w:p>
      <w:pPr>
        <w:ind w:left="60" w:right="380" w:hanging="42"/>
        <w:spacing w:after="0" w:line="331" w:lineRule="auto"/>
        <w:rPr>
          <w:sz w:val="20"/>
          <w:szCs w:val="20"/>
          <w:color w:val="auto"/>
        </w:rPr>
      </w:pPr>
      <w:r>
        <w:rPr>
          <w:rFonts w:ascii="Arial" w:cs="Arial" w:eastAsia="Arial" w:hAnsi="Arial"/>
          <w:sz w:val="15"/>
          <w:szCs w:val="15"/>
          <w:color w:val="auto"/>
        </w:rPr>
        <w:t>Total single-family loans modified 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7272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Total loans restructured</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7272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272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72720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September 30, 2025</w:t>
      </w:r>
      <w:r>
        <w:rPr>
          <w:rFonts w:ascii="Arial" w:cs="Arial" w:eastAsia="Arial" w:hAnsi="Arial"/>
          <w:sz w:val="8"/>
          <w:szCs w:val="8"/>
          <w:b w:val="1"/>
          <w:bCs w:val="1"/>
          <w:color w:val="auto"/>
        </w:rPr>
        <w:t>(1)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Borders>
              <w:top w:val="single" w:sz="8" w:color="2C6937"/>
            </w:tcBorders>
          </w:tcPr>
          <w:p>
            <w:pPr>
              <w:spacing w:after="0"/>
              <w:rPr>
                <w:sz w:val="14"/>
                <w:szCs w:val="14"/>
                <w:color w:val="auto"/>
              </w:rPr>
            </w:pPr>
          </w:p>
        </w:tc>
        <w:tc>
          <w:tcPr>
            <w:tcW w:w="1220" w:type="dxa"/>
            <w:vAlign w:val="bottom"/>
            <w:tcBorders>
              <w:top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30-59 Days</w:t>
            </w:r>
          </w:p>
        </w:tc>
        <w:tc>
          <w:tcPr>
            <w:tcW w:w="180" w:type="dxa"/>
            <w:vAlign w:val="bottom"/>
            <w:tcBorders>
              <w:top w:val="single" w:sz="8" w:color="2C6937"/>
            </w:tcBorders>
          </w:tcPr>
          <w:p>
            <w:pPr>
              <w:spacing w:after="0"/>
              <w:rPr>
                <w:sz w:val="14"/>
                <w:szCs w:val="14"/>
                <w:color w:val="auto"/>
              </w:rPr>
            </w:pPr>
          </w:p>
        </w:tc>
        <w:tc>
          <w:tcPr>
            <w:tcW w:w="1240" w:type="dxa"/>
            <w:vAlign w:val="bottom"/>
            <w:tcBorders>
              <w:top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60-89 Days</w:t>
            </w:r>
          </w:p>
        </w:tc>
        <w:tc>
          <w:tcPr>
            <w:tcW w:w="200" w:type="dxa"/>
            <w:vAlign w:val="bottom"/>
            <w:tcBorders>
              <w:top w:val="single" w:sz="8" w:color="2C6937"/>
            </w:tcBorders>
          </w:tcPr>
          <w:p>
            <w:pPr>
              <w:spacing w:after="0"/>
              <w:rPr>
                <w:sz w:val="14"/>
                <w:szCs w:val="14"/>
                <w:color w:val="auto"/>
              </w:rPr>
            </w:pPr>
          </w:p>
        </w:tc>
        <w:tc>
          <w:tcPr>
            <w:tcW w:w="1220" w:type="dxa"/>
            <w:vAlign w:val="bottom"/>
            <w:tcBorders>
              <w:top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Seriously</w:t>
            </w:r>
          </w:p>
        </w:tc>
        <w:tc>
          <w:tcPr>
            <w:tcW w:w="120" w:type="dxa"/>
            <w:vAlign w:val="bottom"/>
            <w:tcBorders>
              <w:top w:val="single" w:sz="8" w:color="2C6937"/>
            </w:tcBorders>
          </w:tcPr>
          <w:p>
            <w:pPr>
              <w:spacing w:after="0"/>
              <w:rPr>
                <w:sz w:val="14"/>
                <w:szCs w:val="14"/>
                <w:color w:val="auto"/>
              </w:rPr>
            </w:pPr>
          </w:p>
        </w:tc>
        <w:tc>
          <w:tcPr>
            <w:tcW w:w="1300" w:type="dxa"/>
            <w:vAlign w:val="bottom"/>
            <w:tcBorders>
              <w:top w:val="single" w:sz="8" w:color="2C6937"/>
            </w:tcBorders>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Borders>
              <w:top w:val="single" w:sz="8" w:color="2C6937"/>
            </w:tcBorders>
          </w:tcPr>
          <w:p>
            <w:pPr>
              <w:spacing w:after="0"/>
              <w:rPr>
                <w:sz w:val="14"/>
                <w:szCs w:val="14"/>
                <w:color w:val="auto"/>
              </w:rPr>
            </w:pPr>
          </w:p>
        </w:tc>
        <w:tc>
          <w:tcPr>
            <w:tcW w:w="1160" w:type="dxa"/>
            <w:vAlign w:val="bottom"/>
            <w:tcBorders>
              <w:top w:val="single" w:sz="8" w:color="2C6937"/>
            </w:tcBorders>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Borders>
              <w:top w:val="single" w:sz="8" w:color="2C6937"/>
            </w:tcBorders>
          </w:tcPr>
          <w:p>
            <w:pPr>
              <w:spacing w:after="0"/>
              <w:rPr>
                <w:sz w:val="14"/>
                <w:szCs w:val="14"/>
                <w:color w:val="auto"/>
              </w:rPr>
            </w:pPr>
          </w:p>
        </w:tc>
        <w:tc>
          <w:tcPr>
            <w:tcW w:w="1020" w:type="dxa"/>
            <w:vAlign w:val="bottom"/>
            <w:tcBorders>
              <w:top w:val="single" w:sz="8" w:color="2C6937"/>
            </w:tcBorders>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7"/>
        </w:trPr>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4,456</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2,818</w:t>
            </w:r>
          </w:p>
        </w:tc>
        <w:tc>
          <w:tcPr>
            <w:tcW w:w="80" w:type="dxa"/>
            <w:vAlign w:val="bottom"/>
          </w:tcPr>
          <w:p>
            <w:pPr>
              <w:spacing w:after="0"/>
              <w:rPr>
                <w:sz w:val="24"/>
                <w:szCs w:val="24"/>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12,807</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20,081</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15,529</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35,610</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339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935</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239"/>
        </w:trPr>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103</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181</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317</w:t>
            </w: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4,610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2,932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13,300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20,842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16,140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36,982</w:t>
            </w: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538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1,089</w:t>
            </w:r>
          </w:p>
        </w:tc>
        <w:tc>
          <w:tcPr>
            <w:tcW w:w="0" w:type="dxa"/>
            <w:vAlign w:val="bottom"/>
          </w:tcPr>
          <w:p>
            <w:pPr>
              <w:spacing w:after="0"/>
              <w:rPr>
                <w:sz w:val="1"/>
                <w:szCs w:val="1"/>
                <w:color w:val="auto"/>
              </w:rPr>
            </w:pPr>
          </w:p>
        </w:tc>
      </w:tr>
      <w:tr>
        <w:trPr>
          <w:trHeight w:val="225"/>
        </w:trPr>
        <w:tc>
          <w:tcPr>
            <w:tcW w:w="20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4,621</w:t>
            </w:r>
          </w:p>
        </w:tc>
        <w:tc>
          <w:tcPr>
            <w:tcW w:w="100" w:type="dxa"/>
            <w:vAlign w:val="bottom"/>
          </w:tcPr>
          <w:p>
            <w:pPr>
              <w:spacing w:after="0"/>
              <w:rPr>
                <w:sz w:val="19"/>
                <w:szCs w:val="19"/>
                <w:color w:val="auto"/>
              </w:rPr>
            </w:pPr>
          </w:p>
        </w:tc>
        <w:tc>
          <w:tcPr>
            <w:tcW w:w="180" w:type="dxa"/>
            <w:vAlign w:val="bottom"/>
            <w:tcBorders>
              <w:top w:val="single" w:sz="8" w:color="2C6937"/>
              <w:bottom w:val="single" w:sz="8" w:color="2C6937"/>
            </w:tcBorders>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2,932</w:t>
            </w:r>
          </w:p>
        </w:tc>
        <w:tc>
          <w:tcPr>
            <w:tcW w:w="80" w:type="dxa"/>
            <w:vAlign w:val="bottom"/>
          </w:tcPr>
          <w:p>
            <w:pPr>
              <w:spacing w:after="0"/>
              <w:rPr>
                <w:sz w:val="19"/>
                <w:szCs w:val="19"/>
                <w:color w:val="auto"/>
              </w:rPr>
            </w:pPr>
          </w:p>
        </w:tc>
        <w:tc>
          <w:tcPr>
            <w:tcW w:w="20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2C6937"/>
              <w:bottom w:val="single" w:sz="8" w:color="2C6937"/>
            </w:tcBorders>
          </w:tcPr>
          <w:p>
            <w:pPr>
              <w:jc w:val="right"/>
              <w:ind w:right="6"/>
              <w:spacing w:after="0"/>
              <w:rPr>
                <w:sz w:val="20"/>
                <w:szCs w:val="20"/>
                <w:color w:val="auto"/>
              </w:rPr>
            </w:pPr>
            <w:r>
              <w:rPr>
                <w:rFonts w:ascii="Arial" w:cs="Arial" w:eastAsia="Arial" w:hAnsi="Arial"/>
                <w:sz w:val="15"/>
                <w:szCs w:val="15"/>
                <w:color w:val="auto"/>
              </w:rPr>
              <w:t>13,838</w:t>
            </w:r>
          </w:p>
        </w:tc>
        <w:tc>
          <w:tcPr>
            <w:tcW w:w="80" w:type="dxa"/>
            <w:vAlign w:val="bottom"/>
          </w:tcPr>
          <w:p>
            <w:pPr>
              <w:spacing w:after="0"/>
              <w:rPr>
                <w:sz w:val="19"/>
                <w:szCs w:val="19"/>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21,391</w:t>
            </w:r>
          </w:p>
        </w:tc>
        <w:tc>
          <w:tcPr>
            <w:tcW w:w="100" w:type="dxa"/>
            <w:vAlign w:val="bottom"/>
          </w:tcPr>
          <w:p>
            <w:pPr>
              <w:spacing w:after="0"/>
              <w:rPr>
                <w:sz w:val="19"/>
                <w:szCs w:val="19"/>
                <w:color w:val="auto"/>
              </w:rPr>
            </w:pPr>
          </w:p>
        </w:tc>
        <w:tc>
          <w:tcPr>
            <w:tcW w:w="260" w:type="dxa"/>
            <w:vAlign w:val="bottom"/>
            <w:tcBorders>
              <w:top w:val="single" w:sz="8" w:color="2C6937"/>
              <w:bottom w:val="single" w:sz="8" w:color="2C6937"/>
            </w:tcBorders>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16,680</w:t>
            </w:r>
          </w:p>
        </w:tc>
        <w:tc>
          <w:tcPr>
            <w:tcW w:w="100" w:type="dxa"/>
            <w:vAlign w:val="bottom"/>
          </w:tcPr>
          <w:p>
            <w:pPr>
              <w:spacing w:after="0"/>
              <w:rPr>
                <w:sz w:val="19"/>
                <w:szCs w:val="19"/>
                <w:color w:val="auto"/>
              </w:rPr>
            </w:pPr>
          </w:p>
        </w:tc>
        <w:tc>
          <w:tcPr>
            <w:tcW w:w="300" w:type="dxa"/>
            <w:vAlign w:val="bottom"/>
            <w:tcBorders>
              <w:top w:val="single" w:sz="8" w:color="2C6937"/>
              <w:bottom w:val="single" w:sz="8" w:color="2C6937"/>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38,071</w:t>
            </w:r>
          </w:p>
        </w:tc>
        <w:tc>
          <w:tcPr>
            <w:tcW w:w="0" w:type="dxa"/>
            <w:vAlign w:val="bottom"/>
          </w:tcPr>
          <w:p>
            <w:pPr>
              <w:spacing w:after="0"/>
              <w:rPr>
                <w:sz w:val="1"/>
                <w:szCs w:val="1"/>
                <w:color w:val="auto"/>
              </w:rPr>
            </w:pPr>
          </w:p>
        </w:tc>
      </w:tr>
      <w:tr>
        <w:trPr>
          <w:trHeight w:val="26"/>
        </w:trPr>
        <w:tc>
          <w:tcPr>
            <w:tcW w:w="200" w:type="dxa"/>
            <w:vAlign w:val="bottom"/>
            <w:tcBorders>
              <w:bottom w:val="single" w:sz="8" w:color="2C6937"/>
            </w:tcBorders>
          </w:tcPr>
          <w:p>
            <w:pPr>
              <w:spacing w:after="0"/>
              <w:rPr>
                <w:sz w:val="2"/>
                <w:szCs w:val="2"/>
                <w:color w:val="auto"/>
              </w:rPr>
            </w:pPr>
          </w:p>
        </w:tc>
        <w:tc>
          <w:tcPr>
            <w:tcW w:w="11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1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11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2C6937"/>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2C6937"/>
            </w:tcBorders>
          </w:tcPr>
          <w:p>
            <w:pPr>
              <w:spacing w:after="0"/>
              <w:rPr>
                <w:sz w:val="2"/>
                <w:szCs w:val="2"/>
                <w:color w:val="auto"/>
              </w:rPr>
            </w:pPr>
          </w:p>
        </w:tc>
        <w:tc>
          <w:tcPr>
            <w:tcW w:w="10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r>
        <w:trPr>
          <w:trHeight w:val="431"/>
        </w:trPr>
        <w:tc>
          <w:tcPr>
            <w:tcW w:w="20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16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2640" w:type="dxa"/>
            <w:vAlign w:val="bottom"/>
            <w:tcBorders>
              <w:bottom w:val="single" w:sz="8" w:color="2C6937"/>
            </w:tcBorders>
            <w:gridSpan w:val="5"/>
          </w:tcPr>
          <w:p>
            <w:pPr>
              <w:jc w:val="center"/>
              <w:ind w:right="300"/>
              <w:spacing w:after="0"/>
              <w:rPr>
                <w:sz w:val="20"/>
                <w:szCs w:val="20"/>
                <w:color w:val="auto"/>
              </w:rPr>
            </w:pPr>
            <w:r>
              <w:rPr>
                <w:rFonts w:ascii="Arial" w:cs="Arial" w:eastAsia="Arial" w:hAnsi="Arial"/>
                <w:sz w:val="14"/>
                <w:szCs w:val="14"/>
                <w:b w:val="1"/>
                <w:bCs w:val="1"/>
                <w:color w:val="auto"/>
                <w:w w:val="96"/>
              </w:rPr>
              <w:t>As of September 30, 2024</w:t>
            </w:r>
            <w:r>
              <w:rPr>
                <w:rFonts w:ascii="Arial" w:cs="Arial" w:eastAsia="Arial" w:hAnsi="Arial"/>
                <w:sz w:val="17"/>
                <w:szCs w:val="17"/>
                <w:b w:val="1"/>
                <w:bCs w:val="1"/>
                <w:color w:val="auto"/>
                <w:w w:val="96"/>
                <w:vertAlign w:val="superscript"/>
              </w:rPr>
              <w:t>(1)</w:t>
            </w:r>
          </w:p>
        </w:tc>
        <w:tc>
          <w:tcPr>
            <w:tcW w:w="26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02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2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30-59 Days</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60-89 Days</w:t>
            </w: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8"/>
              </w:rPr>
              <w:t>Seriously</w:t>
            </w:r>
          </w:p>
        </w:tc>
        <w:tc>
          <w:tcPr>
            <w:tcW w:w="12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Delinquent</w:t>
            </w:r>
          </w:p>
        </w:tc>
        <w:tc>
          <w:tcPr>
            <w:tcW w:w="26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300" w:type="dxa"/>
            <w:vAlign w:val="bottom"/>
          </w:tcPr>
          <w:p>
            <w:pPr>
              <w:spacing w:after="0"/>
              <w:rPr>
                <w:sz w:val="12"/>
                <w:szCs w:val="12"/>
                <w:color w:val="auto"/>
              </w:rPr>
            </w:pPr>
          </w:p>
        </w:tc>
        <w:tc>
          <w:tcPr>
            <w:tcW w:w="102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ind w:left="100"/>
              <w:spacing w:after="0"/>
              <w:rPr>
                <w:sz w:val="20"/>
                <w:szCs w:val="20"/>
                <w:color w:val="auto"/>
              </w:rPr>
            </w:pPr>
            <w:r>
              <w:rPr>
                <w:rFonts w:ascii="Arial" w:cs="Arial" w:eastAsia="Arial" w:hAnsi="Arial"/>
                <w:sz w:val="14"/>
                <w:szCs w:val="14"/>
                <w:b w:val="1"/>
                <w:bCs w:val="1"/>
                <w:color w:val="auto"/>
              </w:rPr>
              <w:t>Delinquent</w:t>
            </w:r>
          </w:p>
        </w:tc>
        <w:tc>
          <w:tcPr>
            <w:tcW w:w="180" w:type="dxa"/>
            <w:vAlign w:val="bottom"/>
            <w:tcBorders>
              <w:bottom w:val="single" w:sz="8" w:color="2C6937"/>
            </w:tcBorders>
          </w:tcPr>
          <w:p>
            <w:pPr>
              <w:spacing w:after="0"/>
              <w:rPr>
                <w:sz w:val="15"/>
                <w:szCs w:val="15"/>
                <w:color w:val="auto"/>
              </w:rPr>
            </w:pPr>
          </w:p>
        </w:tc>
        <w:tc>
          <w:tcPr>
            <w:tcW w:w="1240" w:type="dxa"/>
            <w:vAlign w:val="bottom"/>
            <w:tcBorders>
              <w:bottom w:val="single" w:sz="8" w:color="2C6937"/>
            </w:tcBorders>
            <w:gridSpan w:val="2"/>
          </w:tcPr>
          <w:p>
            <w:pPr>
              <w:jc w:val="center"/>
              <w:ind w:right="260"/>
              <w:spacing w:after="0" w:line="180" w:lineRule="exact"/>
              <w:rPr>
                <w:sz w:val="20"/>
                <w:szCs w:val="20"/>
                <w:color w:val="auto"/>
              </w:rPr>
            </w:pPr>
            <w:r>
              <w:rPr>
                <w:rFonts w:ascii="Arial" w:cs="Arial" w:eastAsia="Arial" w:hAnsi="Arial"/>
                <w:sz w:val="14"/>
                <w:szCs w:val="14"/>
                <w:b w:val="1"/>
                <w:bCs w:val="1"/>
                <w:color w:val="auto"/>
                <w:w w:val="95"/>
              </w:rPr>
              <w:t>Delinquent</w:t>
            </w:r>
            <w:r>
              <w:rPr>
                <w:rFonts w:ascii="Arial" w:cs="Arial" w:eastAsia="Arial" w:hAnsi="Arial"/>
                <w:sz w:val="17"/>
                <w:szCs w:val="17"/>
                <w:b w:val="1"/>
                <w:bCs w:val="1"/>
                <w:color w:val="auto"/>
                <w:w w:val="95"/>
                <w:vertAlign w:val="superscript"/>
              </w:rPr>
              <w:t>(2)</w:t>
            </w:r>
          </w:p>
        </w:tc>
        <w:tc>
          <w:tcPr>
            <w:tcW w:w="20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260" w:type="dxa"/>
            <w:vAlign w:val="bottom"/>
            <w:tcBorders>
              <w:bottom w:val="single" w:sz="8" w:color="2C6937"/>
            </w:tcBorders>
          </w:tcPr>
          <w:p>
            <w:pPr>
              <w:spacing w:after="0"/>
              <w:rPr>
                <w:sz w:val="15"/>
                <w:szCs w:val="15"/>
                <w:color w:val="auto"/>
              </w:rPr>
            </w:pPr>
          </w:p>
        </w:tc>
        <w:tc>
          <w:tcPr>
            <w:tcW w:w="1160" w:type="dxa"/>
            <w:vAlign w:val="bottom"/>
            <w:tcBorders>
              <w:bottom w:val="single" w:sz="8" w:color="2C6937"/>
            </w:tcBorders>
            <w:gridSpan w:val="2"/>
            <w:vMerge w:val="continue"/>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102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7"/>
        </w:trPr>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4,240</w:t>
            </w:r>
          </w:p>
        </w:tc>
        <w:tc>
          <w:tcPr>
            <w:tcW w:w="10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2,874</w:t>
            </w:r>
          </w:p>
        </w:tc>
        <w:tc>
          <w:tcPr>
            <w:tcW w:w="80" w:type="dxa"/>
            <w:vAlign w:val="bottom"/>
          </w:tcPr>
          <w:p>
            <w:pPr>
              <w:spacing w:after="0"/>
              <w:rPr>
                <w:sz w:val="24"/>
                <w:szCs w:val="24"/>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11,401</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18,515</w:t>
            </w:r>
          </w:p>
        </w:tc>
        <w:tc>
          <w:tcPr>
            <w:tcW w:w="100" w:type="dxa"/>
            <w:vAlign w:val="bottom"/>
          </w:tcPr>
          <w:p>
            <w:pPr>
              <w:spacing w:after="0"/>
              <w:rPr>
                <w:sz w:val="24"/>
                <w:szCs w:val="24"/>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12,891</w:t>
            </w:r>
          </w:p>
        </w:tc>
        <w:tc>
          <w:tcPr>
            <w:tcW w:w="10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31,406</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93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349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939</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39"/>
        </w:trPr>
        <w:tc>
          <w:tcPr>
            <w:tcW w:w="200" w:type="dxa"/>
            <w:vAlign w:val="bottom"/>
            <w:tcBorders>
              <w:bottom w:val="single" w:sz="8" w:color="2C6937"/>
            </w:tcBorders>
          </w:tcPr>
          <w:p>
            <w:pPr>
              <w:spacing w:after="0"/>
              <w:rPr>
                <w:sz w:val="20"/>
                <w:szCs w:val="20"/>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180" w:type="dxa"/>
            <w:vAlign w:val="bottom"/>
            <w:tcBorders>
              <w:bottom w:val="single" w:sz="8" w:color="2C6937"/>
            </w:tcBorders>
          </w:tcPr>
          <w:p>
            <w:pPr>
              <w:spacing w:after="0"/>
              <w:rPr>
                <w:sz w:val="20"/>
                <w:szCs w:val="20"/>
                <w:color w:val="auto"/>
              </w:rPr>
            </w:pPr>
          </w:p>
        </w:tc>
        <w:tc>
          <w:tcPr>
            <w:tcW w:w="1160" w:type="dxa"/>
            <w:vAlign w:val="bottom"/>
            <w:tcBorders>
              <w:bottom w:val="single" w:sz="8" w:color="2C6937"/>
            </w:tcBorders>
          </w:tcPr>
          <w:p>
            <w:pPr>
              <w:jc w:val="right"/>
              <w:ind w:right="5"/>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20"/>
                <w:szCs w:val="20"/>
                <w:color w:val="auto"/>
              </w:rPr>
            </w:pPr>
          </w:p>
        </w:tc>
        <w:tc>
          <w:tcPr>
            <w:tcW w:w="200" w:type="dxa"/>
            <w:vAlign w:val="bottom"/>
            <w:tcBorders>
              <w:bottom w:val="single" w:sz="8" w:color="2C6937"/>
            </w:tcBorders>
          </w:tcPr>
          <w:p>
            <w:pPr>
              <w:spacing w:after="0"/>
              <w:rPr>
                <w:sz w:val="20"/>
                <w:szCs w:val="20"/>
                <w:color w:val="auto"/>
              </w:rPr>
            </w:pPr>
          </w:p>
        </w:tc>
        <w:tc>
          <w:tcPr>
            <w:tcW w:w="11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127</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219</w:t>
            </w:r>
          </w:p>
        </w:tc>
        <w:tc>
          <w:tcPr>
            <w:tcW w:w="100" w:type="dxa"/>
            <w:vAlign w:val="bottom"/>
          </w:tcPr>
          <w:p>
            <w:pPr>
              <w:spacing w:after="0"/>
              <w:rPr>
                <w:sz w:val="20"/>
                <w:szCs w:val="20"/>
                <w:color w:val="auto"/>
              </w:rPr>
            </w:pPr>
          </w:p>
        </w:tc>
        <w:tc>
          <w:tcPr>
            <w:tcW w:w="260" w:type="dxa"/>
            <w:vAlign w:val="bottom"/>
            <w:tcBorders>
              <w:bottom w:val="single" w:sz="8" w:color="2C6937"/>
            </w:tcBorders>
          </w:tcPr>
          <w:p>
            <w:pPr>
              <w:spacing w:after="0"/>
              <w:rPr>
                <w:sz w:val="20"/>
                <w:szCs w:val="20"/>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166</w:t>
            </w:r>
          </w:p>
        </w:tc>
        <w:tc>
          <w:tcPr>
            <w:tcW w:w="100" w:type="dxa"/>
            <w:vAlign w:val="bottom"/>
          </w:tcPr>
          <w:p>
            <w:pPr>
              <w:spacing w:after="0"/>
              <w:rPr>
                <w:sz w:val="20"/>
                <w:szCs w:val="20"/>
                <w:color w:val="auto"/>
              </w:rPr>
            </w:pPr>
          </w:p>
        </w:tc>
        <w:tc>
          <w:tcPr>
            <w:tcW w:w="300" w:type="dxa"/>
            <w:vAlign w:val="bottom"/>
            <w:tcBorders>
              <w:bottom w:val="single" w:sz="8" w:color="2C6937"/>
            </w:tcBorders>
          </w:tcPr>
          <w:p>
            <w:pPr>
              <w:spacing w:after="0"/>
              <w:rPr>
                <w:sz w:val="20"/>
                <w:szCs w:val="20"/>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385</w:t>
            </w: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4,431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3,006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11,927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19,364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13,482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32,846</w:t>
            </w: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N/A</w:t>
            </w:r>
          </w:p>
        </w:tc>
        <w:tc>
          <w:tcPr>
            <w:tcW w:w="200" w:type="dxa"/>
            <w:vAlign w:val="bottom"/>
          </w:tcPr>
          <w:p>
            <w:pPr>
              <w:spacing w:after="0"/>
              <w:rPr>
                <w:sz w:val="20"/>
                <w:szCs w:val="20"/>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323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1,146</w:t>
            </w:r>
          </w:p>
        </w:tc>
        <w:tc>
          <w:tcPr>
            <w:tcW w:w="0" w:type="dxa"/>
            <w:vAlign w:val="bottom"/>
          </w:tcPr>
          <w:p>
            <w:pPr>
              <w:spacing w:after="0"/>
              <w:rPr>
                <w:sz w:val="1"/>
                <w:szCs w:val="1"/>
                <w:color w:val="auto"/>
              </w:rPr>
            </w:pPr>
          </w:p>
        </w:tc>
      </w:tr>
      <w:tr>
        <w:trPr>
          <w:trHeight w:val="225"/>
        </w:trPr>
        <w:tc>
          <w:tcPr>
            <w:tcW w:w="20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4,431</w:t>
            </w:r>
          </w:p>
        </w:tc>
        <w:tc>
          <w:tcPr>
            <w:tcW w:w="100" w:type="dxa"/>
            <w:vAlign w:val="bottom"/>
          </w:tcPr>
          <w:p>
            <w:pPr>
              <w:spacing w:after="0"/>
              <w:rPr>
                <w:sz w:val="19"/>
                <w:szCs w:val="19"/>
                <w:color w:val="auto"/>
              </w:rPr>
            </w:pPr>
          </w:p>
        </w:tc>
        <w:tc>
          <w:tcPr>
            <w:tcW w:w="180" w:type="dxa"/>
            <w:vAlign w:val="bottom"/>
            <w:tcBorders>
              <w:top w:val="single" w:sz="8" w:color="2C6937"/>
              <w:bottom w:val="single" w:sz="8" w:color="2C6937"/>
            </w:tcBorders>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2C6937"/>
              <w:bottom w:val="single" w:sz="8" w:color="2C6937"/>
            </w:tcBorders>
          </w:tcPr>
          <w:p>
            <w:pPr>
              <w:jc w:val="right"/>
              <w:ind w:right="5"/>
              <w:spacing w:after="0"/>
              <w:rPr>
                <w:sz w:val="20"/>
                <w:szCs w:val="20"/>
                <w:color w:val="auto"/>
              </w:rPr>
            </w:pPr>
            <w:r>
              <w:rPr>
                <w:rFonts w:ascii="Arial" w:cs="Arial" w:eastAsia="Arial" w:hAnsi="Arial"/>
                <w:sz w:val="15"/>
                <w:szCs w:val="15"/>
                <w:color w:val="auto"/>
              </w:rPr>
              <w:t>3,006</w:t>
            </w:r>
          </w:p>
        </w:tc>
        <w:tc>
          <w:tcPr>
            <w:tcW w:w="80" w:type="dxa"/>
            <w:vAlign w:val="bottom"/>
          </w:tcPr>
          <w:p>
            <w:pPr>
              <w:spacing w:after="0"/>
              <w:rPr>
                <w:sz w:val="19"/>
                <w:szCs w:val="19"/>
                <w:color w:val="auto"/>
              </w:rPr>
            </w:pPr>
          </w:p>
        </w:tc>
        <w:tc>
          <w:tcPr>
            <w:tcW w:w="200" w:type="dxa"/>
            <w:vAlign w:val="bottom"/>
            <w:tcBorders>
              <w:top w:val="single" w:sz="8" w:color="2C6937"/>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2C6937"/>
              <w:bottom w:val="single" w:sz="8" w:color="2C6937"/>
            </w:tcBorders>
          </w:tcPr>
          <w:p>
            <w:pPr>
              <w:jc w:val="right"/>
              <w:ind w:right="6"/>
              <w:spacing w:after="0"/>
              <w:rPr>
                <w:sz w:val="20"/>
                <w:szCs w:val="20"/>
                <w:color w:val="auto"/>
              </w:rPr>
            </w:pPr>
            <w:r>
              <w:rPr>
                <w:rFonts w:ascii="Arial" w:cs="Arial" w:eastAsia="Arial" w:hAnsi="Arial"/>
                <w:sz w:val="15"/>
                <w:szCs w:val="15"/>
                <w:color w:val="auto"/>
              </w:rPr>
              <w:t>12,250</w:t>
            </w:r>
          </w:p>
        </w:tc>
        <w:tc>
          <w:tcPr>
            <w:tcW w:w="80" w:type="dxa"/>
            <w:vAlign w:val="bottom"/>
          </w:tcPr>
          <w:p>
            <w:pPr>
              <w:spacing w:after="0"/>
              <w:rPr>
                <w:sz w:val="19"/>
                <w:szCs w:val="19"/>
                <w:color w:val="auto"/>
              </w:rPr>
            </w:pPr>
          </w:p>
        </w:tc>
        <w:tc>
          <w:tcPr>
            <w:tcW w:w="1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19,687</w:t>
            </w:r>
          </w:p>
        </w:tc>
        <w:tc>
          <w:tcPr>
            <w:tcW w:w="100" w:type="dxa"/>
            <w:vAlign w:val="bottom"/>
          </w:tcPr>
          <w:p>
            <w:pPr>
              <w:spacing w:after="0"/>
              <w:rPr>
                <w:sz w:val="19"/>
                <w:szCs w:val="19"/>
                <w:color w:val="auto"/>
              </w:rPr>
            </w:pPr>
          </w:p>
        </w:tc>
        <w:tc>
          <w:tcPr>
            <w:tcW w:w="260" w:type="dxa"/>
            <w:vAlign w:val="bottom"/>
            <w:tcBorders>
              <w:top w:val="single" w:sz="8" w:color="2C6937"/>
              <w:bottom w:val="single" w:sz="8" w:color="2C6937"/>
            </w:tcBorders>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14,305</w:t>
            </w:r>
          </w:p>
        </w:tc>
        <w:tc>
          <w:tcPr>
            <w:tcW w:w="100" w:type="dxa"/>
            <w:vAlign w:val="bottom"/>
          </w:tcPr>
          <w:p>
            <w:pPr>
              <w:spacing w:after="0"/>
              <w:rPr>
                <w:sz w:val="19"/>
                <w:szCs w:val="19"/>
                <w:color w:val="auto"/>
              </w:rPr>
            </w:pPr>
          </w:p>
        </w:tc>
        <w:tc>
          <w:tcPr>
            <w:tcW w:w="300" w:type="dxa"/>
            <w:vAlign w:val="bottom"/>
            <w:tcBorders>
              <w:top w:val="single" w:sz="8" w:color="2C6937"/>
              <w:bottom w:val="single" w:sz="8" w:color="2C6937"/>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33,992</w:t>
            </w:r>
          </w:p>
        </w:tc>
        <w:tc>
          <w:tcPr>
            <w:tcW w:w="0" w:type="dxa"/>
            <w:vAlign w:val="bottom"/>
          </w:tcPr>
          <w:p>
            <w:pPr>
              <w:spacing w:after="0"/>
              <w:rPr>
                <w:sz w:val="1"/>
                <w:szCs w:val="1"/>
                <w:color w:val="auto"/>
              </w:rPr>
            </w:pPr>
          </w:p>
        </w:tc>
      </w:tr>
      <w:tr>
        <w:trPr>
          <w:trHeight w:val="26"/>
        </w:trPr>
        <w:tc>
          <w:tcPr>
            <w:tcW w:w="200" w:type="dxa"/>
            <w:vAlign w:val="bottom"/>
            <w:tcBorders>
              <w:bottom w:val="single" w:sz="8" w:color="2C6937"/>
            </w:tcBorders>
          </w:tcPr>
          <w:p>
            <w:pPr>
              <w:spacing w:after="0"/>
              <w:rPr>
                <w:sz w:val="2"/>
                <w:szCs w:val="2"/>
                <w:color w:val="auto"/>
              </w:rPr>
            </w:pPr>
          </w:p>
        </w:tc>
        <w:tc>
          <w:tcPr>
            <w:tcW w:w="11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16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2C6937"/>
            </w:tcBorders>
          </w:tcPr>
          <w:p>
            <w:pPr>
              <w:spacing w:after="0"/>
              <w:rPr>
                <w:sz w:val="2"/>
                <w:szCs w:val="2"/>
                <w:color w:val="auto"/>
              </w:rPr>
            </w:pPr>
          </w:p>
        </w:tc>
        <w:tc>
          <w:tcPr>
            <w:tcW w:w="11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120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2C6937"/>
            </w:tcBorders>
          </w:tcPr>
          <w:p>
            <w:pPr>
              <w:spacing w:after="0"/>
              <w:rPr>
                <w:sz w:val="2"/>
                <w:szCs w:val="2"/>
                <w:color w:val="auto"/>
              </w:rPr>
            </w:pPr>
          </w:p>
        </w:tc>
        <w:tc>
          <w:tcPr>
            <w:tcW w:w="1020" w:type="dxa"/>
            <w:vAlign w:val="bottom"/>
            <w:tcBorders>
              <w:bottom w:val="single" w:sz="8" w:color="2C693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2">
            <w:col w:w="2680" w:space="140"/>
            <w:col w:w="8420"/>
          </w:cols>
          <w:pgMar w:left="320" w:top="248" w:right="339" w:bottom="1440" w:gutter="0" w:footer="0" w:header="0"/>
          <w:type w:val="continuous"/>
        </w:sectPr>
      </w:pPr>
    </w:p>
    <w:p>
      <w:pPr>
        <w:ind w:left="240" w:right="100" w:hanging="237"/>
        <w:spacing w:after="0" w:line="228" w:lineRule="auto"/>
        <w:tabs>
          <w:tab w:leader="none" w:pos="216"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As of September 30, 2025, the substantial majority of loans that received a completed modification or a payment deferral during the third quarter of 2025 were not delinquent as of September 30, 2025. As of September 30, 2024, the substantial majority of loans that received a completed modification or a payment deferral during the third quarter of 2024 were not delinquent as of September 30, 2024.</w:t>
      </w:r>
    </w:p>
    <w:p>
      <w:pPr>
        <w:ind w:left="240" w:hanging="237"/>
        <w:spacing w:after="0"/>
        <w:tabs>
          <w:tab w:leader="none" w:pos="24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Multifamily loans 60-89 days delinquent are included in the seriously delinquent column.</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Represents the amortized cost basis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365125</wp:posOffset>
            </wp:positionV>
            <wp:extent cx="680593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6" w:name="page87"/>
    <w:bookmarkEnd w:id="86"/>
    <w:p>
      <w:pPr>
        <w:ind w:left="6620"/>
        <w:spacing w:after="0"/>
        <w:rPr>
          <w:sz w:val="20"/>
          <w:szCs w:val="20"/>
          <w:color w:val="auto"/>
        </w:rPr>
      </w:pPr>
      <w:r>
        <w:rPr>
          <w:rFonts w:ascii="Arial" w:cs="Arial" w:eastAsia="Arial" w:hAnsi="Arial"/>
          <w:sz w:val="14"/>
          <w:szCs w:val="14"/>
          <w:color w:val="05314D"/>
        </w:rPr>
        <w:t>Notes to Condensed Consolidated Financial Statements |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Nonaccrual Loans</w:t>
      </w:r>
    </w:p>
    <w:p>
      <w:pPr>
        <w:spacing w:after="0" w:line="6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recognize interest income on an accrual basis except when we believe the collection of principal and interest is not reasonably assured, at which time a loan is placed on nonaccrual status. See “Note 1, Summary of Significant Accounting Policies” in our 2024 Form 10-K for additional information on our accounting policies for single-family and multifamily nonaccrual loans.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accrued interest receivable written off through the reversal of interest income from nonaccrual loans.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800" w:type="dxa"/>
            <w:vAlign w:val="bottom"/>
          </w:tcPr>
          <w:p>
            <w:pPr>
              <w:spacing w:after="0"/>
              <w:rPr>
                <w:sz w:val="18"/>
                <w:szCs w:val="18"/>
                <w:color w:val="auto"/>
              </w:rPr>
            </w:pPr>
          </w:p>
        </w:tc>
        <w:tc>
          <w:tcPr>
            <w:tcW w:w="3780" w:type="dxa"/>
            <w:vAlign w:val="bottom"/>
            <w:gridSpan w:val="6"/>
          </w:tcPr>
          <w:p>
            <w:pPr>
              <w:ind w:left="240"/>
              <w:spacing w:after="0"/>
              <w:rPr>
                <w:sz w:val="20"/>
                <w:szCs w:val="20"/>
                <w:color w:val="auto"/>
              </w:rPr>
            </w:pPr>
            <w:r>
              <w:rPr>
                <w:rFonts w:ascii="Arial" w:cs="Arial" w:eastAsia="Arial" w:hAnsi="Arial"/>
                <w:sz w:val="15"/>
                <w:szCs w:val="15"/>
                <w:b w:val="1"/>
                <w:bCs w:val="1"/>
                <w:color w:val="auto"/>
              </w:rPr>
              <w:t>For the Three Months Ended September 30,</w:t>
            </w:r>
          </w:p>
        </w:tc>
        <w:tc>
          <w:tcPr>
            <w:tcW w:w="180" w:type="dxa"/>
            <w:vAlign w:val="bottom"/>
          </w:tcPr>
          <w:p>
            <w:pPr>
              <w:spacing w:after="0"/>
              <w:rPr>
                <w:sz w:val="18"/>
                <w:szCs w:val="18"/>
                <w:color w:val="auto"/>
              </w:rPr>
            </w:pPr>
          </w:p>
        </w:tc>
        <w:tc>
          <w:tcPr>
            <w:tcW w:w="3460" w:type="dxa"/>
            <w:vAlign w:val="bottom"/>
            <w:gridSpan w:val="4"/>
          </w:tcPr>
          <w:p>
            <w:pPr>
              <w:jc w:val="right"/>
              <w:ind w:right="183"/>
              <w:spacing w:after="0"/>
              <w:rPr>
                <w:sz w:val="20"/>
                <w:szCs w:val="20"/>
                <w:color w:val="auto"/>
              </w:rPr>
            </w:pPr>
            <w:r>
              <w:rPr>
                <w:rFonts w:ascii="Arial" w:cs="Arial" w:eastAsia="Arial" w:hAnsi="Arial"/>
                <w:sz w:val="15"/>
                <w:szCs w:val="15"/>
                <w:b w:val="1"/>
                <w:bCs w:val="1"/>
                <w:color w:val="auto"/>
              </w:rPr>
              <w:t>For the Nine Months Ended September 30,</w:t>
            </w:r>
          </w:p>
        </w:tc>
      </w:tr>
      <w:tr>
        <w:trPr>
          <w:trHeight w:val="199"/>
        </w:trPr>
        <w:tc>
          <w:tcPr>
            <w:tcW w:w="3800" w:type="dxa"/>
            <w:vAlign w:val="bottom"/>
          </w:tcPr>
          <w:p>
            <w:pPr>
              <w:spacing w:after="0"/>
              <w:rPr>
                <w:sz w:val="17"/>
                <w:szCs w:val="17"/>
                <w:color w:val="auto"/>
              </w:rPr>
            </w:pPr>
          </w:p>
        </w:tc>
        <w:tc>
          <w:tcPr>
            <w:tcW w:w="1260" w:type="dxa"/>
            <w:vAlign w:val="bottom"/>
            <w:tcBorders>
              <w:top w:val="single" w:sz="8" w:color="2C6937"/>
              <w:bottom w:val="single" w:sz="8" w:color="2C6937"/>
            </w:tcBorders>
          </w:tcPr>
          <w:p>
            <w:pPr>
              <w:jc w:val="right"/>
              <w:ind w:right="123"/>
              <w:spacing w:after="0"/>
              <w:rPr>
                <w:sz w:val="20"/>
                <w:szCs w:val="20"/>
                <w:color w:val="auto"/>
              </w:rPr>
            </w:pPr>
            <w:r>
              <w:rPr>
                <w:rFonts w:ascii="Arial" w:cs="Arial" w:eastAsia="Arial" w:hAnsi="Arial"/>
                <w:sz w:val="15"/>
                <w:szCs w:val="15"/>
                <w:b w:val="1"/>
                <w:bCs w:val="1"/>
                <w:color w:val="auto"/>
              </w:rPr>
              <w:t>2025</w:t>
            </w:r>
          </w:p>
        </w:tc>
        <w:tc>
          <w:tcPr>
            <w:tcW w:w="540" w:type="dxa"/>
            <w:vAlign w:val="bottom"/>
            <w:tcBorders>
              <w:top w:val="single" w:sz="8" w:color="2C6937"/>
              <w:bottom w:val="single" w:sz="8" w:color="2C6937"/>
            </w:tcBorders>
          </w:tcPr>
          <w:p>
            <w:pPr>
              <w:spacing w:after="0"/>
              <w:rPr>
                <w:sz w:val="17"/>
                <w:szCs w:val="17"/>
                <w:color w:val="auto"/>
              </w:rPr>
            </w:pPr>
          </w:p>
        </w:tc>
        <w:tc>
          <w:tcPr>
            <w:tcW w:w="80" w:type="dxa"/>
            <w:vAlign w:val="bottom"/>
            <w:tcBorders>
              <w:top w:val="single" w:sz="8" w:color="2C6937"/>
            </w:tcBorders>
          </w:tcPr>
          <w:p>
            <w:pPr>
              <w:spacing w:after="0"/>
              <w:rPr>
                <w:sz w:val="17"/>
                <w:szCs w:val="17"/>
                <w:color w:val="auto"/>
              </w:rPr>
            </w:pPr>
          </w:p>
        </w:tc>
        <w:tc>
          <w:tcPr>
            <w:tcW w:w="420" w:type="dxa"/>
            <w:vAlign w:val="bottom"/>
            <w:tcBorders>
              <w:top w:val="single" w:sz="8" w:color="2C6937"/>
              <w:bottom w:val="single" w:sz="8" w:color="2C6937"/>
            </w:tcBorders>
          </w:tcPr>
          <w:p>
            <w:pPr>
              <w:spacing w:after="0"/>
              <w:rPr>
                <w:sz w:val="17"/>
                <w:szCs w:val="17"/>
                <w:color w:val="auto"/>
              </w:rPr>
            </w:pPr>
          </w:p>
        </w:tc>
        <w:tc>
          <w:tcPr>
            <w:tcW w:w="1380" w:type="dxa"/>
            <w:vAlign w:val="bottom"/>
            <w:tcBorders>
              <w:top w:val="single" w:sz="8" w:color="2C6937"/>
              <w:bottom w:val="single" w:sz="8" w:color="2C6937"/>
            </w:tcBorders>
          </w:tcPr>
          <w:p>
            <w:pPr>
              <w:jc w:val="right"/>
              <w:ind w:right="645"/>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7"/>
                <w:szCs w:val="17"/>
                <w:color w:val="auto"/>
              </w:rPr>
            </w:pPr>
          </w:p>
        </w:tc>
        <w:tc>
          <w:tcPr>
            <w:tcW w:w="180" w:type="dxa"/>
            <w:vAlign w:val="bottom"/>
            <w:tcBorders>
              <w:top w:val="single" w:sz="8" w:color="2C6937"/>
              <w:bottom w:val="single" w:sz="8" w:color="2C6937"/>
            </w:tcBorders>
          </w:tcPr>
          <w:p>
            <w:pPr>
              <w:spacing w:after="0"/>
              <w:rPr>
                <w:sz w:val="17"/>
                <w:szCs w:val="17"/>
                <w:color w:val="auto"/>
              </w:rPr>
            </w:pPr>
          </w:p>
        </w:tc>
        <w:tc>
          <w:tcPr>
            <w:tcW w:w="1600" w:type="dxa"/>
            <w:vAlign w:val="bottom"/>
            <w:tcBorders>
              <w:top w:val="single" w:sz="8" w:color="2C6937"/>
              <w:bottom w:val="single" w:sz="8" w:color="2C6937"/>
            </w:tcBorders>
          </w:tcPr>
          <w:p>
            <w:pPr>
              <w:jc w:val="right"/>
              <w:ind w:right="643"/>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top w:val="single" w:sz="8" w:color="2C6937"/>
            </w:tcBorders>
          </w:tcPr>
          <w:p>
            <w:pPr>
              <w:spacing w:after="0"/>
              <w:rPr>
                <w:sz w:val="17"/>
                <w:szCs w:val="17"/>
                <w:color w:val="auto"/>
              </w:rPr>
            </w:pPr>
          </w:p>
        </w:tc>
        <w:tc>
          <w:tcPr>
            <w:tcW w:w="400" w:type="dxa"/>
            <w:vAlign w:val="bottom"/>
            <w:tcBorders>
              <w:top w:val="single" w:sz="8" w:color="2C6937"/>
              <w:bottom w:val="single" w:sz="8" w:color="2C6937"/>
            </w:tcBorders>
          </w:tcPr>
          <w:p>
            <w:pPr>
              <w:spacing w:after="0"/>
              <w:rPr>
                <w:sz w:val="17"/>
                <w:szCs w:val="17"/>
                <w:color w:val="auto"/>
              </w:rPr>
            </w:pPr>
          </w:p>
        </w:tc>
        <w:tc>
          <w:tcPr>
            <w:tcW w:w="1360" w:type="dxa"/>
            <w:vAlign w:val="bottom"/>
            <w:tcBorders>
              <w:top w:val="single" w:sz="8" w:color="2C6937"/>
              <w:bottom w:val="single" w:sz="8" w:color="2C6937"/>
            </w:tcBorders>
          </w:tcPr>
          <w:p>
            <w:pPr>
              <w:jc w:val="right"/>
              <w:ind w:right="623"/>
              <w:spacing w:after="0"/>
              <w:rPr>
                <w:sz w:val="20"/>
                <w:szCs w:val="20"/>
                <w:color w:val="auto"/>
              </w:rPr>
            </w:pPr>
            <w:r>
              <w:rPr>
                <w:rFonts w:ascii="Arial" w:cs="Arial" w:eastAsia="Arial" w:hAnsi="Arial"/>
                <w:sz w:val="15"/>
                <w:szCs w:val="15"/>
                <w:b w:val="1"/>
                <w:bCs w:val="1"/>
                <w:color w:val="auto"/>
              </w:rPr>
              <w:t>2024</w:t>
            </w:r>
          </w:p>
        </w:tc>
      </w:tr>
      <w:tr>
        <w:trPr>
          <w:trHeight w:val="185"/>
        </w:trPr>
        <w:tc>
          <w:tcPr>
            <w:tcW w:w="3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60" w:type="dxa"/>
            <w:vAlign w:val="bottom"/>
            <w:gridSpan w:val="5"/>
          </w:tcPr>
          <w:p>
            <w:pPr>
              <w:ind w:left="72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9"/>
        </w:trPr>
        <w:tc>
          <w:tcPr>
            <w:tcW w:w="3800" w:type="dxa"/>
            <w:vAlign w:val="bottom"/>
          </w:tcPr>
          <w:p>
            <w:pPr>
              <w:spacing w:after="0"/>
              <w:rPr>
                <w:sz w:val="20"/>
                <w:szCs w:val="20"/>
                <w:color w:val="auto"/>
              </w:rPr>
            </w:pPr>
            <w:r>
              <w:rPr>
                <w:rFonts w:ascii="Arial" w:cs="Arial" w:eastAsia="Arial" w:hAnsi="Arial"/>
                <w:sz w:val="15"/>
                <w:szCs w:val="15"/>
                <w:color w:val="auto"/>
              </w:rPr>
              <w:t>Accrued interest receivable written off through the</w:t>
            </w: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4"/>
        </w:trPr>
        <w:tc>
          <w:tcPr>
            <w:tcW w:w="3800" w:type="dxa"/>
            <w:vAlign w:val="bottom"/>
          </w:tcPr>
          <w:p>
            <w:pPr>
              <w:ind w:left="160"/>
              <w:spacing w:after="0"/>
              <w:rPr>
                <w:sz w:val="20"/>
                <w:szCs w:val="20"/>
                <w:color w:val="auto"/>
              </w:rPr>
            </w:pPr>
            <w:r>
              <w:rPr>
                <w:rFonts w:ascii="Arial" w:cs="Arial" w:eastAsia="Arial" w:hAnsi="Arial"/>
                <w:sz w:val="15"/>
                <w:szCs w:val="15"/>
                <w:color w:val="auto"/>
              </w:rPr>
              <w:t>reversal of interest income:</w:t>
            </w: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66"/>
        </w:trPr>
        <w:tc>
          <w:tcPr>
            <w:tcW w:w="3800" w:type="dxa"/>
            <w:vAlign w:val="bottom"/>
          </w:tcPr>
          <w:p>
            <w:pPr>
              <w:ind w:left="160"/>
              <w:spacing w:after="0"/>
              <w:rPr>
                <w:sz w:val="20"/>
                <w:szCs w:val="20"/>
                <w:color w:val="auto"/>
              </w:rPr>
            </w:pPr>
            <w:r>
              <w:rPr>
                <w:rFonts w:ascii="Arial" w:cs="Arial" w:eastAsia="Arial" w:hAnsi="Arial"/>
                <w:sz w:val="15"/>
                <w:szCs w:val="15"/>
                <w:color w:val="auto"/>
              </w:rPr>
              <w:t>Single-family</w:t>
            </w:r>
          </w:p>
        </w:tc>
        <w:tc>
          <w:tcPr>
            <w:tcW w:w="1260" w:type="dxa"/>
            <w:vAlign w:val="bottom"/>
          </w:tcPr>
          <w:p>
            <w:pPr>
              <w:jc w:val="right"/>
              <w:ind w:right="1083"/>
              <w:spacing w:after="0"/>
              <w:rPr>
                <w:sz w:val="20"/>
                <w:szCs w:val="20"/>
                <w:color w:val="auto"/>
              </w:rPr>
            </w:pPr>
            <w:r>
              <w:rPr>
                <w:rFonts w:ascii="Arial" w:cs="Arial" w:eastAsia="Arial" w:hAnsi="Arial"/>
                <w:sz w:val="15"/>
                <w:szCs w:val="15"/>
                <w:b w:val="1"/>
                <w:bCs w:val="1"/>
                <w:color w:val="auto"/>
                <w:w w:val="95"/>
              </w:rPr>
              <w:t>$</w:t>
            </w:r>
          </w:p>
        </w:tc>
        <w:tc>
          <w:tcPr>
            <w:tcW w:w="540" w:type="dxa"/>
            <w:vAlign w:val="bottom"/>
          </w:tcPr>
          <w:p>
            <w:pPr>
              <w:jc w:val="right"/>
              <w:ind w:right="3"/>
              <w:spacing w:after="0"/>
              <w:rPr>
                <w:sz w:val="20"/>
                <w:szCs w:val="20"/>
                <w:color w:val="auto"/>
              </w:rPr>
            </w:pPr>
            <w:r>
              <w:rPr>
                <w:rFonts w:ascii="Arial" w:cs="Arial" w:eastAsia="Arial" w:hAnsi="Arial"/>
                <w:sz w:val="15"/>
                <w:szCs w:val="15"/>
                <w:b w:val="1"/>
                <w:bCs w:val="1"/>
                <w:color w:val="auto"/>
              </w:rPr>
              <w:t>101</w:t>
            </w:r>
          </w:p>
        </w:tc>
        <w:tc>
          <w:tcPr>
            <w:tcW w:w="80" w:type="dxa"/>
            <w:vAlign w:val="bottom"/>
          </w:tcPr>
          <w:p>
            <w:pPr>
              <w:spacing w:after="0"/>
              <w:rPr>
                <w:sz w:val="23"/>
                <w:szCs w:val="23"/>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95</w:t>
            </w:r>
          </w:p>
        </w:tc>
        <w:tc>
          <w:tcPr>
            <w:tcW w:w="100" w:type="dxa"/>
            <w:vAlign w:val="bottom"/>
          </w:tcPr>
          <w:p>
            <w:pPr>
              <w:spacing w:after="0"/>
              <w:rPr>
                <w:sz w:val="23"/>
                <w:szCs w:val="23"/>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295</w:t>
            </w:r>
          </w:p>
        </w:tc>
        <w:tc>
          <w:tcPr>
            <w:tcW w:w="100" w:type="dxa"/>
            <w:vAlign w:val="bottom"/>
          </w:tcPr>
          <w:p>
            <w:pPr>
              <w:spacing w:after="0"/>
              <w:rPr>
                <w:sz w:val="23"/>
                <w:szCs w:val="23"/>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274</w:t>
            </w:r>
          </w:p>
        </w:tc>
      </w:tr>
      <w:tr>
        <w:trPr>
          <w:trHeight w:val="232"/>
        </w:trPr>
        <w:tc>
          <w:tcPr>
            <w:tcW w:w="3800" w:type="dxa"/>
            <w:vAlign w:val="bottom"/>
          </w:tcPr>
          <w:p>
            <w:pPr>
              <w:ind w:left="160"/>
              <w:spacing w:after="0"/>
              <w:rPr>
                <w:sz w:val="20"/>
                <w:szCs w:val="20"/>
                <w:color w:val="auto"/>
              </w:rPr>
            </w:pPr>
            <w:r>
              <w:rPr>
                <w:rFonts w:ascii="Arial" w:cs="Arial" w:eastAsia="Arial" w:hAnsi="Arial"/>
                <w:sz w:val="15"/>
                <w:szCs w:val="15"/>
                <w:color w:val="auto"/>
              </w:rPr>
              <w:t>Multifamily</w:t>
            </w:r>
          </w:p>
        </w:tc>
        <w:tc>
          <w:tcPr>
            <w:tcW w:w="1260" w:type="dxa"/>
            <w:vAlign w:val="bottom"/>
          </w:tcPr>
          <w:p>
            <w:pPr>
              <w:spacing w:after="0"/>
              <w:rPr>
                <w:sz w:val="20"/>
                <w:szCs w:val="20"/>
                <w:color w:val="auto"/>
              </w:rPr>
            </w:pPr>
          </w:p>
        </w:tc>
        <w:tc>
          <w:tcPr>
            <w:tcW w:w="540" w:type="dxa"/>
            <w:vAlign w:val="bottom"/>
          </w:tcPr>
          <w:p>
            <w:pPr>
              <w:jc w:val="right"/>
              <w:ind w:right="3"/>
              <w:spacing w:after="0"/>
              <w:rPr>
                <w:sz w:val="20"/>
                <w:szCs w:val="20"/>
                <w:color w:val="auto"/>
              </w:rPr>
            </w:pPr>
            <w:r>
              <w:rPr>
                <w:rFonts w:ascii="Arial" w:cs="Arial" w:eastAsia="Arial" w:hAnsi="Arial"/>
                <w:sz w:val="15"/>
                <w:szCs w:val="15"/>
                <w:b w:val="1"/>
                <w:bCs w:val="1"/>
                <w:color w:val="auto"/>
              </w:rPr>
              <w:t>11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24</w:t>
            </w:r>
          </w:p>
        </w:tc>
      </w:tr>
    </w:tbl>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tables below include the amortized cost of and interest income recognized on our HFI single-family and multifamily loans on nonaccrual status by class, excluding loans for which we have elected the fair value option.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gridSpan w:val="4"/>
          </w:tcPr>
          <w:p>
            <w:pPr>
              <w:jc w:val="center"/>
              <w:ind w:right="280"/>
              <w:spacing w:after="0"/>
              <w:rPr>
                <w:sz w:val="20"/>
                <w:szCs w:val="20"/>
                <w:color w:val="auto"/>
              </w:rPr>
            </w:pPr>
            <w:r>
              <w:rPr>
                <w:rFonts w:ascii="Arial" w:cs="Arial" w:eastAsia="Arial" w:hAnsi="Arial"/>
                <w:sz w:val="14"/>
                <w:szCs w:val="14"/>
                <w:b w:val="1"/>
                <w:bCs w:val="1"/>
                <w:color w:val="auto"/>
              </w:rPr>
              <w:t>As of</w:t>
            </w:r>
          </w:p>
        </w:tc>
        <w:tc>
          <w:tcPr>
            <w:tcW w:w="160" w:type="dxa"/>
            <w:vAlign w:val="bottom"/>
            <w:tcBorders>
              <w:bottom w:val="single" w:sz="8" w:color="2C6937"/>
            </w:tcBorders>
          </w:tcPr>
          <w:p>
            <w:pPr>
              <w:spacing w:after="0"/>
              <w:rPr>
                <w:sz w:val="17"/>
                <w:szCs w:val="17"/>
                <w:color w:val="auto"/>
              </w:rPr>
            </w:pPr>
          </w:p>
        </w:tc>
        <w:tc>
          <w:tcPr>
            <w:tcW w:w="114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7"/>
              </w:rPr>
              <w:t>For the Three Months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7"/>
              </w:rPr>
              <w:t>For the Nine Months</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2025</w:t>
            </w:r>
          </w:p>
        </w:tc>
        <w:tc>
          <w:tcPr>
            <w:tcW w:w="140" w:type="dxa"/>
            <w:vAlign w:val="bottom"/>
          </w:tcPr>
          <w:p>
            <w:pPr>
              <w:spacing w:after="0"/>
              <w:rPr>
                <w:sz w:val="12"/>
                <w:szCs w:val="12"/>
                <w:color w:val="auto"/>
              </w:rPr>
            </w:pPr>
          </w:p>
        </w:tc>
        <w:tc>
          <w:tcPr>
            <w:tcW w:w="124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6"/>
              </w:rPr>
              <w:t>June 30, 2025</w:t>
            </w:r>
          </w:p>
        </w:tc>
        <w:tc>
          <w:tcPr>
            <w:tcW w:w="14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December 31, 2024</w:t>
            </w:r>
          </w:p>
        </w:tc>
        <w:tc>
          <w:tcPr>
            <w:tcW w:w="1520" w:type="dxa"/>
            <w:vAlign w:val="bottom"/>
            <w:gridSpan w:val="3"/>
          </w:tcPr>
          <w:p>
            <w:pPr>
              <w:jc w:val="center"/>
              <w:spacing w:after="0" w:line="139" w:lineRule="exact"/>
              <w:rPr>
                <w:sz w:val="20"/>
                <w:szCs w:val="20"/>
                <w:color w:val="auto"/>
              </w:rPr>
            </w:pPr>
            <w:r>
              <w:rPr>
                <w:rFonts w:ascii="Arial" w:cs="Arial" w:eastAsia="Arial" w:hAnsi="Arial"/>
                <w:sz w:val="14"/>
                <w:szCs w:val="14"/>
                <w:b w:val="1"/>
                <w:bCs w:val="1"/>
                <w:color w:val="auto"/>
                <w:w w:val="98"/>
              </w:rPr>
              <w:t>Ended September 30,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jc w:val="center"/>
              <w:spacing w:after="0" w:line="139" w:lineRule="exact"/>
              <w:rPr>
                <w:sz w:val="20"/>
                <w:szCs w:val="20"/>
                <w:color w:val="auto"/>
              </w:rPr>
            </w:pPr>
            <w:r>
              <w:rPr>
                <w:rFonts w:ascii="Arial" w:cs="Arial" w:eastAsia="Arial" w:hAnsi="Arial"/>
                <w:sz w:val="14"/>
                <w:szCs w:val="14"/>
                <w:b w:val="1"/>
                <w:bCs w:val="1"/>
                <w:color w:val="auto"/>
                <w:w w:val="98"/>
              </w:rPr>
              <w:t>Ended September 30,</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142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165"/>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5"/>
                <w:szCs w:val="15"/>
                <w:color w:val="auto"/>
              </w:rPr>
            </w:pPr>
          </w:p>
        </w:tc>
        <w:tc>
          <w:tcPr>
            <w:tcW w:w="1240" w:type="dxa"/>
            <w:vAlign w:val="bottom"/>
            <w:gridSpan w:val="3"/>
          </w:tcPr>
          <w:p>
            <w:pPr>
              <w:jc w:val="center"/>
              <w:ind w:left="426"/>
              <w:spacing w:after="0"/>
              <w:rPr>
                <w:sz w:val="20"/>
                <w:szCs w:val="20"/>
                <w:color w:val="auto"/>
              </w:rPr>
            </w:pPr>
            <w:r>
              <w:rPr>
                <w:rFonts w:ascii="Arial" w:cs="Arial" w:eastAsia="Arial" w:hAnsi="Arial"/>
                <w:sz w:val="14"/>
                <w:szCs w:val="14"/>
                <w:b w:val="1"/>
                <w:bCs w:val="1"/>
                <w:color w:val="auto"/>
                <w:w w:val="96"/>
              </w:rPr>
              <w:t>2025</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2C6937"/>
              <w:bottom w:val="single" w:sz="8" w:color="2C6937"/>
            </w:tcBorders>
          </w:tcPr>
          <w:p>
            <w:pPr>
              <w:spacing w:after="0"/>
              <w:rPr>
                <w:sz w:val="24"/>
                <w:szCs w:val="24"/>
                <w:color w:val="auto"/>
              </w:rPr>
            </w:pPr>
          </w:p>
        </w:tc>
        <w:tc>
          <w:tcPr>
            <w:tcW w:w="900" w:type="dxa"/>
            <w:vAlign w:val="bottom"/>
            <w:tcBorders>
              <w:top w:val="single" w:sz="8" w:color="2C6937"/>
              <w:bottom w:val="single" w:sz="8" w:color="2C6937"/>
            </w:tcBorders>
          </w:tcPr>
          <w:p>
            <w:pPr>
              <w:spacing w:after="0"/>
              <w:rPr>
                <w:sz w:val="24"/>
                <w:szCs w:val="24"/>
                <w:color w:val="auto"/>
              </w:rPr>
            </w:pPr>
          </w:p>
        </w:tc>
        <w:tc>
          <w:tcPr>
            <w:tcW w:w="100" w:type="dxa"/>
            <w:vAlign w:val="bottom"/>
            <w:tcBorders>
              <w:top w:val="single" w:sz="8" w:color="2C6937"/>
              <w:bottom w:val="single" w:sz="8" w:color="2C6937"/>
            </w:tcBorders>
          </w:tcPr>
          <w:p>
            <w:pPr>
              <w:spacing w:after="0"/>
              <w:rPr>
                <w:sz w:val="24"/>
                <w:szCs w:val="24"/>
                <w:color w:val="auto"/>
              </w:rPr>
            </w:pPr>
          </w:p>
        </w:tc>
        <w:tc>
          <w:tcPr>
            <w:tcW w:w="1380" w:type="dxa"/>
            <w:vAlign w:val="bottom"/>
            <w:tcBorders>
              <w:top w:val="single" w:sz="8" w:color="2C6937"/>
              <w:bottom w:val="single" w:sz="8" w:color="2C6937"/>
            </w:tcBorders>
            <w:gridSpan w:val="5"/>
          </w:tcPr>
          <w:p>
            <w:pPr>
              <w:jc w:val="center"/>
              <w:ind w:right="140"/>
              <w:spacing w:after="0"/>
              <w:rPr>
                <w:sz w:val="20"/>
                <w:szCs w:val="20"/>
                <w:color w:val="auto"/>
              </w:rPr>
            </w:pPr>
            <w:r>
              <w:rPr>
                <w:rFonts w:ascii="Arial" w:cs="Arial" w:eastAsia="Arial" w:hAnsi="Arial"/>
                <w:sz w:val="14"/>
                <w:szCs w:val="14"/>
                <w:b w:val="1"/>
                <w:bCs w:val="1"/>
                <w:color w:val="auto"/>
                <w:w w:val="95"/>
              </w:rPr>
              <w:t>Amortized Cost</w:t>
            </w:r>
            <w:r>
              <w:rPr>
                <w:rFonts w:ascii="Arial" w:cs="Arial" w:eastAsia="Arial" w:hAnsi="Arial"/>
                <w:sz w:val="17"/>
                <w:szCs w:val="17"/>
                <w:b w:val="1"/>
                <w:bCs w:val="1"/>
                <w:color w:val="auto"/>
                <w:w w:val="95"/>
                <w:vertAlign w:val="superscript"/>
              </w:rPr>
              <w:t>(1)</w:t>
            </w:r>
          </w:p>
        </w:tc>
        <w:tc>
          <w:tcPr>
            <w:tcW w:w="160" w:type="dxa"/>
            <w:vAlign w:val="bottom"/>
            <w:tcBorders>
              <w:top w:val="single" w:sz="8" w:color="2C6937"/>
              <w:bottom w:val="single" w:sz="8" w:color="2C6937"/>
            </w:tcBorders>
          </w:tcPr>
          <w:p>
            <w:pPr>
              <w:spacing w:after="0"/>
              <w:rPr>
                <w:sz w:val="24"/>
                <w:szCs w:val="24"/>
                <w:color w:val="auto"/>
              </w:rPr>
            </w:pPr>
          </w:p>
        </w:tc>
        <w:tc>
          <w:tcPr>
            <w:tcW w:w="1140" w:type="dxa"/>
            <w:vAlign w:val="bottom"/>
            <w:tcBorders>
              <w:top w:val="single" w:sz="8" w:color="2C6937"/>
              <w:bottom w:val="single" w:sz="8" w:color="2C6937"/>
            </w:tcBorders>
          </w:tcPr>
          <w:p>
            <w:pPr>
              <w:spacing w:after="0"/>
              <w:rPr>
                <w:sz w:val="24"/>
                <w:szCs w:val="24"/>
                <w:color w:val="auto"/>
              </w:rPr>
            </w:pPr>
          </w:p>
        </w:tc>
        <w:tc>
          <w:tcPr>
            <w:tcW w:w="20" w:type="dxa"/>
            <w:vAlign w:val="bottom"/>
            <w:tcBorders>
              <w:top w:val="single" w:sz="8" w:color="2C6937"/>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60" w:type="dxa"/>
            <w:vAlign w:val="bottom"/>
            <w:tcBorders>
              <w:top w:val="single" w:sz="8" w:color="2C6937"/>
              <w:bottom w:val="single" w:sz="8" w:color="2C6937"/>
            </w:tcBorders>
          </w:tcPr>
          <w:p>
            <w:pPr>
              <w:spacing w:after="0"/>
              <w:rPr>
                <w:sz w:val="24"/>
                <w:szCs w:val="24"/>
                <w:color w:val="auto"/>
              </w:rPr>
            </w:pPr>
          </w:p>
        </w:tc>
        <w:tc>
          <w:tcPr>
            <w:tcW w:w="2500" w:type="dxa"/>
            <w:vAlign w:val="bottom"/>
            <w:tcBorders>
              <w:top w:val="single" w:sz="8" w:color="2C6937"/>
              <w:bottom w:val="single" w:sz="8" w:color="2C6937"/>
            </w:tcBorders>
            <w:gridSpan w:val="5"/>
          </w:tcPr>
          <w:p>
            <w:pPr>
              <w:jc w:val="right"/>
              <w:spacing w:after="0"/>
              <w:rPr>
                <w:sz w:val="20"/>
                <w:szCs w:val="20"/>
                <w:color w:val="auto"/>
              </w:rPr>
            </w:pPr>
            <w:r>
              <w:rPr>
                <w:rFonts w:ascii="Arial" w:cs="Arial" w:eastAsia="Arial" w:hAnsi="Arial"/>
                <w:sz w:val="14"/>
                <w:szCs w:val="14"/>
                <w:b w:val="1"/>
                <w:bCs w:val="1"/>
                <w:color w:val="auto"/>
              </w:rPr>
              <w:t>Total Interest Income Recognized</w:t>
            </w:r>
            <w:r>
              <w:rPr>
                <w:rFonts w:ascii="Arial" w:cs="Arial" w:eastAsia="Arial" w:hAnsi="Arial"/>
                <w:sz w:val="17"/>
                <w:szCs w:val="17"/>
                <w:b w:val="1"/>
                <w:bCs w:val="1"/>
                <w:color w:val="auto"/>
                <w:vertAlign w:val="superscript"/>
              </w:rPr>
              <w:t>(2)</w:t>
            </w:r>
          </w:p>
        </w:tc>
        <w:tc>
          <w:tcPr>
            <w:tcW w:w="360" w:type="dxa"/>
            <w:vAlign w:val="bottom"/>
            <w:tcBorders>
              <w:top w:val="single" w:sz="8" w:color="2C6937"/>
              <w:bottom w:val="single" w:sz="8" w:color="2C6937"/>
            </w:tcBorders>
          </w:tcPr>
          <w:p>
            <w:pPr>
              <w:spacing w:after="0"/>
              <w:rPr>
                <w:sz w:val="24"/>
                <w:szCs w:val="24"/>
                <w:color w:val="auto"/>
              </w:rPr>
            </w:pPr>
          </w:p>
        </w:tc>
        <w:tc>
          <w:tcPr>
            <w:tcW w:w="20" w:type="dxa"/>
            <w:vAlign w:val="bottom"/>
            <w:tcBorders>
              <w:top w:val="single" w:sz="8" w:color="2C6937"/>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5"/>
          </w:tcPr>
          <w:p>
            <w:pPr>
              <w:jc w:val="right"/>
              <w:ind w:right="107"/>
              <w:spacing w:after="0"/>
              <w:rPr>
                <w:sz w:val="20"/>
                <w:szCs w:val="20"/>
                <w:color w:val="auto"/>
              </w:rPr>
            </w:pPr>
            <w:r>
              <w:rPr>
                <w:rFonts w:ascii="Arial" w:cs="Arial" w:eastAsia="Arial" w:hAnsi="Arial"/>
                <w:sz w:val="14"/>
                <w:szCs w:val="14"/>
                <w:b w:val="1"/>
                <w:bCs w:val="1"/>
                <w:color w:val="auto"/>
              </w:rPr>
              <w:t>(Dollars in millions)</w:t>
            </w: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384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4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3"/>
              <w:spacing w:after="0"/>
              <w:rPr>
                <w:sz w:val="20"/>
                <w:szCs w:val="20"/>
                <w:color w:val="auto"/>
              </w:rPr>
            </w:pPr>
            <w:r>
              <w:rPr>
                <w:rFonts w:ascii="Arial" w:cs="Arial" w:eastAsia="Arial" w:hAnsi="Arial"/>
                <w:sz w:val="15"/>
                <w:szCs w:val="15"/>
                <w:b w:val="1"/>
                <w:bCs w:val="1"/>
                <w:color w:val="auto"/>
              </w:rPr>
              <w:t>24,936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25,423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25,218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45</w:t>
            </w:r>
          </w:p>
        </w:tc>
        <w:tc>
          <w:tcPr>
            <w:tcW w:w="20" w:type="dxa"/>
            <w:vAlign w:val="bottom"/>
          </w:tcPr>
          <w:p>
            <w:pPr>
              <w:spacing w:after="0"/>
              <w:rPr>
                <w:sz w:val="24"/>
                <w:szCs w:val="24"/>
                <w:color w:val="auto"/>
              </w:rPr>
            </w:pPr>
          </w:p>
        </w:tc>
        <w:tc>
          <w:tcPr>
            <w:tcW w:w="1240" w:type="dxa"/>
            <w:vAlign w:val="bottom"/>
            <w:gridSpan w:val="3"/>
          </w:tcPr>
          <w:p>
            <w:pPr>
              <w:ind w:left="120"/>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295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84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46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b w:val="1"/>
                <w:bCs w:val="1"/>
                <w:color w:val="auto"/>
              </w:rPr>
              <w:t>689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736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770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84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6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b w:val="1"/>
                <w:bCs w:val="1"/>
                <w:color w:val="auto"/>
              </w:rPr>
              <w:t>108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7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408</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428</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482</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Borders>
              <w:bottom w:val="single" w:sz="8" w:color="2C6937"/>
            </w:tcBorders>
          </w:tcPr>
          <w:p>
            <w:pPr>
              <w:spacing w:after="0"/>
              <w:rPr>
                <w:sz w:val="24"/>
                <w:szCs w:val="24"/>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w:t>
            </w:r>
          </w:p>
        </w:tc>
        <w:tc>
          <w:tcPr>
            <w:tcW w:w="2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6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b w:val="1"/>
                <w:bCs w:val="1"/>
                <w:color w:val="auto"/>
              </w:rPr>
              <w:t>26,141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26,701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26,584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47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308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7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2,894</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2,862</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2,517</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w:t>
            </w:r>
          </w:p>
        </w:tc>
        <w:tc>
          <w:tcPr>
            <w:tcW w:w="20" w:type="dxa"/>
            <w:vAlign w:val="bottom"/>
            <w:tcBorders>
              <w:bottom w:val="single" w:sz="8" w:color="2C6937"/>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Borders>
              <w:bottom w:val="single" w:sz="8" w:color="2C6937"/>
            </w:tcBorders>
          </w:tcPr>
          <w:p>
            <w:pPr>
              <w:spacing w:after="0"/>
              <w:rPr>
                <w:sz w:val="24"/>
                <w:szCs w:val="24"/>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w:t>
            </w:r>
          </w:p>
        </w:tc>
        <w:tc>
          <w:tcPr>
            <w:tcW w:w="2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840" w:type="dxa"/>
            <w:vAlign w:val="bottom"/>
            <w:gridSpan w:val="2"/>
          </w:tcPr>
          <w:p>
            <w:pPr>
              <w:ind w:left="260"/>
              <w:spacing w:after="0"/>
              <w:rPr>
                <w:sz w:val="20"/>
                <w:szCs w:val="20"/>
                <w:color w:val="auto"/>
              </w:rPr>
            </w:pPr>
            <w:r>
              <w:rPr>
                <w:rFonts w:ascii="Arial" w:cs="Arial" w:eastAsia="Arial" w:hAnsi="Arial"/>
                <w:sz w:val="15"/>
                <w:szCs w:val="15"/>
                <w:color w:val="auto"/>
              </w:rPr>
              <w:t>Total nonaccrual loans</w:t>
            </w:r>
          </w:p>
        </w:tc>
        <w:tc>
          <w:tcPr>
            <w:tcW w:w="4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3"/>
              <w:spacing w:after="0"/>
              <w:rPr>
                <w:sz w:val="20"/>
                <w:szCs w:val="20"/>
                <w:color w:val="auto"/>
              </w:rPr>
            </w:pPr>
            <w:r>
              <w:rPr>
                <w:rFonts w:ascii="Arial" w:cs="Arial" w:eastAsia="Arial" w:hAnsi="Arial"/>
                <w:sz w:val="15"/>
                <w:szCs w:val="15"/>
                <w:b w:val="1"/>
                <w:bCs w:val="1"/>
                <w:color w:val="auto"/>
              </w:rPr>
              <w:t>29,035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29,563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29,101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52</w:t>
            </w:r>
          </w:p>
        </w:tc>
        <w:tc>
          <w:tcPr>
            <w:tcW w:w="20" w:type="dxa"/>
            <w:vAlign w:val="bottom"/>
          </w:tcPr>
          <w:p>
            <w:pPr>
              <w:spacing w:after="0"/>
              <w:rPr>
                <w:sz w:val="24"/>
                <w:szCs w:val="24"/>
                <w:color w:val="auto"/>
              </w:rPr>
            </w:pPr>
          </w:p>
        </w:tc>
        <w:tc>
          <w:tcPr>
            <w:tcW w:w="1240" w:type="dxa"/>
            <w:vAlign w:val="bottom"/>
            <w:gridSpan w:val="3"/>
          </w:tcPr>
          <w:p>
            <w:pPr>
              <w:ind w:left="120"/>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331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240" w:type="dxa"/>
            <w:vAlign w:val="bottom"/>
            <w:tcBorders>
              <w:bottom w:val="single" w:sz="8" w:color="2C6937"/>
            </w:tcBorders>
            <w:gridSpan w:val="4"/>
          </w:tcPr>
          <w:p>
            <w:pPr>
              <w:jc w:val="center"/>
              <w:ind w:right="300"/>
              <w:spacing w:after="0"/>
              <w:rPr>
                <w:sz w:val="20"/>
                <w:szCs w:val="20"/>
                <w:color w:val="auto"/>
              </w:rPr>
            </w:pPr>
            <w:r>
              <w:rPr>
                <w:rFonts w:ascii="Arial" w:cs="Arial" w:eastAsia="Arial" w:hAnsi="Arial"/>
                <w:sz w:val="14"/>
                <w:szCs w:val="14"/>
                <w:b w:val="1"/>
                <w:bCs w:val="1"/>
                <w:color w:val="auto"/>
                <w:w w:val="97"/>
              </w:rPr>
              <w:t>As of</w:t>
            </w:r>
          </w:p>
        </w:tc>
        <w:tc>
          <w:tcPr>
            <w:tcW w:w="16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7"/>
              </w:rPr>
              <w:t>For the Three Months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3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2024</w:t>
            </w:r>
          </w:p>
        </w:tc>
        <w:tc>
          <w:tcPr>
            <w:tcW w:w="140" w:type="dxa"/>
            <w:vAlign w:val="bottom"/>
          </w:tcPr>
          <w:p>
            <w:pPr>
              <w:spacing w:after="0"/>
              <w:rPr>
                <w:sz w:val="11"/>
                <w:szCs w:val="11"/>
                <w:color w:val="auto"/>
              </w:rPr>
            </w:pPr>
          </w:p>
        </w:tc>
        <w:tc>
          <w:tcPr>
            <w:tcW w:w="12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8"/>
              </w:rPr>
              <w:t>June 30, 2024</w:t>
            </w:r>
          </w:p>
        </w:tc>
        <w:tc>
          <w:tcPr>
            <w:tcW w:w="14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December 31, 2023</w:t>
            </w:r>
          </w:p>
        </w:tc>
        <w:tc>
          <w:tcPr>
            <w:tcW w:w="1520" w:type="dxa"/>
            <w:vAlign w:val="bottom"/>
            <w:gridSpan w:val="3"/>
          </w:tcPr>
          <w:p>
            <w:pPr>
              <w:jc w:val="center"/>
              <w:ind w:right="40"/>
              <w:spacing w:after="0" w:line="133" w:lineRule="exact"/>
              <w:rPr>
                <w:sz w:val="20"/>
                <w:szCs w:val="20"/>
                <w:color w:val="auto"/>
              </w:rPr>
            </w:pPr>
            <w:r>
              <w:rPr>
                <w:rFonts w:ascii="Arial" w:cs="Arial" w:eastAsia="Arial" w:hAnsi="Arial"/>
                <w:sz w:val="14"/>
                <w:szCs w:val="14"/>
                <w:b w:val="1"/>
                <w:bCs w:val="1"/>
                <w:color w:val="auto"/>
                <w:w w:val="98"/>
              </w:rPr>
              <w:t>Ended September 30,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142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85"/>
              <w:spacing w:after="0"/>
              <w:rPr>
                <w:sz w:val="20"/>
                <w:szCs w:val="20"/>
                <w:color w:val="auto"/>
              </w:rPr>
            </w:pPr>
            <w:r>
              <w:rPr>
                <w:rFonts w:ascii="Arial" w:cs="Arial" w:eastAsia="Arial" w:hAnsi="Arial"/>
                <w:sz w:val="14"/>
                <w:szCs w:val="14"/>
                <w:b w:val="1"/>
                <w:bCs w:val="1"/>
                <w:color w:val="auto"/>
                <w:w w:val="96"/>
              </w:rPr>
              <w:t>2024</w:t>
            </w:r>
          </w:p>
        </w:tc>
        <w:tc>
          <w:tcPr>
            <w:tcW w:w="20" w:type="dxa"/>
            <w:vAlign w:val="bottom"/>
          </w:tcPr>
          <w:p>
            <w:pPr>
              <w:spacing w:after="0"/>
              <w:rPr>
                <w:sz w:val="16"/>
                <w:szCs w:val="16"/>
                <w:color w:val="auto"/>
              </w:rPr>
            </w:pPr>
          </w:p>
        </w:tc>
        <w:tc>
          <w:tcPr>
            <w:tcW w:w="1240" w:type="dxa"/>
            <w:vAlign w:val="bottom"/>
            <w:gridSpan w:val="3"/>
          </w:tcPr>
          <w:p>
            <w:pPr>
              <w:jc w:val="right"/>
              <w:ind w:right="171"/>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2C6937"/>
              <w:bottom w:val="single" w:sz="8" w:color="2C6937"/>
            </w:tcBorders>
          </w:tcPr>
          <w:p>
            <w:pPr>
              <w:spacing w:after="0"/>
              <w:rPr>
                <w:sz w:val="24"/>
                <w:szCs w:val="24"/>
                <w:color w:val="auto"/>
              </w:rPr>
            </w:pPr>
          </w:p>
        </w:tc>
        <w:tc>
          <w:tcPr>
            <w:tcW w:w="900" w:type="dxa"/>
            <w:vAlign w:val="bottom"/>
            <w:tcBorders>
              <w:top w:val="single" w:sz="8" w:color="2C6937"/>
              <w:bottom w:val="single" w:sz="8" w:color="2C6937"/>
            </w:tcBorders>
          </w:tcPr>
          <w:p>
            <w:pPr>
              <w:spacing w:after="0"/>
              <w:rPr>
                <w:sz w:val="24"/>
                <w:szCs w:val="24"/>
                <w:color w:val="auto"/>
              </w:rPr>
            </w:pPr>
          </w:p>
        </w:tc>
        <w:tc>
          <w:tcPr>
            <w:tcW w:w="100" w:type="dxa"/>
            <w:vAlign w:val="bottom"/>
            <w:tcBorders>
              <w:top w:val="single" w:sz="8" w:color="2C6937"/>
              <w:bottom w:val="single" w:sz="8" w:color="2C6937"/>
            </w:tcBorders>
          </w:tcPr>
          <w:p>
            <w:pPr>
              <w:spacing w:after="0"/>
              <w:rPr>
                <w:sz w:val="24"/>
                <w:szCs w:val="24"/>
                <w:color w:val="auto"/>
              </w:rPr>
            </w:pPr>
          </w:p>
        </w:tc>
        <w:tc>
          <w:tcPr>
            <w:tcW w:w="1380" w:type="dxa"/>
            <w:vAlign w:val="bottom"/>
            <w:tcBorders>
              <w:top w:val="single" w:sz="8" w:color="2C6937"/>
              <w:bottom w:val="single" w:sz="8" w:color="2C6937"/>
            </w:tcBorders>
            <w:gridSpan w:val="5"/>
          </w:tcPr>
          <w:p>
            <w:pPr>
              <w:jc w:val="center"/>
              <w:ind w:right="140"/>
              <w:spacing w:after="0"/>
              <w:rPr>
                <w:sz w:val="20"/>
                <w:szCs w:val="20"/>
                <w:color w:val="auto"/>
              </w:rPr>
            </w:pPr>
            <w:r>
              <w:rPr>
                <w:rFonts w:ascii="Arial" w:cs="Arial" w:eastAsia="Arial" w:hAnsi="Arial"/>
                <w:sz w:val="14"/>
                <w:szCs w:val="14"/>
                <w:b w:val="1"/>
                <w:bCs w:val="1"/>
                <w:color w:val="auto"/>
                <w:w w:val="95"/>
              </w:rPr>
              <w:t>Amortized Cost</w:t>
            </w:r>
            <w:r>
              <w:rPr>
                <w:rFonts w:ascii="Arial" w:cs="Arial" w:eastAsia="Arial" w:hAnsi="Arial"/>
                <w:sz w:val="17"/>
                <w:szCs w:val="17"/>
                <w:b w:val="1"/>
                <w:bCs w:val="1"/>
                <w:color w:val="auto"/>
                <w:w w:val="95"/>
                <w:vertAlign w:val="superscript"/>
              </w:rPr>
              <w:t>(1)</w:t>
            </w:r>
          </w:p>
        </w:tc>
        <w:tc>
          <w:tcPr>
            <w:tcW w:w="160" w:type="dxa"/>
            <w:vAlign w:val="bottom"/>
            <w:tcBorders>
              <w:top w:val="single" w:sz="8" w:color="2C6937"/>
              <w:bottom w:val="single" w:sz="8" w:color="2C6937"/>
            </w:tcBorders>
          </w:tcPr>
          <w:p>
            <w:pPr>
              <w:spacing w:after="0"/>
              <w:rPr>
                <w:sz w:val="24"/>
                <w:szCs w:val="24"/>
                <w:color w:val="auto"/>
              </w:rPr>
            </w:pPr>
          </w:p>
        </w:tc>
        <w:tc>
          <w:tcPr>
            <w:tcW w:w="1140" w:type="dxa"/>
            <w:vAlign w:val="bottom"/>
            <w:tcBorders>
              <w:top w:val="single" w:sz="8" w:color="2C6937"/>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top w:val="single" w:sz="8" w:color="2C6937"/>
              <w:bottom w:val="single" w:sz="8" w:color="2C6937"/>
            </w:tcBorders>
          </w:tcPr>
          <w:p>
            <w:pPr>
              <w:spacing w:after="0"/>
              <w:rPr>
                <w:sz w:val="24"/>
                <w:szCs w:val="24"/>
                <w:color w:val="auto"/>
              </w:rPr>
            </w:pPr>
          </w:p>
        </w:tc>
        <w:tc>
          <w:tcPr>
            <w:tcW w:w="260" w:type="dxa"/>
            <w:vAlign w:val="bottom"/>
            <w:tcBorders>
              <w:top w:val="single" w:sz="8" w:color="2C6937"/>
              <w:bottom w:val="single" w:sz="8" w:color="2C6937"/>
            </w:tcBorders>
          </w:tcPr>
          <w:p>
            <w:pPr>
              <w:spacing w:after="0"/>
              <w:rPr>
                <w:sz w:val="24"/>
                <w:szCs w:val="24"/>
                <w:color w:val="auto"/>
              </w:rPr>
            </w:pPr>
          </w:p>
        </w:tc>
        <w:tc>
          <w:tcPr>
            <w:tcW w:w="2500" w:type="dxa"/>
            <w:vAlign w:val="bottom"/>
            <w:tcBorders>
              <w:top w:val="single" w:sz="8" w:color="2C6937"/>
              <w:bottom w:val="single" w:sz="8" w:color="2C6937"/>
            </w:tcBorders>
            <w:gridSpan w:val="5"/>
          </w:tcPr>
          <w:p>
            <w:pPr>
              <w:jc w:val="right"/>
              <w:spacing w:after="0"/>
              <w:rPr>
                <w:sz w:val="20"/>
                <w:szCs w:val="20"/>
                <w:color w:val="auto"/>
              </w:rPr>
            </w:pPr>
            <w:r>
              <w:rPr>
                <w:rFonts w:ascii="Arial" w:cs="Arial" w:eastAsia="Arial" w:hAnsi="Arial"/>
                <w:sz w:val="14"/>
                <w:szCs w:val="14"/>
                <w:b w:val="1"/>
                <w:bCs w:val="1"/>
                <w:color w:val="auto"/>
              </w:rPr>
              <w:t>Total Interest Income Recognized</w:t>
            </w:r>
            <w:r>
              <w:rPr>
                <w:rFonts w:ascii="Arial" w:cs="Arial" w:eastAsia="Arial" w:hAnsi="Arial"/>
                <w:sz w:val="17"/>
                <w:szCs w:val="17"/>
                <w:b w:val="1"/>
                <w:bCs w:val="1"/>
                <w:color w:val="auto"/>
                <w:vertAlign w:val="superscript"/>
              </w:rPr>
              <w:t>(2)</w:t>
            </w:r>
          </w:p>
        </w:tc>
        <w:tc>
          <w:tcPr>
            <w:tcW w:w="360" w:type="dxa"/>
            <w:vAlign w:val="bottom"/>
            <w:tcBorders>
              <w:top w:val="single" w:sz="8" w:color="2C6937"/>
              <w:bottom w:val="single" w:sz="8" w:color="2C6937"/>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5"/>
          </w:tcPr>
          <w:p>
            <w:pPr>
              <w:jc w:val="right"/>
              <w:ind w:right="127"/>
              <w:spacing w:after="0"/>
              <w:rPr>
                <w:sz w:val="20"/>
                <w:szCs w:val="20"/>
                <w:color w:val="auto"/>
              </w:rPr>
            </w:pPr>
            <w:r>
              <w:rPr>
                <w:rFonts w:ascii="Arial" w:cs="Arial" w:eastAsia="Arial" w:hAnsi="Arial"/>
                <w:sz w:val="14"/>
                <w:szCs w:val="14"/>
                <w:b w:val="1"/>
                <w:bCs w:val="1"/>
                <w:color w:val="auto"/>
              </w:rPr>
              <w:t>(Dollars in millions)</w:t>
            </w: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Single-family:</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840" w:type="dxa"/>
            <w:vAlign w:val="bottom"/>
            <w:gridSpan w:val="2"/>
          </w:tcPr>
          <w:p>
            <w:pPr>
              <w:ind w:left="180"/>
              <w:spacing w:after="0"/>
              <w:rPr>
                <w:sz w:val="20"/>
                <w:szCs w:val="20"/>
                <w:color w:val="auto"/>
              </w:rPr>
            </w:pPr>
            <w:r>
              <w:rPr>
                <w:rFonts w:ascii="Arial" w:cs="Arial" w:eastAsia="Arial" w:hAnsi="Arial"/>
                <w:sz w:val="15"/>
                <w:szCs w:val="15"/>
                <w:color w:val="auto"/>
              </w:rPr>
              <w:t>20- and 30-year or more, amortizing fixed-rate</w:t>
            </w:r>
          </w:p>
        </w:tc>
        <w:tc>
          <w:tcPr>
            <w:tcW w:w="46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22,662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22,183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21,971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35</w:t>
            </w:r>
          </w:p>
        </w:tc>
        <w:tc>
          <w:tcPr>
            <w:tcW w:w="20" w:type="dxa"/>
            <w:vAlign w:val="bottom"/>
          </w:tcPr>
          <w:p>
            <w:pPr>
              <w:spacing w:after="0"/>
              <w:rPr>
                <w:sz w:val="24"/>
                <w:szCs w:val="24"/>
                <w:color w:val="auto"/>
              </w:rPr>
            </w:pPr>
          </w:p>
        </w:tc>
        <w:tc>
          <w:tcPr>
            <w:tcW w:w="1240" w:type="dxa"/>
            <w:vAlign w:val="bottom"/>
            <w:gridSpan w:val="3"/>
          </w:tcPr>
          <w:p>
            <w:pPr>
              <w:jc w:val="right"/>
              <w:ind w:right="991"/>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262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840" w:type="dxa"/>
            <w:vAlign w:val="bottom"/>
            <w:gridSpan w:val="2"/>
          </w:tcPr>
          <w:p>
            <w:pPr>
              <w:ind w:left="180"/>
              <w:spacing w:after="0"/>
              <w:rPr>
                <w:sz w:val="20"/>
                <w:szCs w:val="20"/>
                <w:color w:val="auto"/>
              </w:rPr>
            </w:pPr>
            <w:r>
              <w:rPr>
                <w:rFonts w:ascii="Arial" w:cs="Arial" w:eastAsia="Arial" w:hAnsi="Arial"/>
                <w:sz w:val="15"/>
                <w:szCs w:val="15"/>
                <w:color w:val="auto"/>
              </w:rPr>
              <w:t>15-year or less, amortizing fixed-rate</w:t>
            </w:r>
          </w:p>
        </w:tc>
        <w:tc>
          <w:tcPr>
            <w:tcW w:w="46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704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704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727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840" w:type="dxa"/>
            <w:vAlign w:val="bottom"/>
            <w:gridSpan w:val="2"/>
          </w:tcPr>
          <w:p>
            <w:pPr>
              <w:ind w:left="180"/>
              <w:spacing w:after="0"/>
              <w:rPr>
                <w:sz w:val="20"/>
                <w:szCs w:val="20"/>
                <w:color w:val="auto"/>
              </w:rPr>
            </w:pPr>
            <w:r>
              <w:rPr>
                <w:rFonts w:ascii="Arial" w:cs="Arial" w:eastAsia="Arial" w:hAnsi="Arial"/>
                <w:sz w:val="15"/>
                <w:szCs w:val="15"/>
                <w:color w:val="auto"/>
              </w:rPr>
              <w:t>Adjustable-rate</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74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480</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496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508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spacing w:after="0"/>
              <w:rPr>
                <w:sz w:val="24"/>
                <w:szCs w:val="24"/>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Total single-family</w:t>
            </w:r>
          </w:p>
        </w:tc>
        <w:tc>
          <w:tcPr>
            <w:tcW w:w="46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23,956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23,500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23,315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276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74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Multifamily</w:t>
            </w:r>
          </w:p>
        </w:tc>
        <w:tc>
          <w:tcPr>
            <w:tcW w:w="100" w:type="dxa"/>
            <w:vAlign w:val="bottom"/>
          </w:tcPr>
          <w:p>
            <w:pPr>
              <w:spacing w:after="0"/>
              <w:rPr>
                <w:sz w:val="24"/>
                <w:szCs w:val="24"/>
                <w:color w:val="auto"/>
              </w:rPr>
            </w:pPr>
          </w:p>
        </w:tc>
        <w:tc>
          <w:tcPr>
            <w:tcW w:w="460" w:type="dxa"/>
            <w:vAlign w:val="bottom"/>
            <w:tcBorders>
              <w:bottom w:val="single" w:sz="8" w:color="2C6937"/>
            </w:tcBorders>
          </w:tcPr>
          <w:p>
            <w:pPr>
              <w:spacing w:after="0"/>
              <w:rPr>
                <w:sz w:val="24"/>
                <w:szCs w:val="24"/>
                <w:color w:val="auto"/>
              </w:rPr>
            </w:pPr>
          </w:p>
        </w:tc>
        <w:tc>
          <w:tcPr>
            <w:tcW w:w="90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2,259</w:t>
            </w:r>
          </w:p>
        </w:tc>
        <w:tc>
          <w:tcPr>
            <w:tcW w:w="100" w:type="dxa"/>
            <w:vAlign w:val="bottom"/>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1,836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1,890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260" w:type="dxa"/>
            <w:vAlign w:val="bottom"/>
            <w:tcBorders>
              <w:bottom w:val="single" w:sz="8" w:color="2C6937"/>
            </w:tcBorders>
          </w:tcPr>
          <w:p>
            <w:pPr>
              <w:spacing w:after="0"/>
              <w:rPr>
                <w:sz w:val="24"/>
                <w:szCs w:val="24"/>
                <w:color w:val="auto"/>
              </w:rPr>
            </w:pPr>
          </w:p>
        </w:tc>
        <w:tc>
          <w:tcPr>
            <w:tcW w:w="12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140" w:type="dxa"/>
            <w:vAlign w:val="bottom"/>
            <w:tcBorders>
              <w:bottom w:val="single" w:sz="8" w:color="2C6937"/>
            </w:tcBorders>
          </w:tcPr>
          <w:p>
            <w:pPr>
              <w:spacing w:after="0"/>
              <w:rPr>
                <w:sz w:val="24"/>
                <w:szCs w:val="24"/>
                <w:color w:val="auto"/>
              </w:rPr>
            </w:pPr>
          </w:p>
        </w:tc>
        <w:tc>
          <w:tcPr>
            <w:tcW w:w="3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840" w:type="dxa"/>
            <w:vAlign w:val="bottom"/>
            <w:gridSpan w:val="2"/>
          </w:tcPr>
          <w:p>
            <w:pPr>
              <w:ind w:left="260"/>
              <w:spacing w:after="0"/>
              <w:rPr>
                <w:sz w:val="20"/>
                <w:szCs w:val="20"/>
                <w:color w:val="auto"/>
              </w:rPr>
            </w:pPr>
            <w:r>
              <w:rPr>
                <w:rFonts w:ascii="Arial" w:cs="Arial" w:eastAsia="Arial" w:hAnsi="Arial"/>
                <w:sz w:val="15"/>
                <w:szCs w:val="15"/>
                <w:color w:val="auto"/>
              </w:rPr>
              <w:t>Total nonaccrual loans</w:t>
            </w:r>
          </w:p>
        </w:tc>
        <w:tc>
          <w:tcPr>
            <w:tcW w:w="46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26,215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25,336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25,205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39</w:t>
            </w:r>
          </w:p>
        </w:tc>
        <w:tc>
          <w:tcPr>
            <w:tcW w:w="20" w:type="dxa"/>
            <w:vAlign w:val="bottom"/>
          </w:tcPr>
          <w:p>
            <w:pPr>
              <w:spacing w:after="0"/>
              <w:rPr>
                <w:sz w:val="24"/>
                <w:szCs w:val="24"/>
                <w:color w:val="auto"/>
              </w:rPr>
            </w:pPr>
          </w:p>
        </w:tc>
        <w:tc>
          <w:tcPr>
            <w:tcW w:w="1240" w:type="dxa"/>
            <w:vAlign w:val="bottom"/>
            <w:gridSpan w:val="3"/>
          </w:tcPr>
          <w:p>
            <w:pPr>
              <w:jc w:val="right"/>
              <w:ind w:right="991"/>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311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12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114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67"/>
        </w:numPr>
        <w:rPr>
          <w:rFonts w:ascii="Arial" w:cs="Arial" w:eastAsia="Arial" w:hAnsi="Arial"/>
          <w:sz w:val="9"/>
          <w:szCs w:val="9"/>
          <w:color w:val="auto"/>
        </w:rPr>
      </w:pPr>
      <w:r>
        <w:rPr>
          <w:rFonts w:ascii="Arial" w:cs="Arial" w:eastAsia="Arial" w:hAnsi="Arial"/>
          <w:sz w:val="14"/>
          <w:szCs w:val="14"/>
          <w:color w:val="auto"/>
        </w:rPr>
        <w:t>Amortized cost is presented net of any write-offs, which are recognized when a loan balance is deemed uncollectible.</w:t>
      </w:r>
    </w:p>
    <w:p>
      <w:pPr>
        <w:spacing w:after="0" w:line="45" w:lineRule="exact"/>
        <w:rPr>
          <w:rFonts w:ascii="Arial" w:cs="Arial" w:eastAsia="Arial" w:hAnsi="Arial"/>
          <w:sz w:val="9"/>
          <w:szCs w:val="9"/>
          <w:color w:val="auto"/>
        </w:rPr>
      </w:pPr>
    </w:p>
    <w:p>
      <w:pPr>
        <w:ind w:left="240" w:right="80" w:hanging="237"/>
        <w:spacing w:after="0" w:line="278" w:lineRule="auto"/>
        <w:tabs>
          <w:tab w:leader="none" w:pos="233" w:val="left"/>
        </w:tabs>
        <w:numPr>
          <w:ilvl w:val="0"/>
          <w:numId w:val="67"/>
        </w:numPr>
        <w:rPr>
          <w:rFonts w:ascii="Arial" w:cs="Arial" w:eastAsia="Arial" w:hAnsi="Arial"/>
          <w:sz w:val="9"/>
          <w:szCs w:val="9"/>
          <w:color w:val="auto"/>
        </w:rPr>
      </w:pPr>
      <w:r>
        <w:rPr>
          <w:rFonts w:ascii="Arial" w:cs="Arial" w:eastAsia="Arial" w:hAnsi="Arial"/>
          <w:sz w:val="14"/>
          <w:szCs w:val="14"/>
          <w:color w:val="auto"/>
        </w:rPr>
        <w:t>Interest income recognized includes amortization of any deferred cost basis adjustments while the loan is performing and that is not reversed when the loan is placed on nonaccrual status. For single-family, interest income recognized includes payments received on nonaccrual loans held as of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349250</wp:posOffset>
            </wp:positionV>
            <wp:extent cx="680593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7" w:name="page88"/>
    <w:bookmarkEnd w:id="87"/>
    <w:p>
      <w:pPr>
        <w:ind w:left="5860"/>
        <w:spacing w:after="0"/>
        <w:rPr>
          <w:sz w:val="20"/>
          <w:szCs w:val="20"/>
          <w:color w:val="auto"/>
        </w:rPr>
      </w:pPr>
      <w:r>
        <w:rPr>
          <w:rFonts w:ascii="Arial" w:cs="Arial" w:eastAsia="Arial" w:hAnsi="Arial"/>
          <w:sz w:val="14"/>
          <w:szCs w:val="14"/>
          <w:color w:val="05314D"/>
        </w:rPr>
        <w:t>Notes to Condensed Consolidated Financial Statements |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154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5. Allowance for Loan Losses</w:t>
      </w:r>
    </w:p>
    <w:p>
      <w:pPr>
        <w:spacing w:after="0" w:line="80"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We maintain an allowance for loan losses for HFI loans held by Fannie Mae and by consolidated Fannie Mae MBS trusts, excluding loans for which we have elected the fair value option.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changes in our allowance for single-family loans, multifamily loans and total allowance for loan losses.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gridSpan w:val="6"/>
          </w:tcPr>
          <w:p>
            <w:pPr>
              <w:ind w:left="300"/>
              <w:spacing w:after="0"/>
              <w:rPr>
                <w:sz w:val="20"/>
                <w:szCs w:val="20"/>
                <w:color w:val="auto"/>
              </w:rPr>
            </w:pPr>
            <w:r>
              <w:rPr>
                <w:rFonts w:ascii="Arial" w:cs="Arial" w:eastAsia="Arial" w:hAnsi="Arial"/>
                <w:sz w:val="15"/>
                <w:szCs w:val="15"/>
                <w:b w:val="1"/>
                <w:bCs w:val="1"/>
                <w:color w:val="auto"/>
              </w:rPr>
              <w:t>For the Three Months Ended September 30,</w:t>
            </w:r>
          </w:p>
        </w:tc>
        <w:tc>
          <w:tcPr>
            <w:tcW w:w="180" w:type="dxa"/>
            <w:vAlign w:val="bottom"/>
          </w:tcPr>
          <w:p>
            <w:pPr>
              <w:spacing w:after="0"/>
              <w:rPr>
                <w:sz w:val="18"/>
                <w:szCs w:val="18"/>
                <w:color w:val="auto"/>
              </w:rPr>
            </w:pPr>
          </w:p>
        </w:tc>
        <w:tc>
          <w:tcPr>
            <w:tcW w:w="3440" w:type="dxa"/>
            <w:vAlign w:val="bottom"/>
            <w:gridSpan w:val="4"/>
          </w:tcPr>
          <w:p>
            <w:pPr>
              <w:jc w:val="right"/>
              <w:ind w:right="183"/>
              <w:spacing w:after="0"/>
              <w:rPr>
                <w:sz w:val="20"/>
                <w:szCs w:val="20"/>
                <w:color w:val="auto"/>
              </w:rPr>
            </w:pPr>
            <w:r>
              <w:rPr>
                <w:rFonts w:ascii="Arial" w:cs="Arial" w:eastAsia="Arial" w:hAnsi="Arial"/>
                <w:sz w:val="15"/>
                <w:szCs w:val="15"/>
                <w:b w:val="1"/>
                <w:bCs w:val="1"/>
                <w:color w:val="auto"/>
              </w:rPr>
              <w:t>For the Nine Months Ended September 30,</w:t>
            </w:r>
          </w:p>
        </w:tc>
      </w:tr>
      <w:tr>
        <w:trPr>
          <w:trHeight w:val="222"/>
        </w:trPr>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2C6937"/>
              <w:bottom w:val="single" w:sz="8" w:color="2C6937"/>
            </w:tcBorders>
          </w:tcPr>
          <w:p>
            <w:pPr>
              <w:jc w:val="right"/>
              <w:ind w:right="43"/>
              <w:spacing w:after="0"/>
              <w:rPr>
                <w:sz w:val="20"/>
                <w:szCs w:val="20"/>
                <w:color w:val="auto"/>
              </w:rPr>
            </w:pPr>
            <w:r>
              <w:rPr>
                <w:rFonts w:ascii="Arial" w:cs="Arial" w:eastAsia="Arial" w:hAnsi="Arial"/>
                <w:sz w:val="15"/>
                <w:szCs w:val="15"/>
                <w:b w:val="1"/>
                <w:bCs w:val="1"/>
                <w:color w:val="auto"/>
              </w:rPr>
              <w:t>2025</w:t>
            </w:r>
          </w:p>
        </w:tc>
        <w:tc>
          <w:tcPr>
            <w:tcW w:w="620" w:type="dxa"/>
            <w:vAlign w:val="bottom"/>
            <w:tcBorders>
              <w:top w:val="single" w:sz="8" w:color="2C6937"/>
              <w:bottom w:val="single" w:sz="8" w:color="2C6937"/>
            </w:tcBorders>
          </w:tcPr>
          <w:p>
            <w:pPr>
              <w:spacing w:after="0"/>
              <w:rPr>
                <w:sz w:val="19"/>
                <w:szCs w:val="19"/>
                <w:color w:val="auto"/>
              </w:rPr>
            </w:pPr>
          </w:p>
        </w:tc>
        <w:tc>
          <w:tcPr>
            <w:tcW w:w="100" w:type="dxa"/>
            <w:vAlign w:val="bottom"/>
            <w:tcBorders>
              <w:top w:val="single" w:sz="8" w:color="2C6937"/>
              <w:bottom w:val="single" w:sz="8" w:color="2C6937"/>
            </w:tcBorders>
          </w:tcPr>
          <w:p>
            <w:pPr>
              <w:spacing w:after="0"/>
              <w:rPr>
                <w:sz w:val="19"/>
                <w:szCs w:val="19"/>
                <w:color w:val="auto"/>
              </w:rPr>
            </w:pPr>
          </w:p>
        </w:tc>
        <w:tc>
          <w:tcPr>
            <w:tcW w:w="420" w:type="dxa"/>
            <w:vAlign w:val="bottom"/>
            <w:tcBorders>
              <w:top w:val="single" w:sz="8" w:color="2C6937"/>
              <w:bottom w:val="single" w:sz="8" w:color="2C6937"/>
            </w:tcBorders>
          </w:tcPr>
          <w:p>
            <w:pPr>
              <w:spacing w:after="0"/>
              <w:rPr>
                <w:sz w:val="19"/>
                <w:szCs w:val="19"/>
                <w:color w:val="auto"/>
              </w:rPr>
            </w:pPr>
          </w:p>
        </w:tc>
        <w:tc>
          <w:tcPr>
            <w:tcW w:w="1440" w:type="dxa"/>
            <w:vAlign w:val="bottom"/>
            <w:tcBorders>
              <w:top w:val="single" w:sz="8" w:color="2C6937"/>
              <w:bottom w:val="single" w:sz="8" w:color="2C6937"/>
            </w:tcBorders>
          </w:tcPr>
          <w:p>
            <w:pPr>
              <w:jc w:val="right"/>
              <w:ind w:right="683"/>
              <w:spacing w:after="0"/>
              <w:rPr>
                <w:sz w:val="20"/>
                <w:szCs w:val="20"/>
                <w:color w:val="auto"/>
              </w:rPr>
            </w:pPr>
            <w:r>
              <w:rPr>
                <w:rFonts w:ascii="Arial" w:cs="Arial" w:eastAsia="Arial" w:hAnsi="Arial"/>
                <w:sz w:val="15"/>
                <w:szCs w:val="15"/>
                <w:b w:val="1"/>
                <w:bCs w:val="1"/>
                <w:color w:val="auto"/>
              </w:rPr>
              <w:t>2024</w:t>
            </w:r>
          </w:p>
        </w:tc>
        <w:tc>
          <w:tcPr>
            <w:tcW w:w="80" w:type="dxa"/>
            <w:vAlign w:val="bottom"/>
            <w:tcBorders>
              <w:bottom w:val="single" w:sz="8" w:color="2C6937"/>
            </w:tcBorders>
          </w:tcPr>
          <w:p>
            <w:pPr>
              <w:spacing w:after="0"/>
              <w:rPr>
                <w:sz w:val="19"/>
                <w:szCs w:val="19"/>
                <w:color w:val="auto"/>
              </w:rPr>
            </w:pPr>
          </w:p>
        </w:tc>
        <w:tc>
          <w:tcPr>
            <w:tcW w:w="180" w:type="dxa"/>
            <w:vAlign w:val="bottom"/>
            <w:tcBorders>
              <w:top w:val="single" w:sz="8" w:color="2C6937"/>
              <w:bottom w:val="single" w:sz="8" w:color="2C6937"/>
            </w:tcBorders>
          </w:tcPr>
          <w:p>
            <w:pPr>
              <w:spacing w:after="0"/>
              <w:rPr>
                <w:sz w:val="19"/>
                <w:szCs w:val="19"/>
                <w:color w:val="auto"/>
              </w:rPr>
            </w:pPr>
          </w:p>
        </w:tc>
        <w:tc>
          <w:tcPr>
            <w:tcW w:w="1620" w:type="dxa"/>
            <w:vAlign w:val="bottom"/>
            <w:tcBorders>
              <w:top w:val="single" w:sz="8" w:color="2C6937"/>
              <w:bottom w:val="single" w:sz="8" w:color="2C6937"/>
            </w:tcBorders>
          </w:tcPr>
          <w:p>
            <w:pPr>
              <w:jc w:val="right"/>
              <w:ind w:right="643"/>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top w:val="single" w:sz="8" w:color="2C6937"/>
              <w:bottom w:val="single" w:sz="8" w:color="2C6937"/>
            </w:tcBorders>
          </w:tcPr>
          <w:p>
            <w:pPr>
              <w:spacing w:after="0"/>
              <w:rPr>
                <w:sz w:val="19"/>
                <w:szCs w:val="19"/>
                <w:color w:val="auto"/>
              </w:rPr>
            </w:pPr>
          </w:p>
        </w:tc>
        <w:tc>
          <w:tcPr>
            <w:tcW w:w="400" w:type="dxa"/>
            <w:vAlign w:val="bottom"/>
            <w:tcBorders>
              <w:top w:val="single" w:sz="8" w:color="2C6937"/>
              <w:bottom w:val="single" w:sz="8" w:color="2C6937"/>
            </w:tcBorders>
          </w:tcPr>
          <w:p>
            <w:pPr>
              <w:spacing w:after="0"/>
              <w:rPr>
                <w:sz w:val="19"/>
                <w:szCs w:val="19"/>
                <w:color w:val="auto"/>
              </w:rPr>
            </w:pPr>
          </w:p>
        </w:tc>
        <w:tc>
          <w:tcPr>
            <w:tcW w:w="1340" w:type="dxa"/>
            <w:vAlign w:val="bottom"/>
            <w:tcBorders>
              <w:top w:val="single" w:sz="8" w:color="2C6937"/>
              <w:bottom w:val="single" w:sz="8" w:color="2C6937"/>
            </w:tcBorders>
          </w:tcPr>
          <w:p>
            <w:pPr>
              <w:jc w:val="right"/>
              <w:ind w:right="623"/>
              <w:spacing w:after="0"/>
              <w:rPr>
                <w:sz w:val="20"/>
                <w:szCs w:val="20"/>
                <w:color w:val="auto"/>
              </w:rPr>
            </w:pPr>
            <w:r>
              <w:rPr>
                <w:rFonts w:ascii="Arial" w:cs="Arial" w:eastAsia="Arial" w:hAnsi="Arial"/>
                <w:sz w:val="15"/>
                <w:szCs w:val="15"/>
                <w:b w:val="1"/>
                <w:bCs w:val="1"/>
                <w:color w:val="auto"/>
              </w:rPr>
              <w:t>2024</w:t>
            </w:r>
          </w:p>
        </w:tc>
      </w:tr>
      <w:tr>
        <w:trPr>
          <w:trHeight w:val="299"/>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0" w:type="dxa"/>
            <w:vAlign w:val="bottom"/>
            <w:gridSpan w:val="5"/>
          </w:tcPr>
          <w:p>
            <w:pPr>
              <w:ind w:left="660"/>
              <w:spacing w:after="0"/>
              <w:rPr>
                <w:sz w:val="20"/>
                <w:szCs w:val="20"/>
                <w:color w:val="auto"/>
              </w:rPr>
            </w:pPr>
            <w:r>
              <w:rPr>
                <w:rFonts w:ascii="Arial" w:cs="Arial" w:eastAsia="Arial" w:hAnsi="Arial"/>
                <w:sz w:val="15"/>
                <w:szCs w:val="15"/>
                <w:b w:val="1"/>
                <w:bCs w:val="1"/>
                <w:color w:val="auto"/>
              </w:rPr>
              <w:t>(Dollars in millions)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1"/>
        </w:trPr>
        <w:tc>
          <w:tcPr>
            <w:tcW w:w="3660" w:type="dxa"/>
            <w:vAlign w:val="bottom"/>
            <w:gridSpan w:val="2"/>
          </w:tcPr>
          <w:p>
            <w:pPr>
              <w:ind w:left="20"/>
              <w:spacing w:after="0"/>
              <w:rPr>
                <w:sz w:val="20"/>
                <w:szCs w:val="20"/>
                <w:color w:val="auto"/>
              </w:rPr>
            </w:pPr>
            <w:r>
              <w:rPr>
                <w:rFonts w:ascii="Arial" w:cs="Arial" w:eastAsia="Arial" w:hAnsi="Arial"/>
                <w:sz w:val="15"/>
                <w:szCs w:val="15"/>
                <w:color w:val="auto"/>
              </w:rPr>
              <w:t>Single-family allowance for loan losses:</w:t>
            </w: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0"/>
        </w:trPr>
        <w:tc>
          <w:tcPr>
            <w:tcW w:w="366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220" w:type="dxa"/>
            <w:vAlign w:val="bottom"/>
          </w:tcPr>
          <w:p>
            <w:pPr>
              <w:jc w:val="right"/>
              <w:ind w:right="104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(5,777)</w:t>
            </w:r>
          </w:p>
        </w:tc>
        <w:tc>
          <w:tcPr>
            <w:tcW w:w="10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(5,703)</w:t>
            </w:r>
          </w:p>
        </w:tc>
        <w:tc>
          <w:tcPr>
            <w:tcW w:w="8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(5,319)</w:t>
            </w:r>
          </w:p>
        </w:tc>
        <w:tc>
          <w:tcPr>
            <w:tcW w:w="80" w:type="dxa"/>
            <w:vAlign w:val="bottom"/>
          </w:tcPr>
          <w:p>
            <w:pPr>
              <w:spacing w:after="0"/>
              <w:rPr>
                <w:sz w:val="24"/>
                <w:szCs w:val="24"/>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(6,671)</w:t>
            </w:r>
          </w:p>
        </w:tc>
      </w:tr>
      <w:tr>
        <w:trPr>
          <w:trHeight w:val="309"/>
        </w:trPr>
        <w:tc>
          <w:tcPr>
            <w:tcW w:w="3660" w:type="dxa"/>
            <w:vAlign w:val="bottom"/>
            <w:gridSpan w:val="2"/>
          </w:tcPr>
          <w:p>
            <w:pPr>
              <w:ind w:left="320"/>
              <w:spacing w:after="0"/>
              <w:rPr>
                <w:sz w:val="20"/>
                <w:szCs w:val="20"/>
                <w:color w:val="auto"/>
              </w:rPr>
            </w:pPr>
            <w:r>
              <w:rPr>
                <w:rFonts w:ascii="Arial" w:cs="Arial" w:eastAsia="Arial" w:hAnsi="Arial"/>
                <w:sz w:val="15"/>
                <w:szCs w:val="15"/>
                <w:color w:val="auto"/>
              </w:rPr>
              <w:t>(Provision) benefit for loan losses</w:t>
            </w:r>
          </w:p>
        </w:tc>
        <w:tc>
          <w:tcPr>
            <w:tcW w:w="1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(269)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409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(992)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1,278</w:t>
            </w:r>
          </w:p>
        </w:tc>
      </w:tr>
      <w:tr>
        <w:trPr>
          <w:trHeight w:val="309"/>
        </w:trPr>
        <w:tc>
          <w:tcPr>
            <w:tcW w:w="366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238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231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b w:val="1"/>
                <w:bCs w:val="1"/>
                <w:color w:val="auto"/>
              </w:rPr>
              <w:t>588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487</w:t>
            </w:r>
          </w:p>
        </w:tc>
      </w:tr>
      <w:tr>
        <w:trPr>
          <w:trHeight w:val="303"/>
        </w:trPr>
        <w:tc>
          <w:tcPr>
            <w:tcW w:w="356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100" w:type="dxa"/>
            <w:vAlign w:val="bottom"/>
          </w:tcPr>
          <w:p>
            <w:pPr>
              <w:spacing w:after="0"/>
              <w:rPr>
                <w:sz w:val="24"/>
                <w:szCs w:val="24"/>
                <w:color w:val="auto"/>
              </w:rPr>
            </w:pPr>
          </w:p>
        </w:tc>
        <w:tc>
          <w:tcPr>
            <w:tcW w:w="12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(47)</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(132)</w:t>
            </w:r>
          </w:p>
        </w:tc>
        <w:tc>
          <w:tcPr>
            <w:tcW w:w="8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(180)</w:t>
            </w:r>
          </w:p>
        </w:tc>
      </w:tr>
      <w:tr>
        <w:trPr>
          <w:trHeight w:val="295"/>
        </w:trPr>
        <w:tc>
          <w:tcPr>
            <w:tcW w:w="3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100" w:type="dxa"/>
            <w:vAlign w:val="bottom"/>
          </w:tcPr>
          <w:p>
            <w:pPr>
              <w:spacing w:after="0"/>
              <w:rPr>
                <w:sz w:val="24"/>
                <w:szCs w:val="24"/>
                <w:color w:val="auto"/>
              </w:rPr>
            </w:pPr>
          </w:p>
        </w:tc>
        <w:tc>
          <w:tcPr>
            <w:tcW w:w="1220" w:type="dxa"/>
            <w:vAlign w:val="bottom"/>
            <w:tcBorders>
              <w:bottom w:val="single" w:sz="8" w:color="2C6937"/>
            </w:tcBorders>
          </w:tcPr>
          <w:p>
            <w:pPr>
              <w:jc w:val="right"/>
              <w:ind w:right="104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(5,855)</w:t>
            </w:r>
          </w:p>
        </w:tc>
        <w:tc>
          <w:tcPr>
            <w:tcW w:w="100" w:type="dxa"/>
            <w:vAlign w:val="bottom"/>
          </w:tcPr>
          <w:p>
            <w:pPr>
              <w:spacing w:after="0"/>
              <w:rPr>
                <w:sz w:val="24"/>
                <w:szCs w:val="24"/>
                <w:color w:val="auto"/>
              </w:rPr>
            </w:pPr>
          </w:p>
        </w:tc>
        <w:tc>
          <w:tcPr>
            <w:tcW w:w="42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(5,086)</w:t>
            </w:r>
          </w:p>
        </w:tc>
        <w:tc>
          <w:tcPr>
            <w:tcW w:w="80" w:type="dxa"/>
            <w:vAlign w:val="bottom"/>
          </w:tcPr>
          <w:p>
            <w:pPr>
              <w:spacing w:after="0"/>
              <w:rPr>
                <w:sz w:val="24"/>
                <w:szCs w:val="24"/>
                <w:color w:val="auto"/>
              </w:rPr>
            </w:pPr>
          </w:p>
        </w:tc>
        <w:tc>
          <w:tcPr>
            <w:tcW w:w="1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(5,855)</w:t>
            </w:r>
          </w:p>
        </w:tc>
        <w:tc>
          <w:tcPr>
            <w:tcW w:w="80" w:type="dxa"/>
            <w:vAlign w:val="bottom"/>
          </w:tcPr>
          <w:p>
            <w:pPr>
              <w:spacing w:after="0"/>
              <w:rPr>
                <w:sz w:val="24"/>
                <w:szCs w:val="24"/>
                <w:color w:val="auto"/>
              </w:rPr>
            </w:pPr>
          </w:p>
        </w:tc>
        <w:tc>
          <w:tcPr>
            <w:tcW w:w="400" w:type="dxa"/>
            <w:vAlign w:val="bottom"/>
            <w:tcBorders>
              <w:bottom w:val="single" w:sz="8" w:color="2C6937"/>
            </w:tcBorders>
          </w:tcPr>
          <w:p>
            <w:pPr>
              <w:jc w:val="right"/>
              <w:ind w:right="20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(5,086)</w:t>
            </w:r>
          </w:p>
        </w:tc>
      </w:tr>
      <w:tr>
        <w:trPr>
          <w:trHeight w:val="26"/>
        </w:trPr>
        <w:tc>
          <w:tcPr>
            <w:tcW w:w="35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2C6937"/>
            </w:tcBorders>
          </w:tcPr>
          <w:p>
            <w:pPr>
              <w:spacing w:after="0"/>
              <w:rPr>
                <w:sz w:val="2"/>
                <w:szCs w:val="2"/>
                <w:color w:val="auto"/>
              </w:rPr>
            </w:pPr>
          </w:p>
        </w:tc>
        <w:tc>
          <w:tcPr>
            <w:tcW w:w="62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2C6937"/>
            </w:tcBorders>
          </w:tcPr>
          <w:p>
            <w:pPr>
              <w:spacing w:after="0"/>
              <w:rPr>
                <w:sz w:val="2"/>
                <w:szCs w:val="2"/>
                <w:color w:val="auto"/>
              </w:rPr>
            </w:pPr>
          </w:p>
        </w:tc>
        <w:tc>
          <w:tcPr>
            <w:tcW w:w="144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620" w:type="dxa"/>
            <w:vAlign w:val="bottom"/>
            <w:tcBorders>
              <w:bottom w:val="single" w:sz="8" w:color="2C6937"/>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1340" w:type="dxa"/>
            <w:vAlign w:val="bottom"/>
            <w:tcBorders>
              <w:bottom w:val="single" w:sz="8" w:color="2C6937"/>
            </w:tcBorders>
          </w:tcPr>
          <w:p>
            <w:pPr>
              <w:spacing w:after="0"/>
              <w:rPr>
                <w:sz w:val="2"/>
                <w:szCs w:val="2"/>
                <w:color w:val="auto"/>
              </w:rPr>
            </w:pPr>
          </w:p>
        </w:tc>
      </w:tr>
      <w:tr>
        <w:trPr>
          <w:trHeight w:val="288"/>
        </w:trPr>
        <w:tc>
          <w:tcPr>
            <w:tcW w:w="3660" w:type="dxa"/>
            <w:vAlign w:val="bottom"/>
            <w:gridSpan w:val="2"/>
          </w:tcPr>
          <w:p>
            <w:pPr>
              <w:ind w:left="20"/>
              <w:spacing w:after="0"/>
              <w:rPr>
                <w:sz w:val="20"/>
                <w:szCs w:val="20"/>
                <w:color w:val="auto"/>
              </w:rPr>
            </w:pPr>
            <w:r>
              <w:rPr>
                <w:rFonts w:ascii="Arial" w:cs="Arial" w:eastAsia="Arial" w:hAnsi="Arial"/>
                <w:sz w:val="15"/>
                <w:szCs w:val="15"/>
                <w:color w:val="auto"/>
              </w:rPr>
              <w:t>Multifamily allowance for loan losses:</w:t>
            </w: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0"/>
        </w:trPr>
        <w:tc>
          <w:tcPr>
            <w:tcW w:w="366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220" w:type="dxa"/>
            <w:vAlign w:val="bottom"/>
          </w:tcPr>
          <w:p>
            <w:pPr>
              <w:jc w:val="right"/>
              <w:ind w:right="104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(2,470)</w:t>
            </w:r>
          </w:p>
        </w:tc>
        <w:tc>
          <w:tcPr>
            <w:tcW w:w="10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(2,323)</w:t>
            </w:r>
          </w:p>
        </w:tc>
        <w:tc>
          <w:tcPr>
            <w:tcW w:w="8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(2,388)</w:t>
            </w:r>
          </w:p>
        </w:tc>
        <w:tc>
          <w:tcPr>
            <w:tcW w:w="80" w:type="dxa"/>
            <w:vAlign w:val="bottom"/>
          </w:tcPr>
          <w:p>
            <w:pPr>
              <w:spacing w:after="0"/>
              <w:rPr>
                <w:sz w:val="24"/>
                <w:szCs w:val="24"/>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(2,059)</w:t>
            </w:r>
          </w:p>
        </w:tc>
      </w:tr>
      <w:tr>
        <w:trPr>
          <w:trHeight w:val="309"/>
        </w:trPr>
        <w:tc>
          <w:tcPr>
            <w:tcW w:w="3660" w:type="dxa"/>
            <w:vAlign w:val="bottom"/>
            <w:gridSpan w:val="2"/>
          </w:tcPr>
          <w:p>
            <w:pPr>
              <w:ind w:left="320"/>
              <w:spacing w:after="0"/>
              <w:rPr>
                <w:sz w:val="20"/>
                <w:szCs w:val="20"/>
                <w:color w:val="auto"/>
              </w:rPr>
            </w:pPr>
            <w:r>
              <w:rPr>
                <w:rFonts w:ascii="Arial" w:cs="Arial" w:eastAsia="Arial" w:hAnsi="Arial"/>
                <w:sz w:val="15"/>
                <w:szCs w:val="15"/>
                <w:color w:val="auto"/>
              </w:rPr>
              <w:t>(Provision) benefit for loan losses</w:t>
            </w:r>
          </w:p>
        </w:tc>
        <w:tc>
          <w:tcPr>
            <w:tcW w:w="1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(63)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(267)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(825)</w:t>
            </w:r>
          </w:p>
        </w:tc>
      </w:tr>
      <w:tr>
        <w:trPr>
          <w:trHeight w:val="309"/>
        </w:trPr>
        <w:tc>
          <w:tcPr>
            <w:tcW w:w="366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167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224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b w:val="1"/>
                <w:bCs w:val="1"/>
                <w:color w:val="auto"/>
              </w:rPr>
              <w:t>350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395</w:t>
            </w:r>
          </w:p>
        </w:tc>
      </w:tr>
      <w:tr>
        <w:trPr>
          <w:trHeight w:val="303"/>
        </w:trPr>
        <w:tc>
          <w:tcPr>
            <w:tcW w:w="356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100" w:type="dxa"/>
            <w:vAlign w:val="bottom"/>
          </w:tcPr>
          <w:p>
            <w:pPr>
              <w:spacing w:after="0"/>
              <w:rPr>
                <w:sz w:val="24"/>
                <w:szCs w:val="24"/>
                <w:color w:val="auto"/>
              </w:rPr>
            </w:pPr>
          </w:p>
        </w:tc>
        <w:tc>
          <w:tcPr>
            <w:tcW w:w="12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(86)</w:t>
            </w:r>
          </w:p>
        </w:tc>
        <w:tc>
          <w:tcPr>
            <w:tcW w:w="8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(81)</w:t>
            </w:r>
          </w:p>
        </w:tc>
      </w:tr>
      <w:tr>
        <w:trPr>
          <w:trHeight w:val="302"/>
        </w:trPr>
        <w:tc>
          <w:tcPr>
            <w:tcW w:w="356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Ending balance</w:t>
            </w:r>
          </w:p>
        </w:tc>
        <w:tc>
          <w:tcPr>
            <w:tcW w:w="100" w:type="dxa"/>
            <w:vAlign w:val="bottom"/>
          </w:tcPr>
          <w:p>
            <w:pPr>
              <w:spacing w:after="0"/>
              <w:rPr>
                <w:sz w:val="24"/>
                <w:szCs w:val="24"/>
                <w:color w:val="auto"/>
              </w:rPr>
            </w:pPr>
          </w:p>
        </w:tc>
        <w:tc>
          <w:tcPr>
            <w:tcW w:w="1220" w:type="dxa"/>
            <w:vAlign w:val="bottom"/>
            <w:tcBorders>
              <w:bottom w:val="single" w:sz="8" w:color="2C6937"/>
            </w:tcBorders>
          </w:tcPr>
          <w:p>
            <w:pPr>
              <w:jc w:val="right"/>
              <w:ind w:right="104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(2,391)</w:t>
            </w:r>
          </w:p>
        </w:tc>
        <w:tc>
          <w:tcPr>
            <w:tcW w:w="100" w:type="dxa"/>
            <w:vAlign w:val="bottom"/>
          </w:tcPr>
          <w:p>
            <w:pPr>
              <w:spacing w:after="0"/>
              <w:rPr>
                <w:sz w:val="24"/>
                <w:szCs w:val="24"/>
                <w:color w:val="auto"/>
              </w:rPr>
            </w:pPr>
          </w:p>
        </w:tc>
        <w:tc>
          <w:tcPr>
            <w:tcW w:w="420" w:type="dxa"/>
            <w:vAlign w:val="bottom"/>
            <w:tcBorders>
              <w:bottom w:val="single" w:sz="8" w:color="2C6937"/>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(2,570)</w:t>
            </w:r>
          </w:p>
        </w:tc>
        <w:tc>
          <w:tcPr>
            <w:tcW w:w="80" w:type="dxa"/>
            <w:vAlign w:val="bottom"/>
          </w:tcPr>
          <w:p>
            <w:pPr>
              <w:spacing w:after="0"/>
              <w:rPr>
                <w:sz w:val="24"/>
                <w:szCs w:val="24"/>
                <w:color w:val="auto"/>
              </w:rPr>
            </w:pPr>
          </w:p>
        </w:tc>
        <w:tc>
          <w:tcPr>
            <w:tcW w:w="1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(2,391)</w:t>
            </w:r>
          </w:p>
        </w:tc>
        <w:tc>
          <w:tcPr>
            <w:tcW w:w="80" w:type="dxa"/>
            <w:vAlign w:val="bottom"/>
          </w:tcPr>
          <w:p>
            <w:pPr>
              <w:spacing w:after="0"/>
              <w:rPr>
                <w:sz w:val="24"/>
                <w:szCs w:val="24"/>
                <w:color w:val="auto"/>
              </w:rPr>
            </w:pPr>
          </w:p>
        </w:tc>
        <w:tc>
          <w:tcPr>
            <w:tcW w:w="400" w:type="dxa"/>
            <w:vAlign w:val="bottom"/>
            <w:tcBorders>
              <w:bottom w:val="single" w:sz="8" w:color="2C6937"/>
            </w:tcBorders>
          </w:tcPr>
          <w:p>
            <w:pPr>
              <w:jc w:val="right"/>
              <w:ind w:right="20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(2,570)</w:t>
            </w:r>
          </w:p>
        </w:tc>
      </w:tr>
      <w:tr>
        <w:trPr>
          <w:trHeight w:val="20"/>
        </w:trPr>
        <w:tc>
          <w:tcPr>
            <w:tcW w:w="35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2C6937"/>
            </w:tcBorders>
          </w:tcPr>
          <w:p>
            <w:pPr>
              <w:spacing w:after="0" w:line="20" w:lineRule="exact"/>
              <w:rPr>
                <w:sz w:val="1"/>
                <w:szCs w:val="1"/>
                <w:color w:val="auto"/>
              </w:rPr>
            </w:pPr>
          </w:p>
        </w:tc>
        <w:tc>
          <w:tcPr>
            <w:tcW w:w="6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C6937"/>
            </w:tcBorders>
          </w:tcPr>
          <w:p>
            <w:pPr>
              <w:spacing w:after="0" w:line="20" w:lineRule="exact"/>
              <w:rPr>
                <w:sz w:val="1"/>
                <w:szCs w:val="1"/>
                <w:color w:val="auto"/>
              </w:rPr>
            </w:pPr>
          </w:p>
        </w:tc>
        <w:tc>
          <w:tcPr>
            <w:tcW w:w="144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6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2C6937"/>
            </w:tcBorders>
          </w:tcPr>
          <w:p>
            <w:pPr>
              <w:spacing w:after="0" w:line="20" w:lineRule="exact"/>
              <w:rPr>
                <w:sz w:val="1"/>
                <w:szCs w:val="1"/>
                <w:color w:val="auto"/>
              </w:rPr>
            </w:pPr>
          </w:p>
        </w:tc>
        <w:tc>
          <w:tcPr>
            <w:tcW w:w="1340" w:type="dxa"/>
            <w:vAlign w:val="bottom"/>
            <w:tcBorders>
              <w:bottom w:val="single" w:sz="8" w:color="2C6937"/>
            </w:tcBorders>
          </w:tcPr>
          <w:p>
            <w:pPr>
              <w:spacing w:after="0" w:line="20" w:lineRule="exact"/>
              <w:rPr>
                <w:sz w:val="1"/>
                <w:szCs w:val="1"/>
                <w:color w:val="auto"/>
              </w:rPr>
            </w:pPr>
          </w:p>
        </w:tc>
      </w:tr>
      <w:tr>
        <w:trPr>
          <w:trHeight w:val="287"/>
        </w:trPr>
        <w:tc>
          <w:tcPr>
            <w:tcW w:w="3660" w:type="dxa"/>
            <w:vAlign w:val="bottom"/>
            <w:gridSpan w:val="2"/>
          </w:tcPr>
          <w:p>
            <w:pPr>
              <w:ind w:left="20"/>
              <w:spacing w:after="0"/>
              <w:rPr>
                <w:sz w:val="20"/>
                <w:szCs w:val="20"/>
                <w:color w:val="auto"/>
              </w:rPr>
            </w:pPr>
            <w:r>
              <w:rPr>
                <w:rFonts w:ascii="Arial" w:cs="Arial" w:eastAsia="Arial" w:hAnsi="Arial"/>
                <w:sz w:val="15"/>
                <w:szCs w:val="15"/>
                <w:color w:val="auto"/>
              </w:rPr>
              <w:t>Total allowance for loan losses:</w:t>
            </w: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0"/>
        </w:trPr>
        <w:tc>
          <w:tcPr>
            <w:tcW w:w="3660" w:type="dxa"/>
            <w:vAlign w:val="bottom"/>
            <w:gridSpan w:val="2"/>
          </w:tcPr>
          <w:p>
            <w:pPr>
              <w:ind w:left="180"/>
              <w:spacing w:after="0"/>
              <w:rPr>
                <w:sz w:val="20"/>
                <w:szCs w:val="20"/>
                <w:color w:val="auto"/>
              </w:rPr>
            </w:pPr>
            <w:r>
              <w:rPr>
                <w:rFonts w:ascii="Arial" w:cs="Arial" w:eastAsia="Arial" w:hAnsi="Arial"/>
                <w:sz w:val="15"/>
                <w:szCs w:val="15"/>
                <w:color w:val="auto"/>
              </w:rPr>
              <w:t>Beginning balance</w:t>
            </w:r>
          </w:p>
        </w:tc>
        <w:tc>
          <w:tcPr>
            <w:tcW w:w="1220" w:type="dxa"/>
            <w:vAlign w:val="bottom"/>
          </w:tcPr>
          <w:p>
            <w:pPr>
              <w:jc w:val="right"/>
              <w:ind w:right="104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(8,247)</w:t>
            </w:r>
          </w:p>
        </w:tc>
        <w:tc>
          <w:tcPr>
            <w:tcW w:w="10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(8,026)</w:t>
            </w:r>
          </w:p>
        </w:tc>
        <w:tc>
          <w:tcPr>
            <w:tcW w:w="8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(7,707)</w:t>
            </w:r>
          </w:p>
        </w:tc>
        <w:tc>
          <w:tcPr>
            <w:tcW w:w="80" w:type="dxa"/>
            <w:vAlign w:val="bottom"/>
          </w:tcPr>
          <w:p>
            <w:pPr>
              <w:spacing w:after="0"/>
              <w:rPr>
                <w:sz w:val="24"/>
                <w:szCs w:val="24"/>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(8,730)</w:t>
            </w:r>
          </w:p>
        </w:tc>
      </w:tr>
      <w:tr>
        <w:trPr>
          <w:trHeight w:val="309"/>
        </w:trPr>
        <w:tc>
          <w:tcPr>
            <w:tcW w:w="3660" w:type="dxa"/>
            <w:vAlign w:val="bottom"/>
            <w:gridSpan w:val="2"/>
          </w:tcPr>
          <w:p>
            <w:pPr>
              <w:ind w:left="320"/>
              <w:spacing w:after="0"/>
              <w:rPr>
                <w:sz w:val="20"/>
                <w:szCs w:val="20"/>
                <w:color w:val="auto"/>
              </w:rPr>
            </w:pPr>
            <w:r>
              <w:rPr>
                <w:rFonts w:ascii="Arial" w:cs="Arial" w:eastAsia="Arial" w:hAnsi="Arial"/>
                <w:sz w:val="15"/>
                <w:szCs w:val="15"/>
                <w:color w:val="auto"/>
              </w:rPr>
              <w:t>(Provision) benefit for loan losses</w:t>
            </w:r>
          </w:p>
        </w:tc>
        <w:tc>
          <w:tcPr>
            <w:tcW w:w="1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(332)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(1,259)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453</w:t>
            </w:r>
          </w:p>
        </w:tc>
      </w:tr>
      <w:tr>
        <w:trPr>
          <w:trHeight w:val="309"/>
        </w:trPr>
        <w:tc>
          <w:tcPr>
            <w:tcW w:w="3660" w:type="dxa"/>
            <w:vAlign w:val="bottom"/>
            <w:gridSpan w:val="2"/>
          </w:tcPr>
          <w:p>
            <w:pPr>
              <w:ind w:left="320"/>
              <w:spacing w:after="0"/>
              <w:rPr>
                <w:sz w:val="20"/>
                <w:szCs w:val="20"/>
                <w:color w:val="auto"/>
              </w:rPr>
            </w:pPr>
            <w:r>
              <w:rPr>
                <w:rFonts w:ascii="Arial" w:cs="Arial" w:eastAsia="Arial" w:hAnsi="Arial"/>
                <w:sz w:val="15"/>
                <w:szCs w:val="15"/>
                <w:color w:val="auto"/>
              </w:rPr>
              <w:t>Write-offs</w:t>
            </w:r>
          </w:p>
        </w:tc>
        <w:tc>
          <w:tcPr>
            <w:tcW w:w="1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405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color w:val="auto"/>
              </w:rPr>
              <w:t>455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3"/>
              <w:spacing w:after="0"/>
              <w:rPr>
                <w:sz w:val="20"/>
                <w:szCs w:val="20"/>
                <w:color w:val="auto"/>
              </w:rPr>
            </w:pPr>
            <w:r>
              <w:rPr>
                <w:rFonts w:ascii="Arial" w:cs="Arial" w:eastAsia="Arial" w:hAnsi="Arial"/>
                <w:sz w:val="15"/>
                <w:szCs w:val="15"/>
                <w:b w:val="1"/>
                <w:bCs w:val="1"/>
                <w:color w:val="auto"/>
              </w:rPr>
              <w:t>938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882</w:t>
            </w:r>
          </w:p>
        </w:tc>
      </w:tr>
      <w:tr>
        <w:trPr>
          <w:trHeight w:val="303"/>
        </w:trPr>
        <w:tc>
          <w:tcPr>
            <w:tcW w:w="3560" w:type="dxa"/>
            <w:vAlign w:val="bottom"/>
            <w:tcBorders>
              <w:bottom w:val="single" w:sz="8" w:color="2C6937"/>
            </w:tcBorders>
          </w:tcPr>
          <w:p>
            <w:pPr>
              <w:ind w:left="320"/>
              <w:spacing w:after="0"/>
              <w:rPr>
                <w:sz w:val="20"/>
                <w:szCs w:val="20"/>
                <w:color w:val="auto"/>
              </w:rPr>
            </w:pPr>
            <w:r>
              <w:rPr>
                <w:rFonts w:ascii="Arial" w:cs="Arial" w:eastAsia="Arial" w:hAnsi="Arial"/>
                <w:sz w:val="15"/>
                <w:szCs w:val="15"/>
                <w:color w:val="auto"/>
              </w:rPr>
              <w:t>Recoveries</w:t>
            </w:r>
          </w:p>
        </w:tc>
        <w:tc>
          <w:tcPr>
            <w:tcW w:w="100" w:type="dxa"/>
            <w:vAlign w:val="bottom"/>
          </w:tcPr>
          <w:p>
            <w:pPr>
              <w:spacing w:after="0"/>
              <w:rPr>
                <w:sz w:val="24"/>
                <w:szCs w:val="24"/>
                <w:color w:val="auto"/>
              </w:rPr>
            </w:pPr>
          </w:p>
        </w:tc>
        <w:tc>
          <w:tcPr>
            <w:tcW w:w="1220" w:type="dxa"/>
            <w:vAlign w:val="bottom"/>
            <w:tcBorders>
              <w:bottom w:val="single" w:sz="8" w:color="2C6937"/>
            </w:tcBorders>
          </w:tcPr>
          <w:p>
            <w:pPr>
              <w:spacing w:after="0"/>
              <w:rPr>
                <w:sz w:val="24"/>
                <w:szCs w:val="24"/>
                <w:color w:val="auto"/>
              </w:rPr>
            </w:pPr>
          </w:p>
        </w:tc>
        <w:tc>
          <w:tcPr>
            <w:tcW w:w="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(72)</w:t>
            </w:r>
          </w:p>
        </w:tc>
        <w:tc>
          <w:tcPr>
            <w:tcW w:w="100" w:type="dxa"/>
            <w:vAlign w:val="bottom"/>
          </w:tcPr>
          <w:p>
            <w:pPr>
              <w:spacing w:after="0"/>
              <w:rPr>
                <w:sz w:val="24"/>
                <w:szCs w:val="24"/>
                <w:color w:val="auto"/>
              </w:rPr>
            </w:pPr>
          </w:p>
        </w:tc>
        <w:tc>
          <w:tcPr>
            <w:tcW w:w="42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(71)</w:t>
            </w:r>
          </w:p>
        </w:tc>
        <w:tc>
          <w:tcPr>
            <w:tcW w:w="80" w:type="dxa"/>
            <w:vAlign w:val="bottom"/>
          </w:tcPr>
          <w:p>
            <w:pPr>
              <w:spacing w:after="0"/>
              <w:rPr>
                <w:sz w:val="24"/>
                <w:szCs w:val="24"/>
                <w:color w:val="auto"/>
              </w:rPr>
            </w:pPr>
          </w:p>
        </w:tc>
        <w:tc>
          <w:tcPr>
            <w:tcW w:w="180" w:type="dxa"/>
            <w:vAlign w:val="bottom"/>
            <w:tcBorders>
              <w:bottom w:val="single" w:sz="8" w:color="2C6937"/>
            </w:tcBorders>
          </w:tcPr>
          <w:p>
            <w:pPr>
              <w:spacing w:after="0"/>
              <w:rPr>
                <w:sz w:val="24"/>
                <w:szCs w:val="24"/>
                <w:color w:val="auto"/>
              </w:rPr>
            </w:pPr>
          </w:p>
        </w:tc>
        <w:tc>
          <w:tcPr>
            <w:tcW w:w="162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(218)</w:t>
            </w:r>
          </w:p>
        </w:tc>
        <w:tc>
          <w:tcPr>
            <w:tcW w:w="80" w:type="dxa"/>
            <w:vAlign w:val="bottom"/>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13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(261)</w:t>
            </w:r>
          </w:p>
        </w:tc>
      </w:tr>
      <w:tr>
        <w:trPr>
          <w:trHeight w:val="302"/>
        </w:trPr>
        <w:tc>
          <w:tcPr>
            <w:tcW w:w="3660" w:type="dxa"/>
            <w:vAlign w:val="bottom"/>
            <w:gridSpan w:val="2"/>
          </w:tcPr>
          <w:p>
            <w:pPr>
              <w:ind w:left="180"/>
              <w:spacing w:after="0"/>
              <w:rPr>
                <w:sz w:val="20"/>
                <w:szCs w:val="20"/>
                <w:color w:val="auto"/>
              </w:rPr>
            </w:pPr>
            <w:r>
              <w:rPr>
                <w:rFonts w:ascii="Arial" w:cs="Arial" w:eastAsia="Arial" w:hAnsi="Arial"/>
                <w:sz w:val="15"/>
                <w:szCs w:val="15"/>
                <w:color w:val="auto"/>
              </w:rPr>
              <w:t>Ending balance</w:t>
            </w:r>
          </w:p>
        </w:tc>
        <w:tc>
          <w:tcPr>
            <w:tcW w:w="1220" w:type="dxa"/>
            <w:vAlign w:val="bottom"/>
          </w:tcPr>
          <w:p>
            <w:pPr>
              <w:jc w:val="right"/>
              <w:ind w:right="1043"/>
              <w:spacing w:after="0"/>
              <w:rPr>
                <w:sz w:val="20"/>
                <w:szCs w:val="20"/>
                <w:color w:val="auto"/>
              </w:rPr>
            </w:pPr>
            <w:r>
              <w:rPr>
                <w:rFonts w:ascii="Arial" w:cs="Arial" w:eastAsia="Arial" w:hAnsi="Arial"/>
                <w:sz w:val="15"/>
                <w:szCs w:val="15"/>
                <w:b w:val="1"/>
                <w:bCs w:val="1"/>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(8,246)</w:t>
            </w:r>
          </w:p>
        </w:tc>
        <w:tc>
          <w:tcPr>
            <w:tcW w:w="100" w:type="dxa"/>
            <w:vAlign w:val="bottom"/>
          </w:tcPr>
          <w:p>
            <w:pPr>
              <w:spacing w:after="0"/>
              <w:rPr>
                <w:sz w:val="24"/>
                <w:szCs w:val="24"/>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(7,656)</w:t>
            </w:r>
          </w:p>
        </w:tc>
        <w:tc>
          <w:tcPr>
            <w:tcW w:w="8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b w:val="1"/>
                <w:bCs w:val="1"/>
                <w:color w:val="auto"/>
              </w:rPr>
              <w:t>(8,246)</w:t>
            </w:r>
          </w:p>
        </w:tc>
        <w:tc>
          <w:tcPr>
            <w:tcW w:w="80" w:type="dxa"/>
            <w:vAlign w:val="bottom"/>
          </w:tcPr>
          <w:p>
            <w:pPr>
              <w:spacing w:after="0"/>
              <w:rPr>
                <w:sz w:val="24"/>
                <w:szCs w:val="24"/>
                <w:color w:val="auto"/>
              </w:rPr>
            </w:pP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(7,656)</w:t>
            </w:r>
          </w:p>
        </w:tc>
      </w:tr>
      <w:tr>
        <w:trPr>
          <w:trHeight w:val="20"/>
        </w:trPr>
        <w:tc>
          <w:tcPr>
            <w:tcW w:w="35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2C6937"/>
              <w:bottom w:val="single" w:sz="8" w:color="2C6937"/>
            </w:tcBorders>
          </w:tcPr>
          <w:p>
            <w:pPr>
              <w:spacing w:after="0" w:line="20" w:lineRule="exact"/>
              <w:rPr>
                <w:sz w:val="1"/>
                <w:szCs w:val="1"/>
                <w:color w:val="auto"/>
              </w:rPr>
            </w:pPr>
          </w:p>
        </w:tc>
        <w:tc>
          <w:tcPr>
            <w:tcW w:w="6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2C6937"/>
              <w:bottom w:val="single" w:sz="8" w:color="2C6937"/>
            </w:tcBorders>
          </w:tcPr>
          <w:p>
            <w:pPr>
              <w:spacing w:after="0" w:line="20" w:lineRule="exact"/>
              <w:rPr>
                <w:sz w:val="1"/>
                <w:szCs w:val="1"/>
                <w:color w:val="auto"/>
              </w:rPr>
            </w:pPr>
          </w:p>
        </w:tc>
        <w:tc>
          <w:tcPr>
            <w:tcW w:w="14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16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2C6937"/>
              <w:bottom w:val="single" w:sz="8" w:color="2C6937"/>
            </w:tcBorders>
          </w:tcPr>
          <w:p>
            <w:pPr>
              <w:spacing w:after="0" w:line="20" w:lineRule="exact"/>
              <w:rPr>
                <w:sz w:val="1"/>
                <w:szCs w:val="1"/>
                <w:color w:val="auto"/>
              </w:rPr>
            </w:pPr>
          </w:p>
        </w:tc>
        <w:tc>
          <w:tcPr>
            <w:tcW w:w="1340" w:type="dxa"/>
            <w:vAlign w:val="bottom"/>
            <w:tcBorders>
              <w:top w:val="single" w:sz="8" w:color="2C6937"/>
              <w:bottom w:val="single" w:sz="8" w:color="2C6937"/>
            </w:tcBorders>
          </w:tcPr>
          <w:p>
            <w:pPr>
              <w:spacing w:after="0" w:line="20" w:lineRule="exact"/>
              <w:rPr>
                <w:sz w:val="1"/>
                <w:szCs w:val="1"/>
                <w:color w:val="auto"/>
              </w:rPr>
            </w:pPr>
          </w:p>
        </w:tc>
      </w:tr>
    </w:tbl>
    <w:p>
      <w:pPr>
        <w:spacing w:after="0" w:line="14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single-family provision for loan losses for the three months ended September 30, 2025 was primarily driven by provision associated with loans that we acquired during the period, which primarily consisted of purchase loans. Purchase loans generally have higher original LTV ratios than refinance loans; therefore, purchase loans have a higher estimated risk of default and loss severity in the allowance than refinance loans and a correspondingly higher loan loss provision at the time of acquisition.</w:t>
      </w:r>
    </w:p>
    <w:p>
      <w:pPr>
        <w:spacing w:after="0" w:line="3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single-family provision for loan losses for the nine months ended September 30, 2025 was primarily driven by provision associated with loans that we acquired during the period, which primarily consisted of purchase loans, and by weaker-than-expected home price growth. Lower home prices increase the likelihood that loans will default and increase the amount of losses on loans that do default, which impacts our estimate of losses and ultimately increases our loss reserves and provision for loan losses.</w:t>
      </w:r>
    </w:p>
    <w:p>
      <w:pPr>
        <w:spacing w:after="0" w:line="48"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Our single-family benefit for loan losses for the three months ended September 30, 2024 was primarily driven by a benefit from forecasted home price growth and a benefit from actual and projected interest rates, partially offset by a provision from changes in loan activity, as described below.</w:t>
      </w:r>
    </w:p>
    <w:p>
      <w:pPr>
        <w:spacing w:after="0" w:line="15" w:lineRule="exact"/>
        <w:rPr>
          <w:sz w:val="20"/>
          <w:szCs w:val="20"/>
          <w:color w:val="auto"/>
        </w:rPr>
      </w:pPr>
    </w:p>
    <w:p>
      <w:pPr>
        <w:jc w:val="both"/>
        <w:ind w:left="620" w:right="300" w:hanging="307"/>
        <w:spacing w:after="0" w:line="272" w:lineRule="auto"/>
        <w:tabs>
          <w:tab w:leader="none" w:pos="609" w:val="left"/>
        </w:tabs>
        <w:numPr>
          <w:ilvl w:val="0"/>
          <w:numId w:val="68"/>
        </w:numPr>
        <w:rPr>
          <w:rFonts w:ascii="Arial" w:cs="Arial" w:eastAsia="Arial" w:hAnsi="Arial"/>
          <w:sz w:val="15"/>
          <w:szCs w:val="15"/>
          <w:color w:val="auto"/>
        </w:rPr>
      </w:pPr>
      <w:r>
        <w:rPr>
          <w:rFonts w:ascii="Arial" w:cs="Arial" w:eastAsia="Arial" w:hAnsi="Arial"/>
          <w:sz w:val="16"/>
          <w:szCs w:val="16"/>
          <w:color w:val="auto"/>
        </w:rPr>
        <w:t>Benefit from forecasted home price growth. During the three months ended September 30, 2024, our forecast of future home prices improved. Higher home prices decrease the likelihood that loans will default and reduce the amount of losses on loans that do default, which impacts our estimate of losses and ultimately reduces our loss reserves and provision for loan losses.</w:t>
      </w:r>
    </w:p>
    <w:p>
      <w:pPr>
        <w:spacing w:after="0" w:line="31" w:lineRule="exact"/>
        <w:rPr>
          <w:rFonts w:ascii="Arial" w:cs="Arial" w:eastAsia="Arial" w:hAnsi="Arial"/>
          <w:sz w:val="15"/>
          <w:szCs w:val="15"/>
          <w:color w:val="auto"/>
        </w:rPr>
      </w:pPr>
    </w:p>
    <w:p>
      <w:pPr>
        <w:ind w:left="620" w:right="420" w:hanging="307"/>
        <w:spacing w:after="0" w:line="310" w:lineRule="auto"/>
        <w:tabs>
          <w:tab w:leader="none" w:pos="612" w:val="left"/>
        </w:tabs>
        <w:numPr>
          <w:ilvl w:val="0"/>
          <w:numId w:val="68"/>
        </w:numPr>
        <w:rPr>
          <w:rFonts w:ascii="Arial" w:cs="Arial" w:eastAsia="Arial" w:hAnsi="Arial"/>
          <w:sz w:val="16"/>
          <w:szCs w:val="16"/>
          <w:color w:val="auto"/>
        </w:rPr>
      </w:pPr>
      <w:r>
        <w:rPr>
          <w:rFonts w:ascii="Arial" w:cs="Arial" w:eastAsia="Arial" w:hAnsi="Arial"/>
          <w:sz w:val="16"/>
          <w:szCs w:val="16"/>
          <w:color w:val="auto"/>
        </w:rPr>
        <w:t>Benefit from actual and projected interest rates</w:t>
      </w:r>
      <w:r>
        <w:rPr>
          <w:rFonts w:ascii="Arial" w:cs="Arial" w:eastAsia="Arial" w:hAnsi="Arial"/>
          <w:sz w:val="16"/>
          <w:szCs w:val="16"/>
          <w:i w:val="1"/>
          <w:iCs w:val="1"/>
          <w:color w:val="auto"/>
        </w:rPr>
        <w:t>.</w:t>
      </w:r>
      <w:r>
        <w:rPr>
          <w:rFonts w:ascii="Arial" w:cs="Arial" w:eastAsia="Arial" w:hAnsi="Arial"/>
          <w:sz w:val="16"/>
          <w:szCs w:val="16"/>
          <w:color w:val="auto"/>
        </w:rPr>
        <w:t xml:space="preserve"> Actual and projected interest rates decreased in the third quarter of 2024, which reduced the probability of default, resulting in a benefit for loan losses.</w:t>
      </w:r>
    </w:p>
    <w:p>
      <w:pPr>
        <w:spacing w:after="0" w:line="1" w:lineRule="exact"/>
        <w:rPr>
          <w:rFonts w:ascii="Arial" w:cs="Arial" w:eastAsia="Arial" w:hAnsi="Arial"/>
          <w:sz w:val="16"/>
          <w:szCs w:val="16"/>
          <w:color w:val="auto"/>
        </w:rPr>
      </w:pPr>
    </w:p>
    <w:p>
      <w:pPr>
        <w:ind w:left="620" w:right="40" w:hanging="307"/>
        <w:spacing w:after="0" w:line="272" w:lineRule="auto"/>
        <w:tabs>
          <w:tab w:leader="none" w:pos="609" w:val="left"/>
        </w:tabs>
        <w:numPr>
          <w:ilvl w:val="0"/>
          <w:numId w:val="68"/>
        </w:numPr>
        <w:rPr>
          <w:rFonts w:ascii="Arial" w:cs="Arial" w:eastAsia="Arial" w:hAnsi="Arial"/>
          <w:sz w:val="15"/>
          <w:szCs w:val="15"/>
          <w:color w:val="auto"/>
        </w:rPr>
      </w:pPr>
      <w:r>
        <w:rPr>
          <w:rFonts w:ascii="Arial" w:cs="Arial" w:eastAsia="Arial" w:hAnsi="Arial"/>
          <w:sz w:val="16"/>
          <w:szCs w:val="16"/>
          <w:color w:val="auto"/>
        </w:rPr>
        <w:t>Provision from changes in loan activity. This includes provision on newly acquired loans and was primarily driven by the credit risk profile of our single-family acquisitions for the three months ended September 30, 2024, which primarily consisted of purchase loans. Purchase loans generally have higher original LTV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361950</wp:posOffset>
            </wp:positionV>
            <wp:extent cx="680593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ectPr>
          <w:pgSz w:w="11900" w:h="16838" w:orient="portrait"/>
          <w:cols w:equalWidth="0" w:num="1">
            <w:col w:w="11160"/>
          </w:cols>
          <w:pgMar w:left="320" w:top="248" w:right="41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248" w:right="419" w:bottom="1440" w:gutter="0" w:footer="0" w:header="0"/>
          <w:type w:val="continuous"/>
        </w:sectPr>
      </w:pPr>
    </w:p>
    <w:bookmarkStart w:id="88" w:name="page89"/>
    <w:bookmarkEnd w:id="88"/>
    <w:p>
      <w:pPr>
        <w:ind w:left="5860"/>
        <w:spacing w:after="0"/>
        <w:rPr>
          <w:sz w:val="20"/>
          <w:szCs w:val="20"/>
          <w:color w:val="auto"/>
        </w:rPr>
      </w:pPr>
      <w:r>
        <w:rPr>
          <w:rFonts w:ascii="Arial" w:cs="Arial" w:eastAsia="Arial" w:hAnsi="Arial"/>
          <w:sz w:val="14"/>
          <w:szCs w:val="14"/>
          <w:color w:val="05314D"/>
        </w:rPr>
        <w:t>Notes to Condensed Consolidated Financial Statements | 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154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right="100"/>
        <w:spacing w:after="0" w:line="293" w:lineRule="auto"/>
        <w:rPr>
          <w:sz w:val="20"/>
          <w:szCs w:val="20"/>
          <w:color w:val="auto"/>
        </w:rPr>
      </w:pPr>
      <w:r>
        <w:rPr>
          <w:rFonts w:ascii="Arial" w:cs="Arial" w:eastAsia="Arial" w:hAnsi="Arial"/>
          <w:sz w:val="16"/>
          <w:szCs w:val="16"/>
          <w:color w:val="auto"/>
        </w:rPr>
        <w:t>than refinance loans; therefore, purchase loans have a higher estimated risk of default and loss severity in the allowance than refinance loans and a correspondingly higher loan loss provision at the time of acquisition.</w:t>
      </w:r>
    </w:p>
    <w:p>
      <w:pPr>
        <w:spacing w:after="0" w:line="15"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Our single-family benefit for loan losses for the nine months ended September 30, 2024 was primarily driven by a benefit from actual and forecasted home price growth, partially offset by a provision from changes in loan activity.</w:t>
      </w:r>
    </w:p>
    <w:p>
      <w:pPr>
        <w:spacing w:after="0" w:line="2" w:lineRule="exact"/>
        <w:rPr>
          <w:sz w:val="20"/>
          <w:szCs w:val="20"/>
          <w:color w:val="auto"/>
        </w:rPr>
      </w:pPr>
    </w:p>
    <w:p>
      <w:pPr>
        <w:ind w:left="620" w:right="220" w:hanging="307"/>
        <w:spacing w:after="0" w:line="293" w:lineRule="auto"/>
        <w:tabs>
          <w:tab w:leader="none" w:pos="612" w:val="left"/>
        </w:tabs>
        <w:numPr>
          <w:ilvl w:val="0"/>
          <w:numId w:val="69"/>
        </w:numPr>
        <w:rPr>
          <w:rFonts w:ascii="Arial" w:cs="Arial" w:eastAsia="Arial" w:hAnsi="Arial"/>
          <w:sz w:val="16"/>
          <w:szCs w:val="16"/>
          <w:color w:val="auto"/>
        </w:rPr>
      </w:pPr>
      <w:r>
        <w:rPr>
          <w:rFonts w:ascii="Arial" w:cs="Arial" w:eastAsia="Arial" w:hAnsi="Arial"/>
          <w:sz w:val="16"/>
          <w:szCs w:val="16"/>
          <w:color w:val="auto"/>
        </w:rPr>
        <w:t>Benefit from actual and forecasted home price growth</w:t>
      </w:r>
      <w:r>
        <w:rPr>
          <w:rFonts w:ascii="Arial" w:cs="Arial" w:eastAsia="Arial" w:hAnsi="Arial"/>
          <w:sz w:val="16"/>
          <w:szCs w:val="16"/>
          <w:i w:val="1"/>
          <w:iCs w:val="1"/>
          <w:color w:val="auto"/>
        </w:rPr>
        <w:t>.</w:t>
      </w:r>
      <w:r>
        <w:rPr>
          <w:rFonts w:ascii="Arial" w:cs="Arial" w:eastAsia="Arial" w:hAnsi="Arial"/>
          <w:sz w:val="16"/>
          <w:szCs w:val="16"/>
          <w:color w:val="auto"/>
        </w:rPr>
        <w:t xml:space="preserve"> During the nine months ended September 30, 2024 actual home prices appreciated more than originally projected and our forecast of future home prices also improved.</w:t>
      </w:r>
    </w:p>
    <w:p>
      <w:pPr>
        <w:spacing w:after="0" w:line="14" w:lineRule="exact"/>
        <w:rPr>
          <w:rFonts w:ascii="Arial" w:cs="Arial" w:eastAsia="Arial" w:hAnsi="Arial"/>
          <w:sz w:val="16"/>
          <w:szCs w:val="16"/>
          <w:color w:val="auto"/>
        </w:rPr>
      </w:pPr>
    </w:p>
    <w:p>
      <w:pPr>
        <w:ind w:left="620" w:right="340" w:hanging="307"/>
        <w:spacing w:after="0" w:line="293" w:lineRule="auto"/>
        <w:tabs>
          <w:tab w:leader="none" w:pos="609" w:val="left"/>
        </w:tabs>
        <w:numPr>
          <w:ilvl w:val="0"/>
          <w:numId w:val="69"/>
        </w:numPr>
        <w:rPr>
          <w:rFonts w:ascii="Arial" w:cs="Arial" w:eastAsia="Arial" w:hAnsi="Arial"/>
          <w:sz w:val="15"/>
          <w:szCs w:val="15"/>
          <w:color w:val="auto"/>
        </w:rPr>
      </w:pPr>
      <w:r>
        <w:rPr>
          <w:rFonts w:ascii="Arial" w:cs="Arial" w:eastAsia="Arial" w:hAnsi="Arial"/>
          <w:sz w:val="16"/>
          <w:szCs w:val="16"/>
          <w:color w:val="auto"/>
        </w:rPr>
        <w:t>Provision from changes in loan activity. This includes provision on newly acquired loans and was primarily driven by the credit risk profile of our single-family acquisitions for the nine months ended September 30, 2024, which primarily consisted of purchase loans.</w:t>
      </w:r>
    </w:p>
    <w:p>
      <w:pPr>
        <w:spacing w:after="0" w:line="28"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Our multifamily provision for loan losses for the three and nine months ended September 30, 2025 was primarily driven by an increase in delinquencies including provision from seriously delinquent loans that were written down to the net recoverable amount of the loans’ collateral during the period.</w:t>
      </w:r>
    </w:p>
    <w:p>
      <w:pPr>
        <w:spacing w:after="0" w:line="1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multifamily provision for loan losses for the three months ended September 30, 2024 was largely driven by certain adjustable-rate conventional loans that were written down during the period. We also recognized provision for loan losses because, compared to our previous forecast, our third quarter of 2024 forecast expected further slight decreases in projected multifamily property values and a longer period of time for projected multifamily property values to improve.</w:t>
      </w:r>
    </w:p>
    <w:p>
      <w:pPr>
        <w:spacing w:after="0" w:line="48"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Our multifamily allowance and estimate for loan losses as of September 30, 2024 also considered uncertainty. This included uncertainty relating to multifamily property values, as well as uncertainty due to the investigation of multifamily lending transactions with suspected fraud, which may increase the risk of default.</w:t>
      </w:r>
    </w:p>
    <w:p>
      <w:pPr>
        <w:spacing w:after="0" w:line="3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Our multifamily provision for loan losses for the nine months ended September 30, 2024 was primarily driven by loan delinquencies in our multifamily guaranty book of business, including provision attributable to adjustable-rate conventional loans that became seriously delinquent and were written down to the net recoverable amount, declines in estimated actual and projected multifamily property values, and provision for uncertainty.</w:t>
      </w:r>
    </w:p>
    <w:p>
      <w:pPr>
        <w:spacing w:after="0" w:line="12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6. Investments in Securities</w:t>
      </w:r>
    </w:p>
    <w:p>
      <w:pPr>
        <w:sectPr>
          <w:pgSz w:w="11900" w:h="16838" w:orient="portrait"/>
          <w:cols w:equalWidth="0" w:num="1">
            <w:col w:w="11240"/>
          </w:cols>
          <w:pgMar w:left="320" w:top="248" w:right="339" w:bottom="1440" w:gutter="0" w:footer="0" w:header="0"/>
        </w:sectPr>
      </w:pP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our investments in securities.</w:t>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Trading securities:</w:t>
      </w:r>
    </w:p>
    <w:p>
      <w:pPr>
        <w:spacing w:after="0" w:line="60" w:lineRule="exact"/>
        <w:rPr>
          <w:sz w:val="20"/>
          <w:szCs w:val="20"/>
          <w:color w:val="auto"/>
        </w:rPr>
      </w:pPr>
    </w:p>
    <w:p>
      <w:pPr>
        <w:ind w:left="180" w:hanging="154"/>
        <w:spacing w:after="0" w:line="287" w:lineRule="auto"/>
        <w:rPr>
          <w:sz w:val="20"/>
          <w:szCs w:val="20"/>
          <w:color w:val="auto"/>
        </w:rPr>
      </w:pPr>
      <w:r>
        <w:rPr>
          <w:rFonts w:ascii="Arial" w:cs="Arial" w:eastAsia="Arial" w:hAnsi="Arial"/>
          <w:sz w:val="15"/>
          <w:szCs w:val="15"/>
          <w:color w:val="auto"/>
        </w:rPr>
        <w:t>Mortgage-related securities (includes $265 million and $300 million, respectively, related to consolidated trusts)</w:t>
      </w:r>
    </w:p>
    <w:p>
      <w:pPr>
        <w:ind w:left="20"/>
        <w:spacing w:after="0"/>
        <w:rPr>
          <w:sz w:val="20"/>
          <w:szCs w:val="20"/>
          <w:color w:val="auto"/>
        </w:rPr>
      </w:pPr>
      <w:r>
        <w:rPr>
          <w:rFonts w:ascii="Arial" w:cs="Arial" w:eastAsia="Arial" w:hAnsi="Arial"/>
          <w:sz w:val="15"/>
          <w:szCs w:val="15"/>
          <w:color w:val="auto"/>
        </w:rPr>
        <w:t>Non-mortgage-related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475615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756150" cy="8255"/>
                    </a:xfrm>
                    <a:prstGeom prst="rect">
                      <a:avLst/>
                    </a:prstGeom>
                    <a:noFill/>
                  </pic:spPr>
                </pic:pic>
              </a:graphicData>
            </a:graphic>
          </wp:anchor>
        </w:drawing>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Total trading securities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Available-for-sale securities (amortized cost of $412 million and $487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475615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756150" cy="8255"/>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Total investments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475615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7561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475615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756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60" w:type="dxa"/>
            <w:vAlign w:val="bottom"/>
            <w:tcBorders>
              <w:top w:val="single" w:sz="8" w:color="2C6937"/>
              <w:bottom w:val="single" w:sz="8" w:color="2C6937"/>
            </w:tcBorders>
          </w:tcPr>
          <w:p>
            <w:pPr>
              <w:spacing w:after="0"/>
              <w:rPr>
                <w:sz w:val="16"/>
                <w:szCs w:val="16"/>
                <w:color w:val="auto"/>
              </w:rPr>
            </w:pPr>
          </w:p>
        </w:tc>
        <w:tc>
          <w:tcPr>
            <w:tcW w:w="1740" w:type="dxa"/>
            <w:vAlign w:val="bottom"/>
            <w:tcBorders>
              <w:top w:val="single" w:sz="8" w:color="2C6937"/>
              <w:bottom w:val="single" w:sz="8" w:color="2C6937"/>
            </w:tcBorders>
            <w:gridSpan w:val="2"/>
          </w:tcPr>
          <w:p>
            <w:pPr>
              <w:ind w:left="80"/>
              <w:spacing w:after="0"/>
              <w:rPr>
                <w:sz w:val="20"/>
                <w:szCs w:val="20"/>
                <w:color w:val="auto"/>
              </w:rPr>
            </w:pPr>
            <w:r>
              <w:rPr>
                <w:rFonts w:ascii="Arial" w:cs="Arial" w:eastAsia="Arial" w:hAnsi="Arial"/>
                <w:sz w:val="14"/>
                <w:szCs w:val="14"/>
                <w:b w:val="1"/>
                <w:bCs w:val="1"/>
                <w:color w:val="auto"/>
              </w:rPr>
              <w:t>September 30, 2025</w:t>
            </w:r>
          </w:p>
        </w:tc>
        <w:tc>
          <w:tcPr>
            <w:tcW w:w="180" w:type="dxa"/>
            <w:vAlign w:val="bottom"/>
            <w:tcBorders>
              <w:top w:val="single" w:sz="8" w:color="2C6937"/>
              <w:bottom w:val="single" w:sz="8" w:color="2C6937"/>
            </w:tcBorders>
          </w:tcPr>
          <w:p>
            <w:pPr>
              <w:spacing w:after="0"/>
              <w:rPr>
                <w:sz w:val="16"/>
                <w:szCs w:val="16"/>
                <w:color w:val="auto"/>
              </w:rPr>
            </w:pPr>
          </w:p>
        </w:tc>
        <w:tc>
          <w:tcPr>
            <w:tcW w:w="1560" w:type="dxa"/>
            <w:vAlign w:val="bottom"/>
            <w:tcBorders>
              <w:top w:val="single" w:sz="8" w:color="2C6937"/>
              <w:bottom w:val="single" w:sz="8" w:color="2C6937"/>
            </w:tcBorders>
          </w:tcPr>
          <w:p>
            <w:pPr>
              <w:jc w:val="right"/>
              <w:ind w:right="184"/>
              <w:spacing w:after="0"/>
              <w:rPr>
                <w:sz w:val="20"/>
                <w:szCs w:val="20"/>
                <w:color w:val="auto"/>
              </w:rPr>
            </w:pPr>
            <w:r>
              <w:rPr>
                <w:rFonts w:ascii="Arial" w:cs="Arial" w:eastAsia="Arial" w:hAnsi="Arial"/>
                <w:sz w:val="14"/>
                <w:szCs w:val="14"/>
                <w:b w:val="1"/>
                <w:bCs w:val="1"/>
                <w:color w:val="auto"/>
              </w:rPr>
              <w:t>December 31, 2024</w:t>
            </w:r>
          </w:p>
        </w:tc>
      </w:tr>
      <w:tr>
        <w:trPr>
          <w:trHeight w:val="198"/>
        </w:trPr>
        <w:tc>
          <w:tcPr>
            <w:tcW w:w="160" w:type="dxa"/>
            <w:vAlign w:val="bottom"/>
          </w:tcPr>
          <w:p>
            <w:pPr>
              <w:spacing w:after="0"/>
              <w:rPr>
                <w:sz w:val="17"/>
                <w:szCs w:val="17"/>
                <w:color w:val="auto"/>
              </w:rPr>
            </w:pPr>
          </w:p>
        </w:tc>
        <w:tc>
          <w:tcPr>
            <w:tcW w:w="3480" w:type="dxa"/>
            <w:vAlign w:val="bottom"/>
            <w:gridSpan w:val="4"/>
          </w:tcPr>
          <w:p>
            <w:pPr>
              <w:jc w:val="right"/>
              <w:ind w:right="1104"/>
              <w:spacing w:after="0"/>
              <w:rPr>
                <w:sz w:val="20"/>
                <w:szCs w:val="20"/>
                <w:color w:val="auto"/>
              </w:rPr>
            </w:pPr>
            <w:r>
              <w:rPr>
                <w:rFonts w:ascii="Arial" w:cs="Arial" w:eastAsia="Arial" w:hAnsi="Arial"/>
                <w:sz w:val="14"/>
                <w:szCs w:val="14"/>
                <w:b w:val="1"/>
                <w:bCs w:val="1"/>
                <w:color w:val="auto"/>
              </w:rPr>
              <w:t>(Dollars in millions)</w:t>
            </w:r>
          </w:p>
        </w:tc>
      </w:tr>
      <w:tr>
        <w:trPr>
          <w:trHeight w:val="439"/>
        </w:trPr>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580" w:type="dxa"/>
            <w:vAlign w:val="bottom"/>
          </w:tcPr>
          <w:p>
            <w:pPr>
              <w:jc w:val="right"/>
              <w:spacing w:after="0"/>
              <w:rPr>
                <w:sz w:val="20"/>
                <w:szCs w:val="20"/>
                <w:color w:val="auto"/>
              </w:rPr>
            </w:pPr>
            <w:r>
              <w:rPr>
                <w:rFonts w:ascii="Arial" w:cs="Arial" w:eastAsia="Arial" w:hAnsi="Arial"/>
                <w:sz w:val="15"/>
                <w:szCs w:val="15"/>
                <w:b w:val="1"/>
                <w:bCs w:val="1"/>
                <w:color w:val="auto"/>
              </w:rPr>
              <w:t>5,102</w:t>
            </w:r>
          </w:p>
        </w:tc>
        <w:tc>
          <w:tcPr>
            <w:tcW w:w="160" w:type="dxa"/>
            <w:vAlign w:val="bottom"/>
          </w:tcPr>
          <w:p>
            <w:pPr>
              <w:spacing w:after="0"/>
              <w:rPr>
                <w:sz w:val="24"/>
                <w:szCs w:val="24"/>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1,098</w:t>
            </w:r>
          </w:p>
        </w:tc>
      </w:tr>
      <w:tr>
        <w:trPr>
          <w:trHeight w:val="208"/>
        </w:trPr>
        <w:tc>
          <w:tcPr>
            <w:tcW w:w="160" w:type="dxa"/>
            <w:vAlign w:val="bottom"/>
            <w:tcBorders>
              <w:bottom w:val="single" w:sz="8" w:color="2C6937"/>
            </w:tcBorders>
          </w:tcPr>
          <w:p>
            <w:pPr>
              <w:spacing w:after="0"/>
              <w:rPr>
                <w:sz w:val="18"/>
                <w:szCs w:val="18"/>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66,166</w:t>
            </w:r>
          </w:p>
        </w:tc>
        <w:tc>
          <w:tcPr>
            <w:tcW w:w="1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77,630</w:t>
            </w:r>
          </w:p>
        </w:tc>
      </w:tr>
      <w:tr>
        <w:trPr>
          <w:trHeight w:val="224"/>
        </w:trPr>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5"/>
                <w:szCs w:val="15"/>
                <w:b w:val="1"/>
                <w:bCs w:val="1"/>
                <w:color w:val="auto"/>
              </w:rPr>
              <w:t>71,268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78,728</w:t>
            </w:r>
          </w:p>
        </w:tc>
      </w:tr>
      <w:tr>
        <w:trPr>
          <w:trHeight w:val="208"/>
        </w:trPr>
        <w:tc>
          <w:tcPr>
            <w:tcW w:w="160" w:type="dxa"/>
            <w:vAlign w:val="bottom"/>
            <w:tcBorders>
              <w:bottom w:val="single" w:sz="8" w:color="2C6937"/>
            </w:tcBorders>
          </w:tcPr>
          <w:p>
            <w:pPr>
              <w:spacing w:after="0"/>
              <w:rPr>
                <w:sz w:val="18"/>
                <w:szCs w:val="18"/>
                <w:color w:val="auto"/>
              </w:rPr>
            </w:pP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388</w:t>
            </w:r>
          </w:p>
        </w:tc>
        <w:tc>
          <w:tcPr>
            <w:tcW w:w="16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469</w:t>
            </w:r>
          </w:p>
        </w:tc>
      </w:tr>
      <w:tr>
        <w:trPr>
          <w:trHeight w:val="199"/>
        </w:trPr>
        <w:tc>
          <w:tcPr>
            <w:tcW w:w="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5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71,656</w:t>
            </w:r>
          </w:p>
        </w:tc>
        <w:tc>
          <w:tcPr>
            <w:tcW w:w="160" w:type="dxa"/>
            <w:vAlign w:val="bottom"/>
          </w:tcPr>
          <w:p>
            <w:pPr>
              <w:spacing w:after="0"/>
              <w:rPr>
                <w:sz w:val="17"/>
                <w:szCs w:val="17"/>
                <w:color w:val="auto"/>
              </w:rPr>
            </w:pPr>
          </w:p>
        </w:tc>
        <w:tc>
          <w:tcPr>
            <w:tcW w:w="1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79,197</w:t>
            </w:r>
          </w:p>
        </w:tc>
      </w:tr>
      <w:tr>
        <w:trPr>
          <w:trHeight w:val="20"/>
        </w:trPr>
        <w:tc>
          <w:tcPr>
            <w:tcW w:w="160" w:type="dxa"/>
            <w:vAlign w:val="bottom"/>
            <w:tcBorders>
              <w:bottom w:val="single" w:sz="8" w:color="2C6937"/>
            </w:tcBorders>
          </w:tcPr>
          <w:p>
            <w:pPr>
              <w:spacing w:after="0" w:line="20" w:lineRule="exact"/>
              <w:rPr>
                <w:sz w:val="1"/>
                <w:szCs w:val="1"/>
                <w:color w:val="auto"/>
              </w:rPr>
            </w:pPr>
          </w:p>
        </w:tc>
        <w:tc>
          <w:tcPr>
            <w:tcW w:w="1580" w:type="dxa"/>
            <w:vAlign w:val="bottom"/>
            <w:tcBorders>
              <w:bottom w:val="single" w:sz="8" w:color="2C693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2C6937"/>
            </w:tcBorders>
          </w:tcPr>
          <w:p>
            <w:pPr>
              <w:spacing w:after="0" w:line="20" w:lineRule="exact"/>
              <w:rPr>
                <w:sz w:val="1"/>
                <w:szCs w:val="1"/>
                <w:color w:val="auto"/>
              </w:rPr>
            </w:pPr>
          </w:p>
        </w:tc>
        <w:tc>
          <w:tcPr>
            <w:tcW w:w="1560" w:type="dxa"/>
            <w:vAlign w:val="bottom"/>
            <w:tcBorders>
              <w:bottom w:val="single" w:sz="8" w:color="2C6937"/>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20" w:space="480"/>
            <w:col w:w="3640"/>
          </w:cols>
          <w:pgMar w:left="320" w:top="248" w:right="3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information about our net trading gains (losses).</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7"/>
              </w:rPr>
              <w:t>For the Three Months Ended</w:t>
            </w:r>
          </w:p>
        </w:tc>
        <w:tc>
          <w:tcPr>
            <w:tcW w:w="180" w:type="dxa"/>
            <w:vAlign w:val="bottom"/>
          </w:tcPr>
          <w:p>
            <w:pPr>
              <w:spacing w:after="0"/>
              <w:rPr>
                <w:sz w:val="14"/>
                <w:szCs w:val="14"/>
                <w:color w:val="auto"/>
              </w:rPr>
            </w:pPr>
          </w:p>
        </w:tc>
        <w:tc>
          <w:tcPr>
            <w:tcW w:w="2140" w:type="dxa"/>
            <w:vAlign w:val="bottom"/>
            <w:gridSpan w:val="3"/>
          </w:tcPr>
          <w:p>
            <w:pPr>
              <w:jc w:val="right"/>
              <w:ind w:right="186"/>
              <w:spacing w:after="0"/>
              <w:rPr>
                <w:sz w:val="20"/>
                <w:szCs w:val="20"/>
                <w:color w:val="auto"/>
              </w:rPr>
            </w:pPr>
            <w:r>
              <w:rPr>
                <w:rFonts w:ascii="Arial" w:cs="Arial" w:eastAsia="Arial" w:hAnsi="Arial"/>
                <w:sz w:val="14"/>
                <w:szCs w:val="14"/>
                <w:b w:val="1"/>
                <w:bCs w:val="1"/>
                <w:color w:val="auto"/>
              </w:rPr>
              <w:t>For the Nine Months Ended</w:t>
            </w:r>
          </w:p>
        </w:tc>
      </w:tr>
      <w:tr>
        <w:trPr>
          <w:trHeight w:val="180"/>
        </w:trPr>
        <w:tc>
          <w:tcPr>
            <w:tcW w:w="6420" w:type="dxa"/>
            <w:vAlign w:val="bottom"/>
          </w:tcPr>
          <w:p>
            <w:pPr>
              <w:spacing w:after="0"/>
              <w:rPr>
                <w:sz w:val="15"/>
                <w:szCs w:val="15"/>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5"/>
                <w:szCs w:val="15"/>
                <w:color w:val="auto"/>
              </w:rPr>
            </w:pPr>
          </w:p>
        </w:tc>
        <w:tc>
          <w:tcPr>
            <w:tcW w:w="2140" w:type="dxa"/>
            <w:vAlign w:val="bottom"/>
            <w:gridSpan w:val="3"/>
          </w:tcPr>
          <w:p>
            <w:pPr>
              <w:jc w:val="right"/>
              <w:ind w:right="626"/>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6420" w:type="dxa"/>
            <w:vAlign w:val="bottom"/>
          </w:tcPr>
          <w:p>
            <w:pPr>
              <w:spacing w:after="0"/>
              <w:rPr>
                <w:sz w:val="16"/>
                <w:szCs w:val="16"/>
                <w:color w:val="auto"/>
              </w:rPr>
            </w:pP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top w:val="single" w:sz="8" w:color="2C6937"/>
              <w:bottom w:val="single" w:sz="8" w:color="2C6937"/>
            </w:tcBorders>
          </w:tcPr>
          <w:p>
            <w:pPr>
              <w:spacing w:after="0"/>
              <w:rPr>
                <w:sz w:val="16"/>
                <w:szCs w:val="16"/>
                <w:color w:val="auto"/>
              </w:rPr>
            </w:pPr>
          </w:p>
        </w:tc>
        <w:tc>
          <w:tcPr>
            <w:tcW w:w="340" w:type="dxa"/>
            <w:vAlign w:val="bottom"/>
            <w:tcBorders>
              <w:top w:val="single" w:sz="8" w:color="2C6937"/>
              <w:bottom w:val="single" w:sz="8" w:color="2C6937"/>
            </w:tcBorders>
          </w:tcPr>
          <w:p>
            <w:pPr>
              <w:spacing w:after="0"/>
              <w:rPr>
                <w:sz w:val="16"/>
                <w:szCs w:val="16"/>
                <w:color w:val="auto"/>
              </w:rPr>
            </w:pPr>
          </w:p>
        </w:tc>
        <w:tc>
          <w:tcPr>
            <w:tcW w:w="840" w:type="dxa"/>
            <w:vAlign w:val="bottom"/>
            <w:tcBorders>
              <w:top w:val="single" w:sz="8" w:color="2C6937"/>
              <w:bottom w:val="single" w:sz="8" w:color="2C6937"/>
            </w:tcBorders>
          </w:tcPr>
          <w:p>
            <w:pPr>
              <w:jc w:val="right"/>
              <w:ind w:right="307"/>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2C6937"/>
            </w:tcBorders>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960" w:type="dxa"/>
            <w:vAlign w:val="bottom"/>
            <w:tcBorders>
              <w:top w:val="single" w:sz="8" w:color="2C6937"/>
              <w:bottom w:val="single" w:sz="8" w:color="2C6937"/>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2C6937"/>
              <w:bottom w:val="single" w:sz="8" w:color="2C6937"/>
            </w:tcBorders>
          </w:tcPr>
          <w:p>
            <w:pPr>
              <w:spacing w:after="0"/>
              <w:rPr>
                <w:sz w:val="16"/>
                <w:szCs w:val="16"/>
                <w:color w:val="auto"/>
              </w:rPr>
            </w:pPr>
          </w:p>
        </w:tc>
        <w:tc>
          <w:tcPr>
            <w:tcW w:w="840" w:type="dxa"/>
            <w:vAlign w:val="bottom"/>
            <w:tcBorders>
              <w:top w:val="single" w:sz="8" w:color="2C6937"/>
              <w:bottom w:val="single" w:sz="8" w:color="2C6937"/>
            </w:tcBorders>
          </w:tcPr>
          <w:p>
            <w:pPr>
              <w:jc w:val="right"/>
              <w:ind w:right="326"/>
              <w:spacing w:after="0"/>
              <w:rPr>
                <w:sz w:val="20"/>
                <w:szCs w:val="20"/>
                <w:color w:val="auto"/>
              </w:rPr>
            </w:pPr>
            <w:r>
              <w:rPr>
                <w:rFonts w:ascii="Arial" w:cs="Arial" w:eastAsia="Arial" w:hAnsi="Arial"/>
                <w:sz w:val="14"/>
                <w:szCs w:val="14"/>
                <w:b w:val="1"/>
                <w:bCs w:val="1"/>
                <w:color w:val="auto"/>
              </w:rPr>
              <w:t>2024</w:t>
            </w:r>
          </w:p>
        </w:tc>
      </w:tr>
      <w:tr>
        <w:trPr>
          <w:trHeight w:val="185"/>
        </w:trPr>
        <w:tc>
          <w:tcPr>
            <w:tcW w:w="6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4"/>
        </w:trPr>
        <w:tc>
          <w:tcPr>
            <w:tcW w:w="6420" w:type="dxa"/>
            <w:vAlign w:val="bottom"/>
          </w:tcPr>
          <w:p>
            <w:pPr>
              <w:spacing w:after="0"/>
              <w:rPr>
                <w:sz w:val="20"/>
                <w:szCs w:val="20"/>
                <w:color w:val="auto"/>
              </w:rPr>
            </w:pPr>
            <w:r>
              <w:rPr>
                <w:rFonts w:ascii="Arial" w:cs="Arial" w:eastAsia="Arial" w:hAnsi="Arial"/>
                <w:sz w:val="15"/>
                <w:szCs w:val="15"/>
                <w:color w:val="auto"/>
              </w:rPr>
              <w:t>Net trading gains (losses)</w:t>
            </w:r>
          </w:p>
        </w:tc>
        <w:tc>
          <w:tcPr>
            <w:tcW w:w="740" w:type="dxa"/>
            <w:vAlign w:val="bottom"/>
          </w:tcPr>
          <w:p>
            <w:pPr>
              <w:jc w:val="right"/>
              <w:ind w:right="549"/>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43"/>
              <w:spacing w:after="0"/>
              <w:rPr>
                <w:sz w:val="20"/>
                <w:szCs w:val="20"/>
                <w:color w:val="auto"/>
              </w:rPr>
            </w:pPr>
            <w:r>
              <w:rPr>
                <w:rFonts w:ascii="Arial" w:cs="Arial" w:eastAsia="Arial" w:hAnsi="Arial"/>
                <w:sz w:val="15"/>
                <w:szCs w:val="15"/>
                <w:b w:val="1"/>
                <w:bCs w:val="1"/>
                <w:color w:val="auto"/>
              </w:rPr>
              <w:t>296</w:t>
            </w:r>
          </w:p>
        </w:tc>
        <w:tc>
          <w:tcPr>
            <w:tcW w:w="3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1,267</w:t>
            </w:r>
          </w:p>
        </w:tc>
        <w:tc>
          <w:tcPr>
            <w:tcW w:w="16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960" w:type="dxa"/>
            <w:vAlign w:val="bottom"/>
          </w:tcPr>
          <w:p>
            <w:pPr>
              <w:jc w:val="right"/>
              <w:ind w:right="48"/>
              <w:spacing w:after="0"/>
              <w:rPr>
                <w:sz w:val="20"/>
                <w:szCs w:val="20"/>
                <w:color w:val="auto"/>
              </w:rPr>
            </w:pPr>
            <w:r>
              <w:rPr>
                <w:rFonts w:ascii="Arial" w:cs="Arial" w:eastAsia="Arial" w:hAnsi="Arial"/>
                <w:sz w:val="15"/>
                <w:szCs w:val="15"/>
                <w:b w:val="1"/>
                <w:bCs w:val="1"/>
                <w:color w:val="auto"/>
              </w:rPr>
              <w:t>1,279</w:t>
            </w:r>
          </w:p>
        </w:tc>
        <w:tc>
          <w:tcPr>
            <w:tcW w:w="3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1,127</w:t>
            </w:r>
          </w:p>
        </w:tc>
      </w:tr>
      <w:tr>
        <w:trPr>
          <w:trHeight w:val="188"/>
        </w:trPr>
        <w:tc>
          <w:tcPr>
            <w:tcW w:w="6420" w:type="dxa"/>
            <w:vAlign w:val="bottom"/>
          </w:tcPr>
          <w:p>
            <w:pPr>
              <w:spacing w:after="0"/>
              <w:rPr>
                <w:sz w:val="20"/>
                <w:szCs w:val="20"/>
                <w:color w:val="auto"/>
              </w:rPr>
            </w:pPr>
            <w:r>
              <w:rPr>
                <w:rFonts w:ascii="Arial" w:cs="Arial" w:eastAsia="Arial" w:hAnsi="Arial"/>
                <w:sz w:val="15"/>
                <w:szCs w:val="15"/>
                <w:color w:val="auto"/>
              </w:rPr>
              <w:t>Net trading gains (losses) recognized in the period related to securities still held at period</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8"/>
        </w:trPr>
        <w:tc>
          <w:tcPr>
            <w:tcW w:w="6420" w:type="dxa"/>
            <w:vAlign w:val="bottom"/>
          </w:tcPr>
          <w:p>
            <w:pPr>
              <w:ind w:left="160"/>
              <w:spacing w:after="0"/>
              <w:rPr>
                <w:sz w:val="20"/>
                <w:szCs w:val="20"/>
                <w:color w:val="auto"/>
              </w:rPr>
            </w:pPr>
            <w:r>
              <w:rPr>
                <w:rFonts w:ascii="Arial" w:cs="Arial" w:eastAsia="Arial" w:hAnsi="Arial"/>
                <w:sz w:val="15"/>
                <w:szCs w:val="15"/>
                <w:color w:val="auto"/>
              </w:rPr>
              <w:t>end</w:t>
            </w:r>
          </w:p>
        </w:tc>
        <w:tc>
          <w:tcPr>
            <w:tcW w:w="740" w:type="dxa"/>
            <w:vAlign w:val="bottom"/>
          </w:tcPr>
          <w:p>
            <w:pPr>
              <w:spacing w:after="0"/>
              <w:rPr>
                <w:sz w:val="20"/>
                <w:szCs w:val="20"/>
                <w:color w:val="auto"/>
              </w:rPr>
            </w:pPr>
          </w:p>
        </w:tc>
        <w:tc>
          <w:tcPr>
            <w:tcW w:w="400" w:type="dxa"/>
            <w:vAlign w:val="bottom"/>
          </w:tcPr>
          <w:p>
            <w:pPr>
              <w:jc w:val="right"/>
              <w:ind w:right="43"/>
              <w:spacing w:after="0"/>
              <w:rPr>
                <w:sz w:val="20"/>
                <w:szCs w:val="20"/>
                <w:color w:val="auto"/>
              </w:rPr>
            </w:pPr>
            <w:r>
              <w:rPr>
                <w:rFonts w:ascii="Arial" w:cs="Arial" w:eastAsia="Arial" w:hAnsi="Arial"/>
                <w:sz w:val="15"/>
                <w:szCs w:val="15"/>
                <w:b w:val="1"/>
                <w:bCs w:val="1"/>
                <w:color w:val="auto"/>
              </w:rPr>
              <w:t>257</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1,074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5"/>
                <w:szCs w:val="15"/>
                <w:b w:val="1"/>
                <w:bCs w:val="1"/>
                <w:color w:val="auto"/>
              </w:rPr>
              <w:t>1,044</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938</w:t>
            </w:r>
          </w:p>
        </w:tc>
      </w:tr>
    </w:tbl>
    <w:p>
      <w:pPr>
        <w:spacing w:after="0" w:line="28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There were no significant gross unrealized gains or losses on our available-for-sale (“AFS”) investment portfolio as of September 30, 2025 or December 31, 2024. Additionally, the allowance for credit losses on our AFS investment portfolio was not significant as of September 30, 2025 or December 31, 2024.</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sales of AFS securities in the first nine months of 2025 or the first nine months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387985</wp:posOffset>
            </wp:positionV>
            <wp:extent cx="680593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89" w:name="page90"/>
    <w:bookmarkEnd w:id="89"/>
    <w:p>
      <w:pPr>
        <w:ind w:left="6300"/>
        <w:spacing w:after="0"/>
        <w:rPr>
          <w:sz w:val="20"/>
          <w:szCs w:val="20"/>
          <w:color w:val="auto"/>
        </w:rPr>
      </w:pPr>
      <w:r>
        <w:rPr>
          <w:rFonts w:ascii="Arial" w:cs="Arial" w:eastAsia="Arial" w:hAnsi="Arial"/>
          <w:sz w:val="14"/>
          <w:szCs w:val="14"/>
          <w:color w:val="05314D"/>
        </w:rPr>
        <w:t>Notes to Condensed Consolidated Financial Statements | Financial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7. Financial Guarantees</w:t>
      </w:r>
    </w:p>
    <w:p>
      <w:pPr>
        <w:spacing w:after="0" w:line="80" w:lineRule="exact"/>
        <w:rPr>
          <w:sz w:val="20"/>
          <w:szCs w:val="20"/>
          <w:color w:val="auto"/>
        </w:rPr>
      </w:pPr>
    </w:p>
    <w:p>
      <w:pPr>
        <w:ind w:right="260"/>
        <w:spacing w:after="0" w:line="263" w:lineRule="auto"/>
        <w:rPr>
          <w:sz w:val="20"/>
          <w:szCs w:val="20"/>
          <w:color w:val="auto"/>
        </w:rPr>
      </w:pPr>
      <w:r>
        <w:rPr>
          <w:rFonts w:ascii="Arial" w:cs="Arial" w:eastAsia="Arial" w:hAnsi="Arial"/>
          <w:sz w:val="16"/>
          <w:szCs w:val="16"/>
          <w:color w:val="auto"/>
        </w:rPr>
        <w:t>We recognize a guaranty obligation for our obligation to stand ready to perform on our guarantees to unconsolidated trusts and other guaranty arrangements. These off-balance sheet guarantees expose us to credit losses primarily relating to the unpaid principal balance of our unconsolidated Fannie Mae MBS and other financial guarantees. As of September 30, 2025, the maximum remaining contractual term of our guarantees is 29 years; however, the actual term of each guaranty may be significantly less than the contractual term based on the prepayment characteristics of the related mortgage loans. We measure our guaranty reserve for estimated credit losses for off-balance sheet exposures over the contractual period for which they are exposed to the credit risk, unless that obligation is unconditionally cancellable by the issuer.</w:t>
      </w:r>
    </w:p>
    <w:p>
      <w:pPr>
        <w:spacing w:after="0" w:line="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the guarantor of structured securities backed in whole or in part by Freddie Mac-issued securities, we extend our guaranty to the underlying Freddie Mac securities in our resecuritization trusts. However, Freddie Mac continues to guarantee the payment of principal and interest on the underlying Freddie Mac securities that we have resecuritized. When we began issuing UMBS, we entered into an indemnification agreement under which Freddie Mac agreed to indemnify us for losses caused by its failure to meet its payment or other specified obligations under the trust agreements pursuant to which the underlying resecuritized securities were issued. As a result, and due to the funding commitment available to Freddie Mac through its senior preferred stock purchase agreement with Treasury, we have concluded that the associated credit risk is negligible. Accordingly, we exclude from the following table Freddie Mac securities backing unconsolidated Fannie Mae-issued structured securities of $187.9 billion and $200.1 billion as of September 30, 2025 and December 31, 2024, respectively.</w:t>
      </w:r>
    </w:p>
    <w:p>
      <w:pPr>
        <w:spacing w:after="0" w:line="43"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The following table displays our off-balance sheet maximum exposure, guaranty obligation recognized in our condensed consolidated balance sheets and the potential maximum recovery from third parties through available credit enhancements and recourse related to our financial guarantees.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260" w:type="dxa"/>
            <w:vAlign w:val="bottom"/>
            <w:tcBorders>
              <w:bottom w:val="single" w:sz="8" w:color="2C6937"/>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86"/>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400" w:type="dxa"/>
            <w:vAlign w:val="bottom"/>
            <w:tcBorders>
              <w:bottom w:val="single" w:sz="8" w:color="2C6937"/>
            </w:tcBorders>
            <w:gridSpan w:val="5"/>
          </w:tcPr>
          <w:p>
            <w:pPr>
              <w:jc w:val="right"/>
              <w:ind w:right="3"/>
              <w:spacing w:after="0"/>
              <w:rPr>
                <w:sz w:val="20"/>
                <w:szCs w:val="20"/>
                <w:color w:val="auto"/>
              </w:rPr>
            </w:pPr>
            <w:r>
              <w:rPr>
                <w:rFonts w:ascii="Arial" w:cs="Arial" w:eastAsia="Arial" w:hAnsi="Arial"/>
                <w:sz w:val="14"/>
                <w:szCs w:val="14"/>
                <w:b w:val="1"/>
                <w:bCs w:val="1"/>
                <w:color w:val="auto"/>
                <w:w w:val="99"/>
              </w:rPr>
              <w:t>September 30, 2025</w:t>
            </w:r>
          </w:p>
        </w:tc>
        <w:tc>
          <w:tcPr>
            <w:tcW w:w="9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280" w:type="dxa"/>
            <w:vAlign w:val="bottom"/>
            <w:tcBorders>
              <w:bottom w:val="single" w:sz="8" w:color="2C6937"/>
            </w:tcBorders>
            <w:gridSpan w:val="4"/>
          </w:tcPr>
          <w:p>
            <w:pPr>
              <w:jc w:val="center"/>
              <w:spacing w:after="0"/>
              <w:rPr>
                <w:sz w:val="20"/>
                <w:szCs w:val="20"/>
                <w:color w:val="auto"/>
              </w:rPr>
            </w:pPr>
            <w:r>
              <w:rPr>
                <w:rFonts w:ascii="Arial" w:cs="Arial" w:eastAsia="Arial" w:hAnsi="Arial"/>
                <w:sz w:val="14"/>
                <w:szCs w:val="14"/>
                <w:b w:val="1"/>
                <w:bCs w:val="1"/>
                <w:color w:val="auto"/>
                <w:w w:val="98"/>
              </w:rPr>
              <w:t>December 31, 2024</w:t>
            </w:r>
          </w:p>
        </w:tc>
        <w:tc>
          <w:tcPr>
            <w:tcW w:w="14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spacing w:after="0"/>
              <w:rPr>
                <w:sz w:val="16"/>
                <w:szCs w:val="16"/>
                <w:color w:val="auto"/>
              </w:rPr>
            </w:pPr>
          </w:p>
        </w:tc>
      </w:tr>
      <w:tr>
        <w:trPr>
          <w:trHeight w:val="176"/>
        </w:trPr>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26"/>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Guaranty</w:t>
            </w:r>
          </w:p>
        </w:tc>
        <w:tc>
          <w:tcPr>
            <w:tcW w:w="140" w:type="dxa"/>
            <w:vAlign w:val="bottom"/>
          </w:tcPr>
          <w:p>
            <w:pPr>
              <w:spacing w:after="0"/>
              <w:rPr>
                <w:sz w:val="15"/>
                <w:szCs w:val="15"/>
                <w:color w:val="auto"/>
              </w:rPr>
            </w:pPr>
          </w:p>
        </w:tc>
        <w:tc>
          <w:tcPr>
            <w:tcW w:w="960" w:type="dxa"/>
            <w:vAlign w:val="bottom"/>
          </w:tcPr>
          <w:p>
            <w:pPr>
              <w:jc w:val="right"/>
              <w:ind w:right="166"/>
              <w:spacing w:after="0"/>
              <w:rPr>
                <w:sz w:val="20"/>
                <w:szCs w:val="20"/>
                <w:color w:val="auto"/>
              </w:rPr>
            </w:pPr>
            <w:r>
              <w:rPr>
                <w:rFonts w:ascii="Arial" w:cs="Arial" w:eastAsia="Arial" w:hAnsi="Arial"/>
                <w:sz w:val="14"/>
                <w:szCs w:val="14"/>
                <w:b w:val="1"/>
                <w:bCs w:val="1"/>
                <w:color w:val="auto"/>
              </w:rPr>
              <w:t>Maximum</w:t>
            </w:r>
          </w:p>
        </w:tc>
      </w:tr>
      <w:tr>
        <w:trPr>
          <w:trHeight w:val="205"/>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ind w:right="126"/>
              <w:spacing w:after="0"/>
              <w:rPr>
                <w:sz w:val="20"/>
                <w:szCs w:val="20"/>
                <w:color w:val="auto"/>
              </w:rPr>
            </w:pPr>
            <w:r>
              <w:rPr>
                <w:rFonts w:ascii="Arial" w:cs="Arial" w:eastAsia="Arial" w:hAnsi="Arial"/>
                <w:sz w:val="14"/>
                <w:szCs w:val="14"/>
                <w:b w:val="1"/>
                <w:bCs w:val="1"/>
                <w:color w:val="auto"/>
              </w:rPr>
              <w:t>Exposure</w:t>
            </w: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Recovery</w:t>
            </w:r>
            <w:r>
              <w:rPr>
                <w:rFonts w:ascii="Arial" w:cs="Arial" w:eastAsia="Arial" w:hAnsi="Arial"/>
                <w:sz w:val="17"/>
                <w:szCs w:val="17"/>
                <w:b w:val="1"/>
                <w:bCs w:val="1"/>
                <w:color w:val="auto"/>
                <w:w w:val="93"/>
                <w:vertAlign w:val="superscript"/>
              </w:rPr>
              <w:t>(1)</w:t>
            </w:r>
          </w:p>
        </w:tc>
        <w:tc>
          <w:tcPr>
            <w:tcW w:w="18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Exposure</w:t>
            </w:r>
          </w:p>
        </w:tc>
        <w:tc>
          <w:tcPr>
            <w:tcW w:w="100" w:type="dxa"/>
            <w:vAlign w:val="bottom"/>
            <w:tcBorders>
              <w:bottom w:val="single" w:sz="8" w:color="2C6937"/>
            </w:tcBorders>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Obligation</w:t>
            </w:r>
          </w:p>
        </w:tc>
        <w:tc>
          <w:tcPr>
            <w:tcW w:w="14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26"/>
              <w:spacing w:after="0"/>
              <w:rPr>
                <w:sz w:val="20"/>
                <w:szCs w:val="20"/>
                <w:color w:val="auto"/>
              </w:rPr>
            </w:pPr>
            <w:r>
              <w:rPr>
                <w:rFonts w:ascii="Arial" w:cs="Arial" w:eastAsia="Arial" w:hAnsi="Arial"/>
                <w:sz w:val="14"/>
                <w:szCs w:val="14"/>
                <w:b w:val="1"/>
                <w:bCs w:val="1"/>
                <w:color w:val="auto"/>
                <w:w w:val="96"/>
              </w:rPr>
              <w:t>Recovery</w:t>
            </w:r>
            <w:r>
              <w:rPr>
                <w:rFonts w:ascii="Arial" w:cs="Arial" w:eastAsia="Arial" w:hAnsi="Arial"/>
                <w:sz w:val="17"/>
                <w:szCs w:val="17"/>
                <w:b w:val="1"/>
                <w:bCs w:val="1"/>
                <w:color w:val="auto"/>
                <w:w w:val="96"/>
                <w:vertAlign w:val="superscript"/>
              </w:rPr>
              <w:t>(1)</w:t>
            </w:r>
          </w:p>
        </w:tc>
      </w:tr>
      <w:tr>
        <w:trPr>
          <w:trHeight w:val="185"/>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4"/>
          </w:tcPr>
          <w:p>
            <w:pPr>
              <w:jc w:val="right"/>
              <w:ind w:right="386"/>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4"/>
        </w:trPr>
        <w:tc>
          <w:tcPr>
            <w:tcW w:w="4280" w:type="dxa"/>
            <w:vAlign w:val="bottom"/>
            <w:gridSpan w:val="2"/>
          </w:tcPr>
          <w:p>
            <w:pPr>
              <w:ind w:left="20"/>
              <w:spacing w:after="0"/>
              <w:rPr>
                <w:sz w:val="20"/>
                <w:szCs w:val="20"/>
                <w:color w:val="auto"/>
              </w:rPr>
            </w:pPr>
            <w:r>
              <w:rPr>
                <w:rFonts w:ascii="Arial" w:cs="Arial" w:eastAsia="Arial" w:hAnsi="Arial"/>
                <w:sz w:val="15"/>
                <w:szCs w:val="15"/>
                <w:color w:val="auto"/>
              </w:rPr>
              <w:t>Unconsolidated Fannie Mae MBS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2,295</w:t>
            </w:r>
          </w:p>
        </w:tc>
        <w:tc>
          <w:tcPr>
            <w:tcW w:w="2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b w:val="1"/>
                <w:bCs w:val="1"/>
                <w:color w:val="auto"/>
              </w:rPr>
              <w:t>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2,251</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2,484</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2,432</w:t>
            </w:r>
          </w:p>
        </w:tc>
      </w:tr>
      <w:tr>
        <w:trPr>
          <w:trHeight w:val="226"/>
        </w:trPr>
        <w:tc>
          <w:tcPr>
            <w:tcW w:w="4180" w:type="dxa"/>
            <w:vAlign w:val="bottom"/>
            <w:tcBorders>
              <w:bottom w:val="single" w:sz="8" w:color="2C6937"/>
            </w:tcBorders>
          </w:tcPr>
          <w:p>
            <w:pPr>
              <w:ind w:left="20"/>
              <w:spacing w:after="0" w:line="226" w:lineRule="exact"/>
              <w:rPr>
                <w:sz w:val="20"/>
                <w:szCs w:val="20"/>
                <w:color w:val="auto"/>
              </w:rPr>
            </w:pPr>
            <w:r>
              <w:rPr>
                <w:rFonts w:ascii="Arial" w:cs="Arial" w:eastAsia="Arial" w:hAnsi="Arial"/>
                <w:sz w:val="15"/>
                <w:szCs w:val="15"/>
                <w:color w:val="auto"/>
              </w:rPr>
              <w:t>Other guaranty arrangements</w:t>
            </w:r>
            <w:r>
              <w:rPr>
                <w:rFonts w:ascii="Arial" w:cs="Arial" w:eastAsia="Arial" w:hAnsi="Arial"/>
                <w:sz w:val="20"/>
                <w:szCs w:val="20"/>
                <w:color w:val="auto"/>
                <w:vertAlign w:val="superscript"/>
              </w:rPr>
              <w:t>(2)</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9,018</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b w:val="1"/>
                <w:bCs w:val="1"/>
                <w:color w:val="auto"/>
              </w:rPr>
              <w:t>49</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2,059</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8,914</w:t>
            </w:r>
          </w:p>
        </w:tc>
        <w:tc>
          <w:tcPr>
            <w:tcW w:w="10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2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1,954</w:t>
            </w:r>
          </w:p>
        </w:tc>
      </w:tr>
      <w:tr>
        <w:trPr>
          <w:trHeight w:val="199"/>
        </w:trPr>
        <w:tc>
          <w:tcPr>
            <w:tcW w:w="4280" w:type="dxa"/>
            <w:vAlign w:val="bottom"/>
            <w:gridSpan w:val="2"/>
          </w:tcPr>
          <w:p>
            <w:pPr>
              <w:ind w:left="100"/>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11,313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ind w:right="6"/>
              <w:spacing w:after="0"/>
              <w:rPr>
                <w:sz w:val="20"/>
                <w:szCs w:val="20"/>
                <w:color w:val="auto"/>
              </w:rPr>
            </w:pPr>
            <w:r>
              <w:rPr>
                <w:rFonts w:ascii="Arial" w:cs="Arial" w:eastAsia="Arial" w:hAnsi="Arial"/>
                <w:sz w:val="15"/>
                <w:szCs w:val="15"/>
                <w:b w:val="1"/>
                <w:bCs w:val="1"/>
                <w:color w:val="auto"/>
              </w:rPr>
              <w:t>62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4,310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11,398</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4,386</w:t>
            </w:r>
          </w:p>
        </w:tc>
      </w:tr>
      <w:tr>
        <w:trPr>
          <w:trHeight w:val="20"/>
        </w:trPr>
        <w:tc>
          <w:tcPr>
            <w:tcW w:w="4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8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r>
    </w:tbl>
    <w:p>
      <w:pPr>
        <w:spacing w:after="0" w:line="121" w:lineRule="exact"/>
        <w:rPr>
          <w:sz w:val="20"/>
          <w:szCs w:val="20"/>
          <w:color w:val="auto"/>
        </w:rPr>
      </w:pPr>
    </w:p>
    <w:p>
      <w:pPr>
        <w:ind w:left="240" w:hanging="237"/>
        <w:spacing w:after="0" w:line="218" w:lineRule="auto"/>
        <w:tabs>
          <w:tab w:leader="none" w:pos="233"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Recoverability of such credit enhancements and recourse is subject to, among other factors, the ability of our mortgage insurers and the U.S. government, as a financial guarantor, to meet their obligations to us.</w:t>
      </w:r>
    </w:p>
    <w:p>
      <w:pPr>
        <w:ind w:left="220" w:hanging="217"/>
        <w:spacing w:after="0"/>
        <w:tabs>
          <w:tab w:leader="none" w:pos="2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Primarily consists of credit enhancements and long-term standby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364490</wp:posOffset>
            </wp:positionV>
            <wp:extent cx="680593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0" w:name="page91"/>
    <w:bookmarkEnd w:id="90"/>
    <w:p>
      <w:pPr>
        <w:ind w:left="5640"/>
        <w:spacing w:after="0"/>
        <w:rPr>
          <w:sz w:val="20"/>
          <w:szCs w:val="20"/>
          <w:color w:val="auto"/>
        </w:rPr>
      </w:pPr>
      <w:r>
        <w:rPr>
          <w:rFonts w:ascii="Arial" w:cs="Arial" w:eastAsia="Arial" w:hAnsi="Arial"/>
          <w:sz w:val="13"/>
          <w:szCs w:val="13"/>
          <w:color w:val="05314D"/>
        </w:rPr>
        <w:t>Notes to Condensed Consolidated Financial Statements | Short-Term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8. Short-Term and Long-Term Debt</w:t>
      </w:r>
    </w:p>
    <w:p>
      <w:pPr>
        <w:spacing w:after="0" w:line="12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Short-Term Debt</w:t>
      </w:r>
    </w:p>
    <w:p>
      <w:pPr>
        <w:spacing w:after="0" w:line="6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following table displays our outstanding short-term debt (debt with an original contractual maturity of one year or less) and weighted-average interest rates of this debt.</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8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tcPr>
          <w:p>
            <w:pPr>
              <w:spacing w:after="0"/>
              <w:rPr>
                <w:sz w:val="16"/>
                <w:szCs w:val="16"/>
                <w:color w:val="auto"/>
              </w:rPr>
            </w:pPr>
          </w:p>
        </w:tc>
        <w:tc>
          <w:tcPr>
            <w:tcW w:w="1900" w:type="dxa"/>
            <w:vAlign w:val="bottom"/>
            <w:tcBorders>
              <w:bottom w:val="single" w:sz="8" w:color="2C6937"/>
            </w:tcBorders>
            <w:gridSpan w:val="3"/>
          </w:tcPr>
          <w:p>
            <w:pPr>
              <w:jc w:val="center"/>
              <w:ind w:left="1270"/>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tcPr>
          <w:p>
            <w:pPr>
              <w:spacing w:after="0"/>
              <w:rPr>
                <w:sz w:val="16"/>
                <w:szCs w:val="16"/>
                <w:color w:val="auto"/>
              </w:rPr>
            </w:pPr>
          </w:p>
        </w:tc>
      </w:tr>
      <w:tr>
        <w:trPr>
          <w:trHeight w:val="186"/>
        </w:trPr>
        <w:tc>
          <w:tcPr>
            <w:tcW w:w="488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880" w:type="dxa"/>
            <w:vAlign w:val="bottom"/>
            <w:tcBorders>
              <w:bottom w:val="single" w:sz="8" w:color="2C6937"/>
            </w:tcBorders>
            <w:gridSpan w:val="2"/>
          </w:tcPr>
          <w:p>
            <w:pPr>
              <w:ind w:left="700"/>
              <w:spacing w:after="0"/>
              <w:rPr>
                <w:sz w:val="20"/>
                <w:szCs w:val="20"/>
                <w:color w:val="auto"/>
              </w:rPr>
            </w:pPr>
            <w:r>
              <w:rPr>
                <w:rFonts w:ascii="Arial" w:cs="Arial" w:eastAsia="Arial" w:hAnsi="Arial"/>
                <w:sz w:val="14"/>
                <w:szCs w:val="14"/>
                <w:b w:val="1"/>
                <w:bCs w:val="1"/>
                <w:color w:val="auto"/>
              </w:rPr>
              <w:t>September 30, 2025</w:t>
            </w:r>
          </w:p>
        </w:tc>
        <w:tc>
          <w:tcPr>
            <w:tcW w:w="120" w:type="dxa"/>
            <w:vAlign w:val="bottom"/>
          </w:tcPr>
          <w:p>
            <w:pPr>
              <w:spacing w:after="0"/>
              <w:rPr>
                <w:sz w:val="16"/>
                <w:szCs w:val="16"/>
                <w:color w:val="auto"/>
              </w:rPr>
            </w:pPr>
          </w:p>
        </w:tc>
        <w:tc>
          <w:tcPr>
            <w:tcW w:w="220" w:type="dxa"/>
            <w:vAlign w:val="bottom"/>
            <w:tcBorders>
              <w:bottom w:val="single" w:sz="8" w:color="2C6937"/>
            </w:tcBorders>
          </w:tcPr>
          <w:p>
            <w:pPr>
              <w:spacing w:after="0"/>
              <w:rPr>
                <w:sz w:val="16"/>
                <w:szCs w:val="16"/>
                <w:color w:val="auto"/>
              </w:rPr>
            </w:pPr>
          </w:p>
        </w:tc>
        <w:tc>
          <w:tcPr>
            <w:tcW w:w="2880" w:type="dxa"/>
            <w:vAlign w:val="bottom"/>
            <w:tcBorders>
              <w:bottom w:val="single" w:sz="8" w:color="2C6937"/>
            </w:tcBorders>
            <w:gridSpan w:val="2"/>
          </w:tcPr>
          <w:p>
            <w:pPr>
              <w:jc w:val="right"/>
              <w:ind w:right="868"/>
              <w:spacing w:after="0"/>
              <w:rPr>
                <w:sz w:val="20"/>
                <w:szCs w:val="20"/>
                <w:color w:val="auto"/>
              </w:rPr>
            </w:pPr>
            <w:r>
              <w:rPr>
                <w:rFonts w:ascii="Arial" w:cs="Arial" w:eastAsia="Arial" w:hAnsi="Arial"/>
                <w:sz w:val="14"/>
                <w:szCs w:val="14"/>
                <w:b w:val="1"/>
                <w:bCs w:val="1"/>
                <w:color w:val="auto"/>
              </w:rPr>
              <w:t>December 31, 2024</w:t>
            </w:r>
          </w:p>
        </w:tc>
      </w:tr>
      <w:tr>
        <w:trPr>
          <w:trHeight w:val="165"/>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Weighted- Average</w:t>
            </w: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Weighted- Average</w:t>
            </w:r>
          </w:p>
        </w:tc>
      </w:tr>
      <w:tr>
        <w:trPr>
          <w:trHeight w:val="215"/>
        </w:trPr>
        <w:tc>
          <w:tcPr>
            <w:tcW w:w="4880" w:type="dxa"/>
            <w:vAlign w:val="bottom"/>
          </w:tcPr>
          <w:p>
            <w:pPr>
              <w:spacing w:after="0"/>
              <w:rPr>
                <w:sz w:val="18"/>
                <w:szCs w:val="18"/>
                <w:color w:val="auto"/>
              </w:rPr>
            </w:pPr>
          </w:p>
        </w:tc>
        <w:tc>
          <w:tcPr>
            <w:tcW w:w="220" w:type="dxa"/>
            <w:vAlign w:val="bottom"/>
            <w:tcBorders>
              <w:bottom w:val="single" w:sz="8" w:color="2C6937"/>
            </w:tcBorders>
          </w:tcPr>
          <w:p>
            <w:pPr>
              <w:spacing w:after="0"/>
              <w:rPr>
                <w:sz w:val="18"/>
                <w:szCs w:val="18"/>
                <w:color w:val="auto"/>
              </w:rPr>
            </w:pPr>
          </w:p>
        </w:tc>
        <w:tc>
          <w:tcPr>
            <w:tcW w:w="1320" w:type="dxa"/>
            <w:vAlign w:val="bottom"/>
            <w:tcBorders>
              <w:bottom w:val="single" w:sz="8" w:color="2C6937"/>
            </w:tcBorders>
          </w:tcPr>
          <w:p>
            <w:pPr>
              <w:ind w:left="100"/>
              <w:spacing w:after="0"/>
              <w:rPr>
                <w:sz w:val="20"/>
                <w:szCs w:val="20"/>
                <w:color w:val="auto"/>
              </w:rPr>
            </w:pPr>
            <w:r>
              <w:rPr>
                <w:rFonts w:ascii="Arial" w:cs="Arial" w:eastAsia="Arial" w:hAnsi="Arial"/>
                <w:sz w:val="14"/>
                <w:szCs w:val="14"/>
                <w:b w:val="1"/>
                <w:bCs w:val="1"/>
                <w:color w:val="auto"/>
              </w:rPr>
              <w:t>Outstanding</w:t>
            </w:r>
          </w:p>
        </w:tc>
        <w:tc>
          <w:tcPr>
            <w:tcW w:w="1900" w:type="dxa"/>
            <w:vAlign w:val="bottom"/>
            <w:tcBorders>
              <w:bottom w:val="single" w:sz="8" w:color="2C6937"/>
            </w:tcBorders>
            <w:gridSpan w:val="3"/>
          </w:tcPr>
          <w:p>
            <w:pPr>
              <w:jc w:val="center"/>
              <w:ind w:right="320"/>
              <w:spacing w:after="0"/>
              <w:rPr>
                <w:sz w:val="20"/>
                <w:szCs w:val="20"/>
                <w:color w:val="auto"/>
              </w:rPr>
            </w:pPr>
            <w:r>
              <w:rPr>
                <w:rFonts w:ascii="Arial" w:cs="Arial" w:eastAsia="Arial" w:hAnsi="Arial"/>
                <w:sz w:val="14"/>
                <w:szCs w:val="14"/>
                <w:b w:val="1"/>
                <w:bCs w:val="1"/>
                <w:color w:val="auto"/>
                <w:w w:val="99"/>
              </w:rPr>
              <w:t>Interest Rate</w:t>
            </w:r>
            <w:r>
              <w:rPr>
                <w:rFonts w:ascii="Arial" w:cs="Arial" w:eastAsia="Arial" w:hAnsi="Arial"/>
                <w:sz w:val="8"/>
                <w:szCs w:val="8"/>
                <w:b w:val="1"/>
                <w:bCs w:val="1"/>
                <w:color w:val="auto"/>
                <w:w w:val="99"/>
              </w:rPr>
              <w:t>(1)</w:t>
            </w:r>
          </w:p>
        </w:tc>
        <w:tc>
          <w:tcPr>
            <w:tcW w:w="1320" w:type="dxa"/>
            <w:vAlign w:val="bottom"/>
            <w:tcBorders>
              <w:bottom w:val="single" w:sz="8" w:color="2C6937"/>
            </w:tcBorders>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15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Interest Rate</w:t>
            </w:r>
            <w:r>
              <w:rPr>
                <w:rFonts w:ascii="Arial" w:cs="Arial" w:eastAsia="Arial" w:hAnsi="Arial"/>
                <w:sz w:val="8"/>
                <w:szCs w:val="8"/>
                <w:b w:val="1"/>
                <w:bCs w:val="1"/>
                <w:color w:val="auto"/>
                <w:w w:val="99"/>
              </w:rPr>
              <w:t>(1)</w:t>
            </w:r>
          </w:p>
        </w:tc>
      </w:tr>
      <w:tr>
        <w:trPr>
          <w:trHeight w:val="185"/>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1560" w:type="dxa"/>
            <w:vAlign w:val="bottom"/>
          </w:tcPr>
          <w:p>
            <w:pPr>
              <w:spacing w:after="0"/>
              <w:rPr>
                <w:sz w:val="16"/>
                <w:szCs w:val="16"/>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5"/>
                <w:szCs w:val="15"/>
                <w:color w:val="auto"/>
              </w:rPr>
              <w:t>Short-term debt of Fannie Mae</w:t>
            </w: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320" w:type="dxa"/>
            <w:vAlign w:val="bottom"/>
          </w:tcPr>
          <w:p>
            <w:pPr>
              <w:ind w:left="680"/>
              <w:spacing w:after="0"/>
              <w:rPr>
                <w:sz w:val="20"/>
                <w:szCs w:val="20"/>
                <w:color w:val="auto"/>
              </w:rPr>
            </w:pPr>
            <w:r>
              <w:rPr>
                <w:rFonts w:ascii="Arial" w:cs="Arial" w:eastAsia="Arial" w:hAnsi="Arial"/>
                <w:sz w:val="15"/>
                <w:szCs w:val="15"/>
                <w:b w:val="1"/>
                <w:bCs w:val="1"/>
                <w:color w:val="auto"/>
              </w:rPr>
              <w:t>19,922</w:t>
            </w:r>
          </w:p>
        </w:tc>
        <w:tc>
          <w:tcPr>
            <w:tcW w:w="190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 xml:space="preserve">4.16 %  </w:t>
            </w:r>
            <w:r>
              <w:rPr>
                <w:rFonts w:ascii="Arial" w:cs="Arial" w:eastAsia="Arial" w:hAnsi="Arial"/>
                <w:sz w:val="15"/>
                <w:szCs w:val="15"/>
                <w:color w:val="auto"/>
              </w:rPr>
              <w:t>$</w:t>
            </w:r>
          </w:p>
        </w:tc>
        <w:tc>
          <w:tcPr>
            <w:tcW w:w="1320" w:type="dxa"/>
            <w:vAlign w:val="bottom"/>
          </w:tcPr>
          <w:p>
            <w:pPr>
              <w:jc w:val="right"/>
              <w:ind w:right="108"/>
              <w:spacing w:after="0"/>
              <w:rPr>
                <w:sz w:val="20"/>
                <w:szCs w:val="20"/>
                <w:color w:val="auto"/>
              </w:rPr>
            </w:pPr>
            <w:r>
              <w:rPr>
                <w:rFonts w:ascii="Arial" w:cs="Arial" w:eastAsia="Arial" w:hAnsi="Arial"/>
                <w:sz w:val="15"/>
                <w:szCs w:val="15"/>
                <w:color w:val="auto"/>
              </w:rPr>
              <w:t>11,188</w:t>
            </w:r>
          </w:p>
        </w:tc>
        <w:tc>
          <w:tcPr>
            <w:tcW w:w="1560" w:type="dxa"/>
            <w:vAlign w:val="bottom"/>
          </w:tcPr>
          <w:p>
            <w:pPr>
              <w:jc w:val="right"/>
              <w:spacing w:after="0"/>
              <w:rPr>
                <w:sz w:val="20"/>
                <w:szCs w:val="20"/>
                <w:color w:val="auto"/>
              </w:rPr>
            </w:pPr>
            <w:r>
              <w:rPr>
                <w:rFonts w:ascii="Arial" w:cs="Arial" w:eastAsia="Arial" w:hAnsi="Arial"/>
                <w:sz w:val="15"/>
                <w:szCs w:val="15"/>
                <w:color w:val="auto"/>
              </w:rPr>
              <w:t>4.33 %</w:t>
            </w:r>
          </w:p>
        </w:tc>
      </w:tr>
    </w:tbl>
    <w:p>
      <w:pPr>
        <w:spacing w:after="0" w:line="102" w:lineRule="exact"/>
        <w:rPr>
          <w:sz w:val="20"/>
          <w:szCs w:val="20"/>
          <w:color w:val="auto"/>
        </w:rPr>
      </w:pPr>
    </w:p>
    <w:p>
      <w:pPr>
        <w:ind w:left="220" w:hanging="217"/>
        <w:spacing w:after="0"/>
        <w:tabs>
          <w:tab w:leader="none" w:pos="220" w:val="left"/>
        </w:tabs>
        <w:numPr>
          <w:ilvl w:val="0"/>
          <w:numId w:val="71"/>
        </w:numPr>
        <w:rPr>
          <w:rFonts w:ascii="Arial" w:cs="Arial" w:eastAsia="Arial" w:hAnsi="Arial"/>
          <w:sz w:val="9"/>
          <w:szCs w:val="9"/>
          <w:color w:val="auto"/>
        </w:rPr>
      </w:pPr>
      <w:r>
        <w:rPr>
          <w:rFonts w:ascii="Arial" w:cs="Arial" w:eastAsia="Arial" w:hAnsi="Arial"/>
          <w:sz w:val="14"/>
          <w:szCs w:val="14"/>
          <w:color w:val="auto"/>
        </w:rPr>
        <w:t>Includes the effects of discounts, premiums and other cost basis adjustments.</w:t>
      </w:r>
    </w:p>
    <w:p>
      <w:pPr>
        <w:spacing w:after="0" w:line="11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Long-Term Debt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Long-term debt represents debt with an original contractual maturity of greater than one year. The following table displays our outstanding long-term debt.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126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8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gridSpan w:val="3"/>
          </w:tcPr>
          <w:p>
            <w:pPr>
              <w:jc w:val="center"/>
              <w:ind w:left="985"/>
              <w:spacing w:after="0"/>
              <w:rPr>
                <w:sz w:val="20"/>
                <w:szCs w:val="20"/>
                <w:color w:val="auto"/>
              </w:rPr>
            </w:pPr>
            <w:r>
              <w:rPr>
                <w:rFonts w:ascii="Arial" w:cs="Arial" w:eastAsia="Arial" w:hAnsi="Arial"/>
                <w:sz w:val="14"/>
                <w:szCs w:val="14"/>
                <w:b w:val="1"/>
                <w:bCs w:val="1"/>
                <w:color w:val="auto"/>
                <w:w w:val="97"/>
              </w:rPr>
              <w:t>As of</w:t>
            </w:r>
          </w:p>
        </w:tc>
        <w:tc>
          <w:tcPr>
            <w:tcW w:w="112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r>
      <w:tr>
        <w:trPr>
          <w:trHeight w:val="186"/>
        </w:trPr>
        <w:tc>
          <w:tcPr>
            <w:tcW w:w="3500" w:type="dxa"/>
            <w:vAlign w:val="bottom"/>
          </w:tcPr>
          <w:p>
            <w:pPr>
              <w:spacing w:after="0"/>
              <w:rPr>
                <w:sz w:val="16"/>
                <w:szCs w:val="16"/>
                <w:color w:val="auto"/>
              </w:rPr>
            </w:pPr>
          </w:p>
        </w:tc>
        <w:tc>
          <w:tcPr>
            <w:tcW w:w="1260" w:type="dxa"/>
            <w:vAlign w:val="bottom"/>
            <w:tcBorders>
              <w:bottom w:val="single" w:sz="8" w:color="2C6937"/>
            </w:tcBorders>
          </w:tcPr>
          <w:p>
            <w:pPr>
              <w:spacing w:after="0"/>
              <w:rPr>
                <w:sz w:val="16"/>
                <w:szCs w:val="16"/>
                <w:color w:val="auto"/>
              </w:rPr>
            </w:pPr>
          </w:p>
        </w:tc>
        <w:tc>
          <w:tcPr>
            <w:tcW w:w="134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September 30, 2025</w:t>
            </w:r>
          </w:p>
        </w:tc>
        <w:tc>
          <w:tcPr>
            <w:tcW w:w="122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1120" w:type="dxa"/>
            <w:vAlign w:val="bottom"/>
            <w:tcBorders>
              <w:bottom w:val="single" w:sz="8" w:color="2C6937"/>
            </w:tcBorders>
          </w:tcPr>
          <w:p>
            <w:pPr>
              <w:spacing w:after="0"/>
              <w:rPr>
                <w:sz w:val="16"/>
                <w:szCs w:val="16"/>
                <w:color w:val="auto"/>
              </w:rPr>
            </w:pPr>
          </w:p>
        </w:tc>
        <w:tc>
          <w:tcPr>
            <w:tcW w:w="1320" w:type="dxa"/>
            <w:vAlign w:val="bottom"/>
            <w:tcBorders>
              <w:bottom w:val="single" w:sz="8" w:color="2C6937"/>
            </w:tcBorders>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1220" w:type="dxa"/>
            <w:vAlign w:val="bottom"/>
            <w:tcBorders>
              <w:bottom w:val="single" w:sz="8" w:color="2C6937"/>
            </w:tcBorders>
          </w:tcPr>
          <w:p>
            <w:pPr>
              <w:spacing w:after="0"/>
              <w:rPr>
                <w:sz w:val="16"/>
                <w:szCs w:val="16"/>
                <w:color w:val="auto"/>
              </w:rPr>
            </w:pPr>
          </w:p>
        </w:tc>
      </w:tr>
      <w:tr>
        <w:trPr>
          <w:trHeight w:val="165"/>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Weighted-</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ind w:left="44"/>
              <w:spacing w:after="0"/>
              <w:rPr>
                <w:sz w:val="20"/>
                <w:szCs w:val="20"/>
                <w:color w:val="auto"/>
              </w:rPr>
            </w:pPr>
            <w:r>
              <w:rPr>
                <w:rFonts w:ascii="Arial" w:cs="Arial" w:eastAsia="Arial" w:hAnsi="Arial"/>
                <w:sz w:val="14"/>
                <w:szCs w:val="14"/>
                <w:b w:val="1"/>
                <w:bCs w:val="1"/>
                <w:color w:val="auto"/>
                <w:w w:val="97"/>
              </w:rPr>
              <w:t>Weighted-</w:t>
            </w:r>
          </w:p>
        </w:tc>
      </w:tr>
      <w:tr>
        <w:trPr>
          <w:trHeight w:val="168"/>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Average Interest</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ind w:left="24"/>
              <w:spacing w:after="0"/>
              <w:rPr>
                <w:sz w:val="20"/>
                <w:szCs w:val="20"/>
                <w:color w:val="auto"/>
              </w:rPr>
            </w:pPr>
            <w:r>
              <w:rPr>
                <w:rFonts w:ascii="Arial" w:cs="Arial" w:eastAsia="Arial" w:hAnsi="Arial"/>
                <w:sz w:val="14"/>
                <w:szCs w:val="14"/>
                <w:b w:val="1"/>
                <w:bCs w:val="1"/>
                <w:color w:val="auto"/>
                <w:w w:val="98"/>
              </w:rPr>
              <w:t>Average Interest</w:t>
            </w:r>
          </w:p>
        </w:tc>
      </w:tr>
      <w:tr>
        <w:trPr>
          <w:trHeight w:val="203"/>
        </w:trPr>
        <w:tc>
          <w:tcPr>
            <w:tcW w:w="3500" w:type="dxa"/>
            <w:vAlign w:val="bottom"/>
          </w:tcPr>
          <w:p>
            <w:pPr>
              <w:spacing w:after="0"/>
              <w:rPr>
                <w:sz w:val="17"/>
                <w:szCs w:val="17"/>
                <w:color w:val="auto"/>
              </w:rPr>
            </w:pPr>
          </w:p>
        </w:tc>
        <w:tc>
          <w:tcPr>
            <w:tcW w:w="1260" w:type="dxa"/>
            <w:vAlign w:val="bottom"/>
            <w:tcBorders>
              <w:bottom w:val="single" w:sz="8" w:color="2C6937"/>
            </w:tcBorders>
          </w:tcPr>
          <w:p>
            <w:pPr>
              <w:ind w:left="260"/>
              <w:spacing w:after="0"/>
              <w:rPr>
                <w:sz w:val="20"/>
                <w:szCs w:val="20"/>
                <w:color w:val="auto"/>
              </w:rPr>
            </w:pPr>
            <w:r>
              <w:rPr>
                <w:rFonts w:ascii="Arial" w:cs="Arial" w:eastAsia="Arial" w:hAnsi="Arial"/>
                <w:sz w:val="14"/>
                <w:szCs w:val="14"/>
                <w:b w:val="1"/>
                <w:bCs w:val="1"/>
                <w:color w:val="auto"/>
              </w:rPr>
              <w:t>Maturities</w:t>
            </w: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ind w:right="143"/>
              <w:spacing w:after="0"/>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(1)</w:t>
            </w:r>
          </w:p>
        </w:tc>
        <w:tc>
          <w:tcPr>
            <w:tcW w:w="148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(2)</w:t>
            </w:r>
          </w:p>
        </w:tc>
        <w:tc>
          <w:tcPr>
            <w:tcW w:w="1120" w:type="dxa"/>
            <w:vAlign w:val="bottom"/>
            <w:tcBorders>
              <w:bottom w:val="single" w:sz="8" w:color="2C6937"/>
            </w:tcBorders>
          </w:tcPr>
          <w:p>
            <w:pPr>
              <w:ind w:left="120"/>
              <w:spacing w:after="0"/>
              <w:rPr>
                <w:sz w:val="20"/>
                <w:szCs w:val="20"/>
                <w:color w:val="auto"/>
              </w:rPr>
            </w:pPr>
            <w:r>
              <w:rPr>
                <w:rFonts w:ascii="Arial" w:cs="Arial" w:eastAsia="Arial" w:hAnsi="Arial"/>
                <w:sz w:val="14"/>
                <w:szCs w:val="14"/>
                <w:b w:val="1"/>
                <w:bCs w:val="1"/>
                <w:color w:val="auto"/>
              </w:rPr>
              <w:t>Maturities</w:t>
            </w: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ind w:right="123"/>
              <w:spacing w:after="0"/>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(1)</w:t>
            </w:r>
          </w:p>
        </w:tc>
        <w:tc>
          <w:tcPr>
            <w:tcW w:w="1220" w:type="dxa"/>
            <w:vAlign w:val="bottom"/>
            <w:tcBorders>
              <w:bottom w:val="single" w:sz="8" w:color="2C6937"/>
            </w:tcBorders>
          </w:tcPr>
          <w:p>
            <w:pPr>
              <w:jc w:val="center"/>
              <w:ind w:left="24"/>
              <w:spacing w:after="0"/>
              <w:rPr>
                <w:sz w:val="20"/>
                <w:szCs w:val="20"/>
                <w:color w:val="auto"/>
              </w:rPr>
            </w:pPr>
            <w:r>
              <w:rPr>
                <w:rFonts w:ascii="Arial" w:cs="Arial" w:eastAsia="Arial" w:hAnsi="Arial"/>
                <w:sz w:val="14"/>
                <w:szCs w:val="14"/>
                <w:b w:val="1"/>
                <w:bCs w:val="1"/>
                <w:color w:val="auto"/>
                <w:w w:val="99"/>
              </w:rPr>
              <w:t>Rate</w:t>
            </w:r>
            <w:r>
              <w:rPr>
                <w:rFonts w:ascii="Arial" w:cs="Arial" w:eastAsia="Arial" w:hAnsi="Arial"/>
                <w:sz w:val="8"/>
                <w:szCs w:val="8"/>
                <w:b w:val="1"/>
                <w:bCs w:val="1"/>
                <w:color w:val="auto"/>
                <w:w w:val="99"/>
              </w:rPr>
              <w:t>(2)</w:t>
            </w:r>
          </w:p>
        </w:tc>
      </w:tr>
      <w:tr>
        <w:trPr>
          <w:trHeight w:val="185"/>
        </w:trPr>
        <w:tc>
          <w:tcPr>
            <w:tcW w:w="3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(Dollars in millions)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3500" w:type="dxa"/>
            <w:vAlign w:val="bottom"/>
          </w:tcPr>
          <w:p>
            <w:pPr>
              <w:ind w:left="20"/>
              <w:spacing w:after="0"/>
              <w:rPr>
                <w:sz w:val="20"/>
                <w:szCs w:val="20"/>
                <w:color w:val="auto"/>
              </w:rPr>
            </w:pPr>
            <w:r>
              <w:rPr>
                <w:rFonts w:ascii="Arial" w:cs="Arial" w:eastAsia="Arial" w:hAnsi="Arial"/>
                <w:sz w:val="15"/>
                <w:szCs w:val="15"/>
                <w:color w:val="auto"/>
              </w:rPr>
              <w:t>Senior fixed: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7"/>
        </w:trPr>
        <w:tc>
          <w:tcPr>
            <w:tcW w:w="3500" w:type="dxa"/>
            <w:vAlign w:val="bottom"/>
          </w:tcPr>
          <w:p>
            <w:pPr>
              <w:ind w:left="220"/>
              <w:spacing w:after="0"/>
              <w:rPr>
                <w:sz w:val="20"/>
                <w:szCs w:val="20"/>
                <w:color w:val="auto"/>
              </w:rPr>
            </w:pPr>
            <w:r>
              <w:rPr>
                <w:rFonts w:ascii="Arial" w:cs="Arial" w:eastAsia="Arial" w:hAnsi="Arial"/>
                <w:sz w:val="15"/>
                <w:szCs w:val="15"/>
                <w:color w:val="auto"/>
              </w:rPr>
              <w:t>Benchmark notes and bonds</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2025 - 2030</w:t>
            </w:r>
          </w:p>
        </w:tc>
        <w:tc>
          <w:tcPr>
            <w:tcW w:w="16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30,304</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3.89 %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2025 - 2030</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44,655</w:t>
            </w:r>
          </w:p>
        </w:tc>
        <w:tc>
          <w:tcPr>
            <w:tcW w:w="1220" w:type="dxa"/>
            <w:vAlign w:val="bottom"/>
          </w:tcPr>
          <w:p>
            <w:pPr>
              <w:jc w:val="right"/>
              <w:spacing w:after="0"/>
              <w:rPr>
                <w:sz w:val="20"/>
                <w:szCs w:val="20"/>
                <w:color w:val="auto"/>
              </w:rPr>
            </w:pPr>
            <w:r>
              <w:rPr>
                <w:rFonts w:ascii="Arial" w:cs="Arial" w:eastAsia="Arial" w:hAnsi="Arial"/>
                <w:sz w:val="15"/>
                <w:szCs w:val="15"/>
                <w:color w:val="auto"/>
              </w:rPr>
              <w:t>2.87 %</w:t>
            </w: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Medium-term notes</w:t>
            </w:r>
            <w:r>
              <w:rPr>
                <w:rFonts w:ascii="Arial" w:cs="Arial" w:eastAsia="Arial" w:hAnsi="Arial"/>
                <w:sz w:val="20"/>
                <w:szCs w:val="20"/>
                <w:color w:val="auto"/>
                <w:vertAlign w:val="superscript"/>
              </w:rPr>
              <w:t>(3)</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2025 - 2035</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35,351</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2.92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2025 - 2034</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42,208</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2.21</w:t>
            </w:r>
          </w:p>
        </w:tc>
      </w:tr>
      <w:tr>
        <w:trPr>
          <w:trHeight w:val="217"/>
        </w:trPr>
        <w:tc>
          <w:tcPr>
            <w:tcW w:w="3500" w:type="dxa"/>
            <w:vAlign w:val="bottom"/>
            <w:tcBorders>
              <w:bottom w:val="single" w:sz="8" w:color="2C6937"/>
            </w:tcBorders>
          </w:tcPr>
          <w:p>
            <w:pPr>
              <w:ind w:left="220"/>
              <w:spacing w:after="0" w:line="217"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(4)</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2026 - 2038</w:t>
            </w: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6,609</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3.97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2025 - 2038</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6,632</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3.98</w:t>
            </w:r>
          </w:p>
        </w:tc>
      </w:tr>
      <w:tr>
        <w:trPr>
          <w:trHeight w:val="200"/>
        </w:trPr>
        <w:tc>
          <w:tcPr>
            <w:tcW w:w="3500" w:type="dxa"/>
            <w:vAlign w:val="bottom"/>
          </w:tcPr>
          <w:p>
            <w:pPr>
              <w:ind w:left="400"/>
              <w:spacing w:after="0"/>
              <w:rPr>
                <w:sz w:val="20"/>
                <w:szCs w:val="20"/>
                <w:color w:val="auto"/>
              </w:rPr>
            </w:pPr>
            <w:r>
              <w:rPr>
                <w:rFonts w:ascii="Arial" w:cs="Arial" w:eastAsia="Arial" w:hAnsi="Arial"/>
                <w:sz w:val="15"/>
                <w:szCs w:val="15"/>
                <w:color w:val="auto"/>
              </w:rPr>
              <w:t>Total senior fixed</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72,264</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3.44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93,495</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2.66</w:t>
            </w:r>
          </w:p>
        </w:tc>
      </w:tr>
      <w:tr>
        <w:trPr>
          <w:trHeight w:val="195"/>
        </w:trPr>
        <w:tc>
          <w:tcPr>
            <w:tcW w:w="3500" w:type="dxa"/>
            <w:vAlign w:val="bottom"/>
          </w:tcPr>
          <w:p>
            <w:pPr>
              <w:ind w:left="20"/>
              <w:spacing w:after="0"/>
              <w:rPr>
                <w:sz w:val="20"/>
                <w:szCs w:val="20"/>
                <w:color w:val="auto"/>
              </w:rPr>
            </w:pPr>
            <w:r>
              <w:rPr>
                <w:rFonts w:ascii="Arial" w:cs="Arial" w:eastAsia="Arial" w:hAnsi="Arial"/>
                <w:sz w:val="15"/>
                <w:szCs w:val="15"/>
                <w:color w:val="auto"/>
              </w:rPr>
              <w:t>Senior floating:</w:t>
            </w: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Medium-term notes</w:t>
            </w:r>
            <w:r>
              <w:rPr>
                <w:rFonts w:ascii="Arial" w:cs="Arial" w:eastAsia="Arial" w:hAnsi="Arial"/>
                <w:sz w:val="20"/>
                <w:szCs w:val="20"/>
                <w:color w:val="auto"/>
                <w:vertAlign w:val="superscript"/>
              </w:rPr>
              <w:t>(3)</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2026 - 2027</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32,437</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4.46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2026 - 2027</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32,435</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4.67</w:t>
            </w:r>
          </w:p>
        </w:tc>
      </w:tr>
      <w:tr>
        <w:trPr>
          <w:trHeight w:val="206"/>
        </w:trPr>
        <w:tc>
          <w:tcPr>
            <w:tcW w:w="3500" w:type="dxa"/>
            <w:vAlign w:val="bottom"/>
          </w:tcPr>
          <w:p>
            <w:pPr>
              <w:ind w:left="220"/>
              <w:spacing w:after="0" w:line="207" w:lineRule="exact"/>
              <w:rPr>
                <w:sz w:val="20"/>
                <w:szCs w:val="20"/>
                <w:color w:val="auto"/>
              </w:rPr>
            </w:pPr>
            <w:r>
              <w:rPr>
                <w:rFonts w:ascii="Arial" w:cs="Arial" w:eastAsia="Arial" w:hAnsi="Arial"/>
                <w:sz w:val="15"/>
                <w:szCs w:val="15"/>
                <w:color w:val="auto"/>
              </w:rPr>
              <w:t>Connecticut Avenue Securities</w:t>
            </w:r>
            <w:r>
              <w:rPr>
                <w:rFonts w:ascii="Arial" w:cs="Arial" w:eastAsia="Arial" w:hAnsi="Arial"/>
                <w:sz w:val="20"/>
                <w:szCs w:val="20"/>
                <w:color w:val="auto"/>
                <w:vertAlign w:val="superscript"/>
              </w:rPr>
              <w:t>(5)</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2028 - 2031</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1,509</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11.54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2025 - 2031</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2,055</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10.99</w:t>
            </w:r>
          </w:p>
        </w:tc>
      </w:tr>
      <w:tr>
        <w:trPr>
          <w:trHeight w:val="217"/>
        </w:trPr>
        <w:tc>
          <w:tcPr>
            <w:tcW w:w="3500" w:type="dxa"/>
            <w:vAlign w:val="bottom"/>
            <w:tcBorders>
              <w:bottom w:val="single" w:sz="8" w:color="2C6937"/>
            </w:tcBorders>
          </w:tcPr>
          <w:p>
            <w:pPr>
              <w:ind w:left="220"/>
              <w:spacing w:after="0" w:line="217" w:lineRule="exact"/>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(6)</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2037</w:t>
            </w: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258</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8.95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2037</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249</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8.10</w:t>
            </w:r>
          </w:p>
        </w:tc>
      </w:tr>
      <w:tr>
        <w:trPr>
          <w:trHeight w:val="199"/>
        </w:trPr>
        <w:tc>
          <w:tcPr>
            <w:tcW w:w="3500" w:type="dxa"/>
            <w:vAlign w:val="bottom"/>
            <w:tcBorders>
              <w:bottom w:val="single" w:sz="8" w:color="2C6937"/>
            </w:tcBorders>
          </w:tcPr>
          <w:p>
            <w:pPr>
              <w:ind w:left="400"/>
              <w:spacing w:after="0"/>
              <w:rPr>
                <w:sz w:val="20"/>
                <w:szCs w:val="20"/>
                <w:color w:val="auto"/>
              </w:rPr>
            </w:pPr>
            <w:r>
              <w:rPr>
                <w:rFonts w:ascii="Arial" w:cs="Arial" w:eastAsia="Arial" w:hAnsi="Arial"/>
                <w:sz w:val="15"/>
                <w:szCs w:val="15"/>
                <w:color w:val="auto"/>
              </w:rPr>
              <w:t>Total senior floating</w:t>
            </w:r>
          </w:p>
        </w:tc>
        <w:tc>
          <w:tcPr>
            <w:tcW w:w="126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34,204</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4.81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34,739</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5.07</w:t>
            </w:r>
          </w:p>
        </w:tc>
      </w:tr>
      <w:tr>
        <w:trPr>
          <w:trHeight w:val="198"/>
        </w:trPr>
        <w:tc>
          <w:tcPr>
            <w:tcW w:w="3500" w:type="dxa"/>
            <w:vAlign w:val="bottom"/>
          </w:tcPr>
          <w:p>
            <w:pPr>
              <w:ind w:left="20"/>
              <w:spacing w:after="0" w:line="198" w:lineRule="exact"/>
              <w:rPr>
                <w:sz w:val="20"/>
                <w:szCs w:val="20"/>
                <w:color w:val="auto"/>
              </w:rPr>
            </w:pPr>
            <w:r>
              <w:rPr>
                <w:rFonts w:ascii="Arial" w:cs="Arial" w:eastAsia="Arial" w:hAnsi="Arial"/>
                <w:sz w:val="15"/>
                <w:szCs w:val="15"/>
                <w:color w:val="auto"/>
              </w:rPr>
              <w:t>Total long-term debt of Fannie Mae</w:t>
            </w:r>
            <w:r>
              <w:rPr>
                <w:rFonts w:ascii="Arial" w:cs="Arial" w:eastAsia="Arial" w:hAnsi="Arial"/>
                <w:sz w:val="20"/>
                <w:szCs w:val="20"/>
                <w:color w:val="auto"/>
                <w:vertAlign w:val="superscript"/>
              </w:rPr>
              <w:t>(7)</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106,468</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3.87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128,234</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3.30</w:t>
            </w:r>
          </w:p>
        </w:tc>
      </w:tr>
      <w:tr>
        <w:trPr>
          <w:trHeight w:val="208"/>
        </w:trPr>
        <w:tc>
          <w:tcPr>
            <w:tcW w:w="350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Debt of consolidated trusts</w:t>
            </w:r>
          </w:p>
        </w:tc>
        <w:tc>
          <w:tcPr>
            <w:tcW w:w="1260" w:type="dxa"/>
            <w:vAlign w:val="bottom"/>
          </w:tcPr>
          <w:p>
            <w:pPr>
              <w:jc w:val="center"/>
              <w:ind w:right="44"/>
              <w:spacing w:after="0"/>
              <w:rPr>
                <w:sz w:val="20"/>
                <w:szCs w:val="20"/>
                <w:color w:val="auto"/>
              </w:rPr>
            </w:pPr>
            <w:r>
              <w:rPr>
                <w:rFonts w:ascii="Arial" w:cs="Arial" w:eastAsia="Arial" w:hAnsi="Arial"/>
                <w:sz w:val="15"/>
                <w:szCs w:val="15"/>
                <w:b w:val="1"/>
                <w:bCs w:val="1"/>
                <w:color w:val="auto"/>
              </w:rPr>
              <w:t>2025 - 2064</w:t>
            </w:r>
          </w:p>
        </w:tc>
        <w:tc>
          <w:tcPr>
            <w:tcW w:w="160" w:type="dxa"/>
            <w:vAlign w:val="bottom"/>
            <w:tcBorders>
              <w:bottom w:val="single" w:sz="8" w:color="2C6937"/>
            </w:tcBorders>
          </w:tcPr>
          <w:p>
            <w:pPr>
              <w:spacing w:after="0"/>
              <w:rPr>
                <w:sz w:val="18"/>
                <w:szCs w:val="18"/>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4,076,945</w:t>
            </w:r>
          </w:p>
        </w:tc>
        <w:tc>
          <w:tcPr>
            <w:tcW w:w="1220" w:type="dxa"/>
            <w:vAlign w:val="bottom"/>
          </w:tcPr>
          <w:p>
            <w:pPr>
              <w:jc w:val="right"/>
              <w:ind w:right="125"/>
              <w:spacing w:after="0"/>
              <w:rPr>
                <w:sz w:val="20"/>
                <w:szCs w:val="20"/>
                <w:color w:val="auto"/>
              </w:rPr>
            </w:pPr>
            <w:r>
              <w:rPr>
                <w:rFonts w:ascii="Arial" w:cs="Arial" w:eastAsia="Arial" w:hAnsi="Arial"/>
                <w:sz w:val="15"/>
                <w:szCs w:val="15"/>
                <w:b w:val="1"/>
                <w:bCs w:val="1"/>
                <w:color w:val="auto"/>
              </w:rPr>
              <w:t>3.10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84"/>
              <w:spacing w:after="0"/>
              <w:rPr>
                <w:sz w:val="20"/>
                <w:szCs w:val="20"/>
                <w:color w:val="auto"/>
              </w:rPr>
            </w:pPr>
            <w:r>
              <w:rPr>
                <w:rFonts w:ascii="Arial" w:cs="Arial" w:eastAsia="Arial" w:hAnsi="Arial"/>
                <w:sz w:val="15"/>
                <w:szCs w:val="15"/>
                <w:color w:val="auto"/>
              </w:rPr>
              <w:t>2025 - 2063</w:t>
            </w:r>
          </w:p>
        </w:tc>
        <w:tc>
          <w:tcPr>
            <w:tcW w:w="16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4,088,675</w:t>
            </w:r>
          </w:p>
        </w:tc>
        <w:tc>
          <w:tcPr>
            <w:tcW w:w="1220" w:type="dxa"/>
            <w:vAlign w:val="bottom"/>
          </w:tcPr>
          <w:p>
            <w:pPr>
              <w:jc w:val="right"/>
              <w:ind w:right="124"/>
              <w:spacing w:after="0"/>
              <w:rPr>
                <w:sz w:val="20"/>
                <w:szCs w:val="20"/>
                <w:color w:val="auto"/>
              </w:rPr>
            </w:pPr>
            <w:r>
              <w:rPr>
                <w:rFonts w:ascii="Arial" w:cs="Arial" w:eastAsia="Arial" w:hAnsi="Arial"/>
                <w:sz w:val="15"/>
                <w:szCs w:val="15"/>
                <w:color w:val="auto"/>
              </w:rPr>
              <w:t>2.96</w:t>
            </w:r>
          </w:p>
        </w:tc>
      </w:tr>
      <w:tr>
        <w:trPr>
          <w:trHeight w:val="199"/>
        </w:trPr>
        <w:tc>
          <w:tcPr>
            <w:tcW w:w="3500" w:type="dxa"/>
            <w:vAlign w:val="bottom"/>
            <w:tcBorders>
              <w:bottom w:val="single" w:sz="8" w:color="2C6937"/>
            </w:tcBorders>
          </w:tcPr>
          <w:p>
            <w:pPr>
              <w:ind w:left="220"/>
              <w:spacing w:after="0"/>
              <w:rPr>
                <w:sz w:val="20"/>
                <w:szCs w:val="20"/>
                <w:color w:val="auto"/>
              </w:rPr>
            </w:pPr>
            <w:r>
              <w:rPr>
                <w:rFonts w:ascii="Arial" w:cs="Arial" w:eastAsia="Arial" w:hAnsi="Arial"/>
                <w:sz w:val="15"/>
                <w:szCs w:val="15"/>
                <w:color w:val="auto"/>
              </w:rPr>
              <w:t>Total long-term debt</w:t>
            </w:r>
          </w:p>
        </w:tc>
        <w:tc>
          <w:tcPr>
            <w:tcW w:w="1260" w:type="dxa"/>
            <w:vAlign w:val="bottom"/>
          </w:tcPr>
          <w:p>
            <w:pPr>
              <w:spacing w:after="0"/>
              <w:rPr>
                <w:sz w:val="17"/>
                <w:szCs w:val="17"/>
                <w:color w:val="auto"/>
              </w:rPr>
            </w:pPr>
          </w:p>
        </w:tc>
        <w:tc>
          <w:tcPr>
            <w:tcW w:w="160" w:type="dxa"/>
            <w:vAlign w:val="bottom"/>
            <w:tcBorders>
              <w:bottom w:val="single" w:sz="8" w:color="2C6937"/>
            </w:tcBorders>
          </w:tcPr>
          <w:p>
            <w:pPr>
              <w:ind w:left="20"/>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4,183,413</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3.12 %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4,216,909</w:t>
            </w:r>
          </w:p>
        </w:tc>
        <w:tc>
          <w:tcPr>
            <w:tcW w:w="1220" w:type="dxa"/>
            <w:vAlign w:val="bottom"/>
          </w:tcPr>
          <w:p>
            <w:pPr>
              <w:jc w:val="right"/>
              <w:spacing w:after="0"/>
              <w:rPr>
                <w:sz w:val="20"/>
                <w:szCs w:val="20"/>
                <w:color w:val="auto"/>
              </w:rPr>
            </w:pPr>
            <w:r>
              <w:rPr>
                <w:rFonts w:ascii="Arial" w:cs="Arial" w:eastAsia="Arial" w:hAnsi="Arial"/>
                <w:sz w:val="15"/>
                <w:szCs w:val="15"/>
                <w:color w:val="auto"/>
              </w:rPr>
              <w:t>2.97 %</w:t>
            </w:r>
          </w:p>
        </w:tc>
      </w:tr>
      <w:tr>
        <w:trPr>
          <w:trHeight w:val="20"/>
        </w:trPr>
        <w:tc>
          <w:tcPr>
            <w:tcW w:w="3500" w:type="dxa"/>
            <w:vAlign w:val="bottom"/>
            <w:tcBorders>
              <w:bottom w:val="single" w:sz="8" w:color="2C6937"/>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09" w:lineRule="exact"/>
        <w:rPr>
          <w:sz w:val="20"/>
          <w:szCs w:val="20"/>
          <w:color w:val="auto"/>
        </w:rPr>
      </w:pPr>
    </w:p>
    <w:p>
      <w:pPr>
        <w:ind w:left="240" w:right="660" w:hanging="237"/>
        <w:spacing w:after="0" w:line="275" w:lineRule="auto"/>
        <w:tabs>
          <w:tab w:leader="none" w:pos="233" w:val="left"/>
        </w:tabs>
        <w:numPr>
          <w:ilvl w:val="0"/>
          <w:numId w:val="72"/>
        </w:numPr>
        <w:rPr>
          <w:rFonts w:ascii="Arial" w:cs="Arial" w:eastAsia="Arial" w:hAnsi="Arial"/>
          <w:sz w:val="9"/>
          <w:szCs w:val="9"/>
          <w:color w:val="auto"/>
        </w:rPr>
      </w:pPr>
      <w:r>
        <w:rPr>
          <w:rFonts w:ascii="Arial" w:cs="Arial" w:eastAsia="Arial" w:hAnsi="Arial"/>
          <w:sz w:val="14"/>
          <w:szCs w:val="14"/>
          <w:color w:val="auto"/>
        </w:rPr>
        <w:t>Outstanding debt balance consists of the unpaid principal balance, premiums and discounts, fair value adjustments, hedge-related basis adjustments, and other cost basis adjustments.</w:t>
      </w:r>
    </w:p>
    <w:p>
      <w:pPr>
        <w:ind w:left="220" w:hanging="217"/>
        <w:spacing w:after="0"/>
        <w:tabs>
          <w:tab w:leader="none" w:pos="220"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Excludes the effects of fair value adjustments and hedge-related basis adjustments.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Includes long-term debt with an original contractual maturity of greater than 1 year and up to 10 years, excluding zero-coupon debt.</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Includes other long-term debt with an original contractual maturity of greater than 10 years and foreign exchange bonds.</w:t>
      </w:r>
    </w:p>
    <w:p>
      <w:pPr>
        <w:spacing w:after="0" w:line="38"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Consists of CAS debt issued prior to November 2018, a portion of which is reported at fair value.</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72"/>
        </w:numPr>
        <w:rPr>
          <w:rFonts w:ascii="Arial" w:cs="Arial" w:eastAsia="Arial" w:hAnsi="Arial"/>
          <w:sz w:val="9"/>
          <w:szCs w:val="9"/>
          <w:color w:val="auto"/>
        </w:rPr>
      </w:pPr>
      <w:r>
        <w:rPr>
          <w:rFonts w:ascii="Arial" w:cs="Arial" w:eastAsia="Arial" w:hAnsi="Arial"/>
          <w:sz w:val="14"/>
          <w:szCs w:val="14"/>
          <w:color w:val="auto"/>
        </w:rPr>
        <w:t>Consists of structured debt instruments that are reported at fair value.</w:t>
      </w:r>
    </w:p>
    <w:p>
      <w:pPr>
        <w:spacing w:after="0" w:line="33" w:lineRule="exact"/>
        <w:rPr>
          <w:rFonts w:ascii="Arial" w:cs="Arial" w:eastAsia="Arial" w:hAnsi="Arial"/>
          <w:sz w:val="9"/>
          <w:szCs w:val="9"/>
          <w:color w:val="auto"/>
        </w:rPr>
      </w:pPr>
    </w:p>
    <w:p>
      <w:pPr>
        <w:ind w:left="240" w:right="320" w:hanging="237"/>
        <w:spacing w:after="0" w:line="226" w:lineRule="auto"/>
        <w:tabs>
          <w:tab w:leader="none" w:pos="233"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discounts and premiums, fair value adjustments, hedge-related cost basis adjustments, and other cost basis adjustments in a net discount position of $2.7 billion and $3.6 billion as of September 30,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365760</wp:posOffset>
            </wp:positionV>
            <wp:extent cx="680593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1" w:name="page92"/>
    <w:bookmarkEnd w:id="91"/>
    <w:p>
      <w:pPr>
        <w:ind w:left="6240"/>
        <w:spacing w:after="0"/>
        <w:rPr>
          <w:sz w:val="20"/>
          <w:szCs w:val="20"/>
          <w:color w:val="auto"/>
        </w:rPr>
      </w:pPr>
      <w:r>
        <w:rPr>
          <w:rFonts w:ascii="Arial" w:cs="Arial" w:eastAsia="Arial" w:hAnsi="Arial"/>
          <w:sz w:val="13"/>
          <w:szCs w:val="13"/>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9. Derivative Instruments</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Derivative instruments are an integral part of our strategy in managing interest-rate risk. Derivative instruments may be privately-negotiated, bilateral contracts or they may be listed and traded on an exchange. We refer to our derivative transactions made pursuant to bilateral contracts as our over-the-counter (“OTC”) derivative transactions and our derivative transactions accepted for clearing by a derivatives clearing organization as our cleared derivative transactions. We typically do not settle the notional amount of our risk management derivatives; rather, notional amounts provide the basis for calculating actual payments or settlement amounts. The derivative contracts we use for interest-rate risk management purposes consist primarily of interest-rate swaps and interest-rate options. See “Note 9, Derivative Instruments” in our 2024 Form 10-K for additional information on interest-rate risk management.</w:t>
      </w:r>
    </w:p>
    <w:p>
      <w:pPr>
        <w:spacing w:after="0" w:line="41"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We account for certain forms of credit risk transfer transactions as derivatives. In our credit risk transfer transactions, a portion of the credit risk associated with losses on a reference pool of mortgage loans is transferred to a third party. We enter into derivative transactions that are associated with some of our credit risk transfer transactions, whereby we manage investment risk to guarantee that certain unconsolidated VIEs have sufficient cash flows to pay their contractual obligations.</w:t>
      </w:r>
    </w:p>
    <w:p>
      <w:pPr>
        <w:spacing w:after="0" w:line="4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enter into forward purchase and sale commitments that lock in the future delivery of mortgage loans and mortgage-related securities at a fixed price or yield. Certain commitments to purchase mortgage loans and purchase or sell mortgage-related securities meet the criteria of a derivative. We typically settle the notional amount of our mortgage commitments that are accounted for as derivatives.</w:t>
      </w:r>
    </w:p>
    <w:p>
      <w:pPr>
        <w:spacing w:after="0" w:line="3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recognize all derivatives as either assets or liabilities in our condensed consolidated balance sheets at their fair value on a trade date basis. See “Note 13, Fair Value” for additional information on derivatives recorded at fair value.</w:t>
      </w:r>
    </w:p>
    <w:p>
      <w:pPr>
        <w:spacing w:after="0" w:line="7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Hedge Accounting</w:t>
      </w:r>
    </w:p>
    <w:p>
      <w:pPr>
        <w:spacing w:after="0" w:line="6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Pursuant to our fair value hedge accounting program, we may designate certain interest-rate swaps as hedging instruments in hedges of the change in fair value attributable to the designated benchmark interest rate for certain closed pools of fixed-rate, single-family mortgage loans or our funding debt. For hedged items in qualifying fair value hedging relationships, changes in fair value attributable to the designated risk are recognized as a basis adjustment to the hedged item. We also report changes in the fair value of the derivative hedging instrument in the same condensed consolidated statements of operations and comprehensive income line item used to recognize the earnings effect of the hedged item’s basis adjustment. We record all gains and losses, including accrued interest, on derivatives while they are not in a qualifying designated hedging relationship in “Fair value gains (losses), net” in our condensed consolidated statements of operations and comprehensive income. The objective of our fair value hedges is to reduce GAAP earnings volatility related to changes in benchmark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368300</wp:posOffset>
            </wp:positionV>
            <wp:extent cx="680593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92" w:name="page93"/>
    <w:bookmarkEnd w:id="92"/>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Notional and Fair Value Position of our Derivatives</w:t>
      </w:r>
    </w:p>
    <w:p>
      <w:pPr>
        <w:spacing w:after="0" w:line="68"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The following table displays the notional amount and estimated fair value of our asset and liability derivative instruments, including derivative instruments designated as hedges.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460" w:type="dxa"/>
            <w:vAlign w:val="bottom"/>
            <w:tcBorders>
              <w:bottom w:val="single" w:sz="8" w:color="2C6937"/>
            </w:tcBorders>
            <w:gridSpan w:val="6"/>
          </w:tcPr>
          <w:p>
            <w:pPr>
              <w:jc w:val="center"/>
              <w:ind w:left="691"/>
              <w:spacing w:after="0"/>
              <w:rPr>
                <w:sz w:val="20"/>
                <w:szCs w:val="20"/>
                <w:color w:val="auto"/>
              </w:rPr>
            </w:pPr>
            <w:r>
              <w:rPr>
                <w:rFonts w:ascii="Arial" w:cs="Arial" w:eastAsia="Arial" w:hAnsi="Arial"/>
                <w:sz w:val="14"/>
                <w:szCs w:val="14"/>
                <w:b w:val="1"/>
                <w:bCs w:val="1"/>
                <w:color w:val="auto"/>
                <w:w w:val="97"/>
              </w:rPr>
              <w:t>As of September 30, 2025</w:t>
            </w:r>
          </w:p>
        </w:tc>
        <w:tc>
          <w:tcPr>
            <w:tcW w:w="96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2460" w:type="dxa"/>
            <w:vAlign w:val="bottom"/>
            <w:tcBorders>
              <w:bottom w:val="single" w:sz="8" w:color="2C6937"/>
            </w:tcBorders>
            <w:gridSpan w:val="6"/>
          </w:tcPr>
          <w:p>
            <w:pPr>
              <w:jc w:val="center"/>
              <w:ind w:left="711"/>
              <w:spacing w:after="0"/>
              <w:rPr>
                <w:sz w:val="20"/>
                <w:szCs w:val="20"/>
                <w:color w:val="auto"/>
              </w:rPr>
            </w:pPr>
            <w:r>
              <w:rPr>
                <w:rFonts w:ascii="Arial" w:cs="Arial" w:eastAsia="Arial" w:hAnsi="Arial"/>
                <w:sz w:val="14"/>
                <w:szCs w:val="14"/>
                <w:b w:val="1"/>
                <w:bCs w:val="1"/>
                <w:color w:val="auto"/>
                <w:w w:val="96"/>
              </w:rPr>
              <w:t>As of December 31, 2024</w:t>
            </w:r>
          </w:p>
        </w:tc>
        <w:tc>
          <w:tcPr>
            <w:tcW w:w="9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40" w:type="dxa"/>
            <w:vAlign w:val="bottom"/>
            <w:tcBorders>
              <w:bottom w:val="single" w:sz="8" w:color="2C6937"/>
            </w:tcBorders>
            <w:gridSpan w:val="4"/>
          </w:tcPr>
          <w:p>
            <w:pPr>
              <w:jc w:val="right"/>
              <w:ind w:right="451"/>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2220" w:type="dxa"/>
            <w:vAlign w:val="bottom"/>
            <w:tcBorders>
              <w:bottom w:val="single" w:sz="8" w:color="2C6937"/>
            </w:tcBorders>
            <w:gridSpan w:val="4"/>
          </w:tcPr>
          <w:p>
            <w:pPr>
              <w:jc w:val="right"/>
              <w:ind w:right="431"/>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78"/>
        </w:trPr>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Asset</w:t>
            </w: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Liability</w:t>
            </w:r>
          </w:p>
        </w:tc>
        <w:tc>
          <w:tcPr>
            <w:tcW w:w="1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Asset</w:t>
            </w:r>
          </w:p>
        </w:tc>
        <w:tc>
          <w:tcPr>
            <w:tcW w:w="160" w:type="dxa"/>
            <w:vAlign w:val="bottom"/>
          </w:tcPr>
          <w:p>
            <w:pPr>
              <w:spacing w:after="0"/>
              <w:rPr>
                <w:sz w:val="15"/>
                <w:szCs w:val="15"/>
                <w:color w:val="auto"/>
              </w:rPr>
            </w:pPr>
          </w:p>
        </w:tc>
        <w:tc>
          <w:tcPr>
            <w:tcW w:w="960" w:type="dxa"/>
            <w:vAlign w:val="bottom"/>
          </w:tcPr>
          <w:p>
            <w:pPr>
              <w:jc w:val="right"/>
              <w:ind w:right="231"/>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Derivatives</w:t>
            </w:r>
          </w:p>
        </w:tc>
        <w:tc>
          <w:tcPr>
            <w:tcW w:w="1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Derivatives</w:t>
            </w:r>
          </w:p>
        </w:tc>
        <w:tc>
          <w:tcPr>
            <w:tcW w:w="1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Derivatives</w:t>
            </w:r>
          </w:p>
        </w:tc>
        <w:tc>
          <w:tcPr>
            <w:tcW w:w="160" w:type="dxa"/>
            <w:vAlign w:val="bottom"/>
            <w:tcBorders>
              <w:bottom w:val="single" w:sz="8" w:color="2C6937"/>
            </w:tcBorders>
          </w:tcPr>
          <w:p>
            <w:pPr>
              <w:spacing w:after="0"/>
              <w:rPr>
                <w:sz w:val="17"/>
                <w:szCs w:val="17"/>
                <w:color w:val="auto"/>
              </w:rPr>
            </w:pPr>
          </w:p>
        </w:tc>
        <w:tc>
          <w:tcPr>
            <w:tcW w:w="960" w:type="dxa"/>
            <w:vAlign w:val="bottom"/>
            <w:tcBorders>
              <w:bottom w:val="single" w:sz="8" w:color="2C6937"/>
            </w:tcBorders>
          </w:tcPr>
          <w:p>
            <w:pPr>
              <w:jc w:val="right"/>
              <w:ind w:right="131"/>
              <w:spacing w:after="0"/>
              <w:rPr>
                <w:sz w:val="20"/>
                <w:szCs w:val="20"/>
                <w:color w:val="auto"/>
              </w:rPr>
            </w:pPr>
            <w:r>
              <w:rPr>
                <w:rFonts w:ascii="Arial" w:cs="Arial" w:eastAsia="Arial" w:hAnsi="Arial"/>
                <w:sz w:val="14"/>
                <w:szCs w:val="14"/>
                <w:b w:val="1"/>
                <w:bCs w:val="1"/>
                <w:color w:val="auto"/>
                <w:w w:val="98"/>
              </w:rPr>
              <w:t>Derivatives</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5"/>
          </w:tcPr>
          <w:p>
            <w:pPr>
              <w:ind w:left="38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designated as hedging</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31,906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26,704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tcBorders>
              <w:bottom w:val="single" w:sz="8" w:color="2C6937"/>
            </w:tcBorders>
          </w:tcPr>
          <w:p>
            <w:pPr>
              <w:ind w:left="320"/>
              <w:spacing w:after="0"/>
              <w:rPr>
                <w:sz w:val="20"/>
                <w:szCs w:val="20"/>
                <w:color w:val="auto"/>
              </w:rPr>
            </w:pPr>
            <w:r>
              <w:rPr>
                <w:rFonts w:ascii="Arial" w:cs="Arial" w:eastAsia="Arial" w:hAnsi="Arial"/>
                <w:sz w:val="14"/>
                <w:szCs w:val="14"/>
                <w:color w:val="auto"/>
              </w:rPr>
              <w:t>Receive-fixed</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17,679</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10,057</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risk management derivatives designated as hedging</w:t>
            </w: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49,585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36,761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Risk management derivatives not designated as hedging</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Swaps:</w:t>
            </w:r>
            <w:r>
              <w:rPr>
                <w:rFonts w:ascii="Arial" w:cs="Arial" w:eastAsia="Arial" w:hAnsi="Arial"/>
                <w:sz w:val="17"/>
                <w:szCs w:val="17"/>
                <w:color w:val="auto"/>
                <w:vertAlign w:val="superscript"/>
              </w:rPr>
              <w:t>(1)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166,988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146,628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147,638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135,686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Basis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Foreign currency</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8"/>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Swaptions:</w:t>
            </w:r>
            <w:r>
              <w:rPr>
                <w:rFonts w:ascii="Arial" w:cs="Arial" w:eastAsia="Arial" w:hAnsi="Arial"/>
                <w:sz w:val="17"/>
                <w:szCs w:val="17"/>
                <w:color w:val="auto"/>
                <w:vertAlign w:val="superscript"/>
              </w:rPr>
              <w:t>(1)</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Pay-fixed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7,986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3"/>
        </w:trPr>
        <w:tc>
          <w:tcPr>
            <w:tcW w:w="3940" w:type="dxa"/>
            <w:vAlign w:val="bottom"/>
            <w:gridSpan w:val="2"/>
          </w:tcPr>
          <w:p>
            <w:pPr>
              <w:ind w:left="320"/>
              <w:spacing w:after="0"/>
              <w:rPr>
                <w:sz w:val="20"/>
                <w:szCs w:val="20"/>
                <w:color w:val="auto"/>
              </w:rPr>
            </w:pPr>
            <w:r>
              <w:rPr>
                <w:rFonts w:ascii="Arial" w:cs="Arial" w:eastAsia="Arial" w:hAnsi="Arial"/>
                <w:sz w:val="14"/>
                <w:szCs w:val="14"/>
                <w:color w:val="auto"/>
              </w:rPr>
              <w:t>Receive-fixed</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7,691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Futures</w:t>
            </w:r>
            <w:r>
              <w:rPr>
                <w:rFonts w:ascii="Arial" w:cs="Arial" w:eastAsia="Arial" w:hAnsi="Arial"/>
                <w:sz w:val="17"/>
                <w:szCs w:val="17"/>
                <w:color w:val="auto"/>
                <w:vertAlign w:val="superscript"/>
              </w:rPr>
              <w:t>(1)</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5,549</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9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risk management derivatives not designated as hedging</w:t>
            </w: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336,436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(1,338)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295,882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(2,368)</w:t>
            </w:r>
          </w:p>
        </w:tc>
        <w:tc>
          <w:tcPr>
            <w:tcW w:w="0" w:type="dxa"/>
            <w:vAlign w:val="bottom"/>
          </w:tcPr>
          <w:p>
            <w:pPr>
              <w:spacing w:after="0"/>
              <w:rPr>
                <w:sz w:val="1"/>
                <w:szCs w:val="1"/>
                <w:color w:val="auto"/>
              </w:rPr>
            </w:pPr>
          </w:p>
        </w:tc>
      </w:tr>
      <w:tr>
        <w:trPr>
          <w:trHeight w:val="18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instruments</w:t>
            </w: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00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2C6937"/>
            </w:tcBorders>
          </w:tcPr>
          <w:p>
            <w:pPr>
              <w:spacing w:after="0"/>
              <w:rPr>
                <w:sz w:val="15"/>
                <w:szCs w:val="15"/>
                <w:color w:val="auto"/>
              </w:rPr>
            </w:pPr>
          </w:p>
        </w:tc>
        <w:tc>
          <w:tcPr>
            <w:tcW w:w="94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2C6937"/>
            </w:tcBorders>
          </w:tcPr>
          <w:p>
            <w:pPr>
              <w:spacing w:after="0"/>
              <w:rPr>
                <w:sz w:val="15"/>
                <w:szCs w:val="15"/>
                <w:color w:val="auto"/>
              </w:rPr>
            </w:pPr>
          </w:p>
        </w:tc>
        <w:tc>
          <w:tcPr>
            <w:tcW w:w="96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40" w:type="dxa"/>
            <w:vAlign w:val="bottom"/>
            <w:tcBorders>
              <w:bottom w:val="single" w:sz="8" w:color="2C6937"/>
            </w:tcBorders>
          </w:tcPr>
          <w:p>
            <w:pPr>
              <w:ind w:left="20"/>
              <w:spacing w:after="0" w:line="186" w:lineRule="exact"/>
              <w:rPr>
                <w:sz w:val="20"/>
                <w:szCs w:val="20"/>
                <w:color w:val="auto"/>
              </w:rPr>
            </w:pPr>
            <w:r>
              <w:rPr>
                <w:rFonts w:ascii="Arial" w:cs="Arial" w:eastAsia="Arial" w:hAnsi="Arial"/>
                <w:sz w:val="14"/>
                <w:szCs w:val="14"/>
                <w:color w:val="auto"/>
              </w:rPr>
              <w:t>Netting adjustment</w:t>
            </w:r>
            <w:r>
              <w:rPr>
                <w:rFonts w:ascii="Arial" w:cs="Arial" w:eastAsia="Arial" w:hAnsi="Arial"/>
                <w:sz w:val="17"/>
                <w:szCs w:val="17"/>
                <w:color w:val="auto"/>
                <w:vertAlign w:val="superscript"/>
              </w:rPr>
              <w:t>(2)</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(277)</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b w:val="1"/>
                <w:bCs w:val="1"/>
                <w:color w:val="auto"/>
              </w:rPr>
              <w:t>1,324</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2,367</w:t>
            </w:r>
          </w:p>
        </w:tc>
        <w:tc>
          <w:tcPr>
            <w:tcW w:w="0" w:type="dxa"/>
            <w:vAlign w:val="bottom"/>
          </w:tcPr>
          <w:p>
            <w:pPr>
              <w:spacing w:after="0"/>
              <w:rPr>
                <w:sz w:val="1"/>
                <w:szCs w:val="1"/>
                <w:color w:val="auto"/>
              </w:rPr>
            </w:pPr>
          </w:p>
        </w:tc>
      </w:tr>
      <w:tr>
        <w:trPr>
          <w:trHeight w:val="185"/>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risk management derivatives portfolio</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386,021</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332,643</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9"/>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Mortgage commitment derivatives: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Mortgage commitments to purchase whole loans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4,666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9"/>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Forward contracts to purchase mortgage-related securities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41,157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31,883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20"/>
        </w:trPr>
        <w:tc>
          <w:tcPr>
            <w:tcW w:w="3840" w:type="dxa"/>
            <w:vAlign w:val="bottom"/>
            <w:tcBorders>
              <w:bottom w:val="single" w:sz="8" w:color="2C6937"/>
            </w:tcBorders>
          </w:tcPr>
          <w:p>
            <w:pPr>
              <w:ind w:left="180"/>
              <w:spacing w:after="0"/>
              <w:rPr>
                <w:sz w:val="20"/>
                <w:szCs w:val="20"/>
                <w:color w:val="auto"/>
              </w:rPr>
            </w:pPr>
            <w:r>
              <w:rPr>
                <w:rFonts w:ascii="Arial" w:cs="Arial" w:eastAsia="Arial" w:hAnsi="Arial"/>
                <w:sz w:val="14"/>
                <w:szCs w:val="14"/>
                <w:color w:val="auto"/>
              </w:rPr>
              <w:t>Forward contracts to sell mortgage-related securities</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83,975</w:t>
            </w:r>
          </w:p>
        </w:tc>
        <w:tc>
          <w:tcPr>
            <w:tcW w:w="10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(123)</w:t>
            </w:r>
          </w:p>
        </w:tc>
        <w:tc>
          <w:tcPr>
            <w:tcW w:w="100" w:type="dxa"/>
            <w:vAlign w:val="bottom"/>
          </w:tcPr>
          <w:p>
            <w:pPr>
              <w:spacing w:after="0"/>
              <w:rPr>
                <w:sz w:val="19"/>
                <w:szCs w:val="19"/>
                <w:color w:val="auto"/>
              </w:rPr>
            </w:pPr>
          </w:p>
        </w:tc>
        <w:tc>
          <w:tcPr>
            <w:tcW w:w="180" w:type="dxa"/>
            <w:vAlign w:val="bottom"/>
            <w:tcBorders>
              <w:bottom w:val="single" w:sz="8" w:color="2C6937"/>
            </w:tcBorders>
          </w:tcPr>
          <w:p>
            <w:pPr>
              <w:spacing w:after="0"/>
              <w:rPr>
                <w:sz w:val="19"/>
                <w:szCs w:val="19"/>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78,934</w:t>
            </w:r>
          </w:p>
        </w:tc>
        <w:tc>
          <w:tcPr>
            <w:tcW w:w="120" w:type="dxa"/>
            <w:vAlign w:val="bottom"/>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9"/>
                <w:szCs w:val="19"/>
                <w:color w:val="auto"/>
              </w:rPr>
            </w:pPr>
          </w:p>
        </w:tc>
        <w:tc>
          <w:tcPr>
            <w:tcW w:w="160" w:type="dxa"/>
            <w:vAlign w:val="bottom"/>
            <w:tcBorders>
              <w:bottom w:val="single" w:sz="8" w:color="2C6937"/>
            </w:tcBorders>
          </w:tcPr>
          <w:p>
            <w:pPr>
              <w:spacing w:after="0"/>
              <w:rPr>
                <w:sz w:val="19"/>
                <w:szCs w:val="19"/>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2"/>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mortgage commitment derivatives</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129,798</w:t>
            </w:r>
          </w:p>
        </w:tc>
        <w:tc>
          <w:tcPr>
            <w:tcW w:w="10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62</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(156)</w:t>
            </w:r>
          </w:p>
        </w:tc>
        <w:tc>
          <w:tcPr>
            <w:tcW w:w="10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113,451</w:t>
            </w:r>
          </w:p>
        </w:tc>
        <w:tc>
          <w:tcPr>
            <w:tcW w:w="1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6"/>
        </w:trPr>
        <w:tc>
          <w:tcPr>
            <w:tcW w:w="38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Credit enhancement derivatives</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29,547</w:t>
            </w:r>
          </w:p>
        </w:tc>
        <w:tc>
          <w:tcPr>
            <w:tcW w:w="10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9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28,775</w:t>
            </w:r>
          </w:p>
        </w:tc>
        <w:tc>
          <w:tcPr>
            <w:tcW w:w="120" w:type="dxa"/>
            <w:vAlign w:val="bottom"/>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6"/>
        </w:trPr>
        <w:tc>
          <w:tcPr>
            <w:tcW w:w="3940" w:type="dxa"/>
            <w:vAlign w:val="bottom"/>
            <w:gridSpan w:val="2"/>
          </w:tcPr>
          <w:p>
            <w:pPr>
              <w:ind w:left="180"/>
              <w:spacing w:after="0"/>
              <w:rPr>
                <w:sz w:val="20"/>
                <w:szCs w:val="20"/>
                <w:color w:val="auto"/>
              </w:rPr>
            </w:pPr>
            <w:r>
              <w:rPr>
                <w:rFonts w:ascii="Arial" w:cs="Arial" w:eastAsia="Arial" w:hAnsi="Arial"/>
                <w:sz w:val="14"/>
                <w:szCs w:val="14"/>
                <w:color w:val="auto"/>
              </w:rPr>
              <w:t>Derivatives at fair value</w:t>
            </w:r>
          </w:p>
        </w:tc>
        <w:tc>
          <w:tcPr>
            <w:tcW w:w="180" w:type="dxa"/>
            <w:vAlign w:val="bottom"/>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545,366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144</w:t>
            </w: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(179)</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474,869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38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220" w:hanging="217"/>
        <w:spacing w:after="0"/>
        <w:tabs>
          <w:tab w:leader="none" w:pos="220" w:val="left"/>
        </w:tabs>
        <w:numPr>
          <w:ilvl w:val="0"/>
          <w:numId w:val="73"/>
        </w:numPr>
        <w:rPr>
          <w:rFonts w:ascii="Arial" w:cs="Arial" w:eastAsia="Arial" w:hAnsi="Arial"/>
          <w:sz w:val="9"/>
          <w:szCs w:val="9"/>
          <w:color w:val="auto"/>
        </w:rPr>
      </w:pPr>
      <w:r>
        <w:rPr>
          <w:rFonts w:ascii="Arial" w:cs="Arial" w:eastAsia="Arial" w:hAnsi="Arial"/>
          <w:sz w:val="14"/>
          <w:szCs w:val="14"/>
          <w:color w:val="auto"/>
        </w:rPr>
        <w:t>Centrally cleared derivatives have no ascribable fair value because the positions are settled daily.</w:t>
      </w:r>
    </w:p>
    <w:p>
      <w:pPr>
        <w:spacing w:after="0" w:line="45" w:lineRule="exact"/>
        <w:rPr>
          <w:rFonts w:ascii="Arial" w:cs="Arial" w:eastAsia="Arial" w:hAnsi="Arial"/>
          <w:sz w:val="9"/>
          <w:szCs w:val="9"/>
          <w:color w:val="auto"/>
        </w:rPr>
      </w:pPr>
    </w:p>
    <w:p>
      <w:pPr>
        <w:ind w:left="240" w:right="280" w:hanging="237"/>
        <w:spacing w:after="0" w:line="264" w:lineRule="auto"/>
        <w:tabs>
          <w:tab w:leader="none" w:pos="233" w:val="left"/>
        </w:tabs>
        <w:numPr>
          <w:ilvl w:val="0"/>
          <w:numId w:val="73"/>
        </w:numPr>
        <w:rPr>
          <w:rFonts w:ascii="Arial" w:cs="Arial" w:eastAsia="Arial" w:hAnsi="Arial"/>
          <w:sz w:val="9"/>
          <w:szCs w:val="9"/>
          <w:color w:val="auto"/>
        </w:rPr>
      </w:pPr>
      <w:r>
        <w:rPr>
          <w:rFonts w:ascii="Arial" w:cs="Arial" w:eastAsia="Arial" w:hAnsi="Arial"/>
          <w:sz w:val="14"/>
          <w:szCs w:val="14"/>
          <w:color w:val="auto"/>
        </w:rPr>
        <w:t>The netting adjustment represents the effect of the legal right to offset under legally enforceable master netting arrangements to settle with the same counterparty on a net basis, including cash collateral posted and received. Cash collateral posted was $1.1 billion and $2.0 billion as of September 30, 2025 and December 31, 2024, respectively. Cash collateral received was $79 million and $3 million as of September 30,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354965</wp:posOffset>
            </wp:positionV>
            <wp:extent cx="680593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3" w:name="page94"/>
    <w:bookmarkEnd w:id="93"/>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by type of derivative instrument, the fair value gains and losses, net on our derivatives.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7"/>
              </w:rPr>
              <w:t>For the Three Months Ended</w:t>
            </w:r>
          </w:p>
        </w:tc>
        <w:tc>
          <w:tcPr>
            <w:tcW w:w="180" w:type="dxa"/>
            <w:vAlign w:val="bottom"/>
          </w:tcPr>
          <w:p>
            <w:pPr>
              <w:spacing w:after="0"/>
              <w:rPr>
                <w:sz w:val="14"/>
                <w:szCs w:val="14"/>
                <w:color w:val="auto"/>
              </w:rPr>
            </w:pPr>
          </w:p>
        </w:tc>
        <w:tc>
          <w:tcPr>
            <w:tcW w:w="2120" w:type="dxa"/>
            <w:vAlign w:val="bottom"/>
            <w:gridSpan w:val="4"/>
          </w:tcPr>
          <w:p>
            <w:pPr>
              <w:jc w:val="right"/>
              <w:ind w:right="183"/>
              <w:spacing w:after="0"/>
              <w:rPr>
                <w:sz w:val="20"/>
                <w:szCs w:val="20"/>
                <w:color w:val="auto"/>
              </w:rPr>
            </w:pPr>
            <w:r>
              <w:rPr>
                <w:rFonts w:ascii="Arial" w:cs="Arial" w:eastAsia="Arial" w:hAnsi="Arial"/>
                <w:sz w:val="14"/>
                <w:szCs w:val="14"/>
                <w:b w:val="1"/>
                <w:bCs w:val="1"/>
                <w:color w:val="auto"/>
              </w:rPr>
              <w:t>For the Nine Months Ended</w:t>
            </w:r>
          </w:p>
        </w:tc>
      </w:tr>
      <w:tr>
        <w:trPr>
          <w:trHeight w:val="177"/>
        </w:trPr>
        <w:tc>
          <w:tcPr>
            <w:tcW w:w="6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5"/>
                <w:szCs w:val="15"/>
                <w:color w:val="auto"/>
              </w:rPr>
            </w:pPr>
          </w:p>
        </w:tc>
        <w:tc>
          <w:tcPr>
            <w:tcW w:w="2120" w:type="dxa"/>
            <w:vAlign w:val="bottom"/>
            <w:gridSpan w:val="4"/>
          </w:tcPr>
          <w:p>
            <w:pPr>
              <w:jc w:val="right"/>
              <w:ind w:right="603"/>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6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2C6937"/>
              <w:bottom w:val="single" w:sz="8" w:color="2C6937"/>
            </w:tcBorders>
          </w:tcPr>
          <w:p>
            <w:pPr>
              <w:spacing w:after="0"/>
              <w:rPr>
                <w:sz w:val="16"/>
                <w:szCs w:val="16"/>
                <w:color w:val="auto"/>
              </w:rPr>
            </w:pPr>
          </w:p>
        </w:tc>
        <w:tc>
          <w:tcPr>
            <w:tcW w:w="900" w:type="dxa"/>
            <w:vAlign w:val="bottom"/>
            <w:tcBorders>
              <w:top w:val="single" w:sz="8" w:color="2C6937"/>
              <w:bottom w:val="single" w:sz="8" w:color="2C6937"/>
            </w:tcBorders>
          </w:tcPr>
          <w:p>
            <w:pPr>
              <w:jc w:val="right"/>
              <w:ind w:right="304"/>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2C6937"/>
              <w:bottom w:val="single" w:sz="8" w:color="2C6937"/>
            </w:tcBorders>
          </w:tcPr>
          <w:p>
            <w:pPr>
              <w:spacing w:after="0"/>
              <w:rPr>
                <w:sz w:val="16"/>
                <w:szCs w:val="16"/>
                <w:color w:val="auto"/>
              </w:rPr>
            </w:pPr>
          </w:p>
        </w:tc>
        <w:tc>
          <w:tcPr>
            <w:tcW w:w="260" w:type="dxa"/>
            <w:vAlign w:val="bottom"/>
            <w:tcBorders>
              <w:top w:val="single" w:sz="8" w:color="2C6937"/>
              <w:bottom w:val="single" w:sz="8" w:color="2C6937"/>
            </w:tcBorders>
          </w:tcPr>
          <w:p>
            <w:pPr>
              <w:spacing w:after="0"/>
              <w:rPr>
                <w:sz w:val="16"/>
                <w:szCs w:val="16"/>
                <w:color w:val="auto"/>
              </w:rPr>
            </w:pPr>
          </w:p>
        </w:tc>
        <w:tc>
          <w:tcPr>
            <w:tcW w:w="840" w:type="dxa"/>
            <w:vAlign w:val="bottom"/>
            <w:tcBorders>
              <w:top w:val="single" w:sz="8" w:color="2C6937"/>
              <w:bottom w:val="single" w:sz="8" w:color="2C6937"/>
            </w:tcBorders>
          </w:tcPr>
          <w:p>
            <w:pPr>
              <w:jc w:val="right"/>
              <w:ind w:right="324"/>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2C6937"/>
            </w:tcBorders>
          </w:tcPr>
          <w:p>
            <w:pPr>
              <w:spacing w:after="0"/>
              <w:rPr>
                <w:sz w:val="16"/>
                <w:szCs w:val="16"/>
                <w:color w:val="auto"/>
              </w:rPr>
            </w:pPr>
          </w:p>
        </w:tc>
        <w:tc>
          <w:tcPr>
            <w:tcW w:w="180" w:type="dxa"/>
            <w:vAlign w:val="bottom"/>
            <w:tcBorders>
              <w:top w:val="single" w:sz="8" w:color="2C6937"/>
              <w:bottom w:val="single" w:sz="8" w:color="2C6937"/>
            </w:tcBorders>
          </w:tcPr>
          <w:p>
            <w:pPr>
              <w:spacing w:after="0"/>
              <w:rPr>
                <w:sz w:val="16"/>
                <w:szCs w:val="16"/>
                <w:color w:val="auto"/>
              </w:rPr>
            </w:pPr>
          </w:p>
        </w:tc>
        <w:tc>
          <w:tcPr>
            <w:tcW w:w="900" w:type="dxa"/>
            <w:vAlign w:val="bottom"/>
            <w:tcBorders>
              <w:top w:val="single" w:sz="8" w:color="2C6937"/>
              <w:bottom w:val="single" w:sz="8" w:color="2C6937"/>
            </w:tcBorders>
          </w:tcPr>
          <w:p>
            <w:pPr>
              <w:jc w:val="right"/>
              <w:ind w:right="304"/>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2C6937"/>
              <w:bottom w:val="single" w:sz="8" w:color="2C6937"/>
            </w:tcBorders>
          </w:tcPr>
          <w:p>
            <w:pPr>
              <w:spacing w:after="0"/>
              <w:rPr>
                <w:sz w:val="16"/>
                <w:szCs w:val="16"/>
                <w:color w:val="auto"/>
              </w:rPr>
            </w:pPr>
          </w:p>
        </w:tc>
        <w:tc>
          <w:tcPr>
            <w:tcW w:w="240" w:type="dxa"/>
            <w:vAlign w:val="bottom"/>
            <w:tcBorders>
              <w:top w:val="single" w:sz="8" w:color="2C6937"/>
              <w:bottom w:val="single" w:sz="8" w:color="2C6937"/>
            </w:tcBorders>
          </w:tcPr>
          <w:p>
            <w:pPr>
              <w:spacing w:after="0"/>
              <w:rPr>
                <w:sz w:val="16"/>
                <w:szCs w:val="16"/>
                <w:color w:val="auto"/>
              </w:rPr>
            </w:pPr>
          </w:p>
        </w:tc>
        <w:tc>
          <w:tcPr>
            <w:tcW w:w="840" w:type="dxa"/>
            <w:vAlign w:val="bottom"/>
            <w:tcBorders>
              <w:top w:val="single" w:sz="8" w:color="2C6937"/>
              <w:bottom w:val="single" w:sz="8" w:color="2C6937"/>
            </w:tcBorders>
          </w:tcPr>
          <w:p>
            <w:pPr>
              <w:jc w:val="right"/>
              <w:ind w:right="303"/>
              <w:spacing w:after="0"/>
              <w:rPr>
                <w:sz w:val="20"/>
                <w:szCs w:val="20"/>
                <w:color w:val="auto"/>
              </w:rPr>
            </w:pPr>
            <w:r>
              <w:rPr>
                <w:rFonts w:ascii="Arial" w:cs="Arial" w:eastAsia="Arial" w:hAnsi="Arial"/>
                <w:sz w:val="14"/>
                <w:szCs w:val="14"/>
                <w:b w:val="1"/>
                <w:bCs w:val="1"/>
                <w:color w:val="auto"/>
              </w:rPr>
              <w:t>2024</w:t>
            </w:r>
          </w:p>
        </w:tc>
      </w:tr>
      <w:tr>
        <w:trPr>
          <w:trHeight w:val="185"/>
        </w:trPr>
        <w:tc>
          <w:tcPr>
            <w:tcW w:w="6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6"/>
        </w:trPr>
        <w:tc>
          <w:tcPr>
            <w:tcW w:w="6400" w:type="dxa"/>
            <w:vAlign w:val="bottom"/>
            <w:gridSpan w:val="2"/>
          </w:tcPr>
          <w:p>
            <w:pPr>
              <w:ind w:left="20"/>
              <w:spacing w:after="0"/>
              <w:rPr>
                <w:sz w:val="20"/>
                <w:szCs w:val="20"/>
                <w:color w:val="auto"/>
              </w:rPr>
            </w:pPr>
            <w:r>
              <w:rPr>
                <w:rFonts w:ascii="Arial" w:cs="Arial" w:eastAsia="Arial" w:hAnsi="Arial"/>
                <w:sz w:val="15"/>
                <w:szCs w:val="15"/>
                <w:color w:val="auto"/>
              </w:rPr>
              <w:t>Risk management derivatives: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6400" w:type="dxa"/>
            <w:vAlign w:val="bottom"/>
            <w:gridSpan w:val="2"/>
          </w:tcPr>
          <w:p>
            <w:pPr>
              <w:ind w:left="180"/>
              <w:spacing w:after="0"/>
              <w:rPr>
                <w:sz w:val="20"/>
                <w:szCs w:val="20"/>
                <w:color w:val="auto"/>
              </w:rPr>
            </w:pPr>
            <w:r>
              <w:rPr>
                <w:rFonts w:ascii="Arial" w:cs="Arial" w:eastAsia="Arial" w:hAnsi="Arial"/>
                <w:sz w:val="15"/>
                <w:szCs w:val="15"/>
                <w:color w:val="auto"/>
              </w:rPr>
              <w:t>Swaps: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640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(43)</w:t>
            </w:r>
          </w:p>
        </w:tc>
        <w:tc>
          <w:tcPr>
            <w:tcW w:w="140" w:type="dxa"/>
            <w:vAlign w:val="bottom"/>
          </w:tcPr>
          <w:p>
            <w:pPr>
              <w:spacing w:after="0"/>
              <w:rPr>
                <w:sz w:val="17"/>
                <w:szCs w:val="17"/>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(2,225)</w:t>
            </w:r>
          </w:p>
        </w:tc>
        <w:tc>
          <w:tcPr>
            <w:tcW w:w="24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(1,253)</w:t>
            </w:r>
          </w:p>
        </w:tc>
        <w:tc>
          <w:tcPr>
            <w:tcW w:w="14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(626)</w:t>
            </w:r>
          </w:p>
        </w:tc>
      </w:tr>
      <w:tr>
        <w:trPr>
          <w:trHeight w:val="206"/>
        </w:trPr>
        <w:tc>
          <w:tcPr>
            <w:tcW w:w="640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362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2,225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1,979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1,738</w:t>
            </w:r>
          </w:p>
        </w:tc>
      </w:tr>
      <w:tr>
        <w:trPr>
          <w:trHeight w:val="206"/>
        </w:trPr>
        <w:tc>
          <w:tcPr>
            <w:tcW w:w="6400" w:type="dxa"/>
            <w:vAlign w:val="bottom"/>
            <w:gridSpan w:val="2"/>
          </w:tcPr>
          <w:p>
            <w:pPr>
              <w:ind w:left="320"/>
              <w:spacing w:after="0"/>
              <w:rPr>
                <w:sz w:val="20"/>
                <w:szCs w:val="20"/>
                <w:color w:val="auto"/>
              </w:rPr>
            </w:pPr>
            <w:r>
              <w:rPr>
                <w:rFonts w:ascii="Arial" w:cs="Arial" w:eastAsia="Arial" w:hAnsi="Arial"/>
                <w:sz w:val="15"/>
                <w:szCs w:val="15"/>
                <w:color w:val="auto"/>
              </w:rPr>
              <w:t>Basis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08"/>
        </w:trPr>
        <w:tc>
          <w:tcPr>
            <w:tcW w:w="6400" w:type="dxa"/>
            <w:vAlign w:val="bottom"/>
            <w:gridSpan w:val="2"/>
          </w:tcPr>
          <w:p>
            <w:pPr>
              <w:ind w:left="320"/>
              <w:spacing w:after="0"/>
              <w:rPr>
                <w:sz w:val="20"/>
                <w:szCs w:val="20"/>
                <w:color w:val="auto"/>
              </w:rPr>
            </w:pPr>
            <w:r>
              <w:rPr>
                <w:rFonts w:ascii="Arial" w:cs="Arial" w:eastAsia="Arial" w:hAnsi="Arial"/>
                <w:sz w:val="15"/>
                <w:szCs w:val="15"/>
                <w:color w:val="auto"/>
              </w:rPr>
              <w:t>Foreign currency</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04"/>
        </w:trPr>
        <w:tc>
          <w:tcPr>
            <w:tcW w:w="6400" w:type="dxa"/>
            <w:vAlign w:val="bottom"/>
            <w:gridSpan w:val="2"/>
          </w:tcPr>
          <w:p>
            <w:pPr>
              <w:ind w:left="180"/>
              <w:spacing w:after="0"/>
              <w:rPr>
                <w:sz w:val="20"/>
                <w:szCs w:val="20"/>
                <w:color w:val="auto"/>
              </w:rPr>
            </w:pPr>
            <w:r>
              <w:rPr>
                <w:rFonts w:ascii="Arial" w:cs="Arial" w:eastAsia="Arial" w:hAnsi="Arial"/>
                <w:sz w:val="15"/>
                <w:szCs w:val="15"/>
                <w:color w:val="auto"/>
              </w:rPr>
              <w:t>Swaptions: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6400" w:type="dxa"/>
            <w:vAlign w:val="bottom"/>
            <w:gridSpan w:val="2"/>
          </w:tcPr>
          <w:p>
            <w:pPr>
              <w:ind w:left="320"/>
              <w:spacing w:after="0"/>
              <w:rPr>
                <w:sz w:val="20"/>
                <w:szCs w:val="20"/>
                <w:color w:val="auto"/>
              </w:rPr>
            </w:pPr>
            <w:r>
              <w:rPr>
                <w:rFonts w:ascii="Arial" w:cs="Arial" w:eastAsia="Arial" w:hAnsi="Arial"/>
                <w:sz w:val="15"/>
                <w:szCs w:val="15"/>
                <w:color w:val="auto"/>
              </w:rPr>
              <w:t>Pay-fixed</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(79)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(94)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06"/>
        </w:trPr>
        <w:tc>
          <w:tcPr>
            <w:tcW w:w="6400" w:type="dxa"/>
            <w:vAlign w:val="bottom"/>
            <w:gridSpan w:val="2"/>
          </w:tcPr>
          <w:p>
            <w:pPr>
              <w:ind w:left="320"/>
              <w:spacing w:after="0"/>
              <w:rPr>
                <w:sz w:val="20"/>
                <w:szCs w:val="20"/>
                <w:color w:val="auto"/>
              </w:rPr>
            </w:pPr>
            <w:r>
              <w:rPr>
                <w:rFonts w:ascii="Arial" w:cs="Arial" w:eastAsia="Arial" w:hAnsi="Arial"/>
                <w:sz w:val="15"/>
                <w:szCs w:val="15"/>
                <w:color w:val="auto"/>
              </w:rPr>
              <w:t>Receive-fixed</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06"/>
        </w:trPr>
        <w:tc>
          <w:tcPr>
            <w:tcW w:w="6400" w:type="dxa"/>
            <w:vAlign w:val="bottom"/>
            <w:gridSpan w:val="2"/>
          </w:tcPr>
          <w:p>
            <w:pPr>
              <w:ind w:left="180"/>
              <w:spacing w:after="0"/>
              <w:rPr>
                <w:sz w:val="20"/>
                <w:szCs w:val="20"/>
                <w:color w:val="auto"/>
              </w:rPr>
            </w:pPr>
            <w:r>
              <w:rPr>
                <w:rFonts w:ascii="Arial" w:cs="Arial" w:eastAsia="Arial" w:hAnsi="Arial"/>
                <w:sz w:val="15"/>
                <w:szCs w:val="15"/>
                <w:color w:val="auto"/>
              </w:rPr>
              <w:t>Futures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6220" w:type="dxa"/>
            <w:vAlign w:val="bottom"/>
            <w:tcBorders>
              <w:bottom w:val="single" w:sz="8" w:color="2C6937"/>
            </w:tcBorders>
          </w:tcPr>
          <w:p>
            <w:pPr>
              <w:ind w:left="180"/>
              <w:spacing w:after="0"/>
              <w:rPr>
                <w:sz w:val="20"/>
                <w:szCs w:val="20"/>
                <w:color w:val="auto"/>
              </w:rPr>
            </w:pPr>
            <w:r>
              <w:rPr>
                <w:rFonts w:ascii="Arial" w:cs="Arial" w:eastAsia="Arial" w:hAnsi="Arial"/>
                <w:sz w:val="15"/>
                <w:szCs w:val="15"/>
                <w:color w:val="auto"/>
              </w:rPr>
              <w:t>Net contractual interest income (expense) on interest-rate swaps</w:t>
            </w:r>
          </w:p>
        </w:tc>
        <w:tc>
          <w:tcPr>
            <w:tcW w:w="18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(94)</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(263)</w:t>
            </w:r>
          </w:p>
        </w:tc>
        <w:tc>
          <w:tcPr>
            <w:tcW w:w="2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(495)</w:t>
            </w: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(713)</w:t>
            </w:r>
          </w:p>
        </w:tc>
      </w:tr>
      <w:tr>
        <w:trPr>
          <w:trHeight w:val="198"/>
        </w:trPr>
        <w:tc>
          <w:tcPr>
            <w:tcW w:w="6400" w:type="dxa"/>
            <w:vAlign w:val="bottom"/>
            <w:gridSpan w:val="2"/>
          </w:tcPr>
          <w:p>
            <w:pPr>
              <w:ind w:left="20"/>
              <w:spacing w:after="0"/>
              <w:rPr>
                <w:sz w:val="20"/>
                <w:szCs w:val="20"/>
                <w:color w:val="auto"/>
              </w:rPr>
            </w:pPr>
            <w:r>
              <w:rPr>
                <w:rFonts w:ascii="Arial" w:cs="Arial" w:eastAsia="Arial" w:hAnsi="Arial"/>
                <w:sz w:val="15"/>
                <w:szCs w:val="15"/>
                <w:color w:val="auto"/>
              </w:rPr>
              <w:t>Total risk management derivatives fair value gains (losses), net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117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133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442</w:t>
            </w:r>
          </w:p>
        </w:tc>
      </w:tr>
      <w:tr>
        <w:trPr>
          <w:trHeight w:val="206"/>
        </w:trPr>
        <w:tc>
          <w:tcPr>
            <w:tcW w:w="6400" w:type="dxa"/>
            <w:vAlign w:val="bottom"/>
            <w:gridSpan w:val="2"/>
          </w:tcPr>
          <w:p>
            <w:pPr>
              <w:ind w:left="20"/>
              <w:spacing w:after="0"/>
              <w:rPr>
                <w:sz w:val="20"/>
                <w:szCs w:val="20"/>
                <w:color w:val="auto"/>
              </w:rPr>
            </w:pPr>
            <w:r>
              <w:rPr>
                <w:rFonts w:ascii="Arial" w:cs="Arial" w:eastAsia="Arial" w:hAnsi="Arial"/>
                <w:sz w:val="15"/>
                <w:szCs w:val="15"/>
                <w:color w:val="auto"/>
              </w:rPr>
              <w:t>Mortgage commitment derivatives fair value gains (losses), net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(295)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(567)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(684)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(266)</w:t>
            </w:r>
          </w:p>
        </w:tc>
      </w:tr>
      <w:tr>
        <w:trPr>
          <w:trHeight w:val="208"/>
        </w:trPr>
        <w:tc>
          <w:tcPr>
            <w:tcW w:w="62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Credit enhancement derivatives fair value gains (losses), net</w:t>
            </w:r>
          </w:p>
        </w:tc>
        <w:tc>
          <w:tcPr>
            <w:tcW w:w="180" w:type="dxa"/>
            <w:vAlign w:val="bottom"/>
          </w:tcPr>
          <w:p>
            <w:pPr>
              <w:spacing w:after="0"/>
              <w:rPr>
                <w:sz w:val="18"/>
                <w:szCs w:val="18"/>
                <w:color w:val="auto"/>
              </w:rPr>
            </w:pPr>
          </w:p>
        </w:tc>
        <w:tc>
          <w:tcPr>
            <w:tcW w:w="16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w:t>
            </w:r>
          </w:p>
        </w:tc>
        <w:tc>
          <w:tcPr>
            <w:tcW w:w="140" w:type="dxa"/>
            <w:vAlign w:val="bottom"/>
          </w:tcPr>
          <w:p>
            <w:pPr>
              <w:spacing w:after="0"/>
              <w:rPr>
                <w:sz w:val="18"/>
                <w:szCs w:val="18"/>
                <w:color w:val="auto"/>
              </w:rPr>
            </w:pPr>
          </w:p>
        </w:tc>
        <w:tc>
          <w:tcPr>
            <w:tcW w:w="26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(38)</w:t>
            </w:r>
          </w:p>
        </w:tc>
        <w:tc>
          <w:tcPr>
            <w:tcW w:w="240" w:type="dxa"/>
            <w:vAlign w:val="bottom"/>
          </w:tcPr>
          <w:p>
            <w:pPr>
              <w:spacing w:after="0"/>
              <w:rPr>
                <w:sz w:val="18"/>
                <w:szCs w:val="18"/>
                <w:color w:val="auto"/>
              </w:rPr>
            </w:pPr>
          </w:p>
        </w:tc>
        <w:tc>
          <w:tcPr>
            <w:tcW w:w="180" w:type="dxa"/>
            <w:vAlign w:val="bottom"/>
            <w:tcBorders>
              <w:bottom w:val="single" w:sz="8" w:color="2C6937"/>
            </w:tcBorders>
          </w:tcPr>
          <w:p>
            <w:pPr>
              <w:spacing w:after="0"/>
              <w:rPr>
                <w:sz w:val="18"/>
                <w:szCs w:val="18"/>
                <w:color w:val="auto"/>
              </w:rPr>
            </w:pPr>
          </w:p>
        </w:tc>
        <w:tc>
          <w:tcPr>
            <w:tcW w:w="900" w:type="dxa"/>
            <w:vAlign w:val="bottom"/>
            <w:tcBorders>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(25)</w:t>
            </w:r>
          </w:p>
        </w:tc>
        <w:tc>
          <w:tcPr>
            <w:tcW w:w="140" w:type="dxa"/>
            <w:vAlign w:val="bottom"/>
          </w:tcPr>
          <w:p>
            <w:pPr>
              <w:spacing w:after="0"/>
              <w:rPr>
                <w:sz w:val="18"/>
                <w:szCs w:val="18"/>
                <w:color w:val="auto"/>
              </w:rPr>
            </w:pPr>
          </w:p>
        </w:tc>
        <w:tc>
          <w:tcPr>
            <w:tcW w:w="2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w:t>
            </w:r>
          </w:p>
        </w:tc>
      </w:tr>
      <w:tr>
        <w:trPr>
          <w:trHeight w:val="199"/>
        </w:trPr>
        <w:tc>
          <w:tcPr>
            <w:tcW w:w="6400" w:type="dxa"/>
            <w:vAlign w:val="bottom"/>
            <w:gridSpan w:val="2"/>
          </w:tcPr>
          <w:p>
            <w:pPr>
              <w:ind w:left="180"/>
              <w:spacing w:after="0"/>
              <w:rPr>
                <w:sz w:val="20"/>
                <w:szCs w:val="20"/>
                <w:color w:val="auto"/>
              </w:rPr>
            </w:pPr>
            <w:r>
              <w:rPr>
                <w:rFonts w:ascii="Arial" w:cs="Arial" w:eastAsia="Arial" w:hAnsi="Arial"/>
                <w:sz w:val="15"/>
                <w:szCs w:val="15"/>
                <w:color w:val="auto"/>
              </w:rPr>
              <w:t>Total derivatives fair value gains (losses), net</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(175)</w:t>
            </w:r>
          </w:p>
        </w:tc>
        <w:tc>
          <w:tcPr>
            <w:tcW w:w="140" w:type="dxa"/>
            <w:vAlign w:val="bottom"/>
          </w:tcPr>
          <w:p>
            <w:pPr>
              <w:spacing w:after="0"/>
              <w:rPr>
                <w:sz w:val="17"/>
                <w:szCs w:val="17"/>
                <w:color w:val="auto"/>
              </w:rPr>
            </w:pPr>
          </w:p>
        </w:tc>
        <w:tc>
          <w:tcPr>
            <w:tcW w:w="2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(860)</w:t>
            </w:r>
          </w:p>
        </w:tc>
        <w:tc>
          <w:tcPr>
            <w:tcW w:w="24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(576)</w:t>
            </w:r>
          </w:p>
        </w:tc>
        <w:tc>
          <w:tcPr>
            <w:tcW w:w="14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124</w:t>
            </w:r>
          </w:p>
        </w:tc>
      </w:tr>
      <w:tr>
        <w:trPr>
          <w:trHeight w:val="20"/>
        </w:trPr>
        <w:tc>
          <w:tcPr>
            <w:tcW w:w="6220" w:type="dxa"/>
            <w:vAlign w:val="bottom"/>
            <w:tcBorders>
              <w:top w:val="single" w:sz="8" w:color="2C6937"/>
              <w:bottom w:val="single" w:sz="8" w:color="2C6937"/>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2C6937"/>
              <w:bottom w:val="single" w:sz="8" w:color="2C6937"/>
            </w:tcBorders>
          </w:tcPr>
          <w:p>
            <w:pPr>
              <w:spacing w:after="0" w:line="20" w:lineRule="exact"/>
              <w:rPr>
                <w:sz w:val="1"/>
                <w:szCs w:val="1"/>
                <w:color w:val="auto"/>
              </w:rPr>
            </w:pPr>
          </w:p>
        </w:tc>
        <w:tc>
          <w:tcPr>
            <w:tcW w:w="900" w:type="dxa"/>
            <w:vAlign w:val="bottom"/>
            <w:tcBorders>
              <w:top w:val="single" w:sz="8" w:color="2C6937"/>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441960</wp:posOffset>
            </wp:positionV>
            <wp:extent cx="680593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4" w:name="page95"/>
    <w:bookmarkEnd w:id="94"/>
    <w:p>
      <w:pPr>
        <w:ind w:left="6240"/>
        <w:spacing w:after="0"/>
        <w:rPr>
          <w:sz w:val="20"/>
          <w:szCs w:val="20"/>
          <w:color w:val="auto"/>
        </w:rPr>
      </w:pPr>
      <w:r>
        <w:rPr>
          <w:rFonts w:ascii="Arial" w:cs="Arial" w:eastAsia="Arial" w:hAnsi="Arial"/>
          <w:sz w:val="13"/>
          <w:szCs w:val="13"/>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Effect of Fair Value Hedge Accounting</w:t>
      </w:r>
    </w:p>
    <w:p>
      <w:pPr>
        <w:spacing w:after="0" w:line="6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following table displays the effect of fair value hedge accounting on our condensed consolidated statements of operations and comprehensive income, including gains and losses recognized on fair value hedging relationships.</w:t>
      </w:r>
    </w:p>
    <w:tbl>
      <w:tblPr>
        <w:tblLayout w:type="fixed"/>
        <w:tblInd w:w="8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gridSpan w:val="11"/>
          </w:tcPr>
          <w:p>
            <w:pPr>
              <w:ind w:left="420"/>
              <w:spacing w:after="0"/>
              <w:rPr>
                <w:sz w:val="20"/>
                <w:szCs w:val="20"/>
                <w:color w:val="auto"/>
              </w:rPr>
            </w:pPr>
            <w:r>
              <w:rPr>
                <w:rFonts w:ascii="Arial" w:cs="Arial" w:eastAsia="Arial" w:hAnsi="Arial"/>
                <w:sz w:val="14"/>
                <w:szCs w:val="14"/>
                <w:b w:val="1"/>
                <w:bCs w:val="1"/>
                <w:color w:val="auto"/>
              </w:rPr>
              <w:t>For the Three Months Ended September 30,</w:t>
            </w:r>
          </w:p>
        </w:tc>
        <w:tc>
          <w:tcPr>
            <w:tcW w:w="120" w:type="dxa"/>
            <w:vAlign w:val="bottom"/>
          </w:tcPr>
          <w:p>
            <w:pPr>
              <w:spacing w:after="0"/>
              <w:rPr>
                <w:sz w:val="16"/>
                <w:szCs w:val="16"/>
                <w:color w:val="auto"/>
              </w:rPr>
            </w:pPr>
          </w:p>
        </w:tc>
        <w:tc>
          <w:tcPr>
            <w:tcW w:w="3800" w:type="dxa"/>
            <w:vAlign w:val="bottom"/>
            <w:gridSpan w:val="10"/>
          </w:tcPr>
          <w:p>
            <w:pPr>
              <w:jc w:val="right"/>
              <w:ind w:right="511"/>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6"/>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1780" w:type="dxa"/>
            <w:vAlign w:val="bottom"/>
            <w:tcBorders>
              <w:top w:val="single" w:sz="8" w:color="2C6937"/>
              <w:bottom w:val="single" w:sz="8" w:color="2C6937"/>
            </w:tcBorders>
            <w:gridSpan w:val="4"/>
          </w:tcPr>
          <w:p>
            <w:pPr>
              <w:jc w:val="right"/>
              <w:ind w:right="7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2C6937"/>
            </w:tcBorders>
          </w:tcPr>
          <w:p>
            <w:pPr>
              <w:spacing w:after="0"/>
              <w:rPr>
                <w:sz w:val="16"/>
                <w:szCs w:val="16"/>
                <w:color w:val="auto"/>
              </w:rPr>
            </w:pPr>
          </w:p>
        </w:tc>
        <w:tc>
          <w:tcPr>
            <w:tcW w:w="100" w:type="dxa"/>
            <w:vAlign w:val="bottom"/>
            <w:tcBorders>
              <w:top w:val="single" w:sz="8" w:color="2C6937"/>
              <w:bottom w:val="single" w:sz="8" w:color="2C6937"/>
            </w:tcBorders>
          </w:tcPr>
          <w:p>
            <w:pPr>
              <w:spacing w:after="0"/>
              <w:rPr>
                <w:sz w:val="16"/>
                <w:szCs w:val="16"/>
                <w:color w:val="auto"/>
              </w:rPr>
            </w:pPr>
          </w:p>
        </w:tc>
        <w:tc>
          <w:tcPr>
            <w:tcW w:w="1820" w:type="dxa"/>
            <w:vAlign w:val="bottom"/>
            <w:tcBorders>
              <w:top w:val="single" w:sz="8" w:color="2C6937"/>
              <w:bottom w:val="single" w:sz="8" w:color="2C6937"/>
            </w:tcBorders>
            <w:gridSpan w:val="4"/>
          </w:tcPr>
          <w:p>
            <w:pPr>
              <w:jc w:val="right"/>
              <w:ind w:right="751"/>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1780" w:type="dxa"/>
            <w:vAlign w:val="bottom"/>
            <w:tcBorders>
              <w:top w:val="single" w:sz="8" w:color="2C6937"/>
              <w:bottom w:val="single" w:sz="8" w:color="2C6937"/>
            </w:tcBorders>
            <w:gridSpan w:val="4"/>
          </w:tcPr>
          <w:p>
            <w:pPr>
              <w:jc w:val="right"/>
              <w:ind w:right="7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2C6937"/>
            </w:tcBorders>
          </w:tcPr>
          <w:p>
            <w:pPr>
              <w:spacing w:after="0"/>
              <w:rPr>
                <w:sz w:val="16"/>
                <w:szCs w:val="16"/>
                <w:color w:val="auto"/>
              </w:rPr>
            </w:pPr>
          </w:p>
        </w:tc>
        <w:tc>
          <w:tcPr>
            <w:tcW w:w="120" w:type="dxa"/>
            <w:vAlign w:val="bottom"/>
            <w:tcBorders>
              <w:top w:val="single" w:sz="8" w:color="2C6937"/>
              <w:bottom w:val="single" w:sz="8" w:color="2C6937"/>
            </w:tcBorders>
          </w:tcPr>
          <w:p>
            <w:pPr>
              <w:spacing w:after="0"/>
              <w:rPr>
                <w:sz w:val="16"/>
                <w:szCs w:val="16"/>
                <w:color w:val="auto"/>
              </w:rPr>
            </w:pPr>
          </w:p>
        </w:tc>
        <w:tc>
          <w:tcPr>
            <w:tcW w:w="1800" w:type="dxa"/>
            <w:vAlign w:val="bottom"/>
            <w:tcBorders>
              <w:top w:val="single" w:sz="8" w:color="2C6937"/>
              <w:bottom w:val="single" w:sz="8" w:color="2C6937"/>
            </w:tcBorders>
            <w:gridSpan w:val="4"/>
          </w:tcPr>
          <w:p>
            <w:pPr>
              <w:jc w:val="right"/>
              <w:ind w:right="751"/>
              <w:spacing w:after="0"/>
              <w:rPr>
                <w:sz w:val="20"/>
                <w:szCs w:val="20"/>
                <w:color w:val="auto"/>
              </w:rPr>
            </w:pPr>
            <w:r>
              <w:rPr>
                <w:rFonts w:ascii="Arial" w:cs="Arial" w:eastAsia="Arial" w:hAnsi="Arial"/>
                <w:sz w:val="14"/>
                <w:szCs w:val="14"/>
                <w:b w:val="1"/>
                <w:bCs w:val="1"/>
                <w:color w:val="auto"/>
              </w:rPr>
              <w:t>2024</w:t>
            </w:r>
          </w:p>
        </w:tc>
      </w:tr>
      <w:tr>
        <w:trPr>
          <w:trHeight w:val="178"/>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5"/>
                <w:szCs w:val="15"/>
                <w:color w:val="auto"/>
              </w:rPr>
            </w:pPr>
          </w:p>
        </w:tc>
        <w:tc>
          <w:tcPr>
            <w:tcW w:w="820" w:type="dxa"/>
            <w:vAlign w:val="bottom"/>
          </w:tcPr>
          <w:p>
            <w:pPr>
              <w:jc w:val="center"/>
              <w:ind w:right="51"/>
              <w:spacing w:after="0"/>
              <w:rPr>
                <w:sz w:val="20"/>
                <w:szCs w:val="20"/>
                <w:color w:val="auto"/>
              </w:rPr>
            </w:pPr>
            <w:r>
              <w:rPr>
                <w:rFonts w:ascii="Arial" w:cs="Arial" w:eastAsia="Arial" w:hAnsi="Arial"/>
                <w:sz w:val="14"/>
                <w:szCs w:val="14"/>
                <w:b w:val="1"/>
                <w:bCs w:val="1"/>
                <w:color w:val="auto"/>
                <w:w w:val="98"/>
              </w:rPr>
              <w:t>Interest</w:t>
            </w:r>
          </w:p>
        </w:tc>
      </w:tr>
      <w:tr>
        <w:trPr>
          <w:trHeight w:val="155"/>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3"/>
                <w:szCs w:val="13"/>
                <w:color w:val="auto"/>
              </w:rPr>
            </w:pPr>
          </w:p>
        </w:tc>
        <w:tc>
          <w:tcPr>
            <w:tcW w:w="9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Expense:</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6"/>
              </w:rPr>
              <w:t>Income:</w:t>
            </w:r>
          </w:p>
        </w:tc>
        <w:tc>
          <w:tcPr>
            <w:tcW w:w="80" w:type="dxa"/>
            <w:vAlign w:val="bottom"/>
          </w:tcPr>
          <w:p>
            <w:pPr>
              <w:spacing w:after="0"/>
              <w:rPr>
                <w:sz w:val="13"/>
                <w:szCs w:val="13"/>
                <w:color w:val="auto"/>
              </w:rPr>
            </w:pPr>
          </w:p>
        </w:tc>
        <w:tc>
          <w:tcPr>
            <w:tcW w:w="9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9"/>
              </w:rPr>
              <w:t>Expense:</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6"/>
              </w:rPr>
              <w:t>Income:</w:t>
            </w:r>
          </w:p>
        </w:tc>
        <w:tc>
          <w:tcPr>
            <w:tcW w:w="80" w:type="dxa"/>
            <w:vAlign w:val="bottom"/>
          </w:tcPr>
          <w:p>
            <w:pPr>
              <w:spacing w:after="0"/>
              <w:rPr>
                <w:sz w:val="13"/>
                <w:szCs w:val="13"/>
                <w:color w:val="auto"/>
              </w:rPr>
            </w:pPr>
          </w:p>
        </w:tc>
        <w:tc>
          <w:tcPr>
            <w:tcW w:w="9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9"/>
              </w:rPr>
              <w:t>Expense:</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3"/>
                <w:szCs w:val="13"/>
                <w:color w:val="auto"/>
              </w:rPr>
            </w:pPr>
          </w:p>
        </w:tc>
        <w:tc>
          <w:tcPr>
            <w:tcW w:w="820" w:type="dxa"/>
            <w:vAlign w:val="bottom"/>
          </w:tcPr>
          <w:p>
            <w:pPr>
              <w:jc w:val="center"/>
              <w:ind w:right="31"/>
              <w:spacing w:after="0" w:line="155" w:lineRule="exact"/>
              <w:rPr>
                <w:sz w:val="20"/>
                <w:szCs w:val="20"/>
                <w:color w:val="auto"/>
              </w:rPr>
            </w:pPr>
            <w:r>
              <w:rPr>
                <w:rFonts w:ascii="Arial" w:cs="Arial" w:eastAsia="Arial" w:hAnsi="Arial"/>
                <w:sz w:val="14"/>
                <w:szCs w:val="14"/>
                <w:b w:val="1"/>
                <w:bCs w:val="1"/>
                <w:color w:val="auto"/>
                <w:w w:val="96"/>
              </w:rPr>
              <w:t>Expense:</w:t>
            </w:r>
          </w:p>
        </w:tc>
      </w:tr>
      <w:tr>
        <w:trPr>
          <w:trHeight w:val="168"/>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Long-Term</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Mortgage</w:t>
            </w: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Mortgage</w:t>
            </w:r>
          </w:p>
        </w:tc>
        <w:tc>
          <w:tcPr>
            <w:tcW w:w="100" w:type="dxa"/>
            <w:vAlign w:val="bottom"/>
          </w:tcPr>
          <w:p>
            <w:pPr>
              <w:spacing w:after="0"/>
              <w:rPr>
                <w:sz w:val="14"/>
                <w:szCs w:val="14"/>
                <w:color w:val="auto"/>
              </w:rPr>
            </w:pPr>
          </w:p>
        </w:tc>
        <w:tc>
          <w:tcPr>
            <w:tcW w:w="820" w:type="dxa"/>
            <w:vAlign w:val="bottom"/>
          </w:tcPr>
          <w:p>
            <w:pPr>
              <w:jc w:val="center"/>
              <w:ind w:right="31"/>
              <w:spacing w:after="0"/>
              <w:rPr>
                <w:sz w:val="20"/>
                <w:szCs w:val="20"/>
                <w:color w:val="auto"/>
              </w:rPr>
            </w:pPr>
            <w:r>
              <w:rPr>
                <w:rFonts w:ascii="Arial" w:cs="Arial" w:eastAsia="Arial" w:hAnsi="Arial"/>
                <w:sz w:val="14"/>
                <w:szCs w:val="14"/>
                <w:b w:val="1"/>
                <w:bCs w:val="1"/>
                <w:color w:val="auto"/>
                <w:w w:val="98"/>
              </w:rPr>
              <w:t>Long-Term</w:t>
            </w:r>
          </w:p>
        </w:tc>
      </w:tr>
      <w:tr>
        <w:trPr>
          <w:trHeight w:val="196"/>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Loans</w:t>
            </w:r>
          </w:p>
        </w:tc>
        <w:tc>
          <w:tcPr>
            <w:tcW w:w="8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rPr>
              <w:t>Debt</w:t>
            </w:r>
          </w:p>
        </w:tc>
        <w:tc>
          <w:tcPr>
            <w:tcW w:w="100" w:type="dxa"/>
            <w:vAlign w:val="bottom"/>
            <w:tcBorders>
              <w:bottom w:val="single" w:sz="8" w:color="2C6937"/>
            </w:tcBorders>
          </w:tcPr>
          <w:p>
            <w:pPr>
              <w:spacing w:after="0"/>
              <w:rPr>
                <w:sz w:val="17"/>
                <w:szCs w:val="17"/>
                <w:color w:val="auto"/>
              </w:rPr>
            </w:pPr>
          </w:p>
        </w:tc>
        <w:tc>
          <w:tcPr>
            <w:tcW w:w="9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Loans</w:t>
            </w:r>
          </w:p>
        </w:tc>
        <w:tc>
          <w:tcPr>
            <w:tcW w:w="8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Debt</w:t>
            </w:r>
          </w:p>
        </w:tc>
        <w:tc>
          <w:tcPr>
            <w:tcW w:w="12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Loans</w:t>
            </w:r>
          </w:p>
        </w:tc>
        <w:tc>
          <w:tcPr>
            <w:tcW w:w="80" w:type="dxa"/>
            <w:vAlign w:val="bottom"/>
            <w:tcBorders>
              <w:bottom w:val="single" w:sz="8" w:color="2C6937"/>
            </w:tcBorders>
          </w:tcPr>
          <w:p>
            <w:pPr>
              <w:spacing w:after="0"/>
              <w:rPr>
                <w:sz w:val="17"/>
                <w:szCs w:val="17"/>
                <w:color w:val="auto"/>
              </w:rPr>
            </w:pPr>
          </w:p>
        </w:tc>
        <w:tc>
          <w:tcPr>
            <w:tcW w:w="92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Debt</w:t>
            </w:r>
          </w:p>
        </w:tc>
        <w:tc>
          <w:tcPr>
            <w:tcW w:w="12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2C6937"/>
            </w:tcBorders>
          </w:tcPr>
          <w:p>
            <w:pPr>
              <w:spacing w:after="0"/>
              <w:rPr>
                <w:sz w:val="17"/>
                <w:szCs w:val="17"/>
                <w:color w:val="auto"/>
              </w:rPr>
            </w:pPr>
          </w:p>
        </w:tc>
        <w:tc>
          <w:tcPr>
            <w:tcW w:w="820" w:type="dxa"/>
            <w:vAlign w:val="bottom"/>
            <w:tcBorders>
              <w:bottom w:val="single" w:sz="8" w:color="2C6937"/>
            </w:tcBorders>
          </w:tcPr>
          <w:p>
            <w:pPr>
              <w:jc w:val="center"/>
              <w:ind w:right="51"/>
              <w:spacing w:after="0"/>
              <w:rPr>
                <w:sz w:val="20"/>
                <w:szCs w:val="20"/>
                <w:color w:val="auto"/>
              </w:rPr>
            </w:pPr>
            <w:r>
              <w:rPr>
                <w:rFonts w:ascii="Arial" w:cs="Arial" w:eastAsia="Arial" w:hAnsi="Arial"/>
                <w:sz w:val="14"/>
                <w:szCs w:val="14"/>
                <w:b w:val="1"/>
                <w:bCs w:val="1"/>
                <w:color w:val="auto"/>
                <w:w w:val="96"/>
              </w:rPr>
              <w:t>Debt</w:t>
            </w:r>
          </w:p>
        </w:tc>
      </w:tr>
      <w:tr>
        <w:trPr>
          <w:trHeight w:val="192"/>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5"/>
          </w:tcPr>
          <w:p>
            <w:pPr>
              <w:ind w:left="240"/>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4"/>
        </w:trPr>
        <w:tc>
          <w:tcPr>
            <w:tcW w:w="318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amounts presented in our</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3"/>
        </w:trPr>
        <w:tc>
          <w:tcPr>
            <w:tcW w:w="3180" w:type="dxa"/>
            <w:vAlign w:val="bottom"/>
            <w:gridSpan w:val="2"/>
          </w:tcPr>
          <w:p>
            <w:pPr>
              <w:ind w:left="160"/>
              <w:spacing w:after="0"/>
              <w:rPr>
                <w:sz w:val="20"/>
                <w:szCs w:val="20"/>
                <w:color w:val="auto"/>
              </w:rPr>
            </w:pPr>
            <w:r>
              <w:rPr>
                <w:rFonts w:ascii="Arial" w:cs="Arial" w:eastAsia="Arial" w:hAnsi="Arial"/>
                <w:sz w:val="15"/>
                <w:szCs w:val="15"/>
                <w:b w:val="1"/>
                <w:bCs w:val="1"/>
                <w:color w:val="auto"/>
              </w:rPr>
              <w:t>condensed consolidated statements of</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0"/>
        </w:trPr>
        <w:tc>
          <w:tcPr>
            <w:tcW w:w="3080" w:type="dxa"/>
            <w:vAlign w:val="bottom"/>
            <w:tcBorders>
              <w:bottom w:val="single" w:sz="8" w:color="2C6937"/>
            </w:tcBorders>
          </w:tcPr>
          <w:p>
            <w:pPr>
              <w:ind w:left="160"/>
              <w:spacing w:after="0"/>
              <w:rPr>
                <w:sz w:val="20"/>
                <w:szCs w:val="20"/>
                <w:color w:val="auto"/>
              </w:rPr>
            </w:pPr>
            <w:r>
              <w:rPr>
                <w:rFonts w:ascii="Arial" w:cs="Arial" w:eastAsia="Arial" w:hAnsi="Arial"/>
                <w:sz w:val="15"/>
                <w:szCs w:val="15"/>
                <w:b w:val="1"/>
                <w:bCs w:val="1"/>
                <w:color w:val="auto"/>
              </w:rPr>
              <w:t>operations and comprehensive income</w:t>
            </w:r>
          </w:p>
        </w:tc>
        <w:tc>
          <w:tcPr>
            <w:tcW w:w="1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38,344</w:t>
            </w:r>
          </w:p>
        </w:tc>
        <w:tc>
          <w:tcPr>
            <w:tcW w:w="100" w:type="dxa"/>
            <w:vAlign w:val="bottom"/>
          </w:tcPr>
          <w:p>
            <w:pPr>
              <w:spacing w:after="0"/>
              <w:rPr>
                <w:sz w:val="19"/>
                <w:szCs w:val="19"/>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(32,639)</w:t>
            </w:r>
          </w:p>
        </w:tc>
        <w:tc>
          <w:tcPr>
            <w:tcW w:w="10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36,390</w:t>
            </w:r>
          </w:p>
        </w:tc>
        <w:tc>
          <w:tcPr>
            <w:tcW w:w="100" w:type="dxa"/>
            <w:vAlign w:val="bottom"/>
          </w:tcPr>
          <w:p>
            <w:pPr>
              <w:spacing w:after="0"/>
              <w:rPr>
                <w:sz w:val="19"/>
                <w:szCs w:val="19"/>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(30,600)</w:t>
            </w:r>
          </w:p>
        </w:tc>
        <w:tc>
          <w:tcPr>
            <w:tcW w:w="8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113,436</w:t>
            </w:r>
          </w:p>
        </w:tc>
        <w:tc>
          <w:tcPr>
            <w:tcW w:w="100" w:type="dxa"/>
            <w:vAlign w:val="bottom"/>
          </w:tcPr>
          <w:p>
            <w:pPr>
              <w:spacing w:after="0"/>
              <w:rPr>
                <w:sz w:val="19"/>
                <w:szCs w:val="19"/>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(96,702)</w:t>
            </w:r>
          </w:p>
        </w:tc>
        <w:tc>
          <w:tcPr>
            <w:tcW w:w="1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107,223</w:t>
            </w:r>
          </w:p>
        </w:tc>
        <w:tc>
          <w:tcPr>
            <w:tcW w:w="80" w:type="dxa"/>
            <w:vAlign w:val="bottom"/>
          </w:tcPr>
          <w:p>
            <w:pPr>
              <w:spacing w:after="0"/>
              <w:rPr>
                <w:sz w:val="19"/>
                <w:szCs w:val="19"/>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(90,057)</w:t>
            </w:r>
          </w:p>
        </w:tc>
      </w:tr>
      <w:tr>
        <w:trPr>
          <w:trHeight w:val="431"/>
        </w:trPr>
        <w:tc>
          <w:tcPr>
            <w:tcW w:w="3180" w:type="dxa"/>
            <w:vAlign w:val="bottom"/>
            <w:gridSpan w:val="2"/>
          </w:tcPr>
          <w:p>
            <w:pPr>
              <w:ind w:left="20"/>
              <w:spacing w:after="0"/>
              <w:rPr>
                <w:sz w:val="20"/>
                <w:szCs w:val="20"/>
                <w:color w:val="auto"/>
              </w:rPr>
            </w:pPr>
            <w:r>
              <w:rPr>
                <w:rFonts w:ascii="Arial" w:cs="Arial" w:eastAsia="Arial" w:hAnsi="Arial"/>
                <w:sz w:val="15"/>
                <w:szCs w:val="15"/>
                <w:b w:val="1"/>
                <w:bCs w:val="1"/>
                <w:color w:val="auto"/>
              </w:rPr>
              <w:t>Gains (losses) from fair value hedging</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4"/>
        </w:trPr>
        <w:tc>
          <w:tcPr>
            <w:tcW w:w="3180" w:type="dxa"/>
            <w:vAlign w:val="bottom"/>
            <w:gridSpan w:val="2"/>
          </w:tcPr>
          <w:p>
            <w:pPr>
              <w:ind w:left="160"/>
              <w:spacing w:after="0"/>
              <w:rPr>
                <w:sz w:val="20"/>
                <w:szCs w:val="20"/>
                <w:color w:val="auto"/>
              </w:rPr>
            </w:pPr>
            <w:r>
              <w:rPr>
                <w:rFonts w:ascii="Arial" w:cs="Arial" w:eastAsia="Arial" w:hAnsi="Arial"/>
                <w:sz w:val="15"/>
                <w:szCs w:val="15"/>
                <w:b w:val="1"/>
                <w:bCs w:val="1"/>
                <w:color w:val="auto"/>
              </w:rPr>
              <w:t>relationships: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3"/>
        </w:trPr>
        <w:tc>
          <w:tcPr>
            <w:tcW w:w="3180" w:type="dxa"/>
            <w:vAlign w:val="bottom"/>
            <w:gridSpan w:val="2"/>
          </w:tcPr>
          <w:p>
            <w:pPr>
              <w:ind w:left="120"/>
              <w:spacing w:after="0"/>
              <w:rPr>
                <w:sz w:val="20"/>
                <w:szCs w:val="20"/>
                <w:color w:val="auto"/>
              </w:rPr>
            </w:pPr>
            <w:r>
              <w:rPr>
                <w:rFonts w:ascii="Arial" w:cs="Arial" w:eastAsia="Arial" w:hAnsi="Arial"/>
                <w:sz w:val="15"/>
                <w:szCs w:val="15"/>
                <w:color w:val="auto"/>
              </w:rPr>
              <w:t>Mortgage loans HFI and related interest-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4"/>
        </w:trPr>
        <w:tc>
          <w:tcPr>
            <w:tcW w:w="3180" w:type="dxa"/>
            <w:vAlign w:val="bottom"/>
            <w:gridSpan w:val="2"/>
          </w:tcPr>
          <w:p>
            <w:pPr>
              <w:ind w:left="220"/>
              <w:spacing w:after="0"/>
              <w:rPr>
                <w:sz w:val="20"/>
                <w:szCs w:val="20"/>
                <w:color w:val="auto"/>
              </w:rPr>
            </w:pPr>
            <w:r>
              <w:rPr>
                <w:rFonts w:ascii="Arial" w:cs="Arial" w:eastAsia="Arial" w:hAnsi="Arial"/>
                <w:sz w:val="15"/>
                <w:szCs w:val="15"/>
                <w:color w:val="auto"/>
              </w:rPr>
              <w:t>rate contracts: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2"/>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Hedged items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747</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368</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Discontinued hedge related basis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adjustment amortization</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Derivatives designated as hedging</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instruments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(732)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Interest accruals on hedging</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instruments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170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226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180" w:type="dxa"/>
            <w:vAlign w:val="bottom"/>
            <w:gridSpan w:val="2"/>
          </w:tcPr>
          <w:p>
            <w:pPr>
              <w:ind w:left="120"/>
              <w:spacing w:after="0"/>
              <w:rPr>
                <w:sz w:val="20"/>
                <w:szCs w:val="20"/>
                <w:color w:val="auto"/>
              </w:rPr>
            </w:pPr>
            <w:r>
              <w:rPr>
                <w:rFonts w:ascii="Arial" w:cs="Arial" w:eastAsia="Arial" w:hAnsi="Arial"/>
                <w:sz w:val="15"/>
                <w:szCs w:val="15"/>
                <w:color w:val="auto"/>
              </w:rPr>
              <w:t>Debt of Fannie Mae and related interest-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4"/>
        </w:trPr>
        <w:tc>
          <w:tcPr>
            <w:tcW w:w="3180" w:type="dxa"/>
            <w:vAlign w:val="bottom"/>
            <w:gridSpan w:val="2"/>
          </w:tcPr>
          <w:p>
            <w:pPr>
              <w:ind w:left="220"/>
              <w:spacing w:after="0"/>
              <w:rPr>
                <w:sz w:val="20"/>
                <w:szCs w:val="20"/>
                <w:color w:val="auto"/>
              </w:rPr>
            </w:pPr>
            <w:r>
              <w:rPr>
                <w:rFonts w:ascii="Arial" w:cs="Arial" w:eastAsia="Arial" w:hAnsi="Arial"/>
                <w:sz w:val="15"/>
                <w:szCs w:val="15"/>
                <w:color w:val="auto"/>
              </w:rPr>
              <w:t>rate contracts: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2"/>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Hedged items</w:t>
            </w: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Discontinued hedge-related basis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adjustment amortization</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(641)</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Derivatives designated as hedging</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3180" w:type="dxa"/>
            <w:vAlign w:val="bottom"/>
            <w:gridSpan w:val="2"/>
          </w:tcPr>
          <w:p>
            <w:pPr>
              <w:ind w:left="440"/>
              <w:spacing w:after="0"/>
              <w:rPr>
                <w:sz w:val="20"/>
                <w:szCs w:val="20"/>
                <w:color w:val="auto"/>
              </w:rPr>
            </w:pPr>
            <w:r>
              <w:rPr>
                <w:rFonts w:ascii="Arial" w:cs="Arial" w:eastAsia="Arial" w:hAnsi="Arial"/>
                <w:sz w:val="15"/>
                <w:szCs w:val="15"/>
                <w:color w:val="auto"/>
              </w:rPr>
              <w:t>instruments</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519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96"/>
        </w:trPr>
        <w:tc>
          <w:tcPr>
            <w:tcW w:w="3180" w:type="dxa"/>
            <w:vAlign w:val="bottom"/>
            <w:gridSpan w:val="2"/>
          </w:tcPr>
          <w:p>
            <w:pPr>
              <w:ind w:left="320"/>
              <w:spacing w:after="0"/>
              <w:rPr>
                <w:sz w:val="20"/>
                <w:szCs w:val="20"/>
                <w:color w:val="auto"/>
              </w:rPr>
            </w:pPr>
            <w:r>
              <w:rPr>
                <w:rFonts w:ascii="Arial" w:cs="Arial" w:eastAsia="Arial" w:hAnsi="Arial"/>
                <w:sz w:val="15"/>
                <w:szCs w:val="15"/>
                <w:color w:val="auto"/>
              </w:rPr>
              <w:t>Interest accruals on derivative hedging</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1"/>
        </w:trPr>
        <w:tc>
          <w:tcPr>
            <w:tcW w:w="3080" w:type="dxa"/>
            <w:vAlign w:val="bottom"/>
            <w:tcBorders>
              <w:bottom w:val="single" w:sz="8" w:color="2C6937"/>
            </w:tcBorders>
          </w:tcPr>
          <w:p>
            <w:pPr>
              <w:ind w:left="440"/>
              <w:spacing w:after="0"/>
              <w:rPr>
                <w:sz w:val="20"/>
                <w:szCs w:val="20"/>
                <w:color w:val="auto"/>
              </w:rPr>
            </w:pPr>
            <w:r>
              <w:rPr>
                <w:rFonts w:ascii="Arial" w:cs="Arial" w:eastAsia="Arial" w:hAnsi="Arial"/>
                <w:sz w:val="15"/>
                <w:szCs w:val="15"/>
                <w:color w:val="auto"/>
              </w:rPr>
              <w:t>instruments</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8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0" w:type="dxa"/>
            <w:vAlign w:val="bottom"/>
            <w:tcBorders>
              <w:bottom w:val="single" w:sz="8" w:color="2C6937"/>
            </w:tcBorders>
          </w:tcPr>
          <w:p>
            <w:pPr>
              <w:spacing w:after="0"/>
              <w:rPr>
                <w:sz w:val="20"/>
                <w:szCs w:val="20"/>
                <w:color w:val="auto"/>
              </w:rPr>
            </w:pPr>
          </w:p>
        </w:tc>
        <w:tc>
          <w:tcPr>
            <w:tcW w:w="8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(373)</w:t>
            </w:r>
          </w:p>
        </w:tc>
      </w:tr>
      <w:tr>
        <w:trPr>
          <w:trHeight w:val="225"/>
        </w:trPr>
        <w:tc>
          <w:tcPr>
            <w:tcW w:w="3180" w:type="dxa"/>
            <w:vAlign w:val="bottom"/>
            <w:gridSpan w:val="2"/>
          </w:tcPr>
          <w:p>
            <w:pPr>
              <w:ind w:left="20"/>
              <w:spacing w:after="0"/>
              <w:rPr>
                <w:sz w:val="20"/>
                <w:szCs w:val="20"/>
                <w:color w:val="auto"/>
              </w:rPr>
            </w:pPr>
            <w:r>
              <w:rPr>
                <w:rFonts w:ascii="Arial" w:cs="Arial" w:eastAsia="Arial" w:hAnsi="Arial"/>
                <w:sz w:val="15"/>
                <w:szCs w:val="15"/>
                <w:color w:val="auto"/>
              </w:rPr>
              <w:t>Total effect of fair value hedges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(223)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214</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213</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(877)</w:t>
            </w:r>
          </w:p>
        </w:tc>
      </w:tr>
      <w:tr>
        <w:trPr>
          <w:trHeight w:val="20"/>
        </w:trPr>
        <w:tc>
          <w:tcPr>
            <w:tcW w:w="30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0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820" w:type="dxa"/>
            <w:vAlign w:val="bottom"/>
            <w:tcBorders>
              <w:top w:val="single" w:sz="8" w:color="2C6937"/>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425450</wp:posOffset>
            </wp:positionV>
            <wp:extent cx="680593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48" w:right="399" w:bottom="1440" w:gutter="0" w:footer="0" w:header="0"/>
        </w:sectPr>
      </w:pPr>
    </w:p>
    <w:bookmarkStart w:id="95" w:name="page96"/>
    <w:bookmarkEnd w:id="95"/>
    <w:p>
      <w:pPr>
        <w:ind w:left="6240"/>
        <w:spacing w:after="0"/>
        <w:rPr>
          <w:sz w:val="20"/>
          <w:szCs w:val="20"/>
          <w:color w:val="auto"/>
        </w:rPr>
      </w:pPr>
      <w:r>
        <w:rPr>
          <w:rFonts w:ascii="Arial" w:cs="Arial" w:eastAsia="Arial" w:hAnsi="Arial"/>
          <w:sz w:val="14"/>
          <w:szCs w:val="14"/>
          <w:color w:val="05314D"/>
        </w:rPr>
        <w:t>Notes to Condensed Consolidated Financial Statements |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Hedged Items in Fair Value Hedging Relationships</w:t>
      </w:r>
    </w:p>
    <w:p>
      <w:pPr>
        <w:spacing w:after="0" w:line="6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following table displays the carrying amounts of the hedged items that have been in qualifying fair value hedges recorded in our condensed consolidated balance sheets, including the hedged item’s cumulative basis adjustments and the closed portfolio balances under the portfolio layer method. The hedged item carrying amounts and total basis adjustments include both open and discontinued hedges. The amortized cost and designated unpaid principal balance (“UPB”) consists only of open hedges as of September 30, 2025 and December 31, 2024.</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440" w:type="dxa"/>
            <w:vAlign w:val="bottom"/>
            <w:tcBorders>
              <w:bottom w:val="single" w:sz="8" w:color="2C6937"/>
            </w:tcBorders>
          </w:tcPr>
          <w:p>
            <w:pPr>
              <w:spacing w:after="0"/>
              <w:rPr>
                <w:sz w:val="16"/>
                <w:szCs w:val="16"/>
                <w:color w:val="auto"/>
              </w:rPr>
            </w:pPr>
          </w:p>
        </w:tc>
        <w:tc>
          <w:tcPr>
            <w:tcW w:w="200" w:type="dxa"/>
            <w:vAlign w:val="bottom"/>
            <w:tcBorders>
              <w:bottom w:val="single" w:sz="8" w:color="2C6937"/>
            </w:tcBorders>
          </w:tcPr>
          <w:p>
            <w:pPr>
              <w:spacing w:after="0"/>
              <w:rPr>
                <w:sz w:val="16"/>
                <w:szCs w:val="16"/>
                <w:color w:val="auto"/>
              </w:rPr>
            </w:pPr>
          </w:p>
        </w:tc>
        <w:tc>
          <w:tcPr>
            <w:tcW w:w="186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As of September 30, 2025</w:t>
            </w:r>
          </w:p>
        </w:tc>
        <w:tc>
          <w:tcPr>
            <w:tcW w:w="160" w:type="dxa"/>
            <w:vAlign w:val="bottom"/>
            <w:tcBorders>
              <w:bottom w:val="single" w:sz="8" w:color="2C6937"/>
            </w:tcBorders>
          </w:tcPr>
          <w:p>
            <w:pPr>
              <w:spacing w:after="0"/>
              <w:rPr>
                <w:sz w:val="16"/>
                <w:szCs w:val="16"/>
                <w:color w:val="auto"/>
              </w:rPr>
            </w:pPr>
          </w:p>
        </w:tc>
        <w:tc>
          <w:tcPr>
            <w:tcW w:w="1380" w:type="dxa"/>
            <w:vAlign w:val="bottom"/>
            <w:tcBorders>
              <w:bottom w:val="single" w:sz="8" w:color="2C6937"/>
            </w:tcBorders>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1360" w:type="dxa"/>
            <w:vAlign w:val="bottom"/>
            <w:tcBorders>
              <w:bottom w:val="single" w:sz="8" w:color="2C6937"/>
            </w:tcBorders>
          </w:tcPr>
          <w:p>
            <w:pPr>
              <w:spacing w:after="0"/>
              <w:rPr>
                <w:sz w:val="16"/>
                <w:szCs w:val="16"/>
                <w:color w:val="auto"/>
              </w:rPr>
            </w:pPr>
          </w:p>
        </w:tc>
      </w:tr>
      <w:tr>
        <w:trPr>
          <w:trHeight w:val="332"/>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8"/>
              </w:rPr>
              <w:t>Cumulative Amount of Fair Value Hedging Basis</w:t>
            </w:r>
          </w:p>
        </w:tc>
        <w:tc>
          <w:tcPr>
            <w:tcW w:w="160" w:type="dxa"/>
            <w:vAlign w:val="bottom"/>
          </w:tcPr>
          <w:p>
            <w:pPr>
              <w:spacing w:after="0"/>
              <w:rPr>
                <w:sz w:val="24"/>
                <w:szCs w:val="24"/>
                <w:color w:val="auto"/>
              </w:rPr>
            </w:pPr>
          </w:p>
        </w:tc>
        <w:tc>
          <w:tcPr>
            <w:tcW w:w="30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6"/>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3"/>
          </w:tcPr>
          <w:p>
            <w:pPr>
              <w:jc w:val="center"/>
              <w:ind w:right="8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3"/>
          </w:tcPr>
          <w:p>
            <w:pPr>
              <w:jc w:val="right"/>
              <w:ind w:right="786"/>
              <w:spacing w:after="0"/>
              <w:rPr>
                <w:sz w:val="20"/>
                <w:szCs w:val="20"/>
                <w:color w:val="auto"/>
              </w:rPr>
            </w:pPr>
            <w:r>
              <w:rPr>
                <w:rFonts w:ascii="Arial" w:cs="Arial" w:eastAsia="Arial" w:hAnsi="Arial"/>
                <w:sz w:val="14"/>
                <w:szCs w:val="14"/>
                <w:b w:val="1"/>
                <w:bCs w:val="1"/>
                <w:color w:val="auto"/>
              </w:rPr>
              <w:t>Portfolio Layer Method</w:t>
            </w:r>
          </w:p>
        </w:tc>
      </w:tr>
      <w:tr>
        <w:trPr>
          <w:trHeight w:val="337"/>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ind w:right="167"/>
              <w:spacing w:after="0"/>
              <w:rPr>
                <w:sz w:val="20"/>
                <w:szCs w:val="20"/>
                <w:color w:val="auto"/>
              </w:rPr>
            </w:pPr>
            <w:r>
              <w:rPr>
                <w:rFonts w:ascii="Arial" w:cs="Arial" w:eastAsia="Arial" w:hAnsi="Arial"/>
                <w:sz w:val="14"/>
                <w:szCs w:val="14"/>
                <w:b w:val="1"/>
                <w:bCs w:val="1"/>
                <w:color w:val="auto"/>
                <w:w w:val="97"/>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68"/>
              <w:spacing w:after="0"/>
              <w:rPr>
                <w:sz w:val="20"/>
                <w:szCs w:val="20"/>
                <w:color w:val="auto"/>
              </w:rPr>
            </w:pPr>
            <w:r>
              <w:rPr>
                <w:rFonts w:ascii="Arial" w:cs="Arial" w:eastAsia="Arial" w:hAnsi="Arial"/>
                <w:sz w:val="14"/>
                <w:szCs w:val="14"/>
                <w:b w:val="1"/>
                <w:bCs w:val="1"/>
                <w:color w:val="auto"/>
                <w:w w:val="96"/>
              </w:rPr>
              <w:t>Total Basis</w:t>
            </w:r>
          </w:p>
        </w:tc>
        <w:tc>
          <w:tcPr>
            <w:tcW w:w="2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2760" w:type="dxa"/>
            <w:vAlign w:val="bottom"/>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center"/>
              <w:ind w:right="187"/>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center"/>
              <w:ind w:right="148"/>
              <w:spacing w:after="0"/>
              <w:rPr>
                <w:sz w:val="20"/>
                <w:szCs w:val="20"/>
                <w:color w:val="auto"/>
              </w:rPr>
            </w:pPr>
            <w:r>
              <w:rPr>
                <w:rFonts w:ascii="Arial" w:cs="Arial" w:eastAsia="Arial" w:hAnsi="Arial"/>
                <w:sz w:val="14"/>
                <w:szCs w:val="14"/>
                <w:b w:val="1"/>
                <w:bCs w:val="1"/>
                <w:color w:val="auto"/>
                <w:w w:val="95"/>
              </w:rPr>
              <w:t>Adjustments</w:t>
            </w:r>
            <w:r>
              <w:rPr>
                <w:rFonts w:ascii="Arial" w:cs="Arial" w:eastAsia="Arial" w:hAnsi="Arial"/>
                <w:sz w:val="17"/>
                <w:szCs w:val="17"/>
                <w:b w:val="1"/>
                <w:bCs w:val="1"/>
                <w:color w:val="auto"/>
                <w:w w:val="95"/>
                <w:vertAlign w:val="superscript"/>
              </w:rPr>
              <w:t>(1)</w:t>
            </w:r>
          </w:p>
        </w:tc>
        <w:tc>
          <w:tcPr>
            <w:tcW w:w="2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Discontinued Hedge</w:t>
            </w:r>
          </w:p>
        </w:tc>
        <w:tc>
          <w:tcPr>
            <w:tcW w:w="154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4"/>
                <w:szCs w:val="14"/>
                <w:b w:val="1"/>
                <w:bCs w:val="1"/>
                <w:color w:val="auto"/>
              </w:rPr>
              <w:t>Total Amortized Cost</w:t>
            </w:r>
          </w:p>
        </w:tc>
        <w:tc>
          <w:tcPr>
            <w:tcW w:w="3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85"/>
        </w:trPr>
        <w:tc>
          <w:tcPr>
            <w:tcW w:w="2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(Dollars in millions)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6"/>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27"/>
              <w:spacing w:after="0"/>
              <w:rPr>
                <w:sz w:val="20"/>
                <w:szCs w:val="20"/>
                <w:color w:val="auto"/>
              </w:rPr>
            </w:pPr>
            <w:r>
              <w:rPr>
                <w:rFonts w:ascii="Arial" w:cs="Arial" w:eastAsia="Arial" w:hAnsi="Arial"/>
                <w:sz w:val="15"/>
                <w:szCs w:val="15"/>
                <w:color w:val="auto"/>
              </w:rPr>
              <w:t>1,240,556</w:t>
            </w: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28"/>
              <w:spacing w:after="0"/>
              <w:rPr>
                <w:sz w:val="20"/>
                <w:szCs w:val="20"/>
                <w:color w:val="auto"/>
              </w:rPr>
            </w:pPr>
            <w:r>
              <w:rPr>
                <w:rFonts w:ascii="Arial" w:cs="Arial" w:eastAsia="Arial" w:hAnsi="Arial"/>
                <w:sz w:val="15"/>
                <w:szCs w:val="15"/>
                <w:color w:val="auto"/>
              </w:rPr>
              <w:t>(40)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(40)</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283,665</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32,952</w:t>
            </w:r>
          </w:p>
        </w:tc>
      </w:tr>
      <w:tr>
        <w:trPr>
          <w:trHeight w:val="232"/>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87"/>
              <w:spacing w:after="0"/>
              <w:rPr>
                <w:sz w:val="20"/>
                <w:szCs w:val="20"/>
                <w:color w:val="auto"/>
              </w:rPr>
            </w:pPr>
            <w:r>
              <w:rPr>
                <w:rFonts w:ascii="Arial" w:cs="Arial" w:eastAsia="Arial" w:hAnsi="Arial"/>
                <w:sz w:val="15"/>
                <w:szCs w:val="15"/>
                <w:color w:val="auto"/>
              </w:rPr>
              <w:t>(32,642)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68"/>
              <w:spacing w:after="0"/>
              <w:rPr>
                <w:sz w:val="20"/>
                <w:szCs w:val="20"/>
                <w:color w:val="auto"/>
              </w:rPr>
            </w:pPr>
            <w:r>
              <w:rPr>
                <w:rFonts w:ascii="Arial" w:cs="Arial" w:eastAsia="Arial" w:hAnsi="Arial"/>
                <w:sz w:val="15"/>
                <w:szCs w:val="15"/>
                <w:color w:val="auto"/>
              </w:rPr>
              <w:t>2,498</w:t>
            </w:r>
          </w:p>
        </w:tc>
        <w:tc>
          <w:tcPr>
            <w:tcW w:w="200" w:type="dxa"/>
            <w:vAlign w:val="bottom"/>
          </w:tcPr>
          <w:p>
            <w:pPr>
              <w:spacing w:after="0"/>
              <w:rPr>
                <w:sz w:val="20"/>
                <w:szCs w:val="20"/>
                <w:color w:val="auto"/>
              </w:rPr>
            </w:pPr>
          </w:p>
        </w:tc>
        <w:tc>
          <w:tcPr>
            <w:tcW w:w="1720" w:type="dxa"/>
            <w:vAlign w:val="bottom"/>
          </w:tcPr>
          <w:p>
            <w:pPr>
              <w:jc w:val="right"/>
              <w:ind w:right="8"/>
              <w:spacing w:after="0"/>
              <w:rPr>
                <w:sz w:val="20"/>
                <w:szCs w:val="20"/>
                <w:color w:val="auto"/>
              </w:rPr>
            </w:pPr>
            <w:r>
              <w:rPr>
                <w:rFonts w:ascii="Arial" w:cs="Arial" w:eastAsia="Arial" w:hAnsi="Arial"/>
                <w:sz w:val="15"/>
                <w:szCs w:val="15"/>
                <w:color w:val="auto"/>
              </w:rPr>
              <w:t>2,498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27"/>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20"/>
                <w:szCs w:val="20"/>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r>
        <w:trPr>
          <w:trHeight w:val="388"/>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1440" w:type="dxa"/>
            <w:vAlign w:val="bottom"/>
            <w:tcBorders>
              <w:bottom w:val="single" w:sz="8" w:color="2C6937"/>
            </w:tcBorders>
          </w:tcPr>
          <w:p>
            <w:pPr>
              <w:spacing w:after="0"/>
              <w:rPr>
                <w:sz w:val="24"/>
                <w:szCs w:val="24"/>
                <w:color w:val="auto"/>
              </w:rPr>
            </w:pPr>
          </w:p>
        </w:tc>
        <w:tc>
          <w:tcPr>
            <w:tcW w:w="200" w:type="dxa"/>
            <w:vAlign w:val="bottom"/>
            <w:tcBorders>
              <w:bottom w:val="single" w:sz="8" w:color="2C6937"/>
            </w:tcBorders>
          </w:tcPr>
          <w:p>
            <w:pPr>
              <w:spacing w:after="0"/>
              <w:rPr>
                <w:sz w:val="24"/>
                <w:szCs w:val="24"/>
                <w:color w:val="auto"/>
              </w:rPr>
            </w:pPr>
          </w:p>
        </w:tc>
        <w:tc>
          <w:tcPr>
            <w:tcW w:w="1860" w:type="dxa"/>
            <w:vAlign w:val="bottom"/>
            <w:tcBorders>
              <w:bottom w:val="single" w:sz="8" w:color="2C6937"/>
            </w:tcBorders>
            <w:gridSpan w:val="2"/>
          </w:tcPr>
          <w:p>
            <w:pPr>
              <w:jc w:val="center"/>
              <w:ind w:right="160"/>
              <w:spacing w:after="0"/>
              <w:rPr>
                <w:sz w:val="20"/>
                <w:szCs w:val="20"/>
                <w:color w:val="auto"/>
              </w:rPr>
            </w:pPr>
            <w:r>
              <w:rPr>
                <w:rFonts w:ascii="Arial" w:cs="Arial" w:eastAsia="Arial" w:hAnsi="Arial"/>
                <w:sz w:val="14"/>
                <w:szCs w:val="14"/>
                <w:b w:val="1"/>
                <w:bCs w:val="1"/>
                <w:color w:val="auto"/>
                <w:w w:val="98"/>
              </w:rPr>
              <w:t>As of December 31, 2024</w:t>
            </w:r>
          </w:p>
        </w:tc>
        <w:tc>
          <w:tcPr>
            <w:tcW w:w="160" w:type="dxa"/>
            <w:vAlign w:val="bottom"/>
            <w:tcBorders>
              <w:bottom w:val="single" w:sz="8" w:color="2C6937"/>
            </w:tcBorders>
          </w:tcPr>
          <w:p>
            <w:pPr>
              <w:spacing w:after="0"/>
              <w:rPr>
                <w:sz w:val="24"/>
                <w:szCs w:val="24"/>
                <w:color w:val="auto"/>
              </w:rPr>
            </w:pPr>
          </w:p>
        </w:tc>
        <w:tc>
          <w:tcPr>
            <w:tcW w:w="1380" w:type="dxa"/>
            <w:vAlign w:val="bottom"/>
            <w:tcBorders>
              <w:bottom w:val="single" w:sz="8" w:color="2C6937"/>
            </w:tcBorders>
          </w:tcPr>
          <w:p>
            <w:pPr>
              <w:spacing w:after="0"/>
              <w:rPr>
                <w:sz w:val="24"/>
                <w:szCs w:val="24"/>
                <w:color w:val="auto"/>
              </w:rPr>
            </w:pPr>
          </w:p>
        </w:tc>
        <w:tc>
          <w:tcPr>
            <w:tcW w:w="300" w:type="dxa"/>
            <w:vAlign w:val="bottom"/>
            <w:tcBorders>
              <w:bottom w:val="single" w:sz="8" w:color="2C6937"/>
            </w:tcBorders>
          </w:tcPr>
          <w:p>
            <w:pPr>
              <w:spacing w:after="0"/>
              <w:rPr>
                <w:sz w:val="24"/>
                <w:szCs w:val="24"/>
                <w:color w:val="auto"/>
              </w:rPr>
            </w:pPr>
          </w:p>
        </w:tc>
        <w:tc>
          <w:tcPr>
            <w:tcW w:w="1360" w:type="dxa"/>
            <w:vAlign w:val="bottom"/>
            <w:tcBorders>
              <w:bottom w:val="single" w:sz="8" w:color="2C6937"/>
            </w:tcBorders>
          </w:tcPr>
          <w:p>
            <w:pPr>
              <w:spacing w:after="0"/>
              <w:rPr>
                <w:sz w:val="24"/>
                <w:szCs w:val="24"/>
                <w:color w:val="auto"/>
              </w:rPr>
            </w:pPr>
          </w:p>
        </w:tc>
      </w:tr>
      <w:tr>
        <w:trPr>
          <w:trHeight w:val="332"/>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7"/>
              </w:rPr>
              <w:t>Cumulative Amount of Fair Value Hedging Basis</w:t>
            </w:r>
          </w:p>
        </w:tc>
        <w:tc>
          <w:tcPr>
            <w:tcW w:w="160" w:type="dxa"/>
            <w:vAlign w:val="bottom"/>
          </w:tcPr>
          <w:p>
            <w:pPr>
              <w:spacing w:after="0"/>
              <w:rPr>
                <w:sz w:val="24"/>
                <w:szCs w:val="24"/>
                <w:color w:val="auto"/>
              </w:rPr>
            </w:pPr>
          </w:p>
        </w:tc>
        <w:tc>
          <w:tcPr>
            <w:tcW w:w="30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w w:val="99"/>
              </w:rPr>
              <w:t>Closed Portfolio of Mortgage Loans Under</w:t>
            </w:r>
          </w:p>
        </w:tc>
      </w:tr>
      <w:tr>
        <w:trPr>
          <w:trHeight w:val="196"/>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3360" w:type="dxa"/>
            <w:vAlign w:val="bottom"/>
            <w:tcBorders>
              <w:bottom w:val="single" w:sz="8" w:color="2C6937"/>
            </w:tcBorders>
            <w:gridSpan w:val="3"/>
          </w:tcPr>
          <w:p>
            <w:pPr>
              <w:jc w:val="center"/>
              <w:ind w:right="48"/>
              <w:spacing w:after="0"/>
              <w:rPr>
                <w:sz w:val="20"/>
                <w:szCs w:val="20"/>
                <w:color w:val="auto"/>
              </w:rPr>
            </w:pPr>
            <w:r>
              <w:rPr>
                <w:rFonts w:ascii="Arial" w:cs="Arial" w:eastAsia="Arial" w:hAnsi="Arial"/>
                <w:sz w:val="14"/>
                <w:szCs w:val="14"/>
                <w:b w:val="1"/>
                <w:bCs w:val="1"/>
                <w:color w:val="auto"/>
                <w:w w:val="98"/>
              </w:rPr>
              <w:t>Adjustments Included in the Carrying Amount</w:t>
            </w:r>
          </w:p>
        </w:tc>
        <w:tc>
          <w:tcPr>
            <w:tcW w:w="14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3040" w:type="dxa"/>
            <w:vAlign w:val="bottom"/>
            <w:tcBorders>
              <w:bottom w:val="single" w:sz="8" w:color="2C6937"/>
            </w:tcBorders>
            <w:gridSpan w:val="3"/>
          </w:tcPr>
          <w:p>
            <w:pPr>
              <w:jc w:val="right"/>
              <w:ind w:right="766"/>
              <w:spacing w:after="0"/>
              <w:rPr>
                <w:sz w:val="20"/>
                <w:szCs w:val="20"/>
                <w:color w:val="auto"/>
              </w:rPr>
            </w:pPr>
            <w:r>
              <w:rPr>
                <w:rFonts w:ascii="Arial" w:cs="Arial" w:eastAsia="Arial" w:hAnsi="Arial"/>
                <w:sz w:val="14"/>
                <w:szCs w:val="14"/>
                <w:b w:val="1"/>
                <w:bCs w:val="1"/>
                <w:color w:val="auto"/>
              </w:rPr>
              <w:t>Portfolio Layer Method</w:t>
            </w:r>
          </w:p>
        </w:tc>
      </w:tr>
      <w:tr>
        <w:trPr>
          <w:trHeight w:val="337"/>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ind w:right="147"/>
              <w:spacing w:after="0"/>
              <w:rPr>
                <w:sz w:val="20"/>
                <w:szCs w:val="20"/>
                <w:color w:val="auto"/>
              </w:rPr>
            </w:pPr>
            <w:r>
              <w:rPr>
                <w:rFonts w:ascii="Arial" w:cs="Arial" w:eastAsia="Arial" w:hAnsi="Arial"/>
                <w:sz w:val="14"/>
                <w:szCs w:val="14"/>
                <w:b w:val="1"/>
                <w:bCs w:val="1"/>
                <w:color w:val="auto"/>
                <w:w w:val="99"/>
              </w:rPr>
              <w:t>Carrying Amount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Total Basis</w:t>
            </w:r>
          </w:p>
        </w:tc>
        <w:tc>
          <w:tcPr>
            <w:tcW w:w="2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Remaining Adjustments -</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80" w:type="dxa"/>
            <w:vAlign w:val="bottom"/>
            <w:tcBorders>
              <w:bottom w:val="single" w:sz="8" w:color="2C6937"/>
            </w:tcBorders>
          </w:tcPr>
          <w:p>
            <w:pPr>
              <w:jc w:val="center"/>
              <w:ind w:right="147"/>
              <w:spacing w:after="0"/>
              <w:rPr>
                <w:sz w:val="20"/>
                <w:szCs w:val="20"/>
                <w:color w:val="auto"/>
              </w:rPr>
            </w:pPr>
            <w:r>
              <w:rPr>
                <w:rFonts w:ascii="Arial" w:cs="Arial" w:eastAsia="Arial" w:hAnsi="Arial"/>
                <w:sz w:val="14"/>
                <w:szCs w:val="14"/>
                <w:b w:val="1"/>
                <w:bCs w:val="1"/>
                <w:color w:val="auto"/>
                <w:w w:val="98"/>
              </w:rPr>
              <w:t>Assets (Liabilities)</w:t>
            </w:r>
          </w:p>
        </w:tc>
        <w:tc>
          <w:tcPr>
            <w:tcW w:w="2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440" w:type="dxa"/>
            <w:vAlign w:val="bottom"/>
            <w:tcBorders>
              <w:bottom w:val="single" w:sz="8" w:color="2C6937"/>
            </w:tcBorders>
          </w:tcPr>
          <w:p>
            <w:pPr>
              <w:jc w:val="center"/>
              <w:ind w:right="128"/>
              <w:spacing w:after="0"/>
              <w:rPr>
                <w:sz w:val="20"/>
                <w:szCs w:val="20"/>
                <w:color w:val="auto"/>
              </w:rPr>
            </w:pPr>
            <w:r>
              <w:rPr>
                <w:rFonts w:ascii="Arial" w:cs="Arial" w:eastAsia="Arial" w:hAnsi="Arial"/>
                <w:sz w:val="14"/>
                <w:szCs w:val="14"/>
                <w:b w:val="1"/>
                <w:bCs w:val="1"/>
                <w:color w:val="auto"/>
                <w:w w:val="97"/>
              </w:rPr>
              <w:t>Adjustments</w:t>
            </w:r>
            <w:r>
              <w:rPr>
                <w:rFonts w:ascii="Arial" w:cs="Arial" w:eastAsia="Arial" w:hAnsi="Arial"/>
                <w:sz w:val="17"/>
                <w:szCs w:val="17"/>
                <w:b w:val="1"/>
                <w:bCs w:val="1"/>
                <w:color w:val="auto"/>
                <w:w w:val="97"/>
                <w:vertAlign w:val="superscript"/>
              </w:rPr>
              <w:t>(1)</w:t>
            </w:r>
          </w:p>
        </w:tc>
        <w:tc>
          <w:tcPr>
            <w:tcW w:w="200" w:type="dxa"/>
            <w:vAlign w:val="bottom"/>
            <w:tcBorders>
              <w:bottom w:val="single" w:sz="8" w:color="2C6937"/>
            </w:tcBorders>
          </w:tcPr>
          <w:p>
            <w:pPr>
              <w:spacing w:after="0"/>
              <w:rPr>
                <w:sz w:val="17"/>
                <w:szCs w:val="17"/>
                <w:color w:val="auto"/>
              </w:rPr>
            </w:pPr>
          </w:p>
        </w:tc>
        <w:tc>
          <w:tcPr>
            <w:tcW w:w="186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Discontinued Hedge</w:t>
            </w:r>
          </w:p>
        </w:tc>
        <w:tc>
          <w:tcPr>
            <w:tcW w:w="1540" w:type="dxa"/>
            <w:vAlign w:val="bottom"/>
            <w:tcBorders>
              <w:bottom w:val="single" w:sz="8" w:color="2C6937"/>
            </w:tcBorders>
            <w:gridSpan w:val="2"/>
          </w:tcPr>
          <w:p>
            <w:pPr>
              <w:jc w:val="right"/>
              <w:ind w:right="7"/>
              <w:spacing w:after="0"/>
              <w:rPr>
                <w:sz w:val="20"/>
                <w:szCs w:val="20"/>
                <w:color w:val="auto"/>
              </w:rPr>
            </w:pPr>
            <w:r>
              <w:rPr>
                <w:rFonts w:ascii="Arial" w:cs="Arial" w:eastAsia="Arial" w:hAnsi="Arial"/>
                <w:sz w:val="14"/>
                <w:szCs w:val="14"/>
                <w:b w:val="1"/>
                <w:bCs w:val="1"/>
                <w:color w:val="auto"/>
              </w:rPr>
              <w:t>Total Amortized Cost</w:t>
            </w:r>
          </w:p>
        </w:tc>
        <w:tc>
          <w:tcPr>
            <w:tcW w:w="300" w:type="dxa"/>
            <w:vAlign w:val="bottom"/>
            <w:tcBorders>
              <w:bottom w:val="single" w:sz="8" w:color="2C6937"/>
            </w:tcBorders>
          </w:tcPr>
          <w:p>
            <w:pPr>
              <w:spacing w:after="0"/>
              <w:rPr>
                <w:sz w:val="17"/>
                <w:szCs w:val="17"/>
                <w:color w:val="auto"/>
              </w:rPr>
            </w:pPr>
          </w:p>
        </w:tc>
        <w:tc>
          <w:tcPr>
            <w:tcW w:w="1360" w:type="dxa"/>
            <w:vAlign w:val="bottom"/>
            <w:tcBorders>
              <w:bottom w:val="single" w:sz="8" w:color="2C6937"/>
            </w:tcBorders>
          </w:tcPr>
          <w:p>
            <w:pPr>
              <w:jc w:val="right"/>
              <w:ind w:right="146"/>
              <w:spacing w:after="0"/>
              <w:rPr>
                <w:sz w:val="20"/>
                <w:szCs w:val="20"/>
                <w:color w:val="auto"/>
              </w:rPr>
            </w:pPr>
            <w:r>
              <w:rPr>
                <w:rFonts w:ascii="Arial" w:cs="Arial" w:eastAsia="Arial" w:hAnsi="Arial"/>
                <w:sz w:val="14"/>
                <w:szCs w:val="14"/>
                <w:b w:val="1"/>
                <w:bCs w:val="1"/>
                <w:color w:val="auto"/>
              </w:rPr>
              <w:t>Designated UPB</w:t>
            </w:r>
          </w:p>
        </w:tc>
      </w:tr>
      <w:tr>
        <w:trPr>
          <w:trHeight w:val="185"/>
        </w:trPr>
        <w:tc>
          <w:tcPr>
            <w:tcW w:w="2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(Dollars in millions)</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6"/>
        </w:trPr>
        <w:tc>
          <w:tcPr>
            <w:tcW w:w="2760" w:type="dxa"/>
            <w:vAlign w:val="bottom"/>
          </w:tcPr>
          <w:p>
            <w:pPr>
              <w:spacing w:after="0"/>
              <w:rPr>
                <w:sz w:val="20"/>
                <w:szCs w:val="20"/>
                <w:color w:val="auto"/>
              </w:rPr>
            </w:pPr>
            <w:r>
              <w:rPr>
                <w:rFonts w:ascii="Arial" w:cs="Arial" w:eastAsia="Arial" w:hAnsi="Arial"/>
                <w:sz w:val="15"/>
                <w:szCs w:val="15"/>
                <w:color w:val="auto"/>
              </w:rPr>
              <w:t>Mortgage loans HFI</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27"/>
              <w:spacing w:after="0"/>
              <w:rPr>
                <w:sz w:val="20"/>
                <w:szCs w:val="20"/>
                <w:color w:val="auto"/>
              </w:rPr>
            </w:pPr>
            <w:r>
              <w:rPr>
                <w:rFonts w:ascii="Arial" w:cs="Arial" w:eastAsia="Arial" w:hAnsi="Arial"/>
                <w:sz w:val="15"/>
                <w:szCs w:val="15"/>
                <w:color w:val="auto"/>
              </w:rPr>
              <w:t>1,109,445</w:t>
            </w:r>
          </w:p>
        </w:tc>
        <w:tc>
          <w:tcPr>
            <w:tcW w:w="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8"/>
              <w:spacing w:after="0"/>
              <w:rPr>
                <w:sz w:val="20"/>
                <w:szCs w:val="20"/>
                <w:color w:val="auto"/>
              </w:rPr>
            </w:pPr>
            <w:r>
              <w:rPr>
                <w:rFonts w:ascii="Arial" w:cs="Arial" w:eastAsia="Arial" w:hAnsi="Arial"/>
                <w:sz w:val="15"/>
                <w:szCs w:val="15"/>
                <w:color w:val="auto"/>
              </w:rPr>
              <w:t>(816)</w:t>
            </w:r>
          </w:p>
        </w:tc>
        <w:tc>
          <w:tcPr>
            <w:tcW w:w="200" w:type="dxa"/>
            <w:vAlign w:val="bottom"/>
          </w:tcPr>
          <w:p>
            <w:pPr>
              <w:jc w:val="center"/>
              <w:ind w:left="7"/>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(816)</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813,536</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26,825</w:t>
            </w:r>
          </w:p>
        </w:tc>
      </w:tr>
      <w:tr>
        <w:trPr>
          <w:trHeight w:val="232"/>
        </w:trPr>
        <w:tc>
          <w:tcPr>
            <w:tcW w:w="2760" w:type="dxa"/>
            <w:vAlign w:val="bottom"/>
          </w:tcPr>
          <w:p>
            <w:pPr>
              <w:spacing w:after="0"/>
              <w:rPr>
                <w:sz w:val="20"/>
                <w:szCs w:val="20"/>
                <w:color w:val="auto"/>
              </w:rPr>
            </w:pPr>
            <w:r>
              <w:rPr>
                <w:rFonts w:ascii="Arial" w:cs="Arial" w:eastAsia="Arial" w:hAnsi="Arial"/>
                <w:sz w:val="15"/>
                <w:szCs w:val="15"/>
                <w:color w:val="auto"/>
              </w:rPr>
              <w:t>Debt of Fannie Mae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67"/>
              <w:spacing w:after="0"/>
              <w:rPr>
                <w:sz w:val="20"/>
                <w:szCs w:val="20"/>
                <w:color w:val="auto"/>
              </w:rPr>
            </w:pPr>
            <w:r>
              <w:rPr>
                <w:rFonts w:ascii="Arial" w:cs="Arial" w:eastAsia="Arial" w:hAnsi="Arial"/>
                <w:sz w:val="15"/>
                <w:szCs w:val="15"/>
                <w:color w:val="auto"/>
              </w:rPr>
              <w:t>(47,849)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48"/>
              <w:spacing w:after="0"/>
              <w:rPr>
                <w:sz w:val="20"/>
                <w:szCs w:val="20"/>
                <w:color w:val="auto"/>
              </w:rPr>
            </w:pPr>
            <w:r>
              <w:rPr>
                <w:rFonts w:ascii="Arial" w:cs="Arial" w:eastAsia="Arial" w:hAnsi="Arial"/>
                <w:sz w:val="15"/>
                <w:szCs w:val="15"/>
                <w:color w:val="auto"/>
              </w:rPr>
              <w:t>3,390</w:t>
            </w: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3,390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7"/>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20"/>
                <w:szCs w:val="20"/>
                <w:color w:val="auto"/>
              </w:rPr>
            </w:pPr>
          </w:p>
        </w:tc>
        <w:tc>
          <w:tcPr>
            <w:tcW w:w="1360" w:type="dxa"/>
            <w:vAlign w:val="bottom"/>
          </w:tcPr>
          <w:p>
            <w:pPr>
              <w:jc w:val="right"/>
              <w:ind w:right="6"/>
              <w:spacing w:after="0"/>
              <w:rPr>
                <w:sz w:val="20"/>
                <w:szCs w:val="20"/>
                <w:color w:val="auto"/>
              </w:rPr>
            </w:pPr>
            <w:r>
              <w:rPr>
                <w:rFonts w:ascii="Arial" w:cs="Arial" w:eastAsia="Arial" w:hAnsi="Arial"/>
                <w:sz w:val="15"/>
                <w:szCs w:val="15"/>
                <w:color w:val="auto"/>
              </w:rPr>
              <w:t>N/A</w:t>
            </w:r>
          </w:p>
        </w:tc>
      </w:tr>
    </w:tbl>
    <w:p>
      <w:pPr>
        <w:spacing w:after="0" w:line="123" w:lineRule="exact"/>
        <w:rPr>
          <w:sz w:val="20"/>
          <w:szCs w:val="20"/>
          <w:color w:val="auto"/>
        </w:rPr>
      </w:pPr>
    </w:p>
    <w:p>
      <w:pPr>
        <w:ind w:left="240" w:right="380" w:hanging="237"/>
        <w:spacing w:after="0" w:line="218" w:lineRule="auto"/>
        <w:tabs>
          <w:tab w:leader="none" w:pos="216"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No basis adjustment associated with open hedges, as all hedges are designated at the close of business with a one-day term. Based on the unamortized balance of the hedge-related cost basis.</w:t>
      </w:r>
    </w:p>
    <w:p>
      <w:pPr>
        <w:spacing w:after="0" w:line="14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Derivative Counterparty Credit Exposure</w:t>
      </w:r>
    </w:p>
    <w:p>
      <w:pPr>
        <w:spacing w:after="0" w:line="6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Our derivative counterparty credit exposure relates principally to interest-rate derivative contracts. We are exposed to the risk that a counterparty in a derivative transaction will default on payments due to us, which may require us to seek a replacement derivative from a different counterparty. This replacement may be at a higher cost, or we may be unable to find a suitable replacement. We manage our derivative counterparty credit exposure relating to our risk management derivative transactions mainly through enforceable master netting arrangements, which allow us to net derivative assets and liabilities with the same counterparty or clearing organization and clearing member. For our OTC derivative transactions, we require counterparties to post collateral, which may include cash, U.S. Treasury securities, agency debt and agency mortgage-related securities. See “Note 12, Netting Arrangements” for information on our rights to offset assets and liabilities as of September 30, 2025 and December 31, 2024.</w:t>
      </w:r>
    </w:p>
    <w:p>
      <w:pPr>
        <w:spacing w:after="0" w:line="4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For certain OTC derivatives, the amount of collateral we pledge to counterparties related to our derivative instruments is determined after considering our credit ratings. Currently, our long-term senior debt is rated AA+ or above by S&amp;P Global Ratings and Moody's Ratings. If our long-term senior debt credit ratings were downgraded to established thresholds in our OTC derivative contracts, which range from A3/A- to Baa2/BBB or below, we would be required to provide additional collateral to certain counterparties. The aggregate fair value of our OTC derivative instruments with credit-risk-related contingent features that were in a net liability position was $682 million and $1.3 billion, for which we posted collateral of $573 million and $948 million as of September 30, 2025 and December 31, 2024, respectively. If our credit ratings were downgraded to Baa2/BBB or below, the maximum additional collateral we would have been required to post to our counterparties as of September 30, 2025 and December 31, 2024 would have been $337 million and $725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360680</wp:posOffset>
            </wp:positionV>
            <wp:extent cx="680593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96" w:name="page97"/>
    <w:bookmarkEnd w:id="96"/>
    <w:p>
      <w:pPr>
        <w:ind w:left="6420"/>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10. Segment Reporting</w:t>
      </w:r>
    </w:p>
    <w:p>
      <w:pPr>
        <w:spacing w:after="0" w:line="80"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We have two reportable business segments, which are based on the type of business activities each perform: Single-Family and Multifamily. Results of our two business segments are intended to reflect each segment as if it were a stand-alone business. Ms. Almodovar, our former President and CEO, was the chief operating decision maker (“CODM”) for our two reportable business segments for the three and nine months ended September 30, 2025 and 2024.</w:t>
      </w:r>
    </w:p>
    <w:p>
      <w:pPr>
        <w:ind w:right="20"/>
        <w:spacing w:after="0" w:line="264" w:lineRule="auto"/>
        <w:rPr>
          <w:sz w:val="20"/>
          <w:szCs w:val="20"/>
          <w:color w:val="auto"/>
        </w:rPr>
      </w:pPr>
      <w:r>
        <w:rPr>
          <w:rFonts w:ascii="Arial" w:cs="Arial" w:eastAsia="Arial" w:hAnsi="Arial"/>
          <w:sz w:val="16"/>
          <w:szCs w:val="16"/>
          <w:color w:val="auto"/>
        </w:rPr>
        <w:t>The CODM uses both net revenues and income before federal income taxes, on a quarterly basis, to assess the financial performance of the segments and for purposes of allocating resources. The accounting policies of our two reportable business segments are the same as those described in “Note 1, Summary of Significant Accounting Policies” in our 2024 Form 10-K. Also see “Note 11, Segment Reporting” in our 2024 Form 10-K for additional information related to our business segments, including basis of organization and other segment activities.</w:t>
      </w:r>
    </w:p>
    <w:p>
      <w:pPr>
        <w:spacing w:after="0" w:line="59"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Segment Allocations and Results</w:t>
      </w:r>
    </w:p>
    <w:p>
      <w:pPr>
        <w:spacing w:after="0" w:line="81"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majority of our assets, revenues and expenses are directly associated with each respective business segment and are included in determining its asset balance and operating results. Those assets, revenues and expenses that are not directly attributable to a particular business segment are allocated based on the size of each segment’s guaranty book of business. As a result, the sum of each income statement line item for the two reportable segments is equal to that same income statement line item for the consolidated entity. In addition, the sum of the total assets for the two reportable segments is equal to the total assets of the consolidated entity.</w:t>
      </w:r>
    </w:p>
    <w:p>
      <w:pPr>
        <w:spacing w:after="0" w:line="40"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The substantial majority of the gains and losses associated with our risk management derivatives, including the impact of hedge accounting, are allocated to our Single-Family business segment. In the current period, there were no significant changes to our segment allocation methodology.</w:t>
      </w:r>
    </w:p>
    <w:p>
      <w:pPr>
        <w:sectPr>
          <w:pgSz w:w="11900" w:h="16838" w:orient="portrait"/>
          <w:cols w:equalWidth="0" w:num="1">
            <w:col w:w="11240"/>
          </w:cols>
          <w:pgMar w:left="320" w:top="248"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total assets by segment.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Single-Family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44043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404360" cy="8255"/>
                    </a:xfrm>
                    <a:prstGeom prst="rect">
                      <a:avLst/>
                    </a:prstGeom>
                    <a:noFill/>
                  </pic:spPr>
                </pic:pic>
              </a:graphicData>
            </a:graphic>
          </wp:anchor>
        </w:drawing>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44043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4043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44043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4043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1880"/>
        <w:spacing w:after="0"/>
        <w:rPr>
          <w:sz w:val="20"/>
          <w:szCs w:val="20"/>
          <w:color w:val="auto"/>
        </w:rPr>
      </w:pPr>
      <w:r>
        <w:rPr>
          <w:rFonts w:ascii="Arial" w:cs="Arial" w:eastAsia="Arial" w:hAnsi="Arial"/>
          <w:sz w:val="15"/>
          <w:szCs w:val="15"/>
          <w:b w:val="1"/>
          <w:bCs w:val="1"/>
          <w:color w:val="auto"/>
        </w:rPr>
        <w:t>As of</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80" w:type="dxa"/>
            <w:vAlign w:val="bottom"/>
            <w:tcBorders>
              <w:top w:val="single" w:sz="8" w:color="2C6937"/>
              <w:bottom w:val="single" w:sz="8" w:color="2C6937"/>
            </w:tcBorders>
          </w:tcPr>
          <w:p>
            <w:pPr>
              <w:spacing w:after="0"/>
              <w:rPr>
                <w:sz w:val="17"/>
                <w:szCs w:val="17"/>
                <w:color w:val="auto"/>
              </w:rPr>
            </w:pPr>
          </w:p>
        </w:tc>
        <w:tc>
          <w:tcPr>
            <w:tcW w:w="1960" w:type="dxa"/>
            <w:vAlign w:val="bottom"/>
            <w:tcBorders>
              <w:top w:val="single" w:sz="8" w:color="2C6937"/>
              <w:bottom w:val="single" w:sz="8" w:color="2C6937"/>
            </w:tcBorders>
            <w:gridSpan w:val="2"/>
          </w:tcPr>
          <w:p>
            <w:pPr>
              <w:ind w:left="100"/>
              <w:spacing w:after="0"/>
              <w:rPr>
                <w:sz w:val="20"/>
                <w:szCs w:val="20"/>
                <w:color w:val="auto"/>
              </w:rPr>
            </w:pPr>
            <w:r>
              <w:rPr>
                <w:rFonts w:ascii="Arial" w:cs="Arial" w:eastAsia="Arial" w:hAnsi="Arial"/>
                <w:sz w:val="15"/>
                <w:szCs w:val="15"/>
                <w:b w:val="1"/>
                <w:bCs w:val="1"/>
                <w:color w:val="auto"/>
              </w:rPr>
              <w:t>September 30, 2025</w:t>
            </w:r>
          </w:p>
        </w:tc>
        <w:tc>
          <w:tcPr>
            <w:tcW w:w="200" w:type="dxa"/>
            <w:vAlign w:val="bottom"/>
            <w:tcBorders>
              <w:top w:val="single" w:sz="8" w:color="2C6937"/>
              <w:bottom w:val="single" w:sz="8" w:color="2C6937"/>
            </w:tcBorders>
          </w:tcPr>
          <w:p>
            <w:pPr>
              <w:spacing w:after="0"/>
              <w:rPr>
                <w:sz w:val="17"/>
                <w:szCs w:val="17"/>
                <w:color w:val="auto"/>
              </w:rPr>
            </w:pPr>
          </w:p>
        </w:tc>
        <w:tc>
          <w:tcPr>
            <w:tcW w:w="1800" w:type="dxa"/>
            <w:vAlign w:val="bottom"/>
            <w:tcBorders>
              <w:top w:val="single" w:sz="8" w:color="2C6937"/>
              <w:bottom w:val="single" w:sz="8" w:color="2C6937"/>
            </w:tcBorders>
          </w:tcPr>
          <w:p>
            <w:pPr>
              <w:jc w:val="right"/>
              <w:ind w:right="223"/>
              <w:spacing w:after="0"/>
              <w:rPr>
                <w:sz w:val="20"/>
                <w:szCs w:val="20"/>
                <w:color w:val="auto"/>
              </w:rPr>
            </w:pPr>
            <w:r>
              <w:rPr>
                <w:rFonts w:ascii="Arial" w:cs="Arial" w:eastAsia="Arial" w:hAnsi="Arial"/>
                <w:sz w:val="15"/>
                <w:szCs w:val="15"/>
                <w:b w:val="1"/>
                <w:bCs w:val="1"/>
                <w:color w:val="auto"/>
              </w:rPr>
              <w:t>December 31, 2024</w:t>
            </w:r>
          </w:p>
        </w:tc>
      </w:tr>
      <w:tr>
        <w:trPr>
          <w:trHeight w:val="198"/>
        </w:trPr>
        <w:tc>
          <w:tcPr>
            <w:tcW w:w="180" w:type="dxa"/>
            <w:vAlign w:val="bottom"/>
          </w:tcPr>
          <w:p>
            <w:pPr>
              <w:spacing w:after="0"/>
              <w:rPr>
                <w:sz w:val="17"/>
                <w:szCs w:val="17"/>
                <w:color w:val="auto"/>
              </w:rPr>
            </w:pPr>
          </w:p>
        </w:tc>
        <w:tc>
          <w:tcPr>
            <w:tcW w:w="3960" w:type="dxa"/>
            <w:vAlign w:val="bottom"/>
            <w:gridSpan w:val="4"/>
          </w:tcPr>
          <w:p>
            <w:pPr>
              <w:jc w:val="right"/>
              <w:ind w:right="1283"/>
              <w:spacing w:after="0"/>
              <w:rPr>
                <w:sz w:val="20"/>
                <w:szCs w:val="20"/>
                <w:color w:val="auto"/>
              </w:rPr>
            </w:pPr>
            <w:r>
              <w:rPr>
                <w:rFonts w:ascii="Arial" w:cs="Arial" w:eastAsia="Arial" w:hAnsi="Arial"/>
                <w:sz w:val="15"/>
                <w:szCs w:val="15"/>
                <w:b w:val="1"/>
                <w:bCs w:val="1"/>
                <w:color w:val="auto"/>
              </w:rPr>
              <w:t>(Dollars in millions)</w:t>
            </w:r>
          </w:p>
        </w:tc>
      </w:tr>
      <w:tr>
        <w:trPr>
          <w:trHeight w:val="206"/>
        </w:trPr>
        <w:tc>
          <w:tcPr>
            <w:tcW w:w="180" w:type="dxa"/>
            <w:vAlign w:val="bottom"/>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820" w:type="dxa"/>
            <w:vAlign w:val="bottom"/>
          </w:tcPr>
          <w:p>
            <w:pPr>
              <w:jc w:val="right"/>
              <w:ind w:right="3"/>
              <w:spacing w:after="0"/>
              <w:rPr>
                <w:sz w:val="20"/>
                <w:szCs w:val="20"/>
                <w:color w:val="auto"/>
              </w:rPr>
            </w:pPr>
            <w:r>
              <w:rPr>
                <w:rFonts w:ascii="Arial" w:cs="Arial" w:eastAsia="Arial" w:hAnsi="Arial"/>
                <w:sz w:val="15"/>
                <w:szCs w:val="15"/>
                <w:b w:val="1"/>
                <w:bCs w:val="1"/>
                <w:color w:val="auto"/>
              </w:rPr>
              <w:t>3,788,572</w:t>
            </w:r>
          </w:p>
        </w:tc>
        <w:tc>
          <w:tcPr>
            <w:tcW w:w="14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3,823,840</w:t>
            </w:r>
          </w:p>
        </w:tc>
      </w:tr>
      <w:tr>
        <w:trPr>
          <w:trHeight w:val="208"/>
        </w:trPr>
        <w:tc>
          <w:tcPr>
            <w:tcW w:w="180" w:type="dxa"/>
            <w:vAlign w:val="bottom"/>
            <w:tcBorders>
              <w:bottom w:val="single" w:sz="8" w:color="2C6937"/>
            </w:tcBorders>
          </w:tcPr>
          <w:p>
            <w:pPr>
              <w:spacing w:after="0"/>
              <w:rPr>
                <w:sz w:val="18"/>
                <w:szCs w:val="18"/>
                <w:color w:val="auto"/>
              </w:rPr>
            </w:pPr>
          </w:p>
        </w:tc>
        <w:tc>
          <w:tcPr>
            <w:tcW w:w="1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547,284</w:t>
            </w:r>
          </w:p>
        </w:tc>
        <w:tc>
          <w:tcPr>
            <w:tcW w:w="14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525,891</w:t>
            </w:r>
          </w:p>
        </w:tc>
      </w:tr>
      <w:tr>
        <w:trPr>
          <w:trHeight w:val="199"/>
        </w:trPr>
        <w:tc>
          <w:tcPr>
            <w:tcW w:w="18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82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4,335,856</w:t>
            </w:r>
          </w:p>
        </w:tc>
        <w:tc>
          <w:tcPr>
            <w:tcW w:w="140" w:type="dxa"/>
            <w:vAlign w:val="bottom"/>
          </w:tcPr>
          <w:p>
            <w:pPr>
              <w:spacing w:after="0"/>
              <w:rPr>
                <w:sz w:val="17"/>
                <w:szCs w:val="17"/>
                <w:color w:val="auto"/>
              </w:rPr>
            </w:pPr>
          </w:p>
        </w:tc>
        <w:tc>
          <w:tcPr>
            <w:tcW w:w="200" w:type="dxa"/>
            <w:vAlign w:val="bottom"/>
            <w:tcBorders>
              <w:bottom w:val="single" w:sz="8" w:color="2C6937"/>
            </w:tcBorders>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4,349,731</w:t>
            </w:r>
          </w:p>
        </w:tc>
      </w:tr>
      <w:tr>
        <w:trPr>
          <w:trHeight w:val="20"/>
        </w:trPr>
        <w:tc>
          <w:tcPr>
            <w:tcW w:w="180" w:type="dxa"/>
            <w:vAlign w:val="bottom"/>
            <w:tcBorders>
              <w:bottom w:val="single" w:sz="8" w:color="2C6937"/>
            </w:tcBorders>
          </w:tcPr>
          <w:p>
            <w:pPr>
              <w:spacing w:after="0" w:line="20" w:lineRule="exact"/>
              <w:rPr>
                <w:sz w:val="1"/>
                <w:szCs w:val="1"/>
                <w:color w:val="auto"/>
              </w:rPr>
            </w:pPr>
          </w:p>
        </w:tc>
        <w:tc>
          <w:tcPr>
            <w:tcW w:w="1820" w:type="dxa"/>
            <w:vAlign w:val="bottom"/>
            <w:tcBorders>
              <w:bottom w:val="single" w:sz="8" w:color="2C6937"/>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2C6937"/>
            </w:tcBorders>
          </w:tcPr>
          <w:p>
            <w:pPr>
              <w:spacing w:after="0" w:line="20" w:lineRule="exact"/>
              <w:rPr>
                <w:sz w:val="1"/>
                <w:szCs w:val="1"/>
                <w:color w:val="auto"/>
              </w:rPr>
            </w:pPr>
          </w:p>
        </w:tc>
        <w:tc>
          <w:tcPr>
            <w:tcW w:w="1800" w:type="dxa"/>
            <w:vAlign w:val="bottom"/>
            <w:tcBorders>
              <w:bottom w:val="single" w:sz="8" w:color="2C6937"/>
            </w:tcBorders>
          </w:tcPr>
          <w:p>
            <w:pPr>
              <w:spacing w:after="0" w:line="20" w:lineRule="exact"/>
              <w:rPr>
                <w:sz w:val="1"/>
                <w:szCs w:val="1"/>
                <w:color w:val="auto"/>
              </w:rPr>
            </w:pPr>
          </w:p>
        </w:tc>
      </w:tr>
    </w:tbl>
    <w:p>
      <w:pPr>
        <w:spacing w:after="0" w:line="146" w:lineRule="exact"/>
        <w:rPr>
          <w:sz w:val="20"/>
          <w:szCs w:val="20"/>
          <w:color w:val="auto"/>
        </w:rPr>
      </w:pPr>
    </w:p>
    <w:p>
      <w:pPr>
        <w:sectPr>
          <w:pgSz w:w="11900" w:h="16838" w:orient="portrait"/>
          <w:cols w:equalWidth="0" w:num="2">
            <w:col w:w="6380" w:space="720"/>
            <w:col w:w="4140"/>
          </w:cols>
          <w:pgMar w:left="320" w:top="248" w:right="339" w:bottom="1440" w:gutter="0" w:footer="0" w:header="0"/>
          <w:type w:val="continuous"/>
        </w:sectPr>
      </w:pPr>
    </w:p>
    <w:p>
      <w:pPr>
        <w:ind w:right="140"/>
        <w:spacing w:after="0" w:line="293" w:lineRule="auto"/>
        <w:rPr>
          <w:sz w:val="20"/>
          <w:szCs w:val="20"/>
          <w:color w:val="auto"/>
        </w:rPr>
      </w:pPr>
      <w:r>
        <w:rPr>
          <w:rFonts w:ascii="Arial" w:cs="Arial" w:eastAsia="Arial" w:hAnsi="Arial"/>
          <w:sz w:val="16"/>
          <w:szCs w:val="16"/>
          <w:color w:val="auto"/>
        </w:rPr>
        <w:t>We operate our business solely in the United States and its territories, and accordingly, we generate no revenue from and have no long-lived assets, other than financial instruments, in geographic locations other than the United States and its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342900</wp:posOffset>
            </wp:positionV>
            <wp:extent cx="680593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14"/>
          <w:szCs w:val="14"/>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tables display our segment results.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4720" w:type="dxa"/>
            <w:vAlign w:val="bottom"/>
            <w:tcBorders>
              <w:bottom w:val="single" w:sz="8" w:color="2C6937"/>
            </w:tcBorders>
            <w:gridSpan w:val="11"/>
          </w:tcPr>
          <w:p>
            <w:pPr>
              <w:jc w:val="center"/>
              <w:ind w:right="180"/>
              <w:spacing w:after="0"/>
              <w:rPr>
                <w:sz w:val="20"/>
                <w:szCs w:val="20"/>
                <w:color w:val="auto"/>
              </w:rPr>
            </w:pPr>
            <w:r>
              <w:rPr>
                <w:rFonts w:ascii="Arial" w:cs="Arial" w:eastAsia="Arial" w:hAnsi="Arial"/>
                <w:sz w:val="15"/>
                <w:szCs w:val="15"/>
                <w:b w:val="1"/>
                <w:bCs w:val="1"/>
                <w:color w:val="auto"/>
                <w:w w:val="97"/>
              </w:rPr>
              <w:t>For the Three Months Ended September 30,</w:t>
            </w:r>
          </w:p>
        </w:tc>
        <w:tc>
          <w:tcPr>
            <w:tcW w:w="260" w:type="dxa"/>
            <w:vAlign w:val="bottom"/>
            <w:tcBorders>
              <w:bottom w:val="single" w:sz="8" w:color="2C6937"/>
            </w:tcBorders>
          </w:tcPr>
          <w:p>
            <w:pPr>
              <w:spacing w:after="0"/>
              <w:rPr>
                <w:sz w:val="17"/>
                <w:szCs w:val="17"/>
                <w:color w:val="auto"/>
              </w:rPr>
            </w:pPr>
          </w:p>
        </w:tc>
        <w:tc>
          <w:tcPr>
            <w:tcW w:w="880" w:type="dxa"/>
            <w:vAlign w:val="bottom"/>
            <w:tcBorders>
              <w:bottom w:val="single" w:sz="8" w:color="2C6937"/>
            </w:tcBorders>
          </w:tcPr>
          <w:p>
            <w:pPr>
              <w:spacing w:after="0"/>
              <w:rPr>
                <w:sz w:val="17"/>
                <w:szCs w:val="17"/>
                <w:color w:val="auto"/>
              </w:rPr>
            </w:pPr>
          </w:p>
        </w:tc>
      </w:tr>
      <w:tr>
        <w:trPr>
          <w:trHeight w:val="186"/>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center"/>
              <w:ind w:right="47"/>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center"/>
              <w:ind w:right="47"/>
              <w:spacing w:after="0"/>
              <w:rPr>
                <w:sz w:val="20"/>
                <w:szCs w:val="20"/>
                <w:color w:val="auto"/>
              </w:rPr>
            </w:pPr>
            <w:r>
              <w:rPr>
                <w:rFonts w:ascii="Arial" w:cs="Arial" w:eastAsia="Arial" w:hAnsi="Arial"/>
                <w:sz w:val="15"/>
                <w:szCs w:val="15"/>
                <w:b w:val="1"/>
                <w:bCs w:val="1"/>
                <w:color w:val="auto"/>
                <w:w w:val="95"/>
              </w:rPr>
              <w:t>2024</w:t>
            </w: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r>
      <w:tr>
        <w:trPr>
          <w:trHeight w:val="225"/>
        </w:trPr>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5"/>
                <w:szCs w:val="15"/>
                <w:b w:val="1"/>
                <w:bCs w:val="1"/>
                <w:color w:val="auto"/>
                <w:w w:val="96"/>
              </w:rPr>
              <w:t>Multifamily</w:t>
            </w:r>
          </w:p>
        </w:tc>
        <w:tc>
          <w:tcPr>
            <w:tcW w:w="2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6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5"/>
                <w:szCs w:val="15"/>
                <w:b w:val="1"/>
                <w:bCs w:val="1"/>
                <w:color w:val="auto"/>
                <w:w w:val="96"/>
              </w:rPr>
              <w:t>Multifamily</w:t>
            </w:r>
          </w:p>
        </w:tc>
        <w:tc>
          <w:tcPr>
            <w:tcW w:w="26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Total</w:t>
            </w:r>
          </w:p>
        </w:tc>
      </w:tr>
      <w:tr>
        <w:trPr>
          <w:trHeight w:val="193"/>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5"/>
                <w:szCs w:val="15"/>
                <w:b w:val="1"/>
                <w:bCs w:val="1"/>
                <w:color w:val="auto"/>
                <w:w w:val="97"/>
              </w:rPr>
              <w:t>(Dollars in millions)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32"/>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(1)</w:t>
            </w:r>
          </w:p>
        </w:tc>
        <w:tc>
          <w:tcPr>
            <w:tcW w:w="360" w:type="dxa"/>
            <w:vAlign w:val="bottom"/>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5,992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1,192</w:t>
            </w:r>
          </w:p>
        </w:tc>
        <w:tc>
          <w:tcPr>
            <w:tcW w:w="100" w:type="dxa"/>
            <w:vAlign w:val="bottom"/>
          </w:tcPr>
          <w:p>
            <w:pPr>
              <w:spacing w:after="0"/>
              <w:rPr>
                <w:sz w:val="24"/>
                <w:szCs w:val="24"/>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7,184</w:t>
            </w:r>
          </w:p>
        </w:tc>
        <w:tc>
          <w:tcPr>
            <w:tcW w:w="100" w:type="dxa"/>
            <w:vAlign w:val="bottom"/>
          </w:tcPr>
          <w:p>
            <w:pPr>
              <w:spacing w:after="0"/>
              <w:rPr>
                <w:sz w:val="24"/>
                <w:szCs w:val="24"/>
                <w:color w:val="auto"/>
              </w:rPr>
            </w:pPr>
          </w:p>
        </w:tc>
        <w:tc>
          <w:tcPr>
            <w:tcW w:w="340" w:type="dxa"/>
            <w:vAlign w:val="bottom"/>
          </w:tcPr>
          <w:p>
            <w:pPr>
              <w:jc w:val="right"/>
              <w:ind w:right="16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6,131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1,144</w:t>
            </w:r>
          </w:p>
        </w:tc>
        <w:tc>
          <w:tcPr>
            <w:tcW w:w="100" w:type="dxa"/>
            <w:vAlign w:val="bottom"/>
          </w:tcPr>
          <w:p>
            <w:pPr>
              <w:spacing w:after="0"/>
              <w:rPr>
                <w:sz w:val="24"/>
                <w:szCs w:val="24"/>
                <w:color w:val="auto"/>
              </w:rPr>
            </w:pPr>
          </w:p>
        </w:tc>
        <w:tc>
          <w:tcPr>
            <w:tcW w:w="26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7,275</w:t>
            </w:r>
          </w:p>
        </w:tc>
      </w:tr>
      <w:tr>
        <w:trPr>
          <w:trHeight w:val="280"/>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Fee and other income</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182"/>
        </w:trPr>
        <w:tc>
          <w:tcPr>
            <w:tcW w:w="3760" w:type="dxa"/>
            <w:vAlign w:val="bottom"/>
            <w:tcBorders>
              <w:top w:val="single" w:sz="8" w:color="2C6937"/>
            </w:tcBorders>
          </w:tcPr>
          <w:p>
            <w:pPr>
              <w:ind w:left="180"/>
              <w:spacing w:after="0"/>
              <w:rPr>
                <w:sz w:val="20"/>
                <w:szCs w:val="20"/>
                <w:color w:val="auto"/>
              </w:rPr>
            </w:pPr>
            <w:r>
              <w:rPr>
                <w:rFonts w:ascii="Arial" w:cs="Arial" w:eastAsia="Arial" w:hAnsi="Arial"/>
                <w:sz w:val="15"/>
                <w:szCs w:val="15"/>
                <w:color w:val="auto"/>
              </w:rPr>
              <w:t>Net revenues</w:t>
            </w:r>
          </w:p>
        </w:tc>
        <w:tc>
          <w:tcPr>
            <w:tcW w:w="100" w:type="dxa"/>
            <w:vAlign w:val="bottom"/>
          </w:tcPr>
          <w:p>
            <w:pPr>
              <w:spacing w:after="0"/>
              <w:rPr>
                <w:sz w:val="15"/>
                <w:szCs w:val="15"/>
                <w:color w:val="auto"/>
              </w:rPr>
            </w:pPr>
          </w:p>
        </w:tc>
        <w:tc>
          <w:tcPr>
            <w:tcW w:w="360" w:type="dxa"/>
            <w:vAlign w:val="bottom"/>
            <w:tcBorders>
              <w:top w:val="single" w:sz="8" w:color="2C6937"/>
            </w:tcBorders>
          </w:tcPr>
          <w:p>
            <w:pPr>
              <w:spacing w:after="0"/>
              <w:rPr>
                <w:sz w:val="15"/>
                <w:szCs w:val="15"/>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6,096</w:t>
            </w:r>
          </w:p>
        </w:tc>
        <w:tc>
          <w:tcPr>
            <w:tcW w:w="10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1,211</w:t>
            </w:r>
          </w:p>
        </w:tc>
        <w:tc>
          <w:tcPr>
            <w:tcW w:w="100" w:type="dxa"/>
            <w:vAlign w:val="bottom"/>
          </w:tcPr>
          <w:p>
            <w:pPr>
              <w:spacing w:after="0"/>
              <w:rPr>
                <w:sz w:val="15"/>
                <w:szCs w:val="15"/>
                <w:color w:val="auto"/>
              </w:rPr>
            </w:pPr>
          </w:p>
        </w:tc>
        <w:tc>
          <w:tcPr>
            <w:tcW w:w="240" w:type="dxa"/>
            <w:vAlign w:val="bottom"/>
            <w:tcBorders>
              <w:top w:val="single" w:sz="8" w:color="2C6937"/>
            </w:tcBorders>
          </w:tcPr>
          <w:p>
            <w:pPr>
              <w:spacing w:after="0"/>
              <w:rPr>
                <w:sz w:val="15"/>
                <w:szCs w:val="15"/>
                <w:color w:val="auto"/>
              </w:rPr>
            </w:pPr>
          </w:p>
        </w:tc>
        <w:tc>
          <w:tcPr>
            <w:tcW w:w="8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7,307</w:t>
            </w:r>
          </w:p>
        </w:tc>
        <w:tc>
          <w:tcPr>
            <w:tcW w:w="100" w:type="dxa"/>
            <w:vAlign w:val="bottom"/>
          </w:tcPr>
          <w:p>
            <w:pPr>
              <w:spacing w:after="0"/>
              <w:rPr>
                <w:sz w:val="15"/>
                <w:szCs w:val="15"/>
                <w:color w:val="auto"/>
              </w:rPr>
            </w:pPr>
          </w:p>
        </w:tc>
        <w:tc>
          <w:tcPr>
            <w:tcW w:w="340" w:type="dxa"/>
            <w:vAlign w:val="bottom"/>
            <w:tcBorders>
              <w:top w:val="single" w:sz="8" w:color="2C6937"/>
            </w:tcBorders>
          </w:tcPr>
          <w:p>
            <w:pPr>
              <w:spacing w:after="0"/>
              <w:rPr>
                <w:sz w:val="15"/>
                <w:szCs w:val="15"/>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6,179</w:t>
            </w:r>
          </w:p>
        </w:tc>
        <w:tc>
          <w:tcPr>
            <w:tcW w:w="100" w:type="dxa"/>
            <w:vAlign w:val="bottom"/>
          </w:tcPr>
          <w:p>
            <w:pPr>
              <w:spacing w:after="0"/>
              <w:rPr>
                <w:sz w:val="15"/>
                <w:szCs w:val="15"/>
                <w:color w:val="auto"/>
              </w:rPr>
            </w:pPr>
          </w:p>
        </w:tc>
        <w:tc>
          <w:tcPr>
            <w:tcW w:w="160" w:type="dxa"/>
            <w:vAlign w:val="bottom"/>
            <w:tcBorders>
              <w:top w:val="single" w:sz="8" w:color="2C6937"/>
            </w:tcBorders>
          </w:tcPr>
          <w:p>
            <w:pPr>
              <w:spacing w:after="0"/>
              <w:rPr>
                <w:sz w:val="15"/>
                <w:szCs w:val="15"/>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1,162</w:t>
            </w:r>
          </w:p>
        </w:tc>
        <w:tc>
          <w:tcPr>
            <w:tcW w:w="100" w:type="dxa"/>
            <w:vAlign w:val="bottom"/>
          </w:tcPr>
          <w:p>
            <w:pPr>
              <w:spacing w:after="0"/>
              <w:rPr>
                <w:sz w:val="15"/>
                <w:szCs w:val="15"/>
                <w:color w:val="auto"/>
              </w:rPr>
            </w:pPr>
          </w:p>
        </w:tc>
        <w:tc>
          <w:tcPr>
            <w:tcW w:w="260" w:type="dxa"/>
            <w:vAlign w:val="bottom"/>
            <w:tcBorders>
              <w:top w:val="single" w:sz="8" w:color="2C6937"/>
            </w:tcBorders>
          </w:tcPr>
          <w:p>
            <w:pPr>
              <w:spacing w:after="0"/>
              <w:rPr>
                <w:sz w:val="15"/>
                <w:szCs w:val="15"/>
                <w:color w:val="auto"/>
              </w:rPr>
            </w:pPr>
          </w:p>
        </w:tc>
        <w:tc>
          <w:tcPr>
            <w:tcW w:w="8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7,341</w:t>
            </w:r>
          </w:p>
        </w:tc>
      </w:tr>
      <w:tr>
        <w:trPr>
          <w:trHeight w:val="253"/>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(Provision) benefit for credit losses</w:t>
            </w:r>
            <w:r>
              <w:rPr>
                <w:rFonts w:ascii="Arial" w:cs="Arial" w:eastAsia="Arial" w:hAnsi="Arial"/>
                <w:sz w:val="18"/>
                <w:szCs w:val="18"/>
                <w:color w:val="auto"/>
                <w:vertAlign w:val="superscript"/>
              </w:rPr>
              <w:t>(2)</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84"/>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r>
              <w:rPr>
                <w:rFonts w:ascii="Arial" w:cs="Arial" w:eastAsia="Arial" w:hAnsi="Arial"/>
                <w:sz w:val="18"/>
                <w:szCs w:val="18"/>
                <w:color w:val="auto"/>
                <w:vertAlign w:val="superscript"/>
              </w:rPr>
              <w:t>(3)</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275"/>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r>
              <w:rPr>
                <w:rFonts w:ascii="Arial" w:cs="Arial" w:eastAsia="Arial" w:hAnsi="Arial"/>
                <w:sz w:val="18"/>
                <w:szCs w:val="18"/>
                <w:color w:val="auto"/>
                <w:vertAlign w:val="superscript"/>
              </w:rPr>
              <w:t>(4)</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92"/>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Non-interest expense:</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5"/>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Administrative expenses</w:t>
            </w:r>
            <w:r>
              <w:rPr>
                <w:rFonts w:ascii="Arial" w:cs="Arial" w:eastAsia="Arial" w:hAnsi="Arial"/>
                <w:sz w:val="18"/>
                <w:szCs w:val="18"/>
                <w:color w:val="auto"/>
                <w:vertAlign w:val="superscript"/>
              </w:rPr>
              <w:t>(5)</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(819)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(884)</w:t>
            </w:r>
          </w:p>
        </w:tc>
      </w:tr>
      <w:tr>
        <w:trPr>
          <w:trHeight w:val="284"/>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Legislative assessments</w:t>
            </w:r>
            <w:r>
              <w:rPr>
                <w:rFonts w:ascii="Arial" w:cs="Arial" w:eastAsia="Arial" w:hAnsi="Arial"/>
                <w:sz w:val="18"/>
                <w:szCs w:val="18"/>
                <w:color w:val="auto"/>
                <w:vertAlign w:val="superscript"/>
              </w:rPr>
              <w:t>(6)</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(929)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(943)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(948)</w:t>
            </w:r>
          </w:p>
        </w:tc>
      </w:tr>
      <w:tr>
        <w:trPr>
          <w:trHeight w:val="309"/>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(7)</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(79)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(409)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(411)</w:t>
            </w:r>
          </w:p>
        </w:tc>
      </w:tr>
      <w:tr>
        <w:trPr>
          <w:trHeight w:val="275"/>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18"/>
                <w:szCs w:val="18"/>
                <w:color w:val="auto"/>
                <w:vertAlign w:val="superscript"/>
              </w:rPr>
              <w:t>(8)</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198"/>
        </w:trPr>
        <w:tc>
          <w:tcPr>
            <w:tcW w:w="3860" w:type="dxa"/>
            <w:vAlign w:val="bottom"/>
            <w:gridSpan w:val="2"/>
          </w:tcPr>
          <w:p>
            <w:pPr>
              <w:ind w:left="120"/>
              <w:spacing w:after="0" w:line="198"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18"/>
                <w:szCs w:val="18"/>
                <w:color w:val="auto"/>
                <w:vertAlign w:val="superscript"/>
              </w:rPr>
              <w:t>(9)</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(225)</w:t>
            </w:r>
          </w:p>
        </w:tc>
      </w:tr>
      <w:tr>
        <w:trPr>
          <w:trHeight w:val="186"/>
        </w:trPr>
        <w:tc>
          <w:tcPr>
            <w:tcW w:w="3760" w:type="dxa"/>
            <w:vAlign w:val="bottom"/>
            <w:tcBorders>
              <w:top w:val="single" w:sz="8" w:color="2C6937"/>
              <w:bottom w:val="single" w:sz="8" w:color="2C6937"/>
            </w:tcBorders>
          </w:tcPr>
          <w:p>
            <w:pPr>
              <w:ind w:left="24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spacing w:after="0"/>
              <w:rPr>
                <w:sz w:val="16"/>
                <w:szCs w:val="16"/>
                <w:color w:val="auto"/>
              </w:rPr>
            </w:pP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(1,935)</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(211)</w:t>
            </w:r>
          </w:p>
        </w:tc>
        <w:tc>
          <w:tcPr>
            <w:tcW w:w="100" w:type="dxa"/>
            <w:vAlign w:val="bottom"/>
          </w:tcPr>
          <w:p>
            <w:pPr>
              <w:spacing w:after="0"/>
              <w:rPr>
                <w:sz w:val="16"/>
                <w:szCs w:val="16"/>
                <w:color w:val="auto"/>
              </w:rPr>
            </w:pPr>
          </w:p>
        </w:tc>
        <w:tc>
          <w:tcPr>
            <w:tcW w:w="240" w:type="dxa"/>
            <w:vAlign w:val="bottom"/>
            <w:tcBorders>
              <w:top w:val="single" w:sz="8" w:color="2C6937"/>
              <w:bottom w:val="single" w:sz="8" w:color="2C6937"/>
            </w:tcBorders>
          </w:tcPr>
          <w:p>
            <w:pPr>
              <w:spacing w:after="0"/>
              <w:rPr>
                <w:sz w:val="16"/>
                <w:szCs w:val="16"/>
                <w:color w:val="auto"/>
              </w:rPr>
            </w:pP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(2,146)</w:t>
            </w:r>
          </w:p>
        </w:tc>
        <w:tc>
          <w:tcPr>
            <w:tcW w:w="100" w:type="dxa"/>
            <w:vAlign w:val="bottom"/>
          </w:tcPr>
          <w:p>
            <w:pPr>
              <w:spacing w:after="0"/>
              <w:rPr>
                <w:sz w:val="16"/>
                <w:szCs w:val="16"/>
                <w:color w:val="auto"/>
              </w:rPr>
            </w:pPr>
          </w:p>
        </w:tc>
        <w:tc>
          <w:tcPr>
            <w:tcW w:w="34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(2,227)</w:t>
            </w:r>
          </w:p>
        </w:tc>
        <w:tc>
          <w:tcPr>
            <w:tcW w:w="100" w:type="dxa"/>
            <w:vAlign w:val="bottom"/>
          </w:tcPr>
          <w:p>
            <w:pPr>
              <w:spacing w:after="0"/>
              <w:rPr>
                <w:sz w:val="16"/>
                <w:szCs w:val="16"/>
                <w:color w:val="auto"/>
              </w:rPr>
            </w:pPr>
          </w:p>
        </w:tc>
        <w:tc>
          <w:tcPr>
            <w:tcW w:w="160" w:type="dxa"/>
            <w:vAlign w:val="bottom"/>
            <w:tcBorders>
              <w:top w:val="single" w:sz="8" w:color="2C6937"/>
              <w:bottom w:val="single" w:sz="8" w:color="2C6937"/>
            </w:tcBorders>
          </w:tcPr>
          <w:p>
            <w:pPr>
              <w:spacing w:after="0"/>
              <w:rPr>
                <w:sz w:val="16"/>
                <w:szCs w:val="16"/>
                <w:color w:val="auto"/>
              </w:rPr>
            </w:pP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(152)</w:t>
            </w:r>
          </w:p>
        </w:tc>
        <w:tc>
          <w:tcPr>
            <w:tcW w:w="100" w:type="dxa"/>
            <w:vAlign w:val="bottom"/>
          </w:tcPr>
          <w:p>
            <w:pPr>
              <w:spacing w:after="0"/>
              <w:rPr>
                <w:sz w:val="16"/>
                <w:szCs w:val="16"/>
                <w:color w:val="auto"/>
              </w:rPr>
            </w:pPr>
          </w:p>
        </w:tc>
        <w:tc>
          <w:tcPr>
            <w:tcW w:w="260" w:type="dxa"/>
            <w:vAlign w:val="bottom"/>
            <w:tcBorders>
              <w:top w:val="single" w:sz="8" w:color="2C6937"/>
              <w:bottom w:val="single" w:sz="8" w:color="2C6937"/>
            </w:tcBorders>
          </w:tcPr>
          <w:p>
            <w:pPr>
              <w:spacing w:after="0"/>
              <w:rPr>
                <w:sz w:val="16"/>
                <w:szCs w:val="16"/>
                <w:color w:val="auto"/>
              </w:rPr>
            </w:pP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(2,379)</w:t>
            </w:r>
          </w:p>
        </w:tc>
      </w:tr>
      <w:tr>
        <w:trPr>
          <w:trHeight w:val="182"/>
        </w:trPr>
        <w:tc>
          <w:tcPr>
            <w:tcW w:w="3760" w:type="dxa"/>
            <w:vAlign w:val="bottom"/>
          </w:tcPr>
          <w:p>
            <w:pPr>
              <w:ind w:left="20"/>
              <w:spacing w:after="0"/>
              <w:rPr>
                <w:sz w:val="20"/>
                <w:szCs w:val="20"/>
                <w:color w:val="auto"/>
              </w:rPr>
            </w:pPr>
            <w:r>
              <w:rPr>
                <w:rFonts w:ascii="Arial" w:cs="Arial" w:eastAsia="Arial" w:hAnsi="Arial"/>
                <w:sz w:val="15"/>
                <w:szCs w:val="15"/>
                <w:color w:val="auto"/>
              </w:rPr>
              <w:t>Income before federal income taxes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3,875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960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4,835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4,404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5,053</w:t>
            </w:r>
          </w:p>
        </w:tc>
      </w:tr>
      <w:tr>
        <w:trPr>
          <w:trHeight w:val="198"/>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Provision for federal income taxes</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(976)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(1,009)</w:t>
            </w:r>
          </w:p>
        </w:tc>
      </w:tr>
      <w:tr>
        <w:trPr>
          <w:trHeight w:val="186"/>
        </w:trPr>
        <w:tc>
          <w:tcPr>
            <w:tcW w:w="3760" w:type="dxa"/>
            <w:vAlign w:val="bottom"/>
            <w:tcBorders>
              <w:top w:val="single" w:sz="8" w:color="2C6937"/>
              <w:bottom w:val="single" w:sz="8" w:color="2C6937"/>
            </w:tcBorders>
          </w:tcPr>
          <w:p>
            <w:pPr>
              <w:ind w:left="18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3,085</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774</w:t>
            </w:r>
          </w:p>
        </w:tc>
        <w:tc>
          <w:tcPr>
            <w:tcW w:w="100" w:type="dxa"/>
            <w:vAlign w:val="bottom"/>
          </w:tcPr>
          <w:p>
            <w:pPr>
              <w:spacing w:after="0"/>
              <w:rPr>
                <w:sz w:val="16"/>
                <w:szCs w:val="16"/>
                <w:color w:val="auto"/>
              </w:rPr>
            </w:pPr>
          </w:p>
        </w:tc>
        <w:tc>
          <w:tcPr>
            <w:tcW w:w="240" w:type="dxa"/>
            <w:vAlign w:val="bottom"/>
            <w:tcBorders>
              <w:top w:val="single" w:sz="8" w:color="2C6937"/>
              <w:bottom w:val="single" w:sz="8" w:color="2C6937"/>
            </w:tcBorders>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3,859</w:t>
            </w:r>
          </w:p>
        </w:tc>
        <w:tc>
          <w:tcPr>
            <w:tcW w:w="100" w:type="dxa"/>
            <w:vAlign w:val="bottom"/>
          </w:tcPr>
          <w:p>
            <w:pPr>
              <w:spacing w:after="0"/>
              <w:rPr>
                <w:sz w:val="16"/>
                <w:szCs w:val="16"/>
                <w:color w:val="auto"/>
              </w:rPr>
            </w:pPr>
          </w:p>
        </w:tc>
        <w:tc>
          <w:tcPr>
            <w:tcW w:w="340" w:type="dxa"/>
            <w:vAlign w:val="bottom"/>
            <w:tcBorders>
              <w:top w:val="single" w:sz="8" w:color="2C6937"/>
              <w:bottom w:val="single" w:sz="8" w:color="2C6937"/>
            </w:tcBorders>
          </w:tcPr>
          <w:p>
            <w:pPr>
              <w:jc w:val="right"/>
              <w:ind w:right="167"/>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3,514</w:t>
            </w:r>
          </w:p>
        </w:tc>
        <w:tc>
          <w:tcPr>
            <w:tcW w:w="100" w:type="dxa"/>
            <w:vAlign w:val="bottom"/>
          </w:tcPr>
          <w:p>
            <w:pPr>
              <w:spacing w:after="0"/>
              <w:rPr>
                <w:sz w:val="16"/>
                <w:szCs w:val="16"/>
                <w:color w:val="auto"/>
              </w:rPr>
            </w:pPr>
          </w:p>
        </w:tc>
        <w:tc>
          <w:tcPr>
            <w:tcW w:w="1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530</w:t>
            </w:r>
          </w:p>
        </w:tc>
        <w:tc>
          <w:tcPr>
            <w:tcW w:w="100" w:type="dxa"/>
            <w:vAlign w:val="bottom"/>
          </w:tcPr>
          <w:p>
            <w:pPr>
              <w:spacing w:after="0"/>
              <w:rPr>
                <w:sz w:val="16"/>
                <w:szCs w:val="16"/>
                <w:color w:val="auto"/>
              </w:rPr>
            </w:pPr>
          </w:p>
        </w:tc>
        <w:tc>
          <w:tcPr>
            <w:tcW w:w="260" w:type="dxa"/>
            <w:vAlign w:val="bottom"/>
            <w:tcBorders>
              <w:top w:val="single" w:sz="8" w:color="2C6937"/>
              <w:bottom w:val="single" w:sz="8" w:color="2C6937"/>
            </w:tcBorders>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4,044</w:t>
            </w:r>
          </w:p>
        </w:tc>
      </w:tr>
      <w:tr>
        <w:trPr>
          <w:trHeight w:val="20"/>
        </w:trPr>
        <w:tc>
          <w:tcPr>
            <w:tcW w:w="3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r>
      <w:tr>
        <w:trPr>
          <w:trHeight w:val="675"/>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74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40" w:type="dxa"/>
            <w:vAlign w:val="bottom"/>
            <w:tcBorders>
              <w:bottom w:val="single" w:sz="8" w:color="2C6937"/>
            </w:tcBorders>
          </w:tcPr>
          <w:p>
            <w:pPr>
              <w:spacing w:after="0"/>
              <w:rPr>
                <w:sz w:val="24"/>
                <w:szCs w:val="24"/>
                <w:color w:val="auto"/>
              </w:rPr>
            </w:pPr>
          </w:p>
        </w:tc>
        <w:tc>
          <w:tcPr>
            <w:tcW w:w="4720" w:type="dxa"/>
            <w:vAlign w:val="bottom"/>
            <w:tcBorders>
              <w:bottom w:val="single" w:sz="8" w:color="2C6937"/>
            </w:tcBorders>
            <w:gridSpan w:val="11"/>
          </w:tcPr>
          <w:p>
            <w:pPr>
              <w:jc w:val="center"/>
              <w:ind w:right="200"/>
              <w:spacing w:after="0"/>
              <w:rPr>
                <w:sz w:val="20"/>
                <w:szCs w:val="20"/>
                <w:color w:val="auto"/>
              </w:rPr>
            </w:pPr>
            <w:r>
              <w:rPr>
                <w:rFonts w:ascii="Arial" w:cs="Arial" w:eastAsia="Arial" w:hAnsi="Arial"/>
                <w:sz w:val="15"/>
                <w:szCs w:val="15"/>
                <w:b w:val="1"/>
                <w:bCs w:val="1"/>
                <w:color w:val="auto"/>
                <w:w w:val="96"/>
              </w:rPr>
              <w:t>For the Nine Months Ended September 30,</w:t>
            </w:r>
          </w:p>
        </w:tc>
        <w:tc>
          <w:tcPr>
            <w:tcW w:w="260" w:type="dxa"/>
            <w:vAlign w:val="bottom"/>
            <w:tcBorders>
              <w:bottom w:val="single" w:sz="8" w:color="2C6937"/>
            </w:tcBorders>
          </w:tcPr>
          <w:p>
            <w:pPr>
              <w:spacing w:after="0"/>
              <w:rPr>
                <w:sz w:val="24"/>
                <w:szCs w:val="24"/>
                <w:color w:val="auto"/>
              </w:rPr>
            </w:pPr>
          </w:p>
        </w:tc>
        <w:tc>
          <w:tcPr>
            <w:tcW w:w="880" w:type="dxa"/>
            <w:vAlign w:val="bottom"/>
            <w:tcBorders>
              <w:bottom w:val="single" w:sz="8" w:color="2C6937"/>
            </w:tcBorders>
          </w:tcPr>
          <w:p>
            <w:pPr>
              <w:spacing w:after="0"/>
              <w:rPr>
                <w:sz w:val="24"/>
                <w:szCs w:val="24"/>
                <w:color w:val="auto"/>
              </w:rPr>
            </w:pPr>
          </w:p>
        </w:tc>
      </w:tr>
      <w:tr>
        <w:trPr>
          <w:trHeight w:val="186"/>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74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jc w:val="center"/>
              <w:ind w:right="47"/>
              <w:spacing w:after="0"/>
              <w:rPr>
                <w:sz w:val="20"/>
                <w:szCs w:val="20"/>
                <w:color w:val="auto"/>
              </w:rPr>
            </w:pPr>
            <w:r>
              <w:rPr>
                <w:rFonts w:ascii="Arial" w:cs="Arial" w:eastAsia="Arial" w:hAnsi="Arial"/>
                <w:sz w:val="15"/>
                <w:szCs w:val="15"/>
                <w:b w:val="1"/>
                <w:bCs w:val="1"/>
                <w:color w:val="auto"/>
              </w:rPr>
              <w:t>2025</w:t>
            </w:r>
          </w:p>
        </w:tc>
        <w:tc>
          <w:tcPr>
            <w:tcW w:w="100" w:type="dxa"/>
            <w:vAlign w:val="bottom"/>
            <w:tcBorders>
              <w:bottom w:val="single" w:sz="8" w:color="2C6937"/>
            </w:tcBorders>
          </w:tcPr>
          <w:p>
            <w:pPr>
              <w:spacing w:after="0"/>
              <w:rPr>
                <w:sz w:val="16"/>
                <w:szCs w:val="16"/>
                <w:color w:val="auto"/>
              </w:rPr>
            </w:pPr>
          </w:p>
        </w:tc>
        <w:tc>
          <w:tcPr>
            <w:tcW w:w="24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2C6937"/>
            </w:tcBorders>
          </w:tcPr>
          <w:p>
            <w:pPr>
              <w:spacing w:after="0"/>
              <w:rPr>
                <w:sz w:val="16"/>
                <w:szCs w:val="16"/>
                <w:color w:val="auto"/>
              </w:rPr>
            </w:pPr>
          </w:p>
        </w:tc>
        <w:tc>
          <w:tcPr>
            <w:tcW w:w="7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60" w:type="dxa"/>
            <w:vAlign w:val="bottom"/>
            <w:tcBorders>
              <w:bottom w:val="single" w:sz="8" w:color="2C6937"/>
            </w:tcBorders>
          </w:tcPr>
          <w:p>
            <w:pPr>
              <w:spacing w:after="0"/>
              <w:rPr>
                <w:sz w:val="16"/>
                <w:szCs w:val="16"/>
                <w:color w:val="auto"/>
              </w:rPr>
            </w:pPr>
          </w:p>
        </w:tc>
        <w:tc>
          <w:tcPr>
            <w:tcW w:w="960" w:type="dxa"/>
            <w:vAlign w:val="bottom"/>
            <w:tcBorders>
              <w:bottom w:val="single" w:sz="8" w:color="2C6937"/>
            </w:tcBorders>
          </w:tcPr>
          <w:p>
            <w:pPr>
              <w:jc w:val="center"/>
              <w:ind w:right="47"/>
              <w:spacing w:after="0"/>
              <w:rPr>
                <w:sz w:val="20"/>
                <w:szCs w:val="20"/>
                <w:color w:val="auto"/>
              </w:rPr>
            </w:pPr>
            <w:r>
              <w:rPr>
                <w:rFonts w:ascii="Arial" w:cs="Arial" w:eastAsia="Arial" w:hAnsi="Arial"/>
                <w:sz w:val="15"/>
                <w:szCs w:val="15"/>
                <w:b w:val="1"/>
                <w:bCs w:val="1"/>
                <w:color w:val="auto"/>
                <w:w w:val="95"/>
              </w:rPr>
              <w:t>2024</w:t>
            </w:r>
          </w:p>
        </w:tc>
        <w:tc>
          <w:tcPr>
            <w:tcW w:w="100" w:type="dxa"/>
            <w:vAlign w:val="bottom"/>
            <w:tcBorders>
              <w:bottom w:val="single" w:sz="8" w:color="2C6937"/>
            </w:tcBorders>
          </w:tcPr>
          <w:p>
            <w:pPr>
              <w:spacing w:after="0"/>
              <w:rPr>
                <w:sz w:val="16"/>
                <w:szCs w:val="16"/>
                <w:color w:val="auto"/>
              </w:rPr>
            </w:pPr>
          </w:p>
        </w:tc>
        <w:tc>
          <w:tcPr>
            <w:tcW w:w="26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r>
      <w:tr>
        <w:trPr>
          <w:trHeight w:val="225"/>
        </w:trPr>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40" w:type="dxa"/>
            <w:vAlign w:val="bottom"/>
            <w:tcBorders>
              <w:bottom w:val="single" w:sz="8" w:color="2C6937"/>
            </w:tcBorders>
          </w:tcPr>
          <w:p>
            <w:pPr>
              <w:spacing w:after="0"/>
              <w:rPr>
                <w:sz w:val="19"/>
                <w:szCs w:val="19"/>
                <w:color w:val="auto"/>
              </w:rPr>
            </w:pPr>
          </w:p>
        </w:tc>
        <w:tc>
          <w:tcPr>
            <w:tcW w:w="1080" w:type="dxa"/>
            <w:vAlign w:val="bottom"/>
            <w:tcBorders>
              <w:bottom w:val="single" w:sz="8" w:color="2C6937"/>
            </w:tcBorders>
            <w:gridSpan w:val="2"/>
          </w:tcPr>
          <w:p>
            <w:pPr>
              <w:jc w:val="center"/>
              <w:ind w:right="240"/>
              <w:spacing w:after="0"/>
              <w:rPr>
                <w:sz w:val="20"/>
                <w:szCs w:val="20"/>
                <w:color w:val="auto"/>
              </w:rPr>
            </w:pPr>
            <w:r>
              <w:rPr>
                <w:rFonts w:ascii="Arial" w:cs="Arial" w:eastAsia="Arial" w:hAnsi="Arial"/>
                <w:sz w:val="15"/>
                <w:szCs w:val="15"/>
                <w:b w:val="1"/>
                <w:bCs w:val="1"/>
                <w:color w:val="auto"/>
                <w:w w:val="96"/>
              </w:rPr>
              <w:t>Multifamily</w:t>
            </w:r>
          </w:p>
        </w:tc>
        <w:tc>
          <w:tcPr>
            <w:tcW w:w="240" w:type="dxa"/>
            <w:vAlign w:val="bottom"/>
            <w:tcBorders>
              <w:bottom w:val="single" w:sz="8" w:color="2C6937"/>
            </w:tcBorders>
          </w:tcPr>
          <w:p>
            <w:pPr>
              <w:spacing w:after="0"/>
              <w:rPr>
                <w:sz w:val="19"/>
                <w:szCs w:val="19"/>
                <w:color w:val="auto"/>
              </w:rPr>
            </w:pPr>
          </w:p>
        </w:tc>
        <w:tc>
          <w:tcPr>
            <w:tcW w:w="980" w:type="dxa"/>
            <w:vAlign w:val="bottom"/>
            <w:tcBorders>
              <w:bottom w:val="single" w:sz="8" w:color="2C6937"/>
            </w:tcBorders>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1200" w:type="dxa"/>
            <w:vAlign w:val="bottom"/>
            <w:tcBorders>
              <w:bottom w:val="single" w:sz="8" w:color="2C6937"/>
            </w:tcBorders>
            <w:gridSpan w:val="3"/>
          </w:tcPr>
          <w:p>
            <w:pPr>
              <w:ind w:left="80"/>
              <w:spacing w:after="0"/>
              <w:rPr>
                <w:sz w:val="20"/>
                <w:szCs w:val="20"/>
                <w:color w:val="auto"/>
              </w:rPr>
            </w:pPr>
            <w:r>
              <w:rPr>
                <w:rFonts w:ascii="Arial" w:cs="Arial" w:eastAsia="Arial" w:hAnsi="Arial"/>
                <w:sz w:val="15"/>
                <w:szCs w:val="15"/>
                <w:b w:val="1"/>
                <w:bCs w:val="1"/>
                <w:color w:val="auto"/>
              </w:rPr>
              <w:t>Single-Family</w:t>
            </w:r>
          </w:p>
        </w:tc>
        <w:tc>
          <w:tcPr>
            <w:tcW w:w="160" w:type="dxa"/>
            <w:vAlign w:val="bottom"/>
            <w:tcBorders>
              <w:bottom w:val="single" w:sz="8" w:color="2C6937"/>
            </w:tcBorders>
          </w:tcPr>
          <w:p>
            <w:pPr>
              <w:spacing w:after="0"/>
              <w:rPr>
                <w:sz w:val="19"/>
                <w:szCs w:val="19"/>
                <w:color w:val="auto"/>
              </w:rPr>
            </w:pPr>
          </w:p>
        </w:tc>
        <w:tc>
          <w:tcPr>
            <w:tcW w:w="106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5"/>
                <w:szCs w:val="15"/>
                <w:b w:val="1"/>
                <w:bCs w:val="1"/>
                <w:color w:val="auto"/>
                <w:w w:val="96"/>
              </w:rPr>
              <w:t>Multifamily</w:t>
            </w:r>
          </w:p>
        </w:tc>
        <w:tc>
          <w:tcPr>
            <w:tcW w:w="260" w:type="dxa"/>
            <w:vAlign w:val="bottom"/>
            <w:tcBorders>
              <w:bottom w:val="single" w:sz="8" w:color="2C6937"/>
            </w:tcBorders>
          </w:tcPr>
          <w:p>
            <w:pPr>
              <w:spacing w:after="0"/>
              <w:rPr>
                <w:sz w:val="19"/>
                <w:szCs w:val="19"/>
                <w:color w:val="auto"/>
              </w:rPr>
            </w:pPr>
          </w:p>
        </w:tc>
        <w:tc>
          <w:tcPr>
            <w:tcW w:w="880" w:type="dxa"/>
            <w:vAlign w:val="bottom"/>
            <w:tcBorders>
              <w:bottom w:val="single" w:sz="8" w:color="2C6937"/>
            </w:tcBorders>
          </w:tcPr>
          <w:p>
            <w:pPr>
              <w:jc w:val="right"/>
              <w:ind w:right="327"/>
              <w:spacing w:after="0"/>
              <w:rPr>
                <w:sz w:val="20"/>
                <w:szCs w:val="20"/>
                <w:color w:val="auto"/>
              </w:rPr>
            </w:pPr>
            <w:r>
              <w:rPr>
                <w:rFonts w:ascii="Arial" w:cs="Arial" w:eastAsia="Arial" w:hAnsi="Arial"/>
                <w:sz w:val="15"/>
                <w:szCs w:val="15"/>
                <w:b w:val="1"/>
                <w:bCs w:val="1"/>
                <w:color w:val="auto"/>
              </w:rPr>
              <w:t>Total</w:t>
            </w:r>
          </w:p>
        </w:tc>
      </w:tr>
      <w:tr>
        <w:trPr>
          <w:trHeight w:val="193"/>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5"/>
                <w:szCs w:val="15"/>
                <w:b w:val="1"/>
                <w:bCs w:val="1"/>
                <w:color w:val="auto"/>
                <w:w w:val="97"/>
              </w:rPr>
              <w:t>(Dollars in millions)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32"/>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Net interest income</w:t>
            </w:r>
            <w:r>
              <w:rPr>
                <w:rFonts w:ascii="Arial" w:cs="Arial" w:eastAsia="Arial" w:hAnsi="Arial"/>
                <w:sz w:val="18"/>
                <w:szCs w:val="18"/>
                <w:color w:val="auto"/>
                <w:vertAlign w:val="superscript"/>
              </w:rPr>
              <w:t>(1)</w:t>
            </w:r>
          </w:p>
        </w:tc>
        <w:tc>
          <w:tcPr>
            <w:tcW w:w="360" w:type="dxa"/>
            <w:vAlign w:val="bottom"/>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17,850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3,490</w:t>
            </w:r>
          </w:p>
        </w:tc>
        <w:tc>
          <w:tcPr>
            <w:tcW w:w="100" w:type="dxa"/>
            <w:vAlign w:val="bottom"/>
          </w:tcPr>
          <w:p>
            <w:pPr>
              <w:spacing w:after="0"/>
              <w:rPr>
                <w:sz w:val="24"/>
                <w:szCs w:val="24"/>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21,340</w:t>
            </w:r>
          </w:p>
        </w:tc>
        <w:tc>
          <w:tcPr>
            <w:tcW w:w="100" w:type="dxa"/>
            <w:vAlign w:val="bottom"/>
          </w:tcPr>
          <w:p>
            <w:pPr>
              <w:spacing w:after="0"/>
              <w:rPr>
                <w:sz w:val="24"/>
                <w:szCs w:val="24"/>
                <w:color w:val="auto"/>
              </w:rPr>
            </w:pPr>
          </w:p>
        </w:tc>
        <w:tc>
          <w:tcPr>
            <w:tcW w:w="340" w:type="dxa"/>
            <w:vAlign w:val="bottom"/>
          </w:tcPr>
          <w:p>
            <w:pPr>
              <w:jc w:val="right"/>
              <w:ind w:right="16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18,101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3,465</w:t>
            </w:r>
          </w:p>
        </w:tc>
        <w:tc>
          <w:tcPr>
            <w:tcW w:w="100" w:type="dxa"/>
            <w:vAlign w:val="bottom"/>
          </w:tcPr>
          <w:p>
            <w:pPr>
              <w:spacing w:after="0"/>
              <w:rPr>
                <w:sz w:val="24"/>
                <w:szCs w:val="24"/>
                <w:color w:val="auto"/>
              </w:rPr>
            </w:pPr>
          </w:p>
        </w:tc>
        <w:tc>
          <w:tcPr>
            <w:tcW w:w="26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21,566</w:t>
            </w:r>
          </w:p>
        </w:tc>
      </w:tr>
      <w:tr>
        <w:trPr>
          <w:trHeight w:val="280"/>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Fee and other income</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293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206</w:t>
            </w:r>
          </w:p>
        </w:tc>
      </w:tr>
      <w:tr>
        <w:trPr>
          <w:trHeight w:val="182"/>
        </w:trPr>
        <w:tc>
          <w:tcPr>
            <w:tcW w:w="3760" w:type="dxa"/>
            <w:vAlign w:val="bottom"/>
            <w:tcBorders>
              <w:top w:val="single" w:sz="8" w:color="2C6937"/>
            </w:tcBorders>
          </w:tcPr>
          <w:p>
            <w:pPr>
              <w:ind w:left="180"/>
              <w:spacing w:after="0"/>
              <w:rPr>
                <w:sz w:val="20"/>
                <w:szCs w:val="20"/>
                <w:color w:val="auto"/>
              </w:rPr>
            </w:pPr>
            <w:r>
              <w:rPr>
                <w:rFonts w:ascii="Arial" w:cs="Arial" w:eastAsia="Arial" w:hAnsi="Arial"/>
                <w:sz w:val="15"/>
                <w:szCs w:val="15"/>
                <w:color w:val="auto"/>
              </w:rPr>
              <w:t>Net revenues</w:t>
            </w:r>
          </w:p>
        </w:tc>
        <w:tc>
          <w:tcPr>
            <w:tcW w:w="100" w:type="dxa"/>
            <w:vAlign w:val="bottom"/>
          </w:tcPr>
          <w:p>
            <w:pPr>
              <w:spacing w:after="0"/>
              <w:rPr>
                <w:sz w:val="15"/>
                <w:szCs w:val="15"/>
                <w:color w:val="auto"/>
              </w:rPr>
            </w:pPr>
          </w:p>
        </w:tc>
        <w:tc>
          <w:tcPr>
            <w:tcW w:w="360" w:type="dxa"/>
            <w:vAlign w:val="bottom"/>
            <w:tcBorders>
              <w:top w:val="single" w:sz="8" w:color="2C6937"/>
            </w:tcBorders>
          </w:tcPr>
          <w:p>
            <w:pPr>
              <w:spacing w:after="0"/>
              <w:rPr>
                <w:sz w:val="15"/>
                <w:szCs w:val="15"/>
                <w:color w:val="auto"/>
              </w:rPr>
            </w:pPr>
          </w:p>
        </w:tc>
        <w:tc>
          <w:tcPr>
            <w:tcW w:w="74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18,088</w:t>
            </w:r>
          </w:p>
        </w:tc>
        <w:tc>
          <w:tcPr>
            <w:tcW w:w="100" w:type="dxa"/>
            <w:vAlign w:val="bottom"/>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9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3,545</w:t>
            </w:r>
          </w:p>
        </w:tc>
        <w:tc>
          <w:tcPr>
            <w:tcW w:w="100" w:type="dxa"/>
            <w:vAlign w:val="bottom"/>
          </w:tcPr>
          <w:p>
            <w:pPr>
              <w:spacing w:after="0"/>
              <w:rPr>
                <w:sz w:val="15"/>
                <w:szCs w:val="15"/>
                <w:color w:val="auto"/>
              </w:rPr>
            </w:pPr>
          </w:p>
        </w:tc>
        <w:tc>
          <w:tcPr>
            <w:tcW w:w="240" w:type="dxa"/>
            <w:vAlign w:val="bottom"/>
            <w:tcBorders>
              <w:top w:val="single" w:sz="8" w:color="2C6937"/>
            </w:tcBorders>
          </w:tcPr>
          <w:p>
            <w:pPr>
              <w:spacing w:after="0"/>
              <w:rPr>
                <w:sz w:val="15"/>
                <w:szCs w:val="15"/>
                <w:color w:val="auto"/>
              </w:rPr>
            </w:pPr>
          </w:p>
        </w:tc>
        <w:tc>
          <w:tcPr>
            <w:tcW w:w="88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21,633</w:t>
            </w:r>
          </w:p>
        </w:tc>
        <w:tc>
          <w:tcPr>
            <w:tcW w:w="100" w:type="dxa"/>
            <w:vAlign w:val="bottom"/>
          </w:tcPr>
          <w:p>
            <w:pPr>
              <w:spacing w:after="0"/>
              <w:rPr>
                <w:sz w:val="15"/>
                <w:szCs w:val="15"/>
                <w:color w:val="auto"/>
              </w:rPr>
            </w:pPr>
          </w:p>
        </w:tc>
        <w:tc>
          <w:tcPr>
            <w:tcW w:w="340" w:type="dxa"/>
            <w:vAlign w:val="bottom"/>
            <w:tcBorders>
              <w:top w:val="single" w:sz="8" w:color="2C6937"/>
            </w:tcBorders>
          </w:tcPr>
          <w:p>
            <w:pPr>
              <w:spacing w:after="0"/>
              <w:rPr>
                <w:sz w:val="15"/>
                <w:szCs w:val="15"/>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18,255</w:t>
            </w:r>
          </w:p>
        </w:tc>
        <w:tc>
          <w:tcPr>
            <w:tcW w:w="100" w:type="dxa"/>
            <w:vAlign w:val="bottom"/>
          </w:tcPr>
          <w:p>
            <w:pPr>
              <w:spacing w:after="0"/>
              <w:rPr>
                <w:sz w:val="15"/>
                <w:szCs w:val="15"/>
                <w:color w:val="auto"/>
              </w:rPr>
            </w:pPr>
          </w:p>
        </w:tc>
        <w:tc>
          <w:tcPr>
            <w:tcW w:w="160" w:type="dxa"/>
            <w:vAlign w:val="bottom"/>
            <w:tcBorders>
              <w:top w:val="single" w:sz="8" w:color="2C6937"/>
            </w:tcBorders>
          </w:tcPr>
          <w:p>
            <w:pPr>
              <w:spacing w:after="0"/>
              <w:rPr>
                <w:sz w:val="15"/>
                <w:szCs w:val="15"/>
                <w:color w:val="auto"/>
              </w:rPr>
            </w:pPr>
          </w:p>
        </w:tc>
        <w:tc>
          <w:tcPr>
            <w:tcW w:w="9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3,517</w:t>
            </w:r>
          </w:p>
        </w:tc>
        <w:tc>
          <w:tcPr>
            <w:tcW w:w="100" w:type="dxa"/>
            <w:vAlign w:val="bottom"/>
          </w:tcPr>
          <w:p>
            <w:pPr>
              <w:spacing w:after="0"/>
              <w:rPr>
                <w:sz w:val="15"/>
                <w:szCs w:val="15"/>
                <w:color w:val="auto"/>
              </w:rPr>
            </w:pPr>
          </w:p>
        </w:tc>
        <w:tc>
          <w:tcPr>
            <w:tcW w:w="260" w:type="dxa"/>
            <w:vAlign w:val="bottom"/>
            <w:tcBorders>
              <w:top w:val="single" w:sz="8" w:color="2C6937"/>
            </w:tcBorders>
          </w:tcPr>
          <w:p>
            <w:pPr>
              <w:spacing w:after="0"/>
              <w:rPr>
                <w:sz w:val="15"/>
                <w:szCs w:val="15"/>
                <w:color w:val="auto"/>
              </w:rPr>
            </w:pPr>
          </w:p>
        </w:tc>
        <w:tc>
          <w:tcPr>
            <w:tcW w:w="88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21,772</w:t>
            </w:r>
          </w:p>
        </w:tc>
      </w:tr>
      <w:tr>
        <w:trPr>
          <w:trHeight w:val="253"/>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(Provision) benefit for credit losses</w:t>
            </w:r>
            <w:r>
              <w:rPr>
                <w:rFonts w:ascii="Arial" w:cs="Arial" w:eastAsia="Arial" w:hAnsi="Arial"/>
                <w:sz w:val="18"/>
                <w:szCs w:val="18"/>
                <w:color w:val="auto"/>
                <w:vertAlign w:val="superscript"/>
              </w:rPr>
              <w:t>(2)</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(1,030)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(1,308)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507</w:t>
            </w:r>
          </w:p>
        </w:tc>
      </w:tr>
      <w:tr>
        <w:trPr>
          <w:trHeight w:val="284"/>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Fair value gains (losses), net</w:t>
            </w:r>
            <w:r>
              <w:rPr>
                <w:rFonts w:ascii="Arial" w:cs="Arial" w:eastAsia="Arial" w:hAnsi="Arial"/>
                <w:sz w:val="18"/>
                <w:szCs w:val="18"/>
                <w:color w:val="auto"/>
                <w:vertAlign w:val="superscript"/>
              </w:rPr>
              <w:t>(3)</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90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347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979</w:t>
            </w:r>
          </w:p>
        </w:tc>
      </w:tr>
      <w:tr>
        <w:trPr>
          <w:trHeight w:val="275"/>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Investment gains (losses), net</w:t>
            </w:r>
            <w:r>
              <w:rPr>
                <w:rFonts w:ascii="Arial" w:cs="Arial" w:eastAsia="Arial" w:hAnsi="Arial"/>
                <w:sz w:val="18"/>
                <w:szCs w:val="18"/>
                <w:color w:val="auto"/>
                <w:vertAlign w:val="superscript"/>
              </w:rPr>
              <w:t>(4)</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192"/>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Non-interest expense:</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5"/>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Administrative expenses</w:t>
            </w:r>
            <w:r>
              <w:rPr>
                <w:rFonts w:ascii="Arial" w:cs="Arial" w:eastAsia="Arial" w:hAnsi="Arial"/>
                <w:sz w:val="18"/>
                <w:szCs w:val="18"/>
                <w:color w:val="auto"/>
                <w:vertAlign w:val="superscript"/>
              </w:rPr>
              <w:t>(5)</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(2,168)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(2,658)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(2,672)</w:t>
            </w:r>
          </w:p>
        </w:tc>
      </w:tr>
      <w:tr>
        <w:trPr>
          <w:trHeight w:val="284"/>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Legislative assessments</w:t>
            </w:r>
            <w:r>
              <w:rPr>
                <w:rFonts w:ascii="Arial" w:cs="Arial" w:eastAsia="Arial" w:hAnsi="Arial"/>
                <w:sz w:val="18"/>
                <w:szCs w:val="18"/>
                <w:color w:val="auto"/>
                <w:vertAlign w:val="superscript"/>
              </w:rPr>
              <w:t>(6)</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(2,767)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(2,813)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(2,785)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(2,817)</w:t>
            </w:r>
          </w:p>
        </w:tc>
      </w:tr>
      <w:tr>
        <w:trPr>
          <w:trHeight w:val="309"/>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Credit enhancement expense</w:t>
            </w:r>
            <w:r>
              <w:rPr>
                <w:rFonts w:ascii="Arial" w:cs="Arial" w:eastAsia="Arial" w:hAnsi="Arial"/>
                <w:sz w:val="18"/>
                <w:szCs w:val="18"/>
                <w:color w:val="auto"/>
                <w:vertAlign w:val="superscript"/>
              </w:rPr>
              <w:t>(7)</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(1,055)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(233)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(1,288)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(1,235)</w:t>
            </w:r>
          </w:p>
        </w:tc>
      </w:tr>
      <w:tr>
        <w:trPr>
          <w:trHeight w:val="275"/>
        </w:trPr>
        <w:tc>
          <w:tcPr>
            <w:tcW w:w="3860" w:type="dxa"/>
            <w:vAlign w:val="bottom"/>
            <w:gridSpan w:val="2"/>
          </w:tcPr>
          <w:p>
            <w:pPr>
              <w:ind w:left="120"/>
              <w:spacing w:after="0"/>
              <w:rPr>
                <w:sz w:val="20"/>
                <w:szCs w:val="20"/>
                <w:color w:val="auto"/>
              </w:rPr>
            </w:pPr>
            <w:r>
              <w:rPr>
                <w:rFonts w:ascii="Arial" w:cs="Arial" w:eastAsia="Arial" w:hAnsi="Arial"/>
                <w:sz w:val="15"/>
                <w:szCs w:val="15"/>
                <w:color w:val="auto"/>
              </w:rPr>
              <w:t>Change in expected credit enhancement recoveries</w:t>
            </w:r>
            <w:r>
              <w:rPr>
                <w:rFonts w:ascii="Arial" w:cs="Arial" w:eastAsia="Arial" w:hAnsi="Arial"/>
                <w:sz w:val="18"/>
                <w:szCs w:val="18"/>
                <w:color w:val="auto"/>
                <w:vertAlign w:val="superscript"/>
              </w:rPr>
              <w:t>(8)</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96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189</w:t>
            </w:r>
          </w:p>
        </w:tc>
      </w:tr>
      <w:tr>
        <w:trPr>
          <w:trHeight w:val="198"/>
        </w:trPr>
        <w:tc>
          <w:tcPr>
            <w:tcW w:w="3860" w:type="dxa"/>
            <w:vAlign w:val="bottom"/>
            <w:gridSpan w:val="2"/>
          </w:tcPr>
          <w:p>
            <w:pPr>
              <w:ind w:left="120"/>
              <w:spacing w:after="0" w:line="198" w:lineRule="exact"/>
              <w:rPr>
                <w:sz w:val="20"/>
                <w:szCs w:val="20"/>
                <w:color w:val="auto"/>
              </w:rPr>
            </w:pPr>
            <w:r>
              <w:rPr>
                <w:rFonts w:ascii="Arial" w:cs="Arial" w:eastAsia="Arial" w:hAnsi="Arial"/>
                <w:sz w:val="15"/>
                <w:szCs w:val="15"/>
                <w:color w:val="auto"/>
              </w:rPr>
              <w:t>Other income (expense), net</w:t>
            </w:r>
            <w:r>
              <w:rPr>
                <w:rFonts w:ascii="Arial" w:cs="Arial" w:eastAsia="Arial" w:hAnsi="Arial"/>
                <w:sz w:val="18"/>
                <w:szCs w:val="18"/>
                <w:color w:val="auto"/>
                <w:vertAlign w:val="superscript"/>
              </w:rPr>
              <w:t>(9)</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(605)</w:t>
            </w:r>
          </w:p>
        </w:tc>
      </w:tr>
      <w:tr>
        <w:trPr>
          <w:trHeight w:val="186"/>
        </w:trPr>
        <w:tc>
          <w:tcPr>
            <w:tcW w:w="3760" w:type="dxa"/>
            <w:vAlign w:val="bottom"/>
            <w:tcBorders>
              <w:top w:val="single" w:sz="8" w:color="2C6937"/>
              <w:bottom w:val="single" w:sz="8" w:color="2C6937"/>
            </w:tcBorders>
          </w:tcPr>
          <w:p>
            <w:pPr>
              <w:ind w:left="240"/>
              <w:spacing w:after="0"/>
              <w:rPr>
                <w:sz w:val="20"/>
                <w:szCs w:val="20"/>
                <w:color w:val="auto"/>
              </w:rPr>
            </w:pPr>
            <w:r>
              <w:rPr>
                <w:rFonts w:ascii="Arial" w:cs="Arial" w:eastAsia="Arial" w:hAnsi="Arial"/>
                <w:sz w:val="15"/>
                <w:szCs w:val="15"/>
                <w:color w:val="auto"/>
              </w:rPr>
              <w:t>Total non-interest expense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spacing w:after="0"/>
              <w:rPr>
                <w:sz w:val="16"/>
                <w:szCs w:val="16"/>
                <w:color w:val="auto"/>
              </w:rPr>
            </w:pP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(6,314)</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spacing w:after="0"/>
              <w:rPr>
                <w:sz w:val="16"/>
                <w:szCs w:val="16"/>
                <w:color w:val="auto"/>
              </w:rPr>
            </w:pP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(776)</w:t>
            </w:r>
          </w:p>
        </w:tc>
        <w:tc>
          <w:tcPr>
            <w:tcW w:w="100" w:type="dxa"/>
            <w:vAlign w:val="bottom"/>
          </w:tcPr>
          <w:p>
            <w:pPr>
              <w:spacing w:after="0"/>
              <w:rPr>
                <w:sz w:val="16"/>
                <w:szCs w:val="16"/>
                <w:color w:val="auto"/>
              </w:rPr>
            </w:pPr>
          </w:p>
        </w:tc>
        <w:tc>
          <w:tcPr>
            <w:tcW w:w="240" w:type="dxa"/>
            <w:vAlign w:val="bottom"/>
            <w:tcBorders>
              <w:top w:val="single" w:sz="8" w:color="2C6937"/>
              <w:bottom w:val="single" w:sz="8" w:color="2C6937"/>
            </w:tcBorders>
          </w:tcPr>
          <w:p>
            <w:pPr>
              <w:spacing w:after="0"/>
              <w:rPr>
                <w:sz w:val="16"/>
                <w:szCs w:val="16"/>
                <w:color w:val="auto"/>
              </w:rPr>
            </w:pP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(7,090)</w:t>
            </w:r>
          </w:p>
        </w:tc>
        <w:tc>
          <w:tcPr>
            <w:tcW w:w="100" w:type="dxa"/>
            <w:vAlign w:val="bottom"/>
          </w:tcPr>
          <w:p>
            <w:pPr>
              <w:spacing w:after="0"/>
              <w:rPr>
                <w:sz w:val="16"/>
                <w:szCs w:val="16"/>
                <w:color w:val="auto"/>
              </w:rPr>
            </w:pPr>
          </w:p>
        </w:tc>
        <w:tc>
          <w:tcPr>
            <w:tcW w:w="340" w:type="dxa"/>
            <w:vAlign w:val="bottom"/>
            <w:tcBorders>
              <w:top w:val="single" w:sz="8" w:color="2C6937"/>
              <w:bottom w:val="single" w:sz="8" w:color="2C6937"/>
            </w:tcBorders>
          </w:tcPr>
          <w:p>
            <w:pPr>
              <w:spacing w:after="0"/>
              <w:rPr>
                <w:sz w:val="16"/>
                <w:szCs w:val="16"/>
                <w:color w:val="auto"/>
              </w:rPr>
            </w:pP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(6,676)</w:t>
            </w:r>
          </w:p>
        </w:tc>
        <w:tc>
          <w:tcPr>
            <w:tcW w:w="100" w:type="dxa"/>
            <w:vAlign w:val="bottom"/>
          </w:tcPr>
          <w:p>
            <w:pPr>
              <w:spacing w:after="0"/>
              <w:rPr>
                <w:sz w:val="16"/>
                <w:szCs w:val="16"/>
                <w:color w:val="auto"/>
              </w:rPr>
            </w:pPr>
          </w:p>
        </w:tc>
        <w:tc>
          <w:tcPr>
            <w:tcW w:w="160" w:type="dxa"/>
            <w:vAlign w:val="bottom"/>
            <w:tcBorders>
              <w:top w:val="single" w:sz="8" w:color="2C6937"/>
              <w:bottom w:val="single" w:sz="8" w:color="2C6937"/>
            </w:tcBorders>
          </w:tcPr>
          <w:p>
            <w:pPr>
              <w:spacing w:after="0"/>
              <w:rPr>
                <w:sz w:val="16"/>
                <w:szCs w:val="16"/>
                <w:color w:val="auto"/>
              </w:rPr>
            </w:pP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(464)</w:t>
            </w:r>
          </w:p>
        </w:tc>
        <w:tc>
          <w:tcPr>
            <w:tcW w:w="100" w:type="dxa"/>
            <w:vAlign w:val="bottom"/>
          </w:tcPr>
          <w:p>
            <w:pPr>
              <w:spacing w:after="0"/>
              <w:rPr>
                <w:sz w:val="16"/>
                <w:szCs w:val="16"/>
                <w:color w:val="auto"/>
              </w:rPr>
            </w:pPr>
          </w:p>
        </w:tc>
        <w:tc>
          <w:tcPr>
            <w:tcW w:w="260" w:type="dxa"/>
            <w:vAlign w:val="bottom"/>
            <w:tcBorders>
              <w:top w:val="single" w:sz="8" w:color="2C6937"/>
              <w:bottom w:val="single" w:sz="8" w:color="2C6937"/>
            </w:tcBorders>
          </w:tcPr>
          <w:p>
            <w:pPr>
              <w:spacing w:after="0"/>
              <w:rPr>
                <w:sz w:val="16"/>
                <w:szCs w:val="16"/>
                <w:color w:val="auto"/>
              </w:rPr>
            </w:pP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(7,140)</w:t>
            </w:r>
          </w:p>
        </w:tc>
      </w:tr>
      <w:tr>
        <w:trPr>
          <w:trHeight w:val="182"/>
        </w:trPr>
        <w:tc>
          <w:tcPr>
            <w:tcW w:w="3760" w:type="dxa"/>
            <w:vAlign w:val="bottom"/>
          </w:tcPr>
          <w:p>
            <w:pPr>
              <w:ind w:left="20"/>
              <w:spacing w:after="0"/>
              <w:rPr>
                <w:sz w:val="20"/>
                <w:szCs w:val="20"/>
                <w:color w:val="auto"/>
              </w:rPr>
            </w:pPr>
            <w:r>
              <w:rPr>
                <w:rFonts w:ascii="Arial" w:cs="Arial" w:eastAsia="Arial" w:hAnsi="Arial"/>
                <w:sz w:val="15"/>
                <w:szCs w:val="15"/>
                <w:color w:val="auto"/>
              </w:rPr>
              <w:t>Income before federal income taxes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11,000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2,573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13,573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13,795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2,295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16,090</w:t>
            </w:r>
          </w:p>
        </w:tc>
      </w:tr>
      <w:tr>
        <w:trPr>
          <w:trHeight w:val="198"/>
        </w:trPr>
        <w:tc>
          <w:tcPr>
            <w:tcW w:w="3860" w:type="dxa"/>
            <w:vAlign w:val="bottom"/>
            <w:gridSpan w:val="2"/>
          </w:tcPr>
          <w:p>
            <w:pPr>
              <w:ind w:left="20"/>
              <w:spacing w:after="0"/>
              <w:rPr>
                <w:sz w:val="20"/>
                <w:szCs w:val="20"/>
                <w:color w:val="auto"/>
              </w:rPr>
            </w:pPr>
            <w:r>
              <w:rPr>
                <w:rFonts w:ascii="Arial" w:cs="Arial" w:eastAsia="Arial" w:hAnsi="Arial"/>
                <w:sz w:val="15"/>
                <w:szCs w:val="15"/>
                <w:color w:val="auto"/>
              </w:rPr>
              <w:t>Provision for federal income taxes</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(2,261)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(2,736)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(3,242)</w:t>
            </w:r>
          </w:p>
        </w:tc>
      </w:tr>
      <w:tr>
        <w:trPr>
          <w:trHeight w:val="186"/>
        </w:trPr>
        <w:tc>
          <w:tcPr>
            <w:tcW w:w="3760" w:type="dxa"/>
            <w:vAlign w:val="bottom"/>
            <w:tcBorders>
              <w:top w:val="single" w:sz="8" w:color="2C6937"/>
              <w:bottom w:val="single" w:sz="8" w:color="2C6937"/>
            </w:tcBorders>
          </w:tcPr>
          <w:p>
            <w:pPr>
              <w:ind w:left="18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6"/>
                <w:szCs w:val="16"/>
                <w:color w:val="auto"/>
              </w:rPr>
            </w:pPr>
          </w:p>
        </w:tc>
        <w:tc>
          <w:tcPr>
            <w:tcW w:w="360" w:type="dxa"/>
            <w:vAlign w:val="bottom"/>
            <w:tcBorders>
              <w:top w:val="single" w:sz="8" w:color="2C6937"/>
              <w:bottom w:val="single" w:sz="8" w:color="2C6937"/>
            </w:tcBorders>
          </w:tcPr>
          <w:p>
            <w:pPr>
              <w:jc w:val="right"/>
              <w:ind w:right="187"/>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8,739</w:t>
            </w:r>
          </w:p>
        </w:tc>
        <w:tc>
          <w:tcPr>
            <w:tcW w:w="100" w:type="dxa"/>
            <w:vAlign w:val="bottom"/>
          </w:tcPr>
          <w:p>
            <w:pPr>
              <w:spacing w:after="0"/>
              <w:rPr>
                <w:sz w:val="16"/>
                <w:szCs w:val="16"/>
                <w:color w:val="auto"/>
              </w:rPr>
            </w:pPr>
          </w:p>
        </w:tc>
        <w:tc>
          <w:tcPr>
            <w:tcW w:w="14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2,098</w:t>
            </w:r>
          </w:p>
        </w:tc>
        <w:tc>
          <w:tcPr>
            <w:tcW w:w="100" w:type="dxa"/>
            <w:vAlign w:val="bottom"/>
          </w:tcPr>
          <w:p>
            <w:pPr>
              <w:spacing w:after="0"/>
              <w:rPr>
                <w:sz w:val="16"/>
                <w:szCs w:val="16"/>
                <w:color w:val="auto"/>
              </w:rPr>
            </w:pPr>
          </w:p>
        </w:tc>
        <w:tc>
          <w:tcPr>
            <w:tcW w:w="240" w:type="dxa"/>
            <w:vAlign w:val="bottom"/>
            <w:tcBorders>
              <w:top w:val="single" w:sz="8" w:color="2C6937"/>
              <w:bottom w:val="single" w:sz="8" w:color="2C6937"/>
            </w:tcBorders>
          </w:tcPr>
          <w:p>
            <w:pPr>
              <w:jc w:val="right"/>
              <w:ind w:right="67"/>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b w:val="1"/>
                <w:bCs w:val="1"/>
                <w:color w:val="auto"/>
              </w:rPr>
              <w:t>10,837</w:t>
            </w:r>
          </w:p>
        </w:tc>
        <w:tc>
          <w:tcPr>
            <w:tcW w:w="100" w:type="dxa"/>
            <w:vAlign w:val="bottom"/>
          </w:tcPr>
          <w:p>
            <w:pPr>
              <w:spacing w:after="0"/>
              <w:rPr>
                <w:sz w:val="16"/>
                <w:szCs w:val="16"/>
                <w:color w:val="auto"/>
              </w:rPr>
            </w:pPr>
          </w:p>
        </w:tc>
        <w:tc>
          <w:tcPr>
            <w:tcW w:w="340" w:type="dxa"/>
            <w:vAlign w:val="bottom"/>
            <w:tcBorders>
              <w:top w:val="single" w:sz="8" w:color="2C6937"/>
              <w:bottom w:val="single" w:sz="8" w:color="2C6937"/>
            </w:tcBorders>
          </w:tcPr>
          <w:p>
            <w:pPr>
              <w:jc w:val="right"/>
              <w:ind w:right="167"/>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10,976</w:t>
            </w:r>
          </w:p>
        </w:tc>
        <w:tc>
          <w:tcPr>
            <w:tcW w:w="100" w:type="dxa"/>
            <w:vAlign w:val="bottom"/>
          </w:tcPr>
          <w:p>
            <w:pPr>
              <w:spacing w:after="0"/>
              <w:rPr>
                <w:sz w:val="16"/>
                <w:szCs w:val="16"/>
                <w:color w:val="auto"/>
              </w:rPr>
            </w:pPr>
          </w:p>
        </w:tc>
        <w:tc>
          <w:tcPr>
            <w:tcW w:w="1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1,872</w:t>
            </w:r>
          </w:p>
        </w:tc>
        <w:tc>
          <w:tcPr>
            <w:tcW w:w="100" w:type="dxa"/>
            <w:vAlign w:val="bottom"/>
          </w:tcPr>
          <w:p>
            <w:pPr>
              <w:spacing w:after="0"/>
              <w:rPr>
                <w:sz w:val="16"/>
                <w:szCs w:val="16"/>
                <w:color w:val="auto"/>
              </w:rPr>
            </w:pPr>
          </w:p>
        </w:tc>
        <w:tc>
          <w:tcPr>
            <w:tcW w:w="260" w:type="dxa"/>
            <w:vAlign w:val="bottom"/>
            <w:tcBorders>
              <w:top w:val="single" w:sz="8" w:color="2C6937"/>
              <w:bottom w:val="single" w:sz="8" w:color="2C6937"/>
            </w:tcBorders>
          </w:tcPr>
          <w:p>
            <w:pPr>
              <w:jc w:val="right"/>
              <w:ind w:right="67"/>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12,848</w:t>
            </w:r>
          </w:p>
        </w:tc>
      </w:tr>
      <w:tr>
        <w:trPr>
          <w:trHeight w:val="20"/>
        </w:trPr>
        <w:tc>
          <w:tcPr>
            <w:tcW w:w="3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7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2C6937"/>
            </w:tcBorders>
          </w:tcPr>
          <w:p>
            <w:pPr>
              <w:spacing w:after="0" w:line="20" w:lineRule="exact"/>
              <w:rPr>
                <w:sz w:val="1"/>
                <w:szCs w:val="1"/>
                <w:color w:val="auto"/>
              </w:rPr>
            </w:pPr>
          </w:p>
        </w:tc>
        <w:tc>
          <w:tcPr>
            <w:tcW w:w="7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9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433705</wp:posOffset>
            </wp:positionV>
            <wp:extent cx="680593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48" w:right="439" w:bottom="1440" w:gutter="0" w:footer="0" w:header="0"/>
        </w:sectPr>
      </w:pPr>
    </w:p>
    <w:bookmarkStart w:id="98" w:name="page99"/>
    <w:bookmarkEnd w:id="98"/>
    <w:p>
      <w:pPr>
        <w:ind w:left="6417"/>
        <w:spacing w:after="0"/>
        <w:rPr>
          <w:sz w:val="20"/>
          <w:szCs w:val="20"/>
          <w:color w:val="auto"/>
        </w:rPr>
      </w:pPr>
      <w:r>
        <w:rPr>
          <w:rFonts w:ascii="Arial" w:cs="Arial" w:eastAsia="Arial" w:hAnsi="Arial"/>
          <w:sz w:val="13"/>
          <w:szCs w:val="13"/>
          <w:color w:val="05314D"/>
        </w:rPr>
        <w:t>Notes to Condensed Consolidated Financial Statements |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24130</wp:posOffset>
            </wp:positionV>
            <wp:extent cx="70154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37" w:hanging="237"/>
        <w:spacing w:after="0" w:line="236" w:lineRule="auto"/>
        <w:tabs>
          <w:tab w:leader="none" w:pos="23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Net interest income primarily consists of guaranty fees received as compensation for assuming the credit risk on loans underlying Fannie Mae MBS held by third parties for the respective business segment, and the difference between the interest income earned on the respective business segment’s assets in our retained mortgage portfolio and our corporate liquidity portfolio and the interest expense associated with the debt funding those assets. Revenues from single-family guaranty fees include revenues generated by the 10 basis point increase in guaranty fees pursuant to the Temporary Payroll Tax Cut Continuation Act of 2011 (“TCCA”), the incremental revenue from which is paid to Treasury and not retained by us. Also includes yield maintenance revenue we recognized on the prepayment of multifamily loans.</w:t>
      </w:r>
    </w:p>
    <w:p>
      <w:pPr>
        <w:spacing w:after="0" w:line="13" w:lineRule="exact"/>
        <w:rPr>
          <w:rFonts w:ascii="Arial" w:cs="Arial" w:eastAsia="Arial" w:hAnsi="Arial"/>
          <w:sz w:val="18"/>
          <w:szCs w:val="18"/>
          <w:color w:val="auto"/>
          <w:vertAlign w:val="superscript"/>
        </w:rPr>
      </w:pPr>
    </w:p>
    <w:p>
      <w:pPr>
        <w:ind w:left="217" w:hanging="178"/>
        <w:spacing w:after="0"/>
        <w:tabs>
          <w:tab w:leader="none" w:pos="217" w:val="left"/>
        </w:tabs>
        <w:numPr>
          <w:ilvl w:val="1"/>
          <w:numId w:val="75"/>
        </w:numPr>
        <w:rPr>
          <w:rFonts w:ascii="Arial" w:cs="Arial" w:eastAsia="Arial" w:hAnsi="Arial"/>
          <w:sz w:val="18"/>
          <w:szCs w:val="18"/>
          <w:color w:val="auto"/>
          <w:vertAlign w:val="superscript"/>
        </w:rPr>
      </w:pPr>
      <w:r>
        <w:rPr>
          <w:rFonts w:ascii="Arial" w:cs="Arial" w:eastAsia="Arial" w:hAnsi="Arial"/>
          <w:sz w:val="14"/>
          <w:szCs w:val="14"/>
          <w:color w:val="auto"/>
        </w:rPr>
        <w:t>(Provision) benefit for credit losses is based on loans underlying the segment’s guaranty book of business.</w:t>
      </w:r>
    </w:p>
    <w:p>
      <w:pPr>
        <w:spacing w:after="0" w:line="50" w:lineRule="exact"/>
        <w:rPr>
          <w:rFonts w:ascii="Arial" w:cs="Arial" w:eastAsia="Arial" w:hAnsi="Arial"/>
          <w:sz w:val="18"/>
          <w:szCs w:val="18"/>
          <w:color w:val="auto"/>
          <w:vertAlign w:val="superscript"/>
        </w:rPr>
      </w:pPr>
    </w:p>
    <w:p>
      <w:pPr>
        <w:jc w:val="both"/>
        <w:ind w:left="237" w:right="60" w:hanging="198"/>
        <w:spacing w:after="0" w:line="222" w:lineRule="auto"/>
        <w:tabs>
          <w:tab w:leader="none" w:pos="230" w:val="left"/>
        </w:tabs>
        <w:numPr>
          <w:ilvl w:val="1"/>
          <w:numId w:val="75"/>
        </w:numPr>
        <w:rPr>
          <w:rFonts w:ascii="Arial" w:cs="Arial" w:eastAsia="Arial" w:hAnsi="Arial"/>
          <w:sz w:val="18"/>
          <w:szCs w:val="18"/>
          <w:color w:val="auto"/>
          <w:vertAlign w:val="superscript"/>
        </w:rPr>
      </w:pPr>
      <w:r>
        <w:rPr>
          <w:rFonts w:ascii="Arial" w:cs="Arial" w:eastAsia="Arial" w:hAnsi="Arial"/>
          <w:sz w:val="14"/>
          <w:szCs w:val="14"/>
          <w:color w:val="auto"/>
        </w:rPr>
        <w:t>Single-family fair value gains (losses) primarily consist of fair value gains and losses on risk management and mortgage commitment derivatives, trading securities, fair value option debt, and other financial instruments associated with our single-family guaranty book of business. Multifamily fair value gains (losses) primarily consist of fair value gains and losses on MBS commitment derivatives, trading securities and other financial instruments associated with our multifamily guaranty book of business.</w:t>
      </w:r>
    </w:p>
    <w:p>
      <w:pPr>
        <w:spacing w:after="0" w:line="40" w:lineRule="exact"/>
        <w:rPr>
          <w:rFonts w:ascii="Arial" w:cs="Arial" w:eastAsia="Arial" w:hAnsi="Arial"/>
          <w:sz w:val="18"/>
          <w:szCs w:val="18"/>
          <w:color w:val="auto"/>
          <w:vertAlign w:val="superscript"/>
        </w:rPr>
      </w:pPr>
    </w:p>
    <w:p>
      <w:pPr>
        <w:ind w:left="237" w:right="320" w:hanging="198"/>
        <w:spacing w:after="0" w:line="278" w:lineRule="auto"/>
        <w:tabs>
          <w:tab w:leader="none" w:pos="230" w:val="left"/>
        </w:tabs>
        <w:numPr>
          <w:ilvl w:val="1"/>
          <w:numId w:val="75"/>
        </w:numPr>
        <w:rPr>
          <w:rFonts w:ascii="Arial" w:cs="Arial" w:eastAsia="Arial" w:hAnsi="Arial"/>
          <w:sz w:val="9"/>
          <w:szCs w:val="9"/>
          <w:color w:val="auto"/>
        </w:rPr>
      </w:pPr>
      <w:r>
        <w:rPr>
          <w:rFonts w:ascii="Arial" w:cs="Arial" w:eastAsia="Arial" w:hAnsi="Arial"/>
          <w:sz w:val="14"/>
          <w:szCs w:val="14"/>
          <w:color w:val="auto"/>
        </w:rPr>
        <w:t>Single-family investment gains (losses) primarily consist of gains and losses on the sale of mortgage assets. Multifamily investment gains (losses) primarily consist of gains and losses on resecuritization activity.</w:t>
      </w:r>
    </w:p>
    <w:p>
      <w:pPr>
        <w:ind w:left="217" w:hanging="178"/>
        <w:spacing w:after="0"/>
        <w:tabs>
          <w:tab w:leader="none" w:pos="217" w:val="left"/>
        </w:tabs>
        <w:numPr>
          <w:ilvl w:val="1"/>
          <w:numId w:val="75"/>
        </w:numPr>
        <w:rPr>
          <w:rFonts w:ascii="Arial" w:cs="Arial" w:eastAsia="Arial" w:hAnsi="Arial"/>
          <w:sz w:val="18"/>
          <w:szCs w:val="18"/>
          <w:color w:val="auto"/>
          <w:vertAlign w:val="superscript"/>
        </w:rPr>
      </w:pPr>
      <w:r>
        <w:rPr>
          <w:rFonts w:ascii="Arial" w:cs="Arial" w:eastAsia="Arial" w:hAnsi="Arial"/>
          <w:sz w:val="14"/>
          <w:szCs w:val="14"/>
          <w:color w:val="auto"/>
        </w:rPr>
        <w:t>Consists of salaries and employee benefits and professional services, technology and occupancy expenses.</w:t>
      </w:r>
    </w:p>
    <w:p>
      <w:pPr>
        <w:spacing w:after="0" w:line="50" w:lineRule="exact"/>
        <w:rPr>
          <w:rFonts w:ascii="Arial" w:cs="Arial" w:eastAsia="Arial" w:hAnsi="Arial"/>
          <w:sz w:val="18"/>
          <w:szCs w:val="18"/>
          <w:color w:val="auto"/>
          <w:vertAlign w:val="superscript"/>
        </w:rPr>
      </w:pPr>
    </w:p>
    <w:p>
      <w:pPr>
        <w:ind w:left="237" w:right="40" w:hanging="198"/>
        <w:spacing w:after="0" w:line="210" w:lineRule="auto"/>
        <w:tabs>
          <w:tab w:leader="none" w:pos="230" w:val="left"/>
        </w:tabs>
        <w:numPr>
          <w:ilvl w:val="1"/>
          <w:numId w:val="75"/>
        </w:numPr>
        <w:rPr>
          <w:rFonts w:ascii="Arial" w:cs="Arial" w:eastAsia="Arial" w:hAnsi="Arial"/>
          <w:sz w:val="18"/>
          <w:szCs w:val="18"/>
          <w:color w:val="auto"/>
          <w:vertAlign w:val="superscript"/>
        </w:rPr>
      </w:pPr>
      <w:r>
        <w:rPr>
          <w:rFonts w:ascii="Arial" w:cs="Arial" w:eastAsia="Arial" w:hAnsi="Arial"/>
          <w:sz w:val="14"/>
          <w:szCs w:val="14"/>
          <w:color w:val="auto"/>
        </w:rPr>
        <w:t>For single-family, consists of the portion of our single-family guaranty fees that is paid to Treasury pursuant to the TCCA, affordable housing allocations and FHFA assessments. For multifamily, consists of affordable housing allocations and FHFA assessments.</w:t>
      </w:r>
    </w:p>
    <w:p>
      <w:pPr>
        <w:spacing w:after="0" w:line="39" w:lineRule="exact"/>
        <w:rPr>
          <w:rFonts w:ascii="Arial" w:cs="Arial" w:eastAsia="Arial" w:hAnsi="Arial"/>
          <w:sz w:val="18"/>
          <w:szCs w:val="18"/>
          <w:color w:val="auto"/>
          <w:vertAlign w:val="superscript"/>
        </w:rPr>
      </w:pPr>
    </w:p>
    <w:p>
      <w:pPr>
        <w:ind w:left="237" w:right="40" w:hanging="198"/>
        <w:spacing w:after="0" w:line="218" w:lineRule="auto"/>
        <w:tabs>
          <w:tab w:leader="none" w:pos="230" w:val="left"/>
        </w:tabs>
        <w:numPr>
          <w:ilvl w:val="1"/>
          <w:numId w:val="75"/>
        </w:numPr>
        <w:rPr>
          <w:rFonts w:ascii="Arial" w:cs="Arial" w:eastAsia="Arial" w:hAnsi="Arial"/>
          <w:sz w:val="18"/>
          <w:szCs w:val="18"/>
          <w:color w:val="auto"/>
          <w:vertAlign w:val="superscript"/>
        </w:rPr>
      </w:pPr>
      <w:r>
        <w:rPr>
          <w:rFonts w:ascii="Arial" w:cs="Arial" w:eastAsia="Arial" w:hAnsi="Arial"/>
          <w:sz w:val="14"/>
          <w:szCs w:val="14"/>
          <w:color w:val="auto"/>
        </w:rPr>
        <w:t>Single-family credit enhancement expense consists of costs associated with our freestanding credit enhancements, which include primarily costs associated with our Credit Insurance Risk Transfer</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(“CIRT</w:t>
      </w:r>
      <w:r>
        <w:rPr>
          <w:rFonts w:ascii="Arial" w:cs="Arial" w:eastAsia="Arial" w:hAnsi="Arial"/>
          <w:sz w:val="17"/>
          <w:szCs w:val="17"/>
          <w:color w:val="auto"/>
          <w:vertAlign w:val="superscript"/>
        </w:rPr>
        <w:t>TM</w:t>
      </w:r>
      <w:r>
        <w:rPr>
          <w:rFonts w:ascii="Arial" w:cs="Arial" w:eastAsia="Arial" w:hAnsi="Arial"/>
          <w:sz w:val="14"/>
          <w:szCs w:val="14"/>
          <w:color w:val="auto"/>
        </w:rPr>
        <w:t>”),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(“CAS”) and enterprise-paid mortgage insurance (“EPMI”) programs. Multifamily credit enhancement expense primarily consists of costs associated with our Multifamily CIRT</w:t>
      </w:r>
      <w:r>
        <w:rPr>
          <w:rFonts w:ascii="Arial" w:cs="Arial" w:eastAsia="Arial" w:hAnsi="Arial"/>
          <w:sz w:val="17"/>
          <w:szCs w:val="17"/>
          <w:color w:val="auto"/>
          <w:vertAlign w:val="superscript"/>
        </w:rPr>
        <w:t>TM</w:t>
      </w:r>
      <w:r>
        <w:rPr>
          <w:rFonts w:ascii="Arial" w:cs="Arial" w:eastAsia="Arial" w:hAnsi="Arial"/>
          <w:sz w:val="14"/>
          <w:szCs w:val="14"/>
          <w:color w:val="auto"/>
        </w:rPr>
        <w:t xml:space="preserve"> (“MCIRT</w:t>
      </w:r>
      <w:r>
        <w:rPr>
          <w:rFonts w:ascii="Arial" w:cs="Arial" w:eastAsia="Arial" w:hAnsi="Arial"/>
          <w:sz w:val="17"/>
          <w:szCs w:val="17"/>
          <w:color w:val="auto"/>
          <w:vertAlign w:val="superscript"/>
        </w:rPr>
        <w:t>TM</w:t>
      </w:r>
      <w:r>
        <w:rPr>
          <w:rFonts w:ascii="Arial" w:cs="Arial" w:eastAsia="Arial" w:hAnsi="Arial"/>
          <w:sz w:val="14"/>
          <w:szCs w:val="14"/>
          <w:color w:val="auto"/>
        </w:rPr>
        <w:t>”) and Multifamily Connecticut Avenue Securities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(“MCAS</w:t>
      </w:r>
      <w:r>
        <w:rPr>
          <w:rFonts w:ascii="Arial" w:cs="Arial" w:eastAsia="Arial" w:hAnsi="Arial"/>
          <w:sz w:val="17"/>
          <w:szCs w:val="17"/>
          <w:color w:val="auto"/>
          <w:vertAlign w:val="superscript"/>
        </w:rPr>
        <w:t>TM</w:t>
      </w:r>
      <w:r>
        <w:rPr>
          <w:rFonts w:ascii="Arial" w:cs="Arial" w:eastAsia="Arial" w:hAnsi="Arial"/>
          <w:sz w:val="14"/>
          <w:szCs w:val="14"/>
          <w:color w:val="auto"/>
        </w:rPr>
        <w:t>“) programs as well as amortization expense for certain lender risk-sharing programs. Excludes CAS transactions accounted for as debt instruments and credit risk transfer programs accounted for as derivative instruments.</w:t>
      </w:r>
    </w:p>
    <w:p>
      <w:pPr>
        <w:spacing w:after="0" w:line="41" w:lineRule="exact"/>
        <w:rPr>
          <w:rFonts w:ascii="Arial" w:cs="Arial" w:eastAsia="Arial" w:hAnsi="Arial"/>
          <w:sz w:val="18"/>
          <w:szCs w:val="18"/>
          <w:color w:val="auto"/>
          <w:vertAlign w:val="superscript"/>
        </w:rPr>
      </w:pPr>
    </w:p>
    <w:p>
      <w:pPr>
        <w:ind w:left="237" w:right="760" w:hanging="198"/>
        <w:spacing w:after="0" w:line="237" w:lineRule="auto"/>
        <w:tabs>
          <w:tab w:leader="none" w:pos="230" w:val="left"/>
        </w:tabs>
        <w:numPr>
          <w:ilvl w:val="1"/>
          <w:numId w:val="75"/>
        </w:numPr>
        <w:rPr>
          <w:rFonts w:ascii="Arial" w:cs="Arial" w:eastAsia="Arial" w:hAnsi="Arial"/>
          <w:sz w:val="18"/>
          <w:szCs w:val="18"/>
          <w:color w:val="auto"/>
          <w:vertAlign w:val="superscript"/>
        </w:rPr>
      </w:pPr>
      <w:r>
        <w:rPr>
          <w:rFonts w:ascii="Arial" w:cs="Arial" w:eastAsia="Arial" w:hAnsi="Arial"/>
          <w:sz w:val="14"/>
          <w:szCs w:val="14"/>
          <w:color w:val="auto"/>
        </w:rPr>
        <w:t>Consists of change in benefits recognized from our freestanding credit enhancements, primarily from our CAS and CIRT programs, as well as certain lender risk-sharing arrangements, including our multifamily Delegated Underwriting and Servicing (“DUS</w:t>
      </w:r>
      <w:r>
        <w:rPr>
          <w:rFonts w:ascii="Arial" w:cs="Arial" w:eastAsia="Arial" w:hAnsi="Arial"/>
          <w:sz w:val="17"/>
          <w:szCs w:val="17"/>
          <w:color w:val="auto"/>
          <w:vertAlign w:val="superscript"/>
        </w:rPr>
        <w:t>®”</w:t>
      </w:r>
      <w:r>
        <w:rPr>
          <w:rFonts w:ascii="Arial" w:cs="Arial" w:eastAsia="Arial" w:hAnsi="Arial"/>
          <w:sz w:val="14"/>
          <w:szCs w:val="14"/>
          <w:color w:val="auto"/>
        </w:rPr>
        <w:t>) program.</w:t>
      </w:r>
    </w:p>
    <w:p>
      <w:pPr>
        <w:spacing w:after="0" w:line="1" w:lineRule="exact"/>
        <w:rPr>
          <w:rFonts w:ascii="Arial" w:cs="Arial" w:eastAsia="Arial" w:hAnsi="Arial"/>
          <w:sz w:val="18"/>
          <w:szCs w:val="18"/>
          <w:color w:val="auto"/>
          <w:vertAlign w:val="superscript"/>
        </w:rPr>
      </w:pPr>
    </w:p>
    <w:p>
      <w:pPr>
        <w:ind w:left="217" w:hanging="178"/>
        <w:spacing w:after="0" w:line="195" w:lineRule="auto"/>
        <w:tabs>
          <w:tab w:leader="none" w:pos="217" w:val="left"/>
        </w:tabs>
        <w:numPr>
          <w:ilvl w:val="1"/>
          <w:numId w:val="75"/>
        </w:numPr>
        <w:rPr>
          <w:rFonts w:ascii="Arial" w:cs="Arial" w:eastAsia="Arial" w:hAnsi="Arial"/>
          <w:sz w:val="18"/>
          <w:szCs w:val="18"/>
          <w:color w:val="auto"/>
          <w:vertAlign w:val="superscript"/>
        </w:rPr>
      </w:pPr>
      <w:r>
        <w:rPr>
          <w:rFonts w:ascii="Arial" w:cs="Arial" w:eastAsia="Arial" w:hAnsi="Arial"/>
          <w:sz w:val="14"/>
          <w:szCs w:val="14"/>
          <w:color w:val="auto"/>
        </w:rPr>
        <w:t>Primarily consists of debt extinguishment gains (losses),foreclosed property income (expense) and gains (losses) from partnership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365125</wp:posOffset>
            </wp:positionV>
            <wp:extent cx="680593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637"/>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164070" cy="419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97"/>
          </w:cols>
          <w:pgMar w:left="323" w:top="248" w:right="379" w:bottom="1440" w:gutter="0" w:footer="0" w:header="0"/>
        </w:sectPr>
      </w:pPr>
    </w:p>
    <w:bookmarkStart w:id="99" w:name="page100"/>
    <w:bookmarkEnd w:id="99"/>
    <w:p>
      <w:pPr>
        <w:ind w:left="5820"/>
        <w:spacing w:after="0"/>
        <w:rPr>
          <w:sz w:val="20"/>
          <w:szCs w:val="20"/>
          <w:color w:val="auto"/>
        </w:rPr>
      </w:pPr>
      <w:r>
        <w:rPr>
          <w:rFonts w:ascii="Arial" w:cs="Arial" w:eastAsia="Arial" w:hAnsi="Arial"/>
          <w:sz w:val="13"/>
          <w:szCs w:val="13"/>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11. Concentrations of Credit Risk</w:t>
      </w:r>
    </w:p>
    <w:p>
      <w:pPr>
        <w:spacing w:after="0" w:line="12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Risk Characteristics of our Guaranty Book of Business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One of the measures by which management gauges our credit risk is the delinquency status of the mortgage loans in our guaranty book of business.</w:t>
      </w:r>
    </w:p>
    <w:p>
      <w:pPr>
        <w:spacing w:after="0" w:line="87"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For single-family and multifamily loans, management uses this information, in conjunction with housing market data, other economic data, our capital requirements and our mission objectives, to help inform changes to our eligibility and underwriting criteria. Management also uses this data together with other credit risk measures to identify key trends that guide the development of our loss mitigation strategies.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We report the delinquency status of our single-family and multifamily guaranty book of business below.</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Single-Family Credit Risk Characteristics</w:t>
      </w:r>
    </w:p>
    <w:p>
      <w:pPr>
        <w:spacing w:after="0" w:line="63"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For single-family loans, management monitors the serious delinquency rate, which is the percentage of single-family loans, based on number of loans, that are 90 days or more past due or in the foreclosure process, and loans that have higher risk characteristics, such as high mark-to-market LTV ratios.</w:t>
      </w:r>
    </w:p>
    <w:p>
      <w:pPr>
        <w:spacing w:after="0" w:line="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single-family conventional guaranty book of business.</w:t>
      </w:r>
    </w:p>
    <w:p>
      <w:pPr>
        <w:sectPr>
          <w:pgSz w:w="11900" w:h="16838" w:orient="portrait"/>
          <w:cols w:equalWidth="0" w:num="1">
            <w:col w:w="11200"/>
          </w:cols>
          <w:pgMar w:left="320" w:top="2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hanging="154"/>
        <w:spacing w:after="0" w:line="294" w:lineRule="auto"/>
        <w:rPr>
          <w:sz w:val="20"/>
          <w:szCs w:val="20"/>
          <w:color w:val="auto"/>
        </w:rPr>
      </w:pPr>
      <w:r>
        <w:rPr>
          <w:rFonts w:ascii="Arial" w:cs="Arial" w:eastAsia="Arial" w:hAnsi="Arial"/>
          <w:sz w:val="15"/>
          <w:szCs w:val="15"/>
          <w:color w:val="auto"/>
        </w:rPr>
        <w:t>Percentage of single-family conventional guaranty book of business based on UPB</w:t>
      </w:r>
    </w:p>
    <w:p>
      <w:pPr>
        <w:spacing w:after="0" w:line="3" w:lineRule="exact"/>
        <w:rPr>
          <w:sz w:val="20"/>
          <w:szCs w:val="20"/>
          <w:color w:val="auto"/>
        </w:rPr>
      </w:pPr>
    </w:p>
    <w:p>
      <w:pPr>
        <w:ind w:left="180" w:right="220" w:hanging="154"/>
        <w:spacing w:after="0" w:line="294" w:lineRule="auto"/>
        <w:rPr>
          <w:sz w:val="20"/>
          <w:szCs w:val="20"/>
          <w:color w:val="auto"/>
        </w:rPr>
      </w:pPr>
      <w:r>
        <w:rPr>
          <w:rFonts w:ascii="Arial" w:cs="Arial" w:eastAsia="Arial" w:hAnsi="Arial"/>
          <w:sz w:val="15"/>
          <w:szCs w:val="15"/>
          <w:color w:val="auto"/>
        </w:rPr>
        <w:t>Percentage of single-family conventional loans based on loan count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485457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854575"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Borders>
              <w:bottom w:val="single" w:sz="8" w:color="2C6937"/>
            </w:tcBorders>
          </w:tcPr>
          <w:p>
            <w:pPr>
              <w:spacing w:after="0"/>
              <w:rPr>
                <w:sz w:val="17"/>
                <w:szCs w:val="17"/>
                <w:color w:val="auto"/>
              </w:rPr>
            </w:pPr>
          </w:p>
        </w:tc>
        <w:tc>
          <w:tcPr>
            <w:tcW w:w="1520" w:type="dxa"/>
            <w:vAlign w:val="bottom"/>
            <w:tcBorders>
              <w:bottom w:val="single" w:sz="8" w:color="2C6937"/>
            </w:tcBorders>
            <w:gridSpan w:val="4"/>
          </w:tcPr>
          <w:p>
            <w:pPr>
              <w:ind w:left="100"/>
              <w:spacing w:after="0"/>
              <w:rPr>
                <w:sz w:val="20"/>
                <w:szCs w:val="20"/>
                <w:color w:val="auto"/>
              </w:rPr>
            </w:pPr>
            <w:r>
              <w:rPr>
                <w:rFonts w:ascii="Arial" w:cs="Arial" w:eastAsia="Arial" w:hAnsi="Arial"/>
                <w:sz w:val="14"/>
                <w:szCs w:val="14"/>
                <w:b w:val="1"/>
                <w:bCs w:val="1"/>
                <w:color w:val="auto"/>
              </w:rPr>
              <w:t>September 30, 2025</w:t>
            </w:r>
          </w:p>
        </w:tc>
        <w:tc>
          <w:tcPr>
            <w:tcW w:w="1100" w:type="dxa"/>
            <w:vAlign w:val="bottom"/>
            <w:tcBorders>
              <w:bottom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w w:val="98"/>
              </w:rPr>
              <w:t>December 31, 2024</w:t>
            </w:r>
          </w:p>
        </w:tc>
        <w:tc>
          <w:tcPr>
            <w:tcW w:w="1240" w:type="dxa"/>
            <w:vAlign w:val="bottom"/>
            <w:tcBorders>
              <w:bottom w:val="single" w:sz="8" w:color="2C6937"/>
            </w:tcBorders>
          </w:tcPr>
          <w:p>
            <w:pPr>
              <w:spacing w:after="0"/>
              <w:rPr>
                <w:sz w:val="17"/>
                <w:szCs w:val="17"/>
                <w:color w:val="auto"/>
              </w:rPr>
            </w:pPr>
          </w:p>
        </w:tc>
      </w:tr>
      <w:tr>
        <w:trPr>
          <w:trHeight w:val="184"/>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30 Days</w:t>
            </w:r>
          </w:p>
        </w:tc>
        <w:tc>
          <w:tcPr>
            <w:tcW w:w="120" w:type="dxa"/>
            <w:vAlign w:val="bottom"/>
          </w:tcPr>
          <w:p>
            <w:pPr>
              <w:spacing w:after="0"/>
              <w:rPr>
                <w:sz w:val="15"/>
                <w:szCs w:val="15"/>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60 Days</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Seriously</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30 Days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60 Days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Seriously</w:t>
            </w:r>
          </w:p>
        </w:tc>
      </w:tr>
      <w:tr>
        <w:trPr>
          <w:trHeight w:val="196"/>
        </w:trPr>
        <w:tc>
          <w:tcPr>
            <w:tcW w:w="11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tcPr>
          <w:p>
            <w:pPr>
              <w:jc w:val="center"/>
              <w:ind w:right="71"/>
              <w:spacing w:after="0"/>
              <w:rPr>
                <w:sz w:val="20"/>
                <w:szCs w:val="20"/>
                <w:color w:val="auto"/>
              </w:rPr>
            </w:pPr>
            <w:r>
              <w:rPr>
                <w:rFonts w:ascii="Arial" w:cs="Arial" w:eastAsia="Arial" w:hAnsi="Arial"/>
                <w:sz w:val="14"/>
                <w:szCs w:val="14"/>
                <w:b w:val="1"/>
                <w:bCs w:val="1"/>
                <w:color w:val="auto"/>
                <w:w w:val="99"/>
              </w:rPr>
              <w:t>Delinquent</w:t>
            </w:r>
          </w:p>
        </w:tc>
        <w:tc>
          <w:tcPr>
            <w:tcW w:w="10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20" w:type="dxa"/>
            <w:vAlign w:val="bottom"/>
          </w:tcPr>
          <w:p>
            <w:pPr>
              <w:spacing w:after="0"/>
              <w:rPr>
                <w:sz w:val="17"/>
                <w:szCs w:val="17"/>
                <w:color w:val="auto"/>
              </w:rPr>
            </w:pPr>
          </w:p>
        </w:tc>
        <w:tc>
          <w:tcPr>
            <w:tcW w:w="1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6"/>
              </w:rPr>
              <w:t>Delinquent</w:t>
            </w:r>
          </w:p>
        </w:tc>
        <w:tc>
          <w:tcPr>
            <w:tcW w:w="100" w:type="dxa"/>
            <w:vAlign w:val="bottom"/>
          </w:tcPr>
          <w:p>
            <w:pPr>
              <w:spacing w:after="0"/>
              <w:rPr>
                <w:sz w:val="17"/>
                <w:szCs w:val="17"/>
                <w:color w:val="auto"/>
              </w:rPr>
            </w:pPr>
          </w:p>
        </w:tc>
        <w:tc>
          <w:tcPr>
            <w:tcW w:w="12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9"/>
              </w:rPr>
              <w:t>Delinquent</w:t>
            </w:r>
          </w:p>
        </w:tc>
      </w:tr>
    </w:tbl>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14"/>
        </w:trPr>
        <w:tc>
          <w:tcPr>
            <w:tcW w:w="860" w:type="dxa"/>
            <w:vAlign w:val="bottom"/>
          </w:tcPr>
          <w:p>
            <w:pPr>
              <w:spacing w:after="0"/>
              <w:rPr>
                <w:sz w:val="20"/>
                <w:szCs w:val="20"/>
                <w:color w:val="auto"/>
              </w:rPr>
            </w:pPr>
            <w:r>
              <w:rPr>
                <w:rFonts w:ascii="Arial" w:cs="Arial" w:eastAsia="Arial" w:hAnsi="Arial"/>
                <w:sz w:val="15"/>
                <w:szCs w:val="15"/>
                <w:b w:val="1"/>
                <w:bCs w:val="1"/>
                <w:color w:val="auto"/>
              </w:rPr>
              <w:t>0.94 %</w:t>
            </w:r>
          </w:p>
        </w:tc>
        <w:tc>
          <w:tcPr>
            <w:tcW w:w="1320" w:type="dxa"/>
            <w:vAlign w:val="bottom"/>
          </w:tcPr>
          <w:p>
            <w:pPr>
              <w:ind w:left="400"/>
              <w:spacing w:after="0"/>
              <w:rPr>
                <w:sz w:val="20"/>
                <w:szCs w:val="20"/>
                <w:color w:val="auto"/>
              </w:rPr>
            </w:pPr>
            <w:r>
              <w:rPr>
                <w:rFonts w:ascii="Arial" w:cs="Arial" w:eastAsia="Arial" w:hAnsi="Arial"/>
                <w:sz w:val="15"/>
                <w:szCs w:val="15"/>
                <w:b w:val="1"/>
                <w:bCs w:val="1"/>
                <w:color w:val="auto"/>
              </w:rPr>
              <w:t>0.26 %</w:t>
            </w:r>
          </w:p>
        </w:tc>
        <w:tc>
          <w:tcPr>
            <w:tcW w:w="920" w:type="dxa"/>
            <w:vAlign w:val="bottom"/>
          </w:tcPr>
          <w:p>
            <w:pPr>
              <w:ind w:left="420"/>
              <w:spacing w:after="0"/>
              <w:rPr>
                <w:sz w:val="20"/>
                <w:szCs w:val="20"/>
                <w:color w:val="auto"/>
              </w:rPr>
            </w:pPr>
            <w:r>
              <w:rPr>
                <w:rFonts w:ascii="Arial" w:cs="Arial" w:eastAsia="Arial" w:hAnsi="Arial"/>
                <w:sz w:val="15"/>
                <w:szCs w:val="15"/>
                <w:b w:val="1"/>
                <w:bCs w:val="1"/>
                <w:color w:val="auto"/>
              </w:rPr>
              <w:t>0.59 %</w:t>
            </w:r>
          </w:p>
        </w:tc>
        <w:tc>
          <w:tcPr>
            <w:tcW w:w="1640" w:type="dxa"/>
            <w:vAlign w:val="bottom"/>
          </w:tcPr>
          <w:p>
            <w:pPr>
              <w:ind w:left="780"/>
              <w:spacing w:after="0"/>
              <w:rPr>
                <w:sz w:val="20"/>
                <w:szCs w:val="20"/>
                <w:color w:val="auto"/>
              </w:rPr>
            </w:pPr>
            <w:r>
              <w:rPr>
                <w:rFonts w:ascii="Arial" w:cs="Arial" w:eastAsia="Arial" w:hAnsi="Arial"/>
                <w:sz w:val="15"/>
                <w:szCs w:val="15"/>
                <w:color w:val="auto"/>
              </w:rPr>
              <w:t>1.00 %</w:t>
            </w:r>
          </w:p>
        </w:tc>
        <w:tc>
          <w:tcPr>
            <w:tcW w:w="1320" w:type="dxa"/>
            <w:vAlign w:val="bottom"/>
          </w:tcPr>
          <w:p>
            <w:pPr>
              <w:ind w:left="400"/>
              <w:spacing w:after="0"/>
              <w:rPr>
                <w:sz w:val="20"/>
                <w:szCs w:val="20"/>
                <w:color w:val="auto"/>
              </w:rPr>
            </w:pPr>
            <w:r>
              <w:rPr>
                <w:rFonts w:ascii="Arial" w:cs="Arial" w:eastAsia="Arial" w:hAnsi="Arial"/>
                <w:sz w:val="15"/>
                <w:szCs w:val="15"/>
                <w:color w:val="auto"/>
              </w:rPr>
              <w:t>0.28 %</w:t>
            </w:r>
          </w:p>
        </w:tc>
        <w:tc>
          <w:tcPr>
            <w:tcW w:w="900" w:type="dxa"/>
            <w:vAlign w:val="bottom"/>
          </w:tcPr>
          <w:p>
            <w:pPr>
              <w:ind w:left="420"/>
              <w:spacing w:after="0"/>
              <w:rPr>
                <w:sz w:val="20"/>
                <w:szCs w:val="20"/>
                <w:color w:val="auto"/>
              </w:rPr>
            </w:pPr>
            <w:r>
              <w:rPr>
                <w:rFonts w:ascii="Arial" w:cs="Arial" w:eastAsia="Arial" w:hAnsi="Arial"/>
                <w:sz w:val="15"/>
                <w:szCs w:val="15"/>
                <w:color w:val="auto"/>
                <w:w w:val="98"/>
              </w:rPr>
              <w:t>0.60 %</w:t>
            </w:r>
          </w:p>
        </w:tc>
      </w:tr>
      <w:tr>
        <w:trPr>
          <w:trHeight w:val="425"/>
        </w:trPr>
        <w:tc>
          <w:tcPr>
            <w:tcW w:w="860" w:type="dxa"/>
            <w:vAlign w:val="bottom"/>
          </w:tcPr>
          <w:p>
            <w:pPr>
              <w:spacing w:after="0"/>
              <w:rPr>
                <w:sz w:val="20"/>
                <w:szCs w:val="20"/>
                <w:color w:val="auto"/>
              </w:rPr>
            </w:pPr>
            <w:r>
              <w:rPr>
                <w:rFonts w:ascii="Arial" w:cs="Arial" w:eastAsia="Arial" w:hAnsi="Arial"/>
                <w:sz w:val="15"/>
                <w:szCs w:val="15"/>
                <w:b w:val="1"/>
                <w:bCs w:val="1"/>
                <w:color w:val="auto"/>
              </w:rPr>
              <w:t>1.00</w:t>
            </w:r>
          </w:p>
        </w:tc>
        <w:tc>
          <w:tcPr>
            <w:tcW w:w="1320" w:type="dxa"/>
            <w:vAlign w:val="bottom"/>
          </w:tcPr>
          <w:p>
            <w:pPr>
              <w:ind w:left="400"/>
              <w:spacing w:after="0"/>
              <w:rPr>
                <w:sz w:val="20"/>
                <w:szCs w:val="20"/>
                <w:color w:val="auto"/>
              </w:rPr>
            </w:pPr>
            <w:r>
              <w:rPr>
                <w:rFonts w:ascii="Arial" w:cs="Arial" w:eastAsia="Arial" w:hAnsi="Arial"/>
                <w:sz w:val="15"/>
                <w:szCs w:val="15"/>
                <w:b w:val="1"/>
                <w:bCs w:val="1"/>
                <w:color w:val="auto"/>
              </w:rPr>
              <w:t>0.27</w:t>
            </w:r>
          </w:p>
        </w:tc>
        <w:tc>
          <w:tcPr>
            <w:tcW w:w="920" w:type="dxa"/>
            <w:vAlign w:val="bottom"/>
          </w:tcPr>
          <w:p>
            <w:pPr>
              <w:ind w:left="420"/>
              <w:spacing w:after="0"/>
              <w:rPr>
                <w:sz w:val="20"/>
                <w:szCs w:val="20"/>
                <w:color w:val="auto"/>
              </w:rPr>
            </w:pPr>
            <w:r>
              <w:rPr>
                <w:rFonts w:ascii="Arial" w:cs="Arial" w:eastAsia="Arial" w:hAnsi="Arial"/>
                <w:sz w:val="15"/>
                <w:szCs w:val="15"/>
                <w:b w:val="1"/>
                <w:bCs w:val="1"/>
                <w:color w:val="auto"/>
              </w:rPr>
              <w:t>0.54</w:t>
            </w:r>
          </w:p>
        </w:tc>
        <w:tc>
          <w:tcPr>
            <w:tcW w:w="1640" w:type="dxa"/>
            <w:vAlign w:val="bottom"/>
          </w:tcPr>
          <w:p>
            <w:pPr>
              <w:ind w:left="780"/>
              <w:spacing w:after="0"/>
              <w:rPr>
                <w:sz w:val="20"/>
                <w:szCs w:val="20"/>
                <w:color w:val="auto"/>
              </w:rPr>
            </w:pPr>
            <w:r>
              <w:rPr>
                <w:rFonts w:ascii="Arial" w:cs="Arial" w:eastAsia="Arial" w:hAnsi="Arial"/>
                <w:sz w:val="15"/>
                <w:szCs w:val="15"/>
                <w:color w:val="auto"/>
              </w:rPr>
              <w:t>1.05</w:t>
            </w:r>
          </w:p>
        </w:tc>
        <w:tc>
          <w:tcPr>
            <w:tcW w:w="1320" w:type="dxa"/>
            <w:vAlign w:val="bottom"/>
          </w:tcPr>
          <w:p>
            <w:pPr>
              <w:ind w:left="400"/>
              <w:spacing w:after="0"/>
              <w:rPr>
                <w:sz w:val="20"/>
                <w:szCs w:val="20"/>
                <w:color w:val="auto"/>
              </w:rPr>
            </w:pPr>
            <w:r>
              <w:rPr>
                <w:rFonts w:ascii="Arial" w:cs="Arial" w:eastAsia="Arial" w:hAnsi="Arial"/>
                <w:sz w:val="15"/>
                <w:szCs w:val="15"/>
                <w:color w:val="auto"/>
              </w:rPr>
              <w:t>0.29</w:t>
            </w:r>
          </w:p>
        </w:tc>
        <w:tc>
          <w:tcPr>
            <w:tcW w:w="900" w:type="dxa"/>
            <w:vAlign w:val="bottom"/>
          </w:tcPr>
          <w:p>
            <w:pPr>
              <w:ind w:left="420"/>
              <w:spacing w:after="0"/>
              <w:rPr>
                <w:sz w:val="20"/>
                <w:szCs w:val="20"/>
                <w:color w:val="auto"/>
              </w:rPr>
            </w:pPr>
            <w:r>
              <w:rPr>
                <w:rFonts w:ascii="Arial" w:cs="Arial" w:eastAsia="Arial" w:hAnsi="Arial"/>
                <w:sz w:val="15"/>
                <w:szCs w:val="15"/>
                <w:color w:val="auto"/>
              </w:rPr>
              <w:t>0.56</w:t>
            </w:r>
          </w:p>
        </w:tc>
      </w:tr>
      <w:tr>
        <w:trPr>
          <w:trHeight w:val="32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As of</w:t>
            </w: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8890</wp:posOffset>
            </wp:positionV>
            <wp:extent cx="46824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682490"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3440" w:space="120"/>
            <w:col w:w="7640"/>
          </w:cols>
          <w:pgMar w:left="320" w:top="248" w:right="379" w:bottom="1440" w:gutter="0" w:footer="0" w:header="0"/>
          <w:type w:val="continuous"/>
        </w:sectPr>
      </w:pPr>
    </w:p>
    <w:tbl>
      <w:tblPr>
        <w:tblLayout w:type="fixed"/>
        <w:tblInd w:w="2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3740" w:type="dxa"/>
            <w:vAlign w:val="bottom"/>
            <w:gridSpan w:val="4"/>
          </w:tcPr>
          <w:p>
            <w:pPr>
              <w:ind w:left="1160"/>
              <w:spacing w:after="0"/>
              <w:rPr>
                <w:sz w:val="20"/>
                <w:szCs w:val="20"/>
                <w:color w:val="auto"/>
              </w:rPr>
            </w:pPr>
            <w:r>
              <w:rPr>
                <w:rFonts w:ascii="Arial" w:cs="Arial" w:eastAsia="Arial" w:hAnsi="Arial"/>
                <w:sz w:val="14"/>
                <w:szCs w:val="14"/>
                <w:b w:val="1"/>
                <w:bCs w:val="1"/>
                <w:color w:val="auto"/>
              </w:rPr>
              <w:t>September 30, 2025</w:t>
            </w:r>
          </w:p>
        </w:tc>
        <w:tc>
          <w:tcPr>
            <w:tcW w:w="3620" w:type="dxa"/>
            <w:vAlign w:val="bottom"/>
            <w:gridSpan w:val="3"/>
          </w:tcPr>
          <w:p>
            <w:pPr>
              <w:ind w:left="118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860" w:type="dxa"/>
            <w:vAlign w:val="bottom"/>
            <w:tcBorders>
              <w:top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Percentage of</w:t>
            </w:r>
          </w:p>
        </w:tc>
        <w:tc>
          <w:tcPr>
            <w:tcW w:w="1760" w:type="dxa"/>
            <w:vAlign w:val="bottom"/>
            <w:tcBorders>
              <w:top w:val="single" w:sz="8" w:color="2C6937"/>
            </w:tcBorders>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Borders>
              <w:top w:val="single" w:sz="8" w:color="2C6937"/>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Percentage of</w:t>
            </w:r>
          </w:p>
        </w:tc>
        <w:tc>
          <w:tcPr>
            <w:tcW w:w="1760" w:type="dxa"/>
            <w:vAlign w:val="bottom"/>
            <w:tcBorders>
              <w:top w:val="single" w:sz="8" w:color="2C6937"/>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8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Single-Family</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20" w:type="dxa"/>
            <w:vAlign w:val="bottom"/>
          </w:tcPr>
          <w:p>
            <w:pPr>
              <w:spacing w:after="0"/>
              <w:rPr>
                <w:sz w:val="12"/>
                <w:szCs w:val="12"/>
                <w:color w:val="auto"/>
              </w:rPr>
            </w:pPr>
          </w:p>
        </w:tc>
        <w:tc>
          <w:tcPr>
            <w:tcW w:w="18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9"/>
              </w:rPr>
              <w:t>Conventional</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6"/>
              </w:rPr>
              <w:t>Conventional</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820" w:type="dxa"/>
            <w:vAlign w:val="bottom"/>
          </w:tcPr>
          <w:p>
            <w:pPr>
              <w:spacing w:after="0"/>
              <w:rPr>
                <w:sz w:val="11"/>
                <w:szCs w:val="11"/>
                <w:color w:val="auto"/>
              </w:rPr>
            </w:pPr>
          </w:p>
        </w:tc>
        <w:tc>
          <w:tcPr>
            <w:tcW w:w="1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8"/>
              </w:rPr>
              <w:t>Guaranty Book of</w:t>
            </w: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8"/>
              </w:rPr>
              <w:t>Guaranty Book of</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8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9"/>
              </w:rPr>
              <w:t>Business</w:t>
            </w:r>
          </w:p>
        </w:tc>
        <w:tc>
          <w:tcPr>
            <w:tcW w:w="1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Serious Delinquency Rate</w:t>
            </w:r>
          </w:p>
        </w:tc>
        <w:tc>
          <w:tcPr>
            <w:tcW w:w="18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9"/>
              </w:rPr>
              <w:t>Business</w:t>
            </w:r>
          </w:p>
        </w:tc>
        <w:tc>
          <w:tcPr>
            <w:tcW w:w="1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Serious Delinquency Rate</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Based on UPB</w:t>
            </w:r>
          </w:p>
        </w:tc>
        <w:tc>
          <w:tcPr>
            <w:tcW w:w="1880" w:type="dxa"/>
            <w:vAlign w:val="bottom"/>
            <w:gridSpan w:val="2"/>
            <w:vMerge w:val="continue"/>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Based on UPB</w:t>
            </w: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5"/>
                <w:szCs w:val="15"/>
                <w:b w:val="1"/>
                <w:bCs w:val="1"/>
                <w:color w:val="auto"/>
              </w:rPr>
              <w:t>Estimated mark-to-market LTV ratio:</w:t>
            </w:r>
          </w:p>
        </w:tc>
        <w:tc>
          <w:tcPr>
            <w:tcW w:w="176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2C6937"/>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2C6937"/>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2C6937"/>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820" w:type="dxa"/>
            <w:vAlign w:val="bottom"/>
          </w:tcPr>
          <w:p>
            <w:pPr>
              <w:ind w:left="160"/>
              <w:spacing w:after="0"/>
              <w:rPr>
                <w:sz w:val="20"/>
                <w:szCs w:val="20"/>
                <w:color w:val="auto"/>
              </w:rPr>
            </w:pPr>
            <w:r>
              <w:rPr>
                <w:rFonts w:ascii="Arial" w:cs="Arial" w:eastAsia="Arial" w:hAnsi="Arial"/>
                <w:sz w:val="15"/>
                <w:szCs w:val="15"/>
                <w:color w:val="auto"/>
              </w:rPr>
              <w:t>80.01% to 90%</w:t>
            </w:r>
          </w:p>
        </w:tc>
        <w:tc>
          <w:tcPr>
            <w:tcW w:w="1760" w:type="dxa"/>
            <w:vAlign w:val="bottom"/>
          </w:tcPr>
          <w:p>
            <w:pPr>
              <w:jc w:val="right"/>
              <w:spacing w:after="0"/>
              <w:rPr>
                <w:sz w:val="20"/>
                <w:szCs w:val="20"/>
                <w:color w:val="auto"/>
              </w:rPr>
            </w:pPr>
            <w:r>
              <w:rPr>
                <w:rFonts w:ascii="Arial" w:cs="Arial" w:eastAsia="Arial" w:hAnsi="Arial"/>
                <w:sz w:val="15"/>
                <w:szCs w:val="15"/>
                <w:b w:val="1"/>
                <w:bCs w:val="1"/>
                <w:color w:val="auto"/>
              </w:rPr>
              <w:t>7 %</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0.94 %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6 %</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0.97 %</w:t>
            </w:r>
          </w:p>
        </w:tc>
        <w:tc>
          <w:tcPr>
            <w:tcW w:w="0" w:type="dxa"/>
            <w:vAlign w:val="bottom"/>
          </w:tcPr>
          <w:p>
            <w:pPr>
              <w:spacing w:after="0"/>
              <w:rPr>
                <w:sz w:val="1"/>
                <w:szCs w:val="1"/>
                <w:color w:val="auto"/>
              </w:rPr>
            </w:pPr>
          </w:p>
        </w:tc>
      </w:tr>
      <w:tr>
        <w:trPr>
          <w:trHeight w:val="232"/>
        </w:trPr>
        <w:tc>
          <w:tcPr>
            <w:tcW w:w="3820" w:type="dxa"/>
            <w:vAlign w:val="bottom"/>
          </w:tcPr>
          <w:p>
            <w:pPr>
              <w:ind w:left="160"/>
              <w:spacing w:after="0"/>
              <w:rPr>
                <w:sz w:val="20"/>
                <w:szCs w:val="20"/>
                <w:color w:val="auto"/>
              </w:rPr>
            </w:pPr>
            <w:r>
              <w:rPr>
                <w:rFonts w:ascii="Arial" w:cs="Arial" w:eastAsia="Arial" w:hAnsi="Arial"/>
                <w:sz w:val="15"/>
                <w:szCs w:val="15"/>
                <w:color w:val="auto"/>
              </w:rPr>
              <w:t>90.01% to 100%</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0.87</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0.77</w:t>
            </w:r>
          </w:p>
        </w:tc>
        <w:tc>
          <w:tcPr>
            <w:tcW w:w="0" w:type="dxa"/>
            <w:vAlign w:val="bottom"/>
          </w:tcPr>
          <w:p>
            <w:pPr>
              <w:spacing w:after="0"/>
              <w:rPr>
                <w:sz w:val="1"/>
                <w:szCs w:val="1"/>
                <w:color w:val="auto"/>
              </w:rPr>
            </w:pPr>
          </w:p>
        </w:tc>
      </w:tr>
      <w:tr>
        <w:trPr>
          <w:trHeight w:val="232"/>
        </w:trPr>
        <w:tc>
          <w:tcPr>
            <w:tcW w:w="3820" w:type="dxa"/>
            <w:vAlign w:val="bottom"/>
          </w:tcPr>
          <w:p>
            <w:pPr>
              <w:ind w:left="160"/>
              <w:spacing w:after="0"/>
              <w:rPr>
                <w:sz w:val="20"/>
                <w:szCs w:val="20"/>
                <w:color w:val="auto"/>
              </w:rPr>
            </w:pPr>
            <w:r>
              <w:rPr>
                <w:rFonts w:ascii="Arial" w:cs="Arial" w:eastAsia="Arial" w:hAnsi="Arial"/>
                <w:sz w:val="15"/>
                <w:szCs w:val="15"/>
                <w:color w:val="auto"/>
              </w:rPr>
              <w:t>Greater than 100%</w:t>
            </w:r>
          </w:p>
        </w:tc>
        <w:tc>
          <w:tcPr>
            <w:tcW w:w="176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3.46</w:t>
            </w:r>
          </w:p>
        </w:tc>
        <w:tc>
          <w:tcPr>
            <w:tcW w:w="120" w:type="dxa"/>
            <w:vAlign w:val="bottom"/>
          </w:tcPr>
          <w:p>
            <w:pPr>
              <w:spacing w:after="0"/>
              <w:rPr>
                <w:sz w:val="20"/>
                <w:szCs w:val="20"/>
                <w:color w:val="auto"/>
              </w:rPr>
            </w:pPr>
          </w:p>
        </w:tc>
        <w:tc>
          <w:tcPr>
            <w:tcW w:w="17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219"/>
        </w:trPr>
        <w:tc>
          <w:tcPr>
            <w:tcW w:w="3820" w:type="dxa"/>
            <w:vAlign w:val="bottom"/>
          </w:tcPr>
          <w:p>
            <w:pPr>
              <w:spacing w:after="0"/>
              <w:rPr>
                <w:sz w:val="20"/>
                <w:szCs w:val="20"/>
                <w:color w:val="auto"/>
              </w:rPr>
            </w:pPr>
            <w:r>
              <w:rPr>
                <w:rFonts w:ascii="Arial" w:cs="Arial" w:eastAsia="Arial" w:hAnsi="Arial"/>
                <w:sz w:val="15"/>
                <w:szCs w:val="15"/>
                <w:b w:val="1"/>
                <w:bCs w:val="1"/>
                <w:color w:val="auto"/>
              </w:rPr>
              <w:t>Geographical distribution:</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820" w:type="dxa"/>
            <w:vAlign w:val="bottom"/>
          </w:tcPr>
          <w:p>
            <w:pPr>
              <w:ind w:left="160"/>
              <w:spacing w:after="0"/>
              <w:rPr>
                <w:sz w:val="20"/>
                <w:szCs w:val="20"/>
                <w:color w:val="auto"/>
              </w:rPr>
            </w:pPr>
            <w:r>
              <w:rPr>
                <w:rFonts w:ascii="Arial" w:cs="Arial" w:eastAsia="Arial" w:hAnsi="Arial"/>
                <w:sz w:val="15"/>
                <w:szCs w:val="15"/>
                <w:color w:val="auto"/>
              </w:rPr>
              <w:t>California</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18</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0.43</w:t>
            </w:r>
          </w:p>
        </w:tc>
        <w:tc>
          <w:tcPr>
            <w:tcW w:w="120" w:type="dxa"/>
            <w:vAlign w:val="bottom"/>
          </w:tcPr>
          <w:p>
            <w:pPr>
              <w:spacing w:after="0"/>
              <w:rPr>
                <w:sz w:val="21"/>
                <w:szCs w:val="21"/>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1"/>
                <w:szCs w:val="21"/>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0.41</w:t>
            </w:r>
          </w:p>
        </w:tc>
        <w:tc>
          <w:tcPr>
            <w:tcW w:w="0" w:type="dxa"/>
            <w:vAlign w:val="bottom"/>
          </w:tcPr>
          <w:p>
            <w:pPr>
              <w:spacing w:after="0"/>
              <w:rPr>
                <w:sz w:val="1"/>
                <w:szCs w:val="1"/>
                <w:color w:val="auto"/>
              </w:rPr>
            </w:pPr>
          </w:p>
        </w:tc>
      </w:tr>
      <w:tr>
        <w:trPr>
          <w:trHeight w:val="232"/>
        </w:trPr>
        <w:tc>
          <w:tcPr>
            <w:tcW w:w="3820" w:type="dxa"/>
            <w:vAlign w:val="bottom"/>
          </w:tcPr>
          <w:p>
            <w:pPr>
              <w:ind w:left="160"/>
              <w:spacing w:after="0"/>
              <w:rPr>
                <w:sz w:val="20"/>
                <w:szCs w:val="20"/>
                <w:color w:val="auto"/>
              </w:rPr>
            </w:pPr>
            <w:r>
              <w:rPr>
                <w:rFonts w:ascii="Arial" w:cs="Arial" w:eastAsia="Arial" w:hAnsi="Arial"/>
                <w:sz w:val="15"/>
                <w:szCs w:val="15"/>
                <w:color w:val="auto"/>
              </w:rPr>
              <w:t>Florida</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6</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0.81</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0.96</w:t>
            </w:r>
          </w:p>
        </w:tc>
        <w:tc>
          <w:tcPr>
            <w:tcW w:w="0" w:type="dxa"/>
            <w:vAlign w:val="bottom"/>
          </w:tcPr>
          <w:p>
            <w:pPr>
              <w:spacing w:after="0"/>
              <w:rPr>
                <w:sz w:val="1"/>
                <w:szCs w:val="1"/>
                <w:color w:val="auto"/>
              </w:rPr>
            </w:pPr>
          </w:p>
        </w:tc>
      </w:tr>
      <w:tr>
        <w:trPr>
          <w:trHeight w:val="232"/>
        </w:trPr>
        <w:tc>
          <w:tcPr>
            <w:tcW w:w="3820" w:type="dxa"/>
            <w:vAlign w:val="bottom"/>
          </w:tcPr>
          <w:p>
            <w:pPr>
              <w:ind w:left="160"/>
              <w:spacing w:after="0"/>
              <w:rPr>
                <w:sz w:val="20"/>
                <w:szCs w:val="20"/>
                <w:color w:val="auto"/>
              </w:rPr>
            </w:pPr>
            <w:r>
              <w:rPr>
                <w:rFonts w:ascii="Arial" w:cs="Arial" w:eastAsia="Arial" w:hAnsi="Arial"/>
                <w:sz w:val="15"/>
                <w:szCs w:val="15"/>
                <w:color w:val="auto"/>
              </w:rPr>
              <w:t>Illinois</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0.68</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0.69</w:t>
            </w:r>
          </w:p>
        </w:tc>
        <w:tc>
          <w:tcPr>
            <w:tcW w:w="0" w:type="dxa"/>
            <w:vAlign w:val="bottom"/>
          </w:tcPr>
          <w:p>
            <w:pPr>
              <w:spacing w:after="0"/>
              <w:rPr>
                <w:sz w:val="1"/>
                <w:szCs w:val="1"/>
                <w:color w:val="auto"/>
              </w:rPr>
            </w:pPr>
          </w:p>
        </w:tc>
      </w:tr>
      <w:tr>
        <w:trPr>
          <w:trHeight w:val="232"/>
        </w:trPr>
        <w:tc>
          <w:tcPr>
            <w:tcW w:w="3820" w:type="dxa"/>
            <w:vAlign w:val="bottom"/>
          </w:tcPr>
          <w:p>
            <w:pPr>
              <w:ind w:left="160"/>
              <w:spacing w:after="0"/>
              <w:rPr>
                <w:sz w:val="20"/>
                <w:szCs w:val="20"/>
                <w:color w:val="auto"/>
              </w:rPr>
            </w:pPr>
            <w:r>
              <w:rPr>
                <w:rFonts w:ascii="Arial" w:cs="Arial" w:eastAsia="Arial" w:hAnsi="Arial"/>
                <w:sz w:val="15"/>
                <w:szCs w:val="15"/>
                <w:color w:val="auto"/>
              </w:rPr>
              <w:t>New York</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0.75</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0.79</w:t>
            </w:r>
          </w:p>
        </w:tc>
        <w:tc>
          <w:tcPr>
            <w:tcW w:w="0" w:type="dxa"/>
            <w:vAlign w:val="bottom"/>
          </w:tcPr>
          <w:p>
            <w:pPr>
              <w:spacing w:after="0"/>
              <w:rPr>
                <w:sz w:val="1"/>
                <w:szCs w:val="1"/>
                <w:color w:val="auto"/>
              </w:rPr>
            </w:pPr>
          </w:p>
        </w:tc>
      </w:tr>
      <w:tr>
        <w:trPr>
          <w:trHeight w:val="232"/>
        </w:trPr>
        <w:tc>
          <w:tcPr>
            <w:tcW w:w="3820" w:type="dxa"/>
            <w:vAlign w:val="bottom"/>
          </w:tcPr>
          <w:p>
            <w:pPr>
              <w:ind w:left="160"/>
              <w:spacing w:after="0"/>
              <w:rPr>
                <w:sz w:val="20"/>
                <w:szCs w:val="20"/>
                <w:color w:val="auto"/>
              </w:rPr>
            </w:pPr>
            <w:r>
              <w:rPr>
                <w:rFonts w:ascii="Arial" w:cs="Arial" w:eastAsia="Arial" w:hAnsi="Arial"/>
                <w:sz w:val="15"/>
                <w:szCs w:val="15"/>
                <w:color w:val="auto"/>
              </w:rPr>
              <w:t>Texas</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8</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0.68</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0.73</w:t>
            </w:r>
          </w:p>
        </w:tc>
        <w:tc>
          <w:tcPr>
            <w:tcW w:w="0" w:type="dxa"/>
            <w:vAlign w:val="bottom"/>
          </w:tcPr>
          <w:p>
            <w:pPr>
              <w:spacing w:after="0"/>
              <w:rPr>
                <w:sz w:val="1"/>
                <w:szCs w:val="1"/>
                <w:color w:val="auto"/>
              </w:rPr>
            </w:pPr>
          </w:p>
        </w:tc>
      </w:tr>
      <w:tr>
        <w:trPr>
          <w:trHeight w:val="232"/>
        </w:trPr>
        <w:tc>
          <w:tcPr>
            <w:tcW w:w="3820" w:type="dxa"/>
            <w:vAlign w:val="bottom"/>
          </w:tcPr>
          <w:p>
            <w:pPr>
              <w:ind w:left="160"/>
              <w:spacing w:after="0"/>
              <w:rPr>
                <w:sz w:val="20"/>
                <w:szCs w:val="20"/>
                <w:color w:val="auto"/>
              </w:rPr>
            </w:pPr>
            <w:r>
              <w:rPr>
                <w:rFonts w:ascii="Arial" w:cs="Arial" w:eastAsia="Arial" w:hAnsi="Arial"/>
                <w:sz w:val="15"/>
                <w:szCs w:val="15"/>
                <w:color w:val="auto"/>
              </w:rPr>
              <w:t>All other states</w:t>
            </w:r>
          </w:p>
        </w:tc>
        <w:tc>
          <w:tcPr>
            <w:tcW w:w="1760" w:type="dxa"/>
            <w:vAlign w:val="bottom"/>
          </w:tcPr>
          <w:p>
            <w:pPr>
              <w:jc w:val="right"/>
              <w:ind w:right="126"/>
              <w:spacing w:after="0"/>
              <w:rPr>
                <w:sz w:val="20"/>
                <w:szCs w:val="20"/>
                <w:color w:val="auto"/>
              </w:rPr>
            </w:pPr>
            <w:r>
              <w:rPr>
                <w:rFonts w:ascii="Arial" w:cs="Arial" w:eastAsia="Arial" w:hAnsi="Arial"/>
                <w:sz w:val="15"/>
                <w:szCs w:val="15"/>
                <w:b w:val="1"/>
                <w:bCs w:val="1"/>
                <w:color w:val="auto"/>
              </w:rPr>
              <w:t>61</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b w:val="1"/>
                <w:bCs w:val="1"/>
                <w:color w:val="auto"/>
              </w:rPr>
              <w:t>0.50</w:t>
            </w:r>
          </w:p>
        </w:tc>
        <w:tc>
          <w:tcPr>
            <w:tcW w:w="120" w:type="dxa"/>
            <w:vAlign w:val="bottom"/>
          </w:tcPr>
          <w:p>
            <w:pPr>
              <w:spacing w:after="0"/>
              <w:rPr>
                <w:sz w:val="20"/>
                <w:szCs w:val="20"/>
                <w:color w:val="auto"/>
              </w:rPr>
            </w:pPr>
          </w:p>
        </w:tc>
        <w:tc>
          <w:tcPr>
            <w:tcW w:w="1760" w:type="dxa"/>
            <w:vAlign w:val="bottom"/>
          </w:tcPr>
          <w:p>
            <w:pPr>
              <w:jc w:val="right"/>
              <w:ind w:right="126"/>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20"/>
                <w:szCs w:val="20"/>
                <w:color w:val="auto"/>
              </w:rPr>
            </w:pPr>
          </w:p>
        </w:tc>
        <w:tc>
          <w:tcPr>
            <w:tcW w:w="1760" w:type="dxa"/>
            <w:vAlign w:val="bottom"/>
          </w:tcPr>
          <w:p>
            <w:pPr>
              <w:ind w:left="1260"/>
              <w:spacing w:after="0"/>
              <w:rPr>
                <w:sz w:val="20"/>
                <w:szCs w:val="20"/>
                <w:color w:val="auto"/>
              </w:rPr>
            </w:pPr>
            <w:r>
              <w:rPr>
                <w:rFonts w:ascii="Arial" w:cs="Arial" w:eastAsia="Arial" w:hAnsi="Arial"/>
                <w:sz w:val="15"/>
                <w:szCs w:val="15"/>
                <w:color w:val="auto"/>
              </w:rPr>
              <w:t>0.51</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00" w:hanging="197"/>
        <w:spacing w:after="0"/>
        <w:tabs>
          <w:tab w:leader="none" w:pos="2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less than 0.5% of single-family conventional guaranty book of business.</w:t>
      </w:r>
    </w:p>
    <w:p>
      <w:pPr>
        <w:spacing w:after="0" w:line="116"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Multifamily Credit Risk Characteristics</w:t>
      </w:r>
    </w:p>
    <w:p>
      <w:pPr>
        <w:spacing w:after="0" w:line="6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For multifamily loans, management monitors the serious delinquency rate, which is the percentage of multifamily loans, based on unpaid principal balance, that are 60 days or more past due, and loans with other higher risk characteristics to determine the overall credit quality of our multifamily book of business. Higher risk characteristics include, but are not limited to, current debt service coverage ratio (“DSCR”) below 1.0 and original LTV ratio greater than 80%. We stratify multifamily loans into different internal risk categories based on the credit risk inherent in each individual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363855</wp:posOffset>
            </wp:positionV>
            <wp:extent cx="680593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bookmarkStart w:id="100" w:name="page101"/>
    <w:bookmarkEnd w:id="100"/>
    <w:p>
      <w:pPr>
        <w:ind w:left="5820"/>
        <w:spacing w:after="0"/>
        <w:rPr>
          <w:sz w:val="20"/>
          <w:szCs w:val="20"/>
          <w:color w:val="auto"/>
        </w:rPr>
      </w:pPr>
      <w:r>
        <w:rPr>
          <w:rFonts w:ascii="Arial" w:cs="Arial" w:eastAsia="Arial" w:hAnsi="Arial"/>
          <w:sz w:val="14"/>
          <w:szCs w:val="14"/>
          <w:color w:val="05314D"/>
        </w:rPr>
        <w:t>Notes to Condensed Consolidated Financial Statements | Concentrations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display the delinquency status and serious delinquency rates for specified loan categories of our multifamily guaranty book of business.</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Percentage of multifamily guaranty book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Original LTV ratio:</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Greater than 80%</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Less than or equal to 80%</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Current DSCR below 1.0</w:t>
      </w:r>
      <w:r>
        <w:rPr>
          <w:rFonts w:ascii="Arial" w:cs="Arial" w:eastAsia="Arial" w:hAnsi="Arial"/>
          <w:sz w:val="20"/>
          <w:szCs w:val="20"/>
          <w:b w:val="1"/>
          <w:bCs w:val="1"/>
          <w:color w:val="auto"/>
          <w:vertAlign w:val="superscript"/>
        </w:rPr>
        <w:t>(4)</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3120"/>
        <w:spacing w:after="0"/>
        <w:rPr>
          <w:sz w:val="20"/>
          <w:szCs w:val="20"/>
          <w:color w:val="auto"/>
        </w:rPr>
      </w:pPr>
      <w:r>
        <w:rPr>
          <w:rFonts w:ascii="Arial" w:cs="Arial" w:eastAsia="Arial" w:hAnsi="Arial"/>
          <w:sz w:val="14"/>
          <w:szCs w:val="14"/>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40" w:type="dxa"/>
            <w:vAlign w:val="bottom"/>
            <w:tcBorders>
              <w:top w:val="single" w:sz="8" w:color="2C6937"/>
              <w:bottom w:val="single" w:sz="8" w:color="2C6937"/>
            </w:tcBorders>
            <w:gridSpan w:val="4"/>
          </w:tcPr>
          <w:p>
            <w:pPr>
              <w:jc w:val="right"/>
              <w:ind w:right="850"/>
              <w:spacing w:after="0"/>
              <w:rPr>
                <w:sz w:val="20"/>
                <w:szCs w:val="20"/>
                <w:color w:val="auto"/>
              </w:rPr>
            </w:pPr>
            <w:r>
              <w:rPr>
                <w:rFonts w:ascii="Arial" w:cs="Arial" w:eastAsia="Arial" w:hAnsi="Arial"/>
                <w:sz w:val="14"/>
                <w:szCs w:val="14"/>
                <w:b w:val="1"/>
                <w:bCs w:val="1"/>
                <w:color w:val="auto"/>
              </w:rPr>
              <w:t>September 30, 2025</w:t>
            </w:r>
            <w:r>
              <w:rPr>
                <w:rFonts w:ascii="Arial" w:cs="Arial" w:eastAsia="Arial" w:hAnsi="Arial"/>
                <w:sz w:val="17"/>
                <w:szCs w:val="17"/>
                <w:b w:val="1"/>
                <w:bCs w:val="1"/>
                <w:color w:val="auto"/>
                <w:vertAlign w:val="superscript"/>
              </w:rPr>
              <w:t>(1)</w:t>
            </w:r>
          </w:p>
        </w:tc>
        <w:tc>
          <w:tcPr>
            <w:tcW w:w="100" w:type="dxa"/>
            <w:vAlign w:val="bottom"/>
            <w:tcBorders>
              <w:top w:val="single" w:sz="8" w:color="2C6937"/>
            </w:tcBorders>
          </w:tcPr>
          <w:p>
            <w:pPr>
              <w:spacing w:after="0"/>
              <w:rPr>
                <w:sz w:val="17"/>
                <w:szCs w:val="17"/>
                <w:color w:val="auto"/>
              </w:rPr>
            </w:pPr>
          </w:p>
        </w:tc>
        <w:tc>
          <w:tcPr>
            <w:tcW w:w="3240" w:type="dxa"/>
            <w:vAlign w:val="bottom"/>
            <w:tcBorders>
              <w:top w:val="single" w:sz="8" w:color="2C6937"/>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5"/>
              </w:rPr>
              <w:t>December 31, 2024</w:t>
            </w:r>
            <w:r>
              <w:rPr>
                <w:rFonts w:ascii="Arial" w:cs="Arial" w:eastAsia="Arial" w:hAnsi="Arial"/>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212"/>
        </w:trPr>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30 Days Delinquent</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30 Days Delinquent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Seriously Delinquent</w:t>
            </w:r>
            <w:r>
              <w:rPr>
                <w:rFonts w:ascii="Arial" w:cs="Arial" w:eastAsia="Arial" w:hAnsi="Arial"/>
                <w:sz w:val="17"/>
                <w:szCs w:val="17"/>
                <w:b w:val="1"/>
                <w:bCs w:val="1"/>
                <w:color w:val="auto"/>
                <w:w w:val="96"/>
                <w:vertAlign w:val="superscript"/>
              </w:rPr>
              <w:t>(2)</w:t>
            </w:r>
          </w:p>
        </w:tc>
        <w:tc>
          <w:tcPr>
            <w:tcW w:w="0" w:type="dxa"/>
            <w:vAlign w:val="bottom"/>
          </w:tcPr>
          <w:p>
            <w:pPr>
              <w:spacing w:after="0"/>
              <w:rPr>
                <w:sz w:val="1"/>
                <w:szCs w:val="1"/>
                <w:color w:val="auto"/>
              </w:rPr>
            </w:pPr>
          </w:p>
        </w:tc>
      </w:tr>
      <w:tr>
        <w:trPr>
          <w:trHeight w:val="218"/>
        </w:trPr>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0.12 %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0.68 %</w:t>
            </w:r>
          </w:p>
        </w:tc>
        <w:tc>
          <w:tcPr>
            <w:tcW w:w="100" w:type="dxa"/>
            <w:vAlign w:val="bottom"/>
          </w:tcPr>
          <w:p>
            <w:pPr>
              <w:spacing w:after="0"/>
              <w:rPr>
                <w:sz w:val="19"/>
                <w:szCs w:val="19"/>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0.10 %</w:t>
            </w:r>
          </w:p>
        </w:tc>
        <w:tc>
          <w:tcPr>
            <w:tcW w:w="120" w:type="dxa"/>
            <w:vAlign w:val="bottom"/>
          </w:tcPr>
          <w:p>
            <w:pPr>
              <w:spacing w:after="0"/>
              <w:rPr>
                <w:sz w:val="19"/>
                <w:szCs w:val="19"/>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color w:val="auto"/>
              </w:rPr>
              <w:t>0.57 %</w:t>
            </w:r>
          </w:p>
        </w:tc>
        <w:tc>
          <w:tcPr>
            <w:tcW w:w="0" w:type="dxa"/>
            <w:vAlign w:val="bottom"/>
          </w:tcPr>
          <w:p>
            <w:pPr>
              <w:spacing w:after="0"/>
              <w:rPr>
                <w:sz w:val="1"/>
                <w:szCs w:val="1"/>
                <w:color w:val="auto"/>
              </w:rPr>
            </w:pPr>
          </w:p>
        </w:tc>
      </w:tr>
      <w:tr>
        <w:trPr>
          <w:trHeight w:val="399"/>
        </w:trPr>
        <w:tc>
          <w:tcPr>
            <w:tcW w:w="15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3340" w:type="dxa"/>
            <w:vAlign w:val="bottom"/>
            <w:tcBorders>
              <w:bottom w:val="single" w:sz="8" w:color="2C6937"/>
            </w:tcBorders>
            <w:gridSpan w:val="4"/>
          </w:tcPr>
          <w:p>
            <w:pPr>
              <w:ind w:left="144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40" w:type="dxa"/>
            <w:vAlign w:val="bottom"/>
            <w:tcBorders>
              <w:bottom w:val="single" w:sz="8" w:color="2C6937"/>
            </w:tcBorders>
            <w:gridSpan w:val="4"/>
          </w:tcPr>
          <w:p>
            <w:pPr>
              <w:jc w:val="right"/>
              <w:ind w:right="910"/>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6"/>
                <w:szCs w:val="16"/>
                <w:color w:val="auto"/>
              </w:rPr>
            </w:pPr>
          </w:p>
        </w:tc>
        <w:tc>
          <w:tcPr>
            <w:tcW w:w="3240" w:type="dxa"/>
            <w:vAlign w:val="bottom"/>
            <w:tcBorders>
              <w:bottom w:val="single" w:sz="8" w:color="2C6937"/>
            </w:tcBorders>
            <w:gridSpan w:val="3"/>
          </w:tcPr>
          <w:p>
            <w:pPr>
              <w:jc w:val="center"/>
              <w:spacing w:after="0"/>
              <w:rPr>
                <w:sz w:val="20"/>
                <w:szCs w:val="20"/>
                <w:color w:val="auto"/>
              </w:rPr>
            </w:pPr>
            <w:r>
              <w:rPr>
                <w:rFonts w:ascii="Arial" w:cs="Arial" w:eastAsia="Arial" w:hAnsi="Arial"/>
                <w:sz w:val="14"/>
                <w:szCs w:val="14"/>
                <w:b w:val="1"/>
                <w:bCs w:val="1"/>
                <w:color w:val="auto"/>
                <w:w w:val="98"/>
              </w:rPr>
              <w:t>December 31, 2024</w:t>
            </w:r>
          </w:p>
        </w:tc>
        <w:tc>
          <w:tcPr>
            <w:tcW w:w="0" w:type="dxa"/>
            <w:vAlign w:val="bottom"/>
          </w:tcPr>
          <w:p>
            <w:pPr>
              <w:spacing w:after="0"/>
              <w:rPr>
                <w:sz w:val="1"/>
                <w:szCs w:val="1"/>
                <w:color w:val="auto"/>
              </w:rPr>
            </w:pPr>
          </w:p>
        </w:tc>
      </w:tr>
      <w:tr>
        <w:trPr>
          <w:trHeight w:val="178"/>
        </w:trPr>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Percentage of</w:t>
            </w:r>
          </w:p>
        </w:tc>
        <w:tc>
          <w:tcPr>
            <w:tcW w:w="1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Serious Delinquency</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Percentage of</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Serious Delinquency</w:t>
            </w:r>
          </w:p>
        </w:tc>
        <w:tc>
          <w:tcPr>
            <w:tcW w:w="0" w:type="dxa"/>
            <w:vAlign w:val="bottom"/>
          </w:tcPr>
          <w:p>
            <w:pPr>
              <w:spacing w:after="0"/>
              <w:rPr>
                <w:sz w:val="1"/>
                <w:szCs w:val="1"/>
                <w:color w:val="auto"/>
              </w:rPr>
            </w:pPr>
          </w:p>
        </w:tc>
      </w:tr>
      <w:tr>
        <w:trPr>
          <w:trHeight w:val="153"/>
        </w:trPr>
        <w:tc>
          <w:tcPr>
            <w:tcW w:w="16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Multifamily Guaranty</w:t>
            </w:r>
          </w:p>
        </w:tc>
        <w:tc>
          <w:tcPr>
            <w:tcW w:w="1660" w:type="dxa"/>
            <w:vAlign w:val="bottom"/>
            <w:gridSpan w:val="2"/>
            <w:vMerge w:val="continue"/>
          </w:tcPr>
          <w:p>
            <w:pPr>
              <w:spacing w:after="0"/>
              <w:rPr>
                <w:sz w:val="13"/>
                <w:szCs w:val="13"/>
                <w:color w:val="auto"/>
              </w:rPr>
            </w:pPr>
          </w:p>
        </w:tc>
        <w:tc>
          <w:tcPr>
            <w:tcW w:w="16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Multifamily Guaranty</w:t>
            </w: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Book of Business</w:t>
            </w:r>
            <w:r>
              <w:rPr>
                <w:rFonts w:ascii="Arial" w:cs="Arial" w:eastAsia="Arial" w:hAnsi="Arial"/>
                <w:sz w:val="8"/>
                <w:szCs w:val="8"/>
                <w:b w:val="1"/>
                <w:bCs w:val="1"/>
                <w:color w:val="auto"/>
                <w:w w:val="99"/>
              </w:rPr>
              <w:t>(1)</w:t>
            </w:r>
          </w:p>
        </w:tc>
        <w:tc>
          <w:tcPr>
            <w:tcW w:w="1660" w:type="dxa"/>
            <w:vAlign w:val="bottom"/>
            <w:gridSpan w:val="2"/>
          </w:tcPr>
          <w:p>
            <w:pPr>
              <w:jc w:val="center"/>
              <w:ind w:right="140"/>
              <w:spacing w:after="0" w:line="204"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Book of Business</w:t>
            </w:r>
            <w:r>
              <w:rPr>
                <w:rFonts w:ascii="Arial" w:cs="Arial" w:eastAsia="Arial" w:hAnsi="Arial"/>
                <w:sz w:val="8"/>
                <w:szCs w:val="8"/>
                <w:b w:val="1"/>
                <w:bCs w:val="1"/>
                <w:color w:val="auto"/>
                <w:w w:val="99"/>
              </w:rPr>
              <w:t>(1)</w:t>
            </w:r>
          </w:p>
        </w:tc>
        <w:tc>
          <w:tcPr>
            <w:tcW w:w="1560" w:type="dxa"/>
            <w:vAlign w:val="bottom"/>
          </w:tcPr>
          <w:p>
            <w:pPr>
              <w:jc w:val="center"/>
              <w:spacing w:after="0" w:line="204" w:lineRule="exact"/>
              <w:rPr>
                <w:sz w:val="20"/>
                <w:szCs w:val="20"/>
                <w:color w:val="auto"/>
              </w:rPr>
            </w:pPr>
            <w:r>
              <w:rPr>
                <w:rFonts w:ascii="Arial" w:cs="Arial" w:eastAsia="Arial" w:hAnsi="Arial"/>
                <w:sz w:val="23"/>
                <w:szCs w:val="23"/>
                <w:b w:val="1"/>
                <w:bCs w:val="1"/>
                <w:color w:val="auto"/>
                <w:w w:val="98"/>
                <w:vertAlign w:val="subscript"/>
              </w:rPr>
              <w:t>Rate</w:t>
            </w:r>
            <w:r>
              <w:rPr>
                <w:rFonts w:ascii="Arial" w:cs="Arial" w:eastAsia="Arial" w:hAnsi="Arial"/>
                <w:sz w:val="8"/>
                <w:szCs w:val="8"/>
                <w:b w:val="1"/>
                <w:bCs w:val="1"/>
                <w:color w:val="auto"/>
                <w:w w:val="98"/>
              </w:rPr>
              <w:t>(2)(3)</w:t>
            </w:r>
          </w:p>
        </w:tc>
        <w:tc>
          <w:tcPr>
            <w:tcW w:w="0" w:type="dxa"/>
            <w:vAlign w:val="bottom"/>
          </w:tcPr>
          <w:p>
            <w:pPr>
              <w:spacing w:after="0"/>
              <w:rPr>
                <w:sz w:val="1"/>
                <w:szCs w:val="1"/>
                <w:color w:val="auto"/>
              </w:rPr>
            </w:pPr>
          </w:p>
        </w:tc>
      </w:tr>
      <w:tr>
        <w:trPr>
          <w:trHeight w:val="451"/>
        </w:trPr>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1 %</w:t>
            </w:r>
          </w:p>
        </w:tc>
        <w:tc>
          <w:tcPr>
            <w:tcW w:w="100" w:type="dxa"/>
            <w:vAlign w:val="bottom"/>
          </w:tcPr>
          <w:p>
            <w:pPr>
              <w:spacing w:after="0"/>
              <w:rPr>
                <w:sz w:val="24"/>
                <w:szCs w:val="24"/>
                <w:color w:val="auto"/>
              </w:rPr>
            </w:pPr>
          </w:p>
        </w:tc>
        <w:tc>
          <w:tcPr>
            <w:tcW w:w="20" w:type="dxa"/>
            <w:vAlign w:val="bottom"/>
            <w:tcBorders>
              <w:top w:val="single" w:sz="8" w:color="2C6937"/>
            </w:tcBorders>
          </w:tcPr>
          <w:p>
            <w:pPr>
              <w:spacing w:after="0"/>
              <w:rPr>
                <w:sz w:val="24"/>
                <w:szCs w:val="24"/>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b w:val="1"/>
                <w:bCs w:val="1"/>
                <w:color w:val="auto"/>
              </w:rPr>
              <w:t>0.11 %</w:t>
            </w:r>
          </w:p>
        </w:tc>
        <w:tc>
          <w:tcPr>
            <w:tcW w:w="100" w:type="dxa"/>
            <w:vAlign w:val="bottom"/>
          </w:tcPr>
          <w:p>
            <w:pPr>
              <w:spacing w:after="0"/>
              <w:rPr>
                <w:sz w:val="24"/>
                <w:szCs w:val="24"/>
                <w:color w:val="auto"/>
              </w:rPr>
            </w:pPr>
          </w:p>
        </w:tc>
        <w:tc>
          <w:tcPr>
            <w:tcW w:w="15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1 %</w:t>
            </w:r>
          </w:p>
        </w:tc>
        <w:tc>
          <w:tcPr>
            <w:tcW w:w="120" w:type="dxa"/>
            <w:vAlign w:val="bottom"/>
          </w:tcPr>
          <w:p>
            <w:pPr>
              <w:spacing w:after="0"/>
              <w:rPr>
                <w:sz w:val="24"/>
                <w:szCs w:val="24"/>
                <w:color w:val="auto"/>
              </w:rPr>
            </w:pPr>
          </w:p>
        </w:tc>
        <w:tc>
          <w:tcPr>
            <w:tcW w:w="1560" w:type="dxa"/>
            <w:vAlign w:val="bottom"/>
            <w:tcBorders>
              <w:top w:val="single" w:sz="8" w:color="2C6937"/>
            </w:tcBorders>
          </w:tcPr>
          <w:p>
            <w:pPr>
              <w:ind w:left="1060"/>
              <w:spacing w:after="0"/>
              <w:rPr>
                <w:sz w:val="20"/>
                <w:szCs w:val="20"/>
                <w:color w:val="auto"/>
              </w:rPr>
            </w:pPr>
            <w:r>
              <w:rPr>
                <w:rFonts w:ascii="Arial" w:cs="Arial" w:eastAsia="Arial" w:hAnsi="Arial"/>
                <w:sz w:val="15"/>
                <w:szCs w:val="15"/>
                <w:color w:val="auto"/>
              </w:rPr>
              <w:t>0.12 %</w:t>
            </w:r>
          </w:p>
        </w:tc>
        <w:tc>
          <w:tcPr>
            <w:tcW w:w="0" w:type="dxa"/>
            <w:vAlign w:val="bottom"/>
          </w:tcPr>
          <w:p>
            <w:pPr>
              <w:spacing w:after="0"/>
              <w:rPr>
                <w:sz w:val="1"/>
                <w:szCs w:val="1"/>
                <w:color w:val="auto"/>
              </w:rPr>
            </w:pPr>
          </w:p>
        </w:tc>
      </w:tr>
      <w:tr>
        <w:trPr>
          <w:trHeight w:val="232"/>
        </w:trPr>
        <w:tc>
          <w:tcPr>
            <w:tcW w:w="1560" w:type="dxa"/>
            <w:vAlign w:val="bottom"/>
          </w:tcPr>
          <w:p>
            <w:pPr>
              <w:jc w:val="right"/>
              <w:ind w:right="128"/>
              <w:spacing w:after="0"/>
              <w:rPr>
                <w:sz w:val="20"/>
                <w:szCs w:val="20"/>
                <w:color w:val="auto"/>
              </w:rPr>
            </w:pPr>
            <w:r>
              <w:rPr>
                <w:rFonts w:ascii="Arial" w:cs="Arial" w:eastAsia="Arial" w:hAnsi="Arial"/>
                <w:sz w:val="15"/>
                <w:szCs w:val="15"/>
                <w:b w:val="1"/>
                <w:bCs w:val="1"/>
                <w:color w:val="auto"/>
              </w:rPr>
              <w:t>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Arial" w:cs="Arial" w:eastAsia="Arial" w:hAnsi="Arial"/>
                <w:sz w:val="15"/>
                <w:szCs w:val="15"/>
                <w:b w:val="1"/>
                <w:bCs w:val="1"/>
                <w:color w:val="auto"/>
              </w:rPr>
              <w:t>0.69</w:t>
            </w:r>
          </w:p>
        </w:tc>
        <w:tc>
          <w:tcPr>
            <w:tcW w:w="100" w:type="dxa"/>
            <w:vAlign w:val="bottom"/>
          </w:tcPr>
          <w:p>
            <w:pPr>
              <w:spacing w:after="0"/>
              <w:rPr>
                <w:sz w:val="20"/>
                <w:szCs w:val="20"/>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99</w:t>
            </w:r>
          </w:p>
        </w:tc>
        <w:tc>
          <w:tcPr>
            <w:tcW w:w="1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0.58</w:t>
            </w:r>
          </w:p>
        </w:tc>
        <w:tc>
          <w:tcPr>
            <w:tcW w:w="0" w:type="dxa"/>
            <w:vAlign w:val="bottom"/>
          </w:tcPr>
          <w:p>
            <w:pPr>
              <w:spacing w:after="0"/>
              <w:rPr>
                <w:sz w:val="1"/>
                <w:szCs w:val="1"/>
                <w:color w:val="auto"/>
              </w:rPr>
            </w:pPr>
          </w:p>
        </w:tc>
      </w:tr>
      <w:tr>
        <w:trPr>
          <w:trHeight w:val="232"/>
        </w:trPr>
        <w:tc>
          <w:tcPr>
            <w:tcW w:w="1560" w:type="dxa"/>
            <w:vAlign w:val="bottom"/>
          </w:tcPr>
          <w:p>
            <w:pPr>
              <w:jc w:val="right"/>
              <w:ind w:right="128"/>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Arial" w:cs="Arial" w:eastAsia="Arial" w:hAnsi="Arial"/>
                <w:sz w:val="15"/>
                <w:szCs w:val="15"/>
                <w:b w:val="1"/>
                <w:bCs w:val="1"/>
                <w:color w:val="auto"/>
              </w:rPr>
              <w:t>5.43</w:t>
            </w:r>
          </w:p>
        </w:tc>
        <w:tc>
          <w:tcPr>
            <w:tcW w:w="100" w:type="dxa"/>
            <w:vAlign w:val="bottom"/>
          </w:tcPr>
          <w:p>
            <w:pPr>
              <w:spacing w:after="0"/>
              <w:rPr>
                <w:sz w:val="20"/>
                <w:szCs w:val="20"/>
                <w:color w:val="auto"/>
              </w:rPr>
            </w:pPr>
          </w:p>
        </w:tc>
        <w:tc>
          <w:tcPr>
            <w:tcW w:w="1560" w:type="dxa"/>
            <w:vAlign w:val="bottom"/>
          </w:tcPr>
          <w:p>
            <w:pPr>
              <w:jc w:val="right"/>
              <w:ind w:right="108"/>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20"/>
                <w:szCs w:val="20"/>
                <w:color w:val="auto"/>
              </w:rPr>
            </w:pPr>
          </w:p>
        </w:tc>
        <w:tc>
          <w:tcPr>
            <w:tcW w:w="1560" w:type="dxa"/>
            <w:vAlign w:val="bottom"/>
          </w:tcPr>
          <w:p>
            <w:pPr>
              <w:ind w:left="1060"/>
              <w:spacing w:after="0"/>
              <w:rPr>
                <w:sz w:val="20"/>
                <w:szCs w:val="20"/>
                <w:color w:val="auto"/>
              </w:rPr>
            </w:pPr>
            <w:r>
              <w:rPr>
                <w:rFonts w:ascii="Arial" w:cs="Arial" w:eastAsia="Arial" w:hAnsi="Arial"/>
                <w:sz w:val="15"/>
                <w:szCs w:val="15"/>
                <w:color w:val="auto"/>
              </w:rPr>
              <w:t>4.94</w:t>
            </w: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900" w:h="16838" w:orient="portrait"/>
          <w:cols w:equalWidth="0" w:num="2">
            <w:col w:w="3940" w:space="720"/>
            <w:col w:w="6580"/>
          </w:cols>
          <w:pgMar w:left="320" w:top="248" w:right="339" w:bottom="1440" w:gutter="0" w:footer="0" w:header="0"/>
          <w:type w:val="continuous"/>
        </w:sectPr>
      </w:pPr>
    </w:p>
    <w:p>
      <w:pPr>
        <w:ind w:left="240" w:right="400" w:hanging="237"/>
        <w:spacing w:after="0" w:line="218" w:lineRule="auto"/>
        <w:tabs>
          <w:tab w:leader="none" w:pos="233"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aggregate unpaid principal balance of multifamily loans for each category divided by the aggregate unpaid principal balance of loans in our multifamily guaranty book of business.</w:t>
      </w:r>
    </w:p>
    <w:p>
      <w:pPr>
        <w:ind w:left="220" w:hanging="217"/>
        <w:spacing w:after="0"/>
        <w:tabs>
          <w:tab w:leader="none" w:pos="22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Consists of multifamily loans that were 60 days or more past due as of the dates indicated.</w:t>
      </w:r>
    </w:p>
    <w:p>
      <w:pPr>
        <w:spacing w:after="0" w:line="37" w:lineRule="exact"/>
        <w:rPr>
          <w:rFonts w:ascii="Arial" w:cs="Arial" w:eastAsia="Arial" w:hAnsi="Arial"/>
          <w:sz w:val="18"/>
          <w:szCs w:val="18"/>
          <w:color w:val="auto"/>
          <w:vertAlign w:val="superscript"/>
        </w:rPr>
      </w:pPr>
    </w:p>
    <w:p>
      <w:pPr>
        <w:ind w:left="240" w:right="140" w:hanging="237"/>
        <w:spacing w:after="0" w:line="219" w:lineRule="auto"/>
        <w:tabs>
          <w:tab w:leader="none" w:pos="233"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Calculated based on the unpaid principal balance of multifamily loans that were seriously delinquent divided by the aggregate unpaid principal balance of multifamily loans for each category included in our multifamily guaranty book of business.</w:t>
      </w:r>
    </w:p>
    <w:p>
      <w:pPr>
        <w:spacing w:after="0" w:line="26" w:lineRule="exact"/>
        <w:rPr>
          <w:rFonts w:ascii="Arial" w:cs="Arial" w:eastAsia="Arial" w:hAnsi="Arial"/>
          <w:sz w:val="18"/>
          <w:szCs w:val="18"/>
          <w:color w:val="auto"/>
          <w:vertAlign w:val="superscript"/>
        </w:rPr>
      </w:pPr>
    </w:p>
    <w:p>
      <w:pPr>
        <w:ind w:left="240" w:right="380" w:hanging="237"/>
        <w:spacing w:after="0" w:line="218" w:lineRule="auto"/>
        <w:tabs>
          <w:tab w:leader="none" w:pos="233"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Our estimates of current DSCRs are based on the latest available income information, including the related debt service covering a 12-month period, from quarterly and annual statements for these properties.</w:t>
      </w:r>
    </w:p>
    <w:p>
      <w:pPr>
        <w:spacing w:after="0" w:line="97"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Other Concentrations</w:t>
      </w:r>
    </w:p>
    <w:p>
      <w:pPr>
        <w:spacing w:after="0" w:line="81" w:lineRule="exact"/>
        <w:rPr>
          <w:sz w:val="20"/>
          <w:szCs w:val="20"/>
          <w:color w:val="auto"/>
        </w:rPr>
      </w:pPr>
    </w:p>
    <w:p>
      <w:pPr>
        <w:ind w:right="280"/>
        <w:spacing w:after="0" w:line="272" w:lineRule="auto"/>
        <w:rPr>
          <w:sz w:val="20"/>
          <w:szCs w:val="20"/>
          <w:color w:val="auto"/>
        </w:rPr>
      </w:pPr>
      <w:r>
        <w:rPr>
          <w:rFonts w:ascii="Arial" w:cs="Arial" w:eastAsia="Arial" w:hAnsi="Arial"/>
          <w:sz w:val="16"/>
          <w:szCs w:val="16"/>
          <w:color w:val="auto"/>
        </w:rPr>
        <w:t>For information on credit risk associated with our derivative transactions and repurchase agreements see “Note 9, Derivative Instruments” and “Note 12, Netting Arrangements.” For information on other concentrations related to mortgage insurers and mortgage servicers and sellers, see “Note 14, Concentrations of Credit Risk—Other Concentrations” in our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558165</wp:posOffset>
            </wp:positionV>
            <wp:extent cx="680593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01" w:name="page102"/>
    <w:bookmarkEnd w:id="101"/>
    <w:p>
      <w:pPr>
        <w:jc w:val="right"/>
        <w:ind w:right="60"/>
        <w:spacing w:after="0"/>
        <w:rPr>
          <w:sz w:val="20"/>
          <w:szCs w:val="20"/>
          <w:color w:val="auto"/>
        </w:rPr>
      </w:pPr>
      <w:r>
        <w:rPr>
          <w:rFonts w:ascii="Arial" w:cs="Arial" w:eastAsia="Arial" w:hAnsi="Arial"/>
          <w:sz w:val="14"/>
          <w:szCs w:val="14"/>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12. Netting Arrangements</w:t>
      </w:r>
    </w:p>
    <w:p>
      <w:pPr>
        <w:spacing w:after="0" w:line="80"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We use master netting arrangements, which allow us to offset certain financial instruments and collateral with the same counterparty, to minimize counterparty credit exposure. The tables below display information related to derivatives and securities purchased under agreements to resell, which are subject to an enforceable master netting arrangement or similar agreement that are either offset or not offset in our condensed consolidated balance sheets.</w:t>
      </w:r>
    </w:p>
    <w:p>
      <w:pPr>
        <w:sectPr>
          <w:pgSz w:w="11900" w:h="16838" w:orient="portrait"/>
          <w:cols w:equalWidth="0" w:num="1">
            <w:col w:w="11200"/>
          </w:cols>
          <w:pgMar w:left="320" w:top="2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Assets: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OTC risk management derivatives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Cleared risk management derivatives</w:t>
      </w:r>
    </w:p>
    <w:p>
      <w:pPr>
        <w:spacing w:after="0" w:line="4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Mortgage commitment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23247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Total derivative assets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Securities purchased under agreements to resell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29210</wp:posOffset>
            </wp:positionV>
            <wp:extent cx="23247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23247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45720</wp:posOffset>
            </wp:positionV>
            <wp:extent cx="23247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7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Liabilities:</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OTC risk management derivatives</w:t>
      </w:r>
    </w:p>
    <w:p>
      <w:pPr>
        <w:spacing w:after="0" w:line="4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Cleared risk management derivatives</w:t>
      </w:r>
    </w:p>
    <w:p>
      <w:pPr>
        <w:spacing w:after="0" w:line="3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Mortgage commitment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23247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23247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45720</wp:posOffset>
            </wp:positionV>
            <wp:extent cx="23247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Assets: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OTC risk management derivatives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Cleared risk management derivatives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Mortgage commitment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20955</wp:posOffset>
            </wp:positionV>
            <wp:extent cx="234124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4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Total derivative assets</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Securities purchased under agreements to resell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29210</wp:posOffset>
            </wp:positionV>
            <wp:extent cx="234124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29210</wp:posOffset>
            </wp:positionV>
            <wp:extent cx="234124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341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53975</wp:posOffset>
            </wp:positionV>
            <wp:extent cx="234124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7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Liabilities: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OTC risk management derivatives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Cleared risk management derivatives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Mortgage commitment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20955</wp:posOffset>
            </wp:positionV>
            <wp:extent cx="234124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20955</wp:posOffset>
            </wp:positionV>
            <wp:extent cx="234124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341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45720</wp:posOffset>
            </wp:positionV>
            <wp:extent cx="234124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2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70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900" w:type="dxa"/>
            <w:vAlign w:val="bottom"/>
            <w:tcBorders>
              <w:bottom w:val="single" w:sz="8" w:color="2C6937"/>
            </w:tcBorders>
            <w:gridSpan w:val="10"/>
          </w:tcPr>
          <w:p>
            <w:pPr>
              <w:jc w:val="center"/>
              <w:ind w:right="120"/>
              <w:spacing w:after="0"/>
              <w:rPr>
                <w:sz w:val="20"/>
                <w:szCs w:val="20"/>
                <w:color w:val="auto"/>
              </w:rPr>
            </w:pPr>
            <w:r>
              <w:rPr>
                <w:rFonts w:ascii="Arial" w:cs="Arial" w:eastAsia="Arial" w:hAnsi="Arial"/>
                <w:sz w:val="14"/>
                <w:szCs w:val="14"/>
                <w:b w:val="1"/>
                <w:bCs w:val="1"/>
                <w:color w:val="auto"/>
                <w:w w:val="97"/>
              </w:rPr>
              <w:t>As of September 30, 2025</w:t>
            </w:r>
          </w:p>
        </w:tc>
        <w:tc>
          <w:tcPr>
            <w:tcW w:w="12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0" w:type="dxa"/>
            <w:vAlign w:val="bottom"/>
            <w:tcBorders>
              <w:bottom w:val="single" w:sz="8" w:color="2C6937"/>
            </w:tcBorders>
          </w:tcPr>
          <w:p>
            <w:pPr>
              <w:spacing w:after="0"/>
              <w:rPr>
                <w:sz w:val="16"/>
                <w:szCs w:val="16"/>
                <w:color w:val="auto"/>
              </w:rPr>
            </w:pPr>
          </w:p>
        </w:tc>
        <w:tc>
          <w:tcPr>
            <w:tcW w:w="60" w:type="dxa"/>
            <w:vAlign w:val="bottom"/>
            <w:tcBorders>
              <w:bottom w:val="single" w:sz="8" w:color="2C6937"/>
            </w:tcBorders>
          </w:tcPr>
          <w:p>
            <w:pPr>
              <w:spacing w:after="0"/>
              <w:rPr>
                <w:sz w:val="16"/>
                <w:szCs w:val="16"/>
                <w:color w:val="auto"/>
              </w:rPr>
            </w:pPr>
          </w:p>
        </w:tc>
        <w:tc>
          <w:tcPr>
            <w:tcW w:w="4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540" w:type="dxa"/>
            <w:vAlign w:val="bottom"/>
            <w:tcBorders>
              <w:bottom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60" w:type="dxa"/>
            <w:vAlign w:val="bottom"/>
            <w:gridSpan w:val="12"/>
            <w:vMerge w:val="restart"/>
          </w:tcPr>
          <w:p>
            <w:pPr>
              <w:jc w:val="center"/>
              <w:ind w:right="10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7"/>
                <w:szCs w:val="7"/>
                <w:color w:val="auto"/>
              </w:rPr>
            </w:pPr>
          </w:p>
        </w:tc>
        <w:tc>
          <w:tcPr>
            <w:tcW w:w="2760" w:type="dxa"/>
            <w:vAlign w:val="bottom"/>
            <w:gridSpan w:val="12"/>
            <w:vMerge w:val="continue"/>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9"/>
            <w:vMerge w:val="restart"/>
          </w:tcPr>
          <w:p>
            <w:pPr>
              <w:jc w:val="center"/>
              <w:ind w:right="460"/>
              <w:spacing w:after="0"/>
              <w:rPr>
                <w:sz w:val="20"/>
                <w:szCs w:val="20"/>
                <w:color w:val="auto"/>
              </w:rPr>
            </w:pPr>
            <w:r>
              <w:rPr>
                <w:rFonts w:ascii="Arial" w:cs="Arial" w:eastAsia="Arial" w:hAnsi="Arial"/>
                <w:sz w:val="14"/>
                <w:szCs w:val="14"/>
                <w:b w:val="1"/>
                <w:bCs w:val="1"/>
                <w:color w:val="auto"/>
                <w:w w:val="97"/>
              </w:rPr>
              <w:t>Consolidated Balance Sheets</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right"/>
              <w:ind w:right="240"/>
              <w:spacing w:after="0" w:line="131"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restart"/>
          </w:tcPr>
          <w:p>
            <w:pPr>
              <w:jc w:val="center"/>
              <w:spacing w:after="0" w:line="131" w:lineRule="exact"/>
              <w:rPr>
                <w:sz w:val="20"/>
                <w:szCs w:val="20"/>
                <w:color w:val="auto"/>
              </w:rPr>
            </w:pPr>
            <w:r>
              <w:rPr>
                <w:rFonts w:ascii="Arial" w:cs="Arial" w:eastAsia="Arial" w:hAnsi="Arial"/>
                <w:sz w:val="14"/>
                <w:szCs w:val="14"/>
                <w:b w:val="1"/>
                <w:bCs w:val="1"/>
                <w:color w:val="auto"/>
                <w:w w:val="97"/>
              </w:rPr>
              <w:t>Condensed</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20" w:type="dxa"/>
            <w:vAlign w:val="bottom"/>
            <w:gridSpan w:val="9"/>
            <w:vMerge w:val="continue"/>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140" w:type="dxa"/>
            <w:vAlign w:val="bottom"/>
            <w:tcBorders>
              <w:bottom w:val="single" w:sz="8" w:color="2C6937"/>
            </w:tcBorders>
          </w:tcPr>
          <w:p>
            <w:pPr>
              <w:spacing w:after="0"/>
              <w:rPr>
                <w:sz w:val="2"/>
                <w:szCs w:val="2"/>
                <w:color w:val="auto"/>
              </w:rPr>
            </w:pPr>
          </w:p>
        </w:tc>
        <w:tc>
          <w:tcPr>
            <w:tcW w:w="84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120" w:type="dxa"/>
            <w:vAlign w:val="bottom"/>
            <w:tcBorders>
              <w:bottom w:val="single" w:sz="8" w:color="2C6937"/>
            </w:tcBorders>
          </w:tcPr>
          <w:p>
            <w:pPr>
              <w:spacing w:after="0"/>
              <w:rPr>
                <w:sz w:val="2"/>
                <w:szCs w:val="2"/>
                <w:color w:val="auto"/>
              </w:rPr>
            </w:pPr>
          </w:p>
        </w:tc>
        <w:tc>
          <w:tcPr>
            <w:tcW w:w="860" w:type="dxa"/>
            <w:vAlign w:val="bottom"/>
            <w:tcBorders>
              <w:bottom w:val="single" w:sz="8" w:color="2C6937"/>
            </w:tcBorders>
          </w:tcPr>
          <w:p>
            <w:pPr>
              <w:spacing w:after="0"/>
              <w:rPr>
                <w:sz w:val="2"/>
                <w:szCs w:val="2"/>
                <w:color w:val="auto"/>
              </w:rPr>
            </w:pPr>
          </w:p>
        </w:tc>
        <w:tc>
          <w:tcPr>
            <w:tcW w:w="20" w:type="dxa"/>
            <w:vAlign w:val="bottom"/>
            <w:tcBorders>
              <w:bottom w:val="single" w:sz="8" w:color="2C6937"/>
            </w:tcBorders>
          </w:tcPr>
          <w:p>
            <w:pPr>
              <w:spacing w:after="0"/>
              <w:rPr>
                <w:sz w:val="2"/>
                <w:szCs w:val="2"/>
                <w:color w:val="auto"/>
              </w:rPr>
            </w:pPr>
          </w:p>
        </w:tc>
        <w:tc>
          <w:tcPr>
            <w:tcW w:w="80" w:type="dxa"/>
            <w:vAlign w:val="bottom"/>
            <w:tcBorders>
              <w:bottom w:val="single" w:sz="8" w:color="2C6937"/>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6"/>
              </w:rPr>
              <w:t>Consolidated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Offset</w:t>
            </w:r>
            <w:r>
              <w:rPr>
                <w:rFonts w:ascii="Arial" w:cs="Arial" w:eastAsia="Arial" w:hAnsi="Arial"/>
                <w:sz w:val="17"/>
                <w:szCs w:val="17"/>
                <w:b w:val="1"/>
                <w:bCs w:val="1"/>
                <w:color w:val="auto"/>
                <w:w w:val="99"/>
                <w:vertAlign w:val="superscript"/>
              </w:rPr>
              <w:t>(1)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8"/>
              </w:rPr>
              <w:t>Balance Sheets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7"/>
              </w:rPr>
              <w:t>Instruments</w:t>
            </w:r>
            <w:r>
              <w:rPr>
                <w:rFonts w:ascii="Arial" w:cs="Arial" w:eastAsia="Arial" w:hAnsi="Arial"/>
                <w:sz w:val="8"/>
                <w:szCs w:val="8"/>
                <w:b w:val="1"/>
                <w:bCs w:val="1"/>
                <w:color w:val="auto"/>
                <w:w w:val="97"/>
              </w:rPr>
              <w:t>(2)</w:t>
            </w:r>
          </w:p>
        </w:tc>
        <w:tc>
          <w:tcPr>
            <w:tcW w:w="120" w:type="dxa"/>
            <w:vAlign w:val="bottom"/>
          </w:tcPr>
          <w:p>
            <w:pPr>
              <w:spacing w:after="0"/>
              <w:rPr>
                <w:sz w:val="18"/>
                <w:szCs w:val="18"/>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2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120" w:type="dxa"/>
            <w:vAlign w:val="bottom"/>
            <w:tcBorders>
              <w:top w:val="single" w:sz="8" w:color="2C6937"/>
            </w:tcBorders>
          </w:tcPr>
          <w:p>
            <w:pPr>
              <w:spacing w:after="0"/>
              <w:rPr>
                <w:sz w:val="16"/>
                <w:szCs w:val="16"/>
                <w:color w:val="auto"/>
              </w:rPr>
            </w:pPr>
          </w:p>
        </w:tc>
        <w:tc>
          <w:tcPr>
            <w:tcW w:w="70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28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2900" w:type="dxa"/>
            <w:vAlign w:val="bottom"/>
            <w:tcBorders>
              <w:top w:val="single" w:sz="8" w:color="2C6937"/>
            </w:tcBorders>
            <w:gridSpan w:val="10"/>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Borders>
              <w:top w:val="single" w:sz="8" w:color="2C6937"/>
            </w:tcBorders>
          </w:tcPr>
          <w:p>
            <w:pPr>
              <w:spacing w:after="0"/>
              <w:rPr>
                <w:sz w:val="16"/>
                <w:szCs w:val="16"/>
                <w:color w:val="auto"/>
              </w:rPr>
            </w:pPr>
          </w:p>
        </w:tc>
        <w:tc>
          <w:tcPr>
            <w:tcW w:w="86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80" w:type="dxa"/>
            <w:vAlign w:val="bottom"/>
            <w:tcBorders>
              <w:top w:val="single" w:sz="8" w:color="2C6937"/>
            </w:tcBorders>
          </w:tcPr>
          <w:p>
            <w:pPr>
              <w:spacing w:after="0"/>
              <w:rPr>
                <w:sz w:val="16"/>
                <w:szCs w:val="16"/>
                <w:color w:val="auto"/>
              </w:rPr>
            </w:pPr>
          </w:p>
        </w:tc>
        <w:tc>
          <w:tcPr>
            <w:tcW w:w="20" w:type="dxa"/>
            <w:vAlign w:val="bottom"/>
            <w:tcBorders>
              <w:top w:val="single" w:sz="8" w:color="2C6937"/>
            </w:tcBorders>
          </w:tcPr>
          <w:p>
            <w:pPr>
              <w:spacing w:after="0"/>
              <w:rPr>
                <w:sz w:val="16"/>
                <w:szCs w:val="16"/>
                <w:color w:val="auto"/>
              </w:rPr>
            </w:pPr>
          </w:p>
        </w:tc>
        <w:tc>
          <w:tcPr>
            <w:tcW w:w="60" w:type="dxa"/>
            <w:vAlign w:val="bottom"/>
            <w:tcBorders>
              <w:top w:val="single" w:sz="8" w:color="2C6937"/>
            </w:tcBorders>
          </w:tcPr>
          <w:p>
            <w:pPr>
              <w:spacing w:after="0"/>
              <w:rPr>
                <w:sz w:val="16"/>
                <w:szCs w:val="16"/>
                <w:color w:val="auto"/>
              </w:rPr>
            </w:pPr>
          </w:p>
        </w:tc>
        <w:tc>
          <w:tcPr>
            <w:tcW w:w="40" w:type="dxa"/>
            <w:vAlign w:val="bottom"/>
            <w:tcBorders>
              <w:top w:val="single" w:sz="8" w:color="2C6937"/>
            </w:tcBorders>
          </w:tcPr>
          <w:p>
            <w:pPr>
              <w:spacing w:after="0"/>
              <w:rPr>
                <w:sz w:val="16"/>
                <w:szCs w:val="16"/>
                <w:color w:val="auto"/>
              </w:rPr>
            </w:pPr>
          </w:p>
        </w:tc>
        <w:tc>
          <w:tcPr>
            <w:tcW w:w="360" w:type="dxa"/>
            <w:vAlign w:val="bottom"/>
            <w:tcBorders>
              <w:top w:val="single" w:sz="8" w:color="2C6937"/>
            </w:tcBorders>
          </w:tcPr>
          <w:p>
            <w:pPr>
              <w:spacing w:after="0"/>
              <w:rPr>
                <w:sz w:val="16"/>
                <w:szCs w:val="16"/>
                <w:color w:val="auto"/>
              </w:rPr>
            </w:pPr>
          </w:p>
        </w:tc>
        <w:tc>
          <w:tcPr>
            <w:tcW w:w="540" w:type="dxa"/>
            <w:vAlign w:val="bottom"/>
            <w:tcBorders>
              <w:top w:val="single" w:sz="8" w:color="2C6937"/>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4"/>
        </w:trPr>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328</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(280)</w:t>
            </w: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48</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2"/>
          </w:tcPr>
          <w:p>
            <w:pPr>
              <w:jc w:val="right"/>
              <w:ind w:right="228"/>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20"/>
                <w:szCs w:val="20"/>
                <w:color w:val="auto"/>
              </w:rPr>
            </w:pPr>
          </w:p>
        </w:tc>
        <w:tc>
          <w:tcPr>
            <w:tcW w:w="1040" w:type="dxa"/>
            <w:vAlign w:val="bottom"/>
            <w:gridSpan w:val="5"/>
          </w:tcPr>
          <w:p>
            <w:pPr>
              <w:jc w:val="right"/>
              <w:ind w:right="2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62</w:t>
            </w:r>
          </w:p>
        </w:tc>
        <w:tc>
          <w:tcPr>
            <w:tcW w:w="40" w:type="dxa"/>
            <w:vAlign w:val="bottom"/>
            <w:tcBorders>
              <w:bottom w:val="single" w:sz="8" w:color="2C6937"/>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62</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24"/>
              <w:spacing w:after="0"/>
              <w:rPr>
                <w:sz w:val="20"/>
                <w:szCs w:val="20"/>
                <w:color w:val="auto"/>
              </w:rPr>
            </w:pPr>
            <w:r>
              <w:rPr>
                <w:rFonts w:ascii="Arial" w:cs="Arial" w:eastAsia="Arial" w:hAnsi="Arial"/>
                <w:sz w:val="15"/>
                <w:szCs w:val="15"/>
                <w:color w:val="auto"/>
                <w:w w:val="97"/>
              </w:rPr>
              <w:t>(38)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360" w:type="dxa"/>
            <w:vAlign w:val="bottom"/>
            <w:tcBorders>
              <w:bottom w:val="single" w:sz="8" w:color="2C6937"/>
            </w:tcBorders>
          </w:tcPr>
          <w:p>
            <w:pPr>
              <w:spacing w:after="0"/>
              <w:rPr>
                <w:sz w:val="18"/>
                <w:szCs w:val="18"/>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(277)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113</w:t>
            </w:r>
          </w:p>
        </w:tc>
        <w:tc>
          <w:tcPr>
            <w:tcW w:w="4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left="424"/>
              <w:spacing w:after="0"/>
              <w:rPr>
                <w:sz w:val="20"/>
                <w:szCs w:val="20"/>
                <w:color w:val="auto"/>
              </w:rPr>
            </w:pPr>
            <w:r>
              <w:rPr>
                <w:rFonts w:ascii="Arial" w:cs="Arial" w:eastAsia="Arial" w:hAnsi="Arial"/>
                <w:sz w:val="15"/>
                <w:szCs w:val="15"/>
                <w:color w:val="auto"/>
                <w:w w:val="97"/>
              </w:rPr>
              <w:t>(38)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61,525</w:t>
            </w:r>
          </w:p>
        </w:tc>
        <w:tc>
          <w:tcPr>
            <w:tcW w:w="40" w:type="dxa"/>
            <w:vAlign w:val="bottom"/>
            <w:tcBorders>
              <w:bottom w:val="single" w:sz="8" w:color="2C6937"/>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61,525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2C6937"/>
            </w:tcBorders>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3"/>
              </w:rPr>
              <w:t>—</w:t>
            </w:r>
          </w:p>
        </w:tc>
        <w:tc>
          <w:tcPr>
            <w:tcW w:w="420" w:type="dxa"/>
            <w:vAlign w:val="bottom"/>
            <w:gridSpan w:val="2"/>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(61,525)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61,915</w:t>
            </w:r>
          </w:p>
        </w:tc>
        <w:tc>
          <w:tcPr>
            <w:tcW w:w="40" w:type="dxa"/>
            <w:vAlign w:val="bottom"/>
            <w:tcBorders>
              <w:bottom w:val="single" w:sz="8" w:color="2C6937"/>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(277)</w:t>
            </w:r>
          </w:p>
        </w:tc>
        <w:tc>
          <w:tcPr>
            <w:tcW w:w="280" w:type="dxa"/>
            <w:vAlign w:val="bottom"/>
          </w:tcPr>
          <w:p>
            <w:pPr>
              <w:spacing w:after="0"/>
              <w:rPr>
                <w:sz w:val="17"/>
                <w:szCs w:val="17"/>
                <w:color w:val="auto"/>
              </w:rPr>
            </w:pPr>
          </w:p>
        </w:tc>
        <w:tc>
          <w:tcPr>
            <w:tcW w:w="10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right"/>
              <w:ind w:right="6"/>
              <w:spacing w:after="0"/>
              <w:rPr>
                <w:sz w:val="20"/>
                <w:szCs w:val="20"/>
                <w:color w:val="auto"/>
              </w:rPr>
            </w:pPr>
            <w:r>
              <w:rPr>
                <w:rFonts w:ascii="Arial" w:cs="Arial" w:eastAsia="Arial" w:hAnsi="Arial"/>
                <w:sz w:val="15"/>
                <w:szCs w:val="15"/>
                <w:color w:val="auto"/>
              </w:rPr>
              <w:t>61,638</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16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center"/>
              <w:ind w:left="424"/>
              <w:spacing w:after="0"/>
              <w:rPr>
                <w:sz w:val="20"/>
                <w:szCs w:val="20"/>
                <w:color w:val="auto"/>
              </w:rPr>
            </w:pPr>
            <w:r>
              <w:rPr>
                <w:rFonts w:ascii="Arial" w:cs="Arial" w:eastAsia="Arial" w:hAnsi="Arial"/>
                <w:sz w:val="15"/>
                <w:szCs w:val="15"/>
                <w:color w:val="auto"/>
                <w:w w:val="97"/>
              </w:rPr>
              <w:t>(38)</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(61,543)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2C6937"/>
            </w:tcBorders>
            <w:gridSpan w:val="2"/>
          </w:tcPr>
          <w:p>
            <w:pPr>
              <w:jc w:val="right"/>
              <w:ind w:right="228"/>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2C6937"/>
            </w:tcBorders>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54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(1,338)</w:t>
            </w: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1,336</w:t>
            </w:r>
          </w:p>
        </w:tc>
        <w:tc>
          <w:tcPr>
            <w:tcW w:w="40" w:type="dxa"/>
            <w:vAlign w:val="bottom"/>
          </w:tcPr>
          <w:p>
            <w:pPr>
              <w:spacing w:after="0"/>
              <w:rPr>
                <w:sz w:val="24"/>
                <w:szCs w:val="24"/>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5"/>
          </w:tcPr>
          <w:p>
            <w:pPr>
              <w:jc w:val="right"/>
              <w:ind w:right="240"/>
              <w:spacing w:after="0"/>
              <w:rPr>
                <w:sz w:val="20"/>
                <w:szCs w:val="20"/>
                <w:color w:val="auto"/>
              </w:rPr>
            </w:pPr>
            <w:r>
              <w:rPr>
                <w:rFonts w:ascii="Arial" w:cs="Arial" w:eastAsia="Arial" w:hAnsi="Arial"/>
                <w:sz w:val="15"/>
                <w:szCs w:val="15"/>
                <w:color w:val="auto"/>
              </w:rPr>
              <w:t>—</w:t>
            </w:r>
          </w:p>
        </w:tc>
        <w:tc>
          <w:tcPr>
            <w:tcW w:w="400" w:type="dxa"/>
            <w:vAlign w:val="bottom"/>
            <w:gridSpan w:val="2"/>
          </w:tcPr>
          <w:p>
            <w:pPr>
              <w:jc w:val="right"/>
              <w:ind w:right="228"/>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center"/>
              <w:ind w:left="44"/>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60" w:type="dxa"/>
            <w:vAlign w:val="bottom"/>
            <w:tcBorders>
              <w:bottom w:val="single" w:sz="8" w:color="2C6937"/>
            </w:tcBorders>
            <w:gridSpan w:val="2"/>
          </w:tcPr>
          <w:p>
            <w:pPr>
              <w:jc w:val="right"/>
              <w:ind w:right="40"/>
              <w:spacing w:after="0"/>
              <w:rPr>
                <w:sz w:val="20"/>
                <w:szCs w:val="20"/>
                <w:color w:val="auto"/>
              </w:rPr>
            </w:pPr>
            <w:r>
              <w:rPr>
                <w:rFonts w:ascii="Arial" w:cs="Arial" w:eastAsia="Arial" w:hAnsi="Arial"/>
                <w:sz w:val="15"/>
                <w:szCs w:val="15"/>
                <w:color w:val="auto"/>
              </w:rPr>
              <w:t>(156)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4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(156)</w:t>
            </w:r>
          </w:p>
        </w:tc>
        <w:tc>
          <w:tcPr>
            <w:tcW w:w="440" w:type="dxa"/>
            <w:vAlign w:val="bottom"/>
            <w:gridSpan w:val="2"/>
            <w:vMerge w:val="restart"/>
          </w:tcPr>
          <w:p>
            <w:pPr>
              <w:jc w:val="right"/>
              <w:ind w:right="27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2C6937"/>
            </w:tcBorders>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center"/>
              <w:ind w:left="444"/>
              <w:spacing w:after="0"/>
              <w:rPr>
                <w:sz w:val="20"/>
                <w:szCs w:val="20"/>
                <w:color w:val="auto"/>
              </w:rPr>
            </w:pPr>
            <w:r>
              <w:rPr>
                <w:rFonts w:ascii="Arial" w:cs="Arial" w:eastAsia="Arial" w:hAnsi="Arial"/>
                <w:sz w:val="15"/>
                <w:szCs w:val="15"/>
                <w:color w:val="auto"/>
                <w:w w:val="95"/>
              </w:rPr>
              <w:t>38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360" w:type="dxa"/>
            <w:vAlign w:val="bottom"/>
            <w:tcBorders>
              <w:bottom w:val="single" w:sz="8" w:color="2C6937"/>
            </w:tcBorders>
          </w:tcPr>
          <w:p>
            <w:pPr>
              <w:spacing w:after="0"/>
              <w:rPr>
                <w:sz w:val="18"/>
                <w:szCs w:val="18"/>
                <w:color w:val="auto"/>
              </w:rPr>
            </w:pP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(1,494)</w:t>
            </w: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1,324</w:t>
            </w:r>
          </w:p>
        </w:tc>
        <w:tc>
          <w:tcPr>
            <w:tcW w:w="40" w:type="dxa"/>
            <w:vAlign w:val="bottom"/>
          </w:tcPr>
          <w:p>
            <w:pPr>
              <w:spacing w:after="0"/>
              <w:rPr>
                <w:sz w:val="17"/>
                <w:szCs w:val="17"/>
                <w:color w:val="auto"/>
              </w:rPr>
            </w:pPr>
          </w:p>
        </w:tc>
        <w:tc>
          <w:tcPr>
            <w:tcW w:w="380" w:type="dxa"/>
            <w:vAlign w:val="bottom"/>
            <w:gridSpan w:val="3"/>
          </w:tcPr>
          <w:p>
            <w:pPr>
              <w:ind w:left="280"/>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(170)</w:t>
            </w:r>
          </w:p>
        </w:tc>
        <w:tc>
          <w:tcPr>
            <w:tcW w:w="440" w:type="dxa"/>
            <w:vAlign w:val="bottom"/>
            <w:gridSpan w:val="2"/>
            <w:vMerge w:val="continue"/>
          </w:tcPr>
          <w:p>
            <w:pPr>
              <w:spacing w:after="0"/>
              <w:rPr>
                <w:sz w:val="17"/>
                <w:szCs w:val="17"/>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center"/>
              <w:ind w:left="444"/>
              <w:spacing w:after="0"/>
              <w:rPr>
                <w:sz w:val="20"/>
                <w:szCs w:val="20"/>
                <w:color w:val="auto"/>
              </w:rPr>
            </w:pPr>
            <w:r>
              <w:rPr>
                <w:rFonts w:ascii="Arial" w:cs="Arial" w:eastAsia="Arial" w:hAnsi="Arial"/>
                <w:sz w:val="15"/>
                <w:szCs w:val="15"/>
                <w:color w:val="auto"/>
                <w:w w:val="95"/>
              </w:rPr>
              <w:t>38</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gridSpan w:val="2"/>
          </w:tcPr>
          <w:p>
            <w:pPr>
              <w:jc w:val="right"/>
              <w:ind w:right="228"/>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2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120" w:type="dxa"/>
            <w:vAlign w:val="bottom"/>
            <w:tcBorders>
              <w:bottom w:val="single" w:sz="8" w:color="2C6937"/>
            </w:tcBorders>
          </w:tcPr>
          <w:p>
            <w:pPr>
              <w:spacing w:after="0"/>
              <w:rPr>
                <w:sz w:val="24"/>
                <w:szCs w:val="24"/>
                <w:color w:val="auto"/>
              </w:rPr>
            </w:pPr>
          </w:p>
        </w:tc>
        <w:tc>
          <w:tcPr>
            <w:tcW w:w="70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2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900" w:type="dxa"/>
            <w:vAlign w:val="bottom"/>
            <w:tcBorders>
              <w:bottom w:val="single" w:sz="8" w:color="2C6937"/>
            </w:tcBorders>
            <w:gridSpan w:val="10"/>
          </w:tcPr>
          <w:p>
            <w:pPr>
              <w:jc w:val="center"/>
              <w:ind w:right="120"/>
              <w:spacing w:after="0"/>
              <w:rPr>
                <w:sz w:val="20"/>
                <w:szCs w:val="20"/>
                <w:color w:val="auto"/>
              </w:rPr>
            </w:pPr>
            <w:r>
              <w:rPr>
                <w:rFonts w:ascii="Arial" w:cs="Arial" w:eastAsia="Arial" w:hAnsi="Arial"/>
                <w:sz w:val="14"/>
                <w:szCs w:val="14"/>
                <w:b w:val="1"/>
                <w:bCs w:val="1"/>
                <w:color w:val="auto"/>
                <w:w w:val="98"/>
              </w:rPr>
              <w:t>As of December 31, 2024</w:t>
            </w:r>
          </w:p>
        </w:tc>
        <w:tc>
          <w:tcPr>
            <w:tcW w:w="120" w:type="dxa"/>
            <w:vAlign w:val="bottom"/>
            <w:tcBorders>
              <w:bottom w:val="single" w:sz="8" w:color="2C6937"/>
            </w:tcBorders>
          </w:tcPr>
          <w:p>
            <w:pPr>
              <w:spacing w:after="0"/>
              <w:rPr>
                <w:sz w:val="24"/>
                <w:szCs w:val="24"/>
                <w:color w:val="auto"/>
              </w:rPr>
            </w:pPr>
          </w:p>
        </w:tc>
        <w:tc>
          <w:tcPr>
            <w:tcW w:w="86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80" w:type="dxa"/>
            <w:vAlign w:val="bottom"/>
            <w:tcBorders>
              <w:bottom w:val="single" w:sz="8" w:color="2C6937"/>
            </w:tcBorders>
          </w:tcPr>
          <w:p>
            <w:pPr>
              <w:spacing w:after="0"/>
              <w:rPr>
                <w:sz w:val="24"/>
                <w:szCs w:val="24"/>
                <w:color w:val="auto"/>
              </w:rPr>
            </w:pPr>
          </w:p>
        </w:tc>
        <w:tc>
          <w:tcPr>
            <w:tcW w:w="20" w:type="dxa"/>
            <w:vAlign w:val="bottom"/>
            <w:tcBorders>
              <w:bottom w:val="single" w:sz="8" w:color="2C6937"/>
            </w:tcBorders>
          </w:tcPr>
          <w:p>
            <w:pPr>
              <w:spacing w:after="0"/>
              <w:rPr>
                <w:sz w:val="24"/>
                <w:szCs w:val="24"/>
                <w:color w:val="auto"/>
              </w:rPr>
            </w:pPr>
          </w:p>
        </w:tc>
        <w:tc>
          <w:tcPr>
            <w:tcW w:w="6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360" w:type="dxa"/>
            <w:vAlign w:val="bottom"/>
            <w:tcBorders>
              <w:bottom w:val="single" w:sz="8" w:color="2C6937"/>
            </w:tcBorders>
          </w:tcPr>
          <w:p>
            <w:pPr>
              <w:spacing w:after="0"/>
              <w:rPr>
                <w:sz w:val="24"/>
                <w:szCs w:val="24"/>
                <w:color w:val="auto"/>
              </w:rPr>
            </w:pPr>
          </w:p>
        </w:tc>
        <w:tc>
          <w:tcPr>
            <w:tcW w:w="540" w:type="dxa"/>
            <w:vAlign w:val="bottom"/>
            <w:tcBorders>
              <w:bottom w:val="single" w:sz="8" w:color="2C6937"/>
            </w:tcBorders>
          </w:tcPr>
          <w:p>
            <w:pPr>
              <w:spacing w:after="0"/>
              <w:rPr>
                <w:sz w:val="24"/>
                <w:szCs w:val="24"/>
                <w:color w:val="auto"/>
              </w:rPr>
            </w:pPr>
          </w:p>
        </w:tc>
        <w:tc>
          <w:tcPr>
            <w:tcW w:w="4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Net Amount</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2"/>
            <w:vMerge w:val="restart"/>
          </w:tcPr>
          <w:p>
            <w:pPr>
              <w:jc w:val="center"/>
              <w:ind w:right="60"/>
              <w:spacing w:after="0"/>
              <w:rPr>
                <w:sz w:val="20"/>
                <w:szCs w:val="20"/>
                <w:color w:val="auto"/>
              </w:rPr>
            </w:pPr>
            <w:r>
              <w:rPr>
                <w:rFonts w:ascii="Arial" w:cs="Arial" w:eastAsia="Arial" w:hAnsi="Arial"/>
                <w:sz w:val="14"/>
                <w:szCs w:val="14"/>
                <w:b w:val="1"/>
                <w:bCs w:val="1"/>
                <w:color w:val="auto"/>
                <w:w w:val="97"/>
              </w:rPr>
              <w:t>Amounts Not Offset in our Condensed</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Presented in our</w:t>
            </w:r>
          </w:p>
        </w:tc>
        <w:tc>
          <w:tcPr>
            <w:tcW w:w="20" w:type="dxa"/>
            <w:vAlign w:val="bottom"/>
          </w:tcPr>
          <w:p>
            <w:pPr>
              <w:spacing w:after="0"/>
              <w:rPr>
                <w:sz w:val="7"/>
                <w:szCs w:val="7"/>
                <w:color w:val="auto"/>
              </w:rPr>
            </w:pPr>
          </w:p>
        </w:tc>
        <w:tc>
          <w:tcPr>
            <w:tcW w:w="2760" w:type="dxa"/>
            <w:vAlign w:val="bottom"/>
            <w:gridSpan w:val="12"/>
            <w:vMerge w:val="continue"/>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gridSpan w:val="9"/>
            <w:vMerge w:val="restart"/>
          </w:tcPr>
          <w:p>
            <w:pPr>
              <w:jc w:val="center"/>
              <w:ind w:right="400"/>
              <w:spacing w:after="0"/>
              <w:rPr>
                <w:sz w:val="20"/>
                <w:szCs w:val="20"/>
                <w:color w:val="auto"/>
              </w:rPr>
            </w:pPr>
            <w:r>
              <w:rPr>
                <w:rFonts w:ascii="Arial" w:cs="Arial" w:eastAsia="Arial" w:hAnsi="Arial"/>
                <w:sz w:val="14"/>
                <w:szCs w:val="14"/>
                <w:b w:val="1"/>
                <w:bCs w:val="1"/>
                <w:color w:val="auto"/>
                <w:w w:val="98"/>
              </w:rPr>
              <w:t>Consolidated Balance Sheets</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Condensed</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gridSpan w:val="9"/>
            <w:vMerge w:val="continue"/>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16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8"/>
              </w:rPr>
              <w:t>Consolidated Balance</w:t>
            </w:r>
          </w:p>
        </w:tc>
        <w:tc>
          <w:tcPr>
            <w:tcW w:w="20" w:type="dxa"/>
            <w:vAlign w:val="bottom"/>
          </w:tcPr>
          <w:p>
            <w:pPr>
              <w:spacing w:after="0"/>
              <w:rPr>
                <w:sz w:val="15"/>
                <w:szCs w:val="15"/>
                <w:color w:val="auto"/>
              </w:rPr>
            </w:pPr>
          </w:p>
        </w:tc>
        <w:tc>
          <w:tcPr>
            <w:tcW w:w="18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140" w:type="dxa"/>
            <w:vAlign w:val="bottom"/>
            <w:tcBorders>
              <w:top w:val="single" w:sz="8" w:color="2C6937"/>
            </w:tcBorders>
          </w:tcPr>
          <w:p>
            <w:pPr>
              <w:spacing w:after="0"/>
              <w:rPr>
                <w:sz w:val="15"/>
                <w:szCs w:val="15"/>
                <w:color w:val="auto"/>
              </w:rPr>
            </w:pPr>
          </w:p>
        </w:tc>
        <w:tc>
          <w:tcPr>
            <w:tcW w:w="1260" w:type="dxa"/>
            <w:vAlign w:val="bottom"/>
            <w:tcBorders>
              <w:top w:val="single" w:sz="8" w:color="2C6937"/>
            </w:tcBorders>
            <w:gridSpan w:val="3"/>
          </w:tcPr>
          <w:p>
            <w:pPr>
              <w:jc w:val="center"/>
              <w:ind w:right="540"/>
              <w:spacing w:after="0"/>
              <w:rPr>
                <w:sz w:val="20"/>
                <w:szCs w:val="20"/>
                <w:color w:val="auto"/>
              </w:rPr>
            </w:pPr>
            <w:r>
              <w:rPr>
                <w:rFonts w:ascii="Arial" w:cs="Arial" w:eastAsia="Arial" w:hAnsi="Arial"/>
                <w:sz w:val="14"/>
                <w:szCs w:val="14"/>
                <w:b w:val="1"/>
                <w:bCs w:val="1"/>
                <w:color w:val="auto"/>
                <w:w w:val="98"/>
              </w:rPr>
              <w:t>Financial</w:t>
            </w:r>
          </w:p>
        </w:tc>
        <w:tc>
          <w:tcPr>
            <w:tcW w:w="120" w:type="dxa"/>
            <w:vAlign w:val="bottom"/>
            <w:tcBorders>
              <w:top w:val="single" w:sz="8" w:color="2C6937"/>
            </w:tcBorders>
          </w:tcPr>
          <w:p>
            <w:pPr>
              <w:spacing w:after="0"/>
              <w:rPr>
                <w:sz w:val="15"/>
                <w:szCs w:val="15"/>
                <w:color w:val="auto"/>
              </w:rPr>
            </w:pPr>
          </w:p>
        </w:tc>
        <w:tc>
          <w:tcPr>
            <w:tcW w:w="86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80" w:type="dxa"/>
            <w:vAlign w:val="bottom"/>
            <w:tcBorders>
              <w:top w:val="single" w:sz="8" w:color="2C6937"/>
            </w:tcBorders>
          </w:tcPr>
          <w:p>
            <w:pPr>
              <w:spacing w:after="0"/>
              <w:rPr>
                <w:sz w:val="15"/>
                <w:szCs w:val="15"/>
                <w:color w:val="auto"/>
              </w:rPr>
            </w:pPr>
          </w:p>
        </w:tc>
        <w:tc>
          <w:tcPr>
            <w:tcW w:w="20" w:type="dxa"/>
            <w:vAlign w:val="bottom"/>
            <w:tcBorders>
              <w:top w:val="single" w:sz="8" w:color="2C6937"/>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6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Borders>
              <w:bottom w:val="single" w:sz="8" w:color="2C6937"/>
            </w:tcBorders>
          </w:tcPr>
          <w:p>
            <w:pPr>
              <w:spacing w:after="0"/>
              <w:rPr>
                <w:sz w:val="17"/>
                <w:szCs w:val="17"/>
                <w:color w:val="auto"/>
              </w:rPr>
            </w:pPr>
          </w:p>
        </w:tc>
        <w:tc>
          <w:tcPr>
            <w:tcW w:w="40" w:type="dxa"/>
            <w:vAlign w:val="bottom"/>
            <w:tcBorders>
              <w:bottom w:val="single" w:sz="8" w:color="2C6937"/>
            </w:tcBorders>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740" w:type="dxa"/>
            <w:vAlign w:val="bottom"/>
            <w:tcBorders>
              <w:bottom w:val="single" w:sz="8" w:color="2C6937"/>
            </w:tcBorders>
            <w:gridSpan w:val="2"/>
          </w:tcPr>
          <w:p>
            <w:pPr>
              <w:jc w:val="right"/>
              <w:ind w:right="220"/>
              <w:spacing w:after="0"/>
              <w:rPr>
                <w:sz w:val="20"/>
                <w:szCs w:val="20"/>
                <w:color w:val="auto"/>
              </w:rPr>
            </w:pPr>
            <w:r>
              <w:rPr>
                <w:rFonts w:ascii="Arial" w:cs="Arial" w:eastAsia="Arial" w:hAnsi="Arial"/>
                <w:sz w:val="14"/>
                <w:szCs w:val="14"/>
                <w:b w:val="1"/>
                <w:bCs w:val="1"/>
                <w:color w:val="auto"/>
                <w:w w:val="91"/>
              </w:rPr>
              <w:t>Offset</w:t>
            </w:r>
            <w:r>
              <w:rPr>
                <w:rFonts w:ascii="Arial" w:cs="Arial" w:eastAsia="Arial" w:hAnsi="Arial"/>
                <w:sz w:val="17"/>
                <w:szCs w:val="17"/>
                <w:b w:val="1"/>
                <w:bCs w:val="1"/>
                <w:color w:val="auto"/>
                <w:w w:val="91"/>
                <w:vertAlign w:val="superscript"/>
              </w:rPr>
              <w:t>(1)</w:t>
            </w:r>
          </w:p>
        </w:tc>
        <w:tc>
          <w:tcPr>
            <w:tcW w:w="2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840" w:type="dxa"/>
            <w:vAlign w:val="bottom"/>
            <w:tcBorders>
              <w:bottom w:val="single" w:sz="8" w:color="2C6937"/>
            </w:tcBorders>
          </w:tcPr>
          <w:p>
            <w:pPr>
              <w:jc w:val="center"/>
              <w:spacing w:after="0"/>
              <w:rPr>
                <w:sz w:val="20"/>
                <w:szCs w:val="20"/>
                <w:color w:val="auto"/>
              </w:rPr>
            </w:pPr>
            <w:r>
              <w:rPr>
                <w:rFonts w:ascii="Arial" w:cs="Arial" w:eastAsia="Arial" w:hAnsi="Arial"/>
                <w:sz w:val="14"/>
                <w:szCs w:val="14"/>
                <w:b w:val="1"/>
                <w:bCs w:val="1"/>
                <w:color w:val="auto"/>
                <w:w w:val="95"/>
              </w:rPr>
              <w:t>Sheets</w:t>
            </w:r>
          </w:p>
        </w:tc>
        <w:tc>
          <w:tcPr>
            <w:tcW w:w="20" w:type="dxa"/>
            <w:vAlign w:val="bottom"/>
            <w:tcBorders>
              <w:bottom w:val="single" w:sz="8" w:color="2C6937"/>
            </w:tcBorders>
          </w:tcPr>
          <w:p>
            <w:pPr>
              <w:spacing w:after="0"/>
              <w:rPr>
                <w:sz w:val="17"/>
                <w:szCs w:val="17"/>
                <w:color w:val="auto"/>
              </w:rPr>
            </w:pPr>
          </w:p>
        </w:tc>
        <w:tc>
          <w:tcPr>
            <w:tcW w:w="42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80" w:type="dxa"/>
            <w:vAlign w:val="bottom"/>
            <w:tcBorders>
              <w:bottom w:val="single" w:sz="8" w:color="2C6937"/>
            </w:tcBorders>
          </w:tcPr>
          <w:p>
            <w:pPr>
              <w:spacing w:after="0"/>
              <w:rPr>
                <w:sz w:val="17"/>
                <w:szCs w:val="17"/>
                <w:color w:val="auto"/>
              </w:rPr>
            </w:pPr>
          </w:p>
        </w:tc>
        <w:tc>
          <w:tcPr>
            <w:tcW w:w="20" w:type="dxa"/>
            <w:vAlign w:val="bottom"/>
            <w:tcBorders>
              <w:bottom w:val="single" w:sz="8" w:color="2C6937"/>
            </w:tcBorders>
          </w:tcPr>
          <w:p>
            <w:pPr>
              <w:spacing w:after="0"/>
              <w:rPr>
                <w:sz w:val="17"/>
                <w:szCs w:val="17"/>
                <w:color w:val="auto"/>
              </w:rPr>
            </w:pPr>
          </w:p>
        </w:tc>
        <w:tc>
          <w:tcPr>
            <w:tcW w:w="1400" w:type="dxa"/>
            <w:vAlign w:val="bottom"/>
            <w:tcBorders>
              <w:bottom w:val="single" w:sz="8" w:color="2C6937"/>
            </w:tcBorders>
            <w:gridSpan w:val="4"/>
          </w:tcPr>
          <w:p>
            <w:pPr>
              <w:jc w:val="center"/>
              <w:ind w:right="400"/>
              <w:spacing w:after="0"/>
              <w:rPr>
                <w:sz w:val="20"/>
                <w:szCs w:val="20"/>
                <w:color w:val="auto"/>
              </w:rPr>
            </w:pPr>
            <w:r>
              <w:rPr>
                <w:rFonts w:ascii="Arial" w:cs="Arial" w:eastAsia="Arial" w:hAnsi="Arial"/>
                <w:sz w:val="14"/>
                <w:szCs w:val="14"/>
                <w:b w:val="1"/>
                <w:bCs w:val="1"/>
                <w:color w:val="auto"/>
                <w:w w:val="93"/>
              </w:rPr>
              <w:t>Instruments</w:t>
            </w:r>
            <w:r>
              <w:rPr>
                <w:rFonts w:ascii="Arial" w:cs="Arial" w:eastAsia="Arial" w:hAnsi="Arial"/>
                <w:sz w:val="17"/>
                <w:szCs w:val="17"/>
                <w:b w:val="1"/>
                <w:bCs w:val="1"/>
                <w:color w:val="auto"/>
                <w:w w:val="93"/>
                <w:vertAlign w:val="superscript"/>
              </w:rPr>
              <w:t>(2)</w:t>
            </w:r>
          </w:p>
        </w:tc>
        <w:tc>
          <w:tcPr>
            <w:tcW w:w="120" w:type="dxa"/>
            <w:vAlign w:val="bottom"/>
            <w:tcBorders>
              <w:bottom w:val="single" w:sz="8" w:color="2C6937"/>
            </w:tcBorders>
          </w:tcPr>
          <w:p>
            <w:pPr>
              <w:spacing w:after="0"/>
              <w:rPr>
                <w:sz w:val="17"/>
                <w:szCs w:val="17"/>
                <w:color w:val="auto"/>
              </w:rPr>
            </w:pPr>
          </w:p>
        </w:tc>
        <w:tc>
          <w:tcPr>
            <w:tcW w:w="1040" w:type="dxa"/>
            <w:vAlign w:val="bottom"/>
            <w:tcBorders>
              <w:bottom w:val="single" w:sz="8" w:color="2C6937"/>
            </w:tcBorders>
            <w:gridSpan w:val="5"/>
          </w:tcPr>
          <w:p>
            <w:pPr>
              <w:ind w:left="20"/>
              <w:spacing w:after="0"/>
              <w:rPr>
                <w:sz w:val="20"/>
                <w:szCs w:val="20"/>
                <w:color w:val="auto"/>
              </w:rPr>
            </w:pPr>
            <w:r>
              <w:rPr>
                <w:rFonts w:ascii="Arial" w:cs="Arial" w:eastAsia="Arial" w:hAnsi="Arial"/>
                <w:sz w:val="14"/>
                <w:szCs w:val="14"/>
                <w:b w:val="1"/>
                <w:bCs w:val="1"/>
                <w:color w:val="auto"/>
              </w:rPr>
              <w:t>Collateral</w:t>
            </w:r>
            <w:r>
              <w:rPr>
                <w:rFonts w:ascii="Arial" w:cs="Arial" w:eastAsia="Arial" w:hAnsi="Arial"/>
                <w:sz w:val="17"/>
                <w:szCs w:val="17"/>
                <w:b w:val="1"/>
                <w:bCs w:val="1"/>
                <w:color w:val="auto"/>
                <w:vertAlign w:val="superscript"/>
              </w:rPr>
              <w:t>(3)</w:t>
            </w:r>
          </w:p>
        </w:tc>
        <w:tc>
          <w:tcPr>
            <w:tcW w:w="40" w:type="dxa"/>
            <w:vAlign w:val="bottom"/>
            <w:tcBorders>
              <w:bottom w:val="single" w:sz="8" w:color="2C6937"/>
            </w:tcBorders>
          </w:tcPr>
          <w:p>
            <w:pPr>
              <w:spacing w:after="0"/>
              <w:rPr>
                <w:sz w:val="17"/>
                <w:szCs w:val="17"/>
                <w:color w:val="auto"/>
              </w:rPr>
            </w:pPr>
          </w:p>
        </w:tc>
        <w:tc>
          <w:tcPr>
            <w:tcW w:w="94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401</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(383)</w:t>
            </w:r>
          </w:p>
        </w:tc>
        <w:tc>
          <w:tcPr>
            <w:tcW w:w="40" w:type="dxa"/>
            <w:vAlign w:val="bottom"/>
          </w:tcPr>
          <w:p>
            <w:pPr>
              <w:spacing w:after="0"/>
              <w:rPr>
                <w:sz w:val="24"/>
                <w:szCs w:val="24"/>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18</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4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112</w:t>
            </w:r>
          </w:p>
        </w:tc>
        <w:tc>
          <w:tcPr>
            <w:tcW w:w="20" w:type="dxa"/>
            <w:vAlign w:val="bottom"/>
          </w:tcPr>
          <w:p>
            <w:pPr>
              <w:spacing w:after="0"/>
              <w:rPr>
                <w:sz w:val="18"/>
                <w:szCs w:val="18"/>
                <w:color w:val="auto"/>
              </w:rPr>
            </w:pPr>
          </w:p>
        </w:tc>
        <w:tc>
          <w:tcPr>
            <w:tcW w:w="420" w:type="dxa"/>
            <w:vAlign w:val="bottom"/>
            <w:vMerge w:val="restart"/>
          </w:tcPr>
          <w:p>
            <w:pPr>
              <w:jc w:val="right"/>
              <w:ind w:right="250"/>
              <w:spacing w:after="0"/>
              <w:rPr>
                <w:sz w:val="20"/>
                <w:szCs w:val="20"/>
                <w:color w:val="auto"/>
              </w:rPr>
            </w:pPr>
            <w:r>
              <w:rPr>
                <w:rFonts w:ascii="Arial" w:cs="Arial" w:eastAsia="Arial" w:hAnsi="Arial"/>
                <w:sz w:val="10"/>
                <w:szCs w:val="10"/>
                <w:color w:val="auto"/>
                <w:w w:val="81"/>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left="464"/>
              <w:spacing w:after="0"/>
              <w:rPr>
                <w:sz w:val="20"/>
                <w:szCs w:val="20"/>
                <w:color w:val="auto"/>
              </w:rPr>
            </w:pPr>
            <w:r>
              <w:rPr>
                <w:rFonts w:ascii="Arial" w:cs="Arial" w:eastAsia="Arial" w:hAnsi="Arial"/>
                <w:sz w:val="15"/>
                <w:szCs w:val="15"/>
                <w:color w:val="auto"/>
                <w:w w:val="97"/>
              </w:rPr>
              <w:t>(91)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2C6937"/>
            </w:tcBorders>
          </w:tcPr>
          <w:p>
            <w:pPr>
              <w:spacing w:after="0"/>
              <w:rPr>
                <w:sz w:val="19"/>
                <w:szCs w:val="19"/>
                <w:color w:val="auto"/>
              </w:rPr>
            </w:pPr>
          </w:p>
        </w:tc>
        <w:tc>
          <w:tcPr>
            <w:tcW w:w="120" w:type="dxa"/>
            <w:vAlign w:val="bottom"/>
            <w:tcBorders>
              <w:top w:val="single" w:sz="8" w:color="2C6937"/>
            </w:tcBorders>
          </w:tcPr>
          <w:p>
            <w:pPr>
              <w:spacing w:after="0"/>
              <w:rPr>
                <w:sz w:val="19"/>
                <w:szCs w:val="19"/>
                <w:color w:val="auto"/>
              </w:rPr>
            </w:pPr>
          </w:p>
        </w:tc>
        <w:tc>
          <w:tcPr>
            <w:tcW w:w="720" w:type="dxa"/>
            <w:vAlign w:val="bottom"/>
            <w:tcBorders>
              <w:top w:val="single" w:sz="8" w:color="2C6937"/>
            </w:tcBorders>
          </w:tcPr>
          <w:p>
            <w:pPr>
              <w:jc w:val="right"/>
              <w:ind w:right="4"/>
              <w:spacing w:after="0"/>
              <w:rPr>
                <w:sz w:val="20"/>
                <w:szCs w:val="20"/>
                <w:color w:val="auto"/>
              </w:rPr>
            </w:pPr>
            <w:r>
              <w:rPr>
                <w:rFonts w:ascii="Arial" w:cs="Arial" w:eastAsia="Arial" w:hAnsi="Arial"/>
                <w:sz w:val="15"/>
                <w:szCs w:val="15"/>
                <w:color w:val="auto"/>
              </w:rPr>
              <w:t>513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2C6937"/>
            </w:tcBorders>
          </w:tcPr>
          <w:p>
            <w:pPr>
              <w:spacing w:after="0"/>
              <w:rPr>
                <w:sz w:val="19"/>
                <w:szCs w:val="19"/>
                <w:color w:val="auto"/>
              </w:rPr>
            </w:pPr>
          </w:p>
        </w:tc>
        <w:tc>
          <w:tcPr>
            <w:tcW w:w="120" w:type="dxa"/>
            <w:vAlign w:val="bottom"/>
            <w:tcBorders>
              <w:top w:val="single" w:sz="8" w:color="2C6937"/>
            </w:tcBorders>
          </w:tcPr>
          <w:p>
            <w:pPr>
              <w:spacing w:after="0"/>
              <w:rPr>
                <w:sz w:val="19"/>
                <w:szCs w:val="19"/>
                <w:color w:val="auto"/>
              </w:rPr>
            </w:pPr>
          </w:p>
        </w:tc>
        <w:tc>
          <w:tcPr>
            <w:tcW w:w="70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(362)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2C6937"/>
            </w:tcBorders>
          </w:tcPr>
          <w:p>
            <w:pPr>
              <w:spacing w:after="0"/>
              <w:rPr>
                <w:sz w:val="19"/>
                <w:szCs w:val="19"/>
                <w:color w:val="auto"/>
              </w:rPr>
            </w:pPr>
          </w:p>
        </w:tc>
        <w:tc>
          <w:tcPr>
            <w:tcW w:w="84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151</w:t>
            </w:r>
          </w:p>
        </w:tc>
        <w:tc>
          <w:tcPr>
            <w:tcW w:w="20" w:type="dxa"/>
            <w:vAlign w:val="bottom"/>
            <w:tcBorders>
              <w:top w:val="single" w:sz="8" w:color="2C6937"/>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2C6937"/>
            </w:tcBorders>
          </w:tcPr>
          <w:p>
            <w:pPr>
              <w:spacing w:after="0"/>
              <w:rPr>
                <w:sz w:val="19"/>
                <w:szCs w:val="19"/>
                <w:color w:val="auto"/>
              </w:rPr>
            </w:pPr>
          </w:p>
        </w:tc>
        <w:tc>
          <w:tcPr>
            <w:tcW w:w="840" w:type="dxa"/>
            <w:vAlign w:val="bottom"/>
            <w:tcBorders>
              <w:top w:val="single" w:sz="8" w:color="2C6937"/>
            </w:tcBorders>
          </w:tcPr>
          <w:p>
            <w:pPr>
              <w:jc w:val="center"/>
              <w:ind w:left="464"/>
              <w:spacing w:after="0"/>
              <w:rPr>
                <w:sz w:val="20"/>
                <w:szCs w:val="20"/>
                <w:color w:val="auto"/>
              </w:rPr>
            </w:pPr>
            <w:r>
              <w:rPr>
                <w:rFonts w:ascii="Arial" w:cs="Arial" w:eastAsia="Arial" w:hAnsi="Arial"/>
                <w:sz w:val="15"/>
                <w:szCs w:val="15"/>
                <w:color w:val="auto"/>
                <w:w w:val="97"/>
              </w:rPr>
              <w:t>(91)</w:t>
            </w:r>
          </w:p>
        </w:tc>
        <w:tc>
          <w:tcPr>
            <w:tcW w:w="20" w:type="dxa"/>
            <w:vAlign w:val="bottom"/>
            <w:tcBorders>
              <w:top w:val="single" w:sz="8" w:color="2C6937"/>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2C6937"/>
            </w:tcBorders>
          </w:tcPr>
          <w:p>
            <w:pPr>
              <w:spacing w:after="0"/>
              <w:rPr>
                <w:sz w:val="19"/>
                <w:szCs w:val="19"/>
                <w:color w:val="auto"/>
              </w:rPr>
            </w:pPr>
          </w:p>
        </w:tc>
        <w:tc>
          <w:tcPr>
            <w:tcW w:w="86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(14)</w:t>
            </w:r>
          </w:p>
        </w:tc>
        <w:tc>
          <w:tcPr>
            <w:tcW w:w="20" w:type="dxa"/>
            <w:vAlign w:val="bottom"/>
            <w:tcBorders>
              <w:top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2C6937"/>
            </w:tcBorders>
          </w:tcPr>
          <w:p>
            <w:pPr>
              <w:spacing w:after="0"/>
              <w:rPr>
                <w:sz w:val="19"/>
                <w:szCs w:val="19"/>
                <w:color w:val="auto"/>
              </w:rPr>
            </w:pPr>
          </w:p>
        </w:tc>
        <w:tc>
          <w:tcPr>
            <w:tcW w:w="54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46</w:t>
            </w:r>
          </w:p>
        </w:tc>
        <w:tc>
          <w:tcPr>
            <w:tcW w:w="40" w:type="dxa"/>
            <w:vAlign w:val="bottom"/>
            <w:tcBorders>
              <w:top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56,250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2C6937"/>
            </w:tcBorders>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2C6937"/>
            </w:tcBorders>
          </w:tcPr>
          <w:p>
            <w:pPr>
              <w:spacing w:after="0"/>
              <w:rPr>
                <w:sz w:val="20"/>
                <w:szCs w:val="20"/>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56,250</w:t>
            </w:r>
          </w:p>
        </w:tc>
        <w:tc>
          <w:tcPr>
            <w:tcW w:w="20" w:type="dxa"/>
            <w:vAlign w:val="bottom"/>
            <w:tcBorders>
              <w:bottom w:val="single" w:sz="8" w:color="2C6937"/>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0"/>
                <w:szCs w:val="20"/>
                <w:color w:val="auto"/>
              </w:rPr>
            </w:pPr>
          </w:p>
        </w:tc>
        <w:tc>
          <w:tcPr>
            <w:tcW w:w="120" w:type="dxa"/>
            <w:vAlign w:val="bottom"/>
            <w:tcBorders>
              <w:bottom w:val="single" w:sz="8" w:color="2C6937"/>
            </w:tcBorders>
          </w:tcPr>
          <w:p>
            <w:pPr>
              <w:spacing w:after="0"/>
              <w:rPr>
                <w:sz w:val="20"/>
                <w:szCs w:val="20"/>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(56,250)</w:t>
            </w:r>
          </w:p>
        </w:tc>
        <w:tc>
          <w:tcPr>
            <w:tcW w:w="20" w:type="dxa"/>
            <w:vAlign w:val="bottom"/>
            <w:tcBorders>
              <w:bottom w:val="single" w:sz="8" w:color="2C6937"/>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2C6937"/>
            </w:tcBorders>
          </w:tcPr>
          <w:p>
            <w:pPr>
              <w:spacing w:after="0"/>
              <w:rPr>
                <w:sz w:val="20"/>
                <w:szCs w:val="20"/>
                <w:color w:val="auto"/>
              </w:rPr>
            </w:pPr>
          </w:p>
        </w:tc>
        <w:tc>
          <w:tcPr>
            <w:tcW w:w="580" w:type="dxa"/>
            <w:vAlign w:val="bottom"/>
            <w:tcBorders>
              <w:bottom w:val="single" w:sz="8" w:color="2C6937"/>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140" w:type="dxa"/>
            <w:vAlign w:val="bottom"/>
            <w:tcBorders>
              <w:bottom w:val="single" w:sz="8" w:color="2C6937"/>
            </w:tcBorders>
            <w:gridSpan w:val="2"/>
          </w:tcPr>
          <w:p>
            <w:pPr>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2C6937"/>
            </w:tcBorders>
          </w:tcPr>
          <w:p>
            <w:pPr>
              <w:jc w:val="right"/>
              <w:ind w:right="4"/>
              <w:spacing w:after="0"/>
              <w:rPr>
                <w:sz w:val="20"/>
                <w:szCs w:val="20"/>
                <w:color w:val="auto"/>
              </w:rPr>
            </w:pPr>
            <w:r>
              <w:rPr>
                <w:rFonts w:ascii="Arial" w:cs="Arial" w:eastAsia="Arial" w:hAnsi="Arial"/>
                <w:sz w:val="15"/>
                <w:szCs w:val="15"/>
                <w:color w:val="auto"/>
              </w:rPr>
              <w:t>56,763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2C6937"/>
            </w:tcBorders>
            <w:gridSpan w:val="2"/>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(362)</w:t>
            </w:r>
          </w:p>
        </w:tc>
        <w:tc>
          <w:tcPr>
            <w:tcW w:w="4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80" w:type="dxa"/>
            <w:vAlign w:val="bottom"/>
            <w:tcBorders>
              <w:bottom w:val="single" w:sz="8" w:color="2C6937"/>
            </w:tcBorders>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56,401</w:t>
            </w:r>
          </w:p>
        </w:tc>
        <w:tc>
          <w:tcPr>
            <w:tcW w:w="20" w:type="dxa"/>
            <w:vAlign w:val="bottom"/>
            <w:tcBorders>
              <w:bottom w:val="single" w:sz="8" w:color="2C6937"/>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gridSpan w:val="3"/>
          </w:tcPr>
          <w:p>
            <w:pPr>
              <w:spacing w:after="0"/>
              <w:rPr>
                <w:sz w:val="19"/>
                <w:szCs w:val="19"/>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2C6937"/>
            </w:tcBorders>
          </w:tcPr>
          <w:p>
            <w:pPr>
              <w:jc w:val="center"/>
              <w:ind w:left="464"/>
              <w:spacing w:after="0"/>
              <w:rPr>
                <w:sz w:val="20"/>
                <w:szCs w:val="20"/>
                <w:color w:val="auto"/>
              </w:rPr>
            </w:pPr>
            <w:r>
              <w:rPr>
                <w:rFonts w:ascii="Arial" w:cs="Arial" w:eastAsia="Arial" w:hAnsi="Arial"/>
                <w:sz w:val="15"/>
                <w:szCs w:val="15"/>
                <w:color w:val="auto"/>
                <w:w w:val="97"/>
              </w:rPr>
              <w:t>(91)</w:t>
            </w:r>
          </w:p>
        </w:tc>
        <w:tc>
          <w:tcPr>
            <w:tcW w:w="20" w:type="dxa"/>
            <w:vAlign w:val="bottom"/>
            <w:tcBorders>
              <w:bottom w:val="single" w:sz="8" w:color="2C6937"/>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(56,264)</w:t>
            </w:r>
          </w:p>
        </w:tc>
        <w:tc>
          <w:tcPr>
            <w:tcW w:w="20" w:type="dxa"/>
            <w:vAlign w:val="bottom"/>
            <w:tcBorders>
              <w:bottom w:val="single" w:sz="8" w:color="2C6937"/>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46</w:t>
            </w:r>
          </w:p>
        </w:tc>
        <w:tc>
          <w:tcPr>
            <w:tcW w:w="4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2C6937"/>
            </w:tcBorders>
            <w:gridSpan w:val="2"/>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C6937"/>
            </w:tcBorders>
            <w:gridSpan w:val="2"/>
          </w:tcPr>
          <w:p>
            <w:pPr>
              <w:spacing w:after="0" w:line="20" w:lineRule="exact"/>
              <w:rPr>
                <w:sz w:val="1"/>
                <w:szCs w:val="1"/>
                <w:color w:val="auto"/>
              </w:rPr>
            </w:pPr>
          </w:p>
        </w:tc>
        <w:tc>
          <w:tcPr>
            <w:tcW w:w="700" w:type="dxa"/>
            <w:vAlign w:val="bottom"/>
            <w:tcBorders>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20" w:type="dxa"/>
            <w:vAlign w:val="bottom"/>
            <w:tcBorders>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880" w:type="dxa"/>
            <w:vAlign w:val="bottom"/>
            <w:tcBorders>
              <w:bottom w:val="single" w:sz="8" w:color="2C6937"/>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2C6937"/>
            </w:tcBorders>
          </w:tcPr>
          <w:p>
            <w:pPr>
              <w:spacing w:after="0" w:line="20" w:lineRule="exact"/>
              <w:rPr>
                <w:sz w:val="1"/>
                <w:szCs w:val="1"/>
                <w:color w:val="auto"/>
              </w:rPr>
            </w:pPr>
          </w:p>
        </w:tc>
        <w:tc>
          <w:tcPr>
            <w:tcW w:w="580" w:type="dxa"/>
            <w:vAlign w:val="bottom"/>
            <w:tcBorders>
              <w:bottom w:val="single" w:sz="8" w:color="2C6937"/>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(2,368)</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2,368</w:t>
            </w:r>
          </w:p>
        </w:tc>
        <w:tc>
          <w:tcPr>
            <w:tcW w:w="40" w:type="dxa"/>
            <w:vAlign w:val="bottom"/>
          </w:tcPr>
          <w:p>
            <w:pPr>
              <w:spacing w:after="0"/>
              <w:rPr>
                <w:sz w:val="24"/>
                <w:szCs w:val="24"/>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5"/>
          </w:tcPr>
          <w:p>
            <w:pPr>
              <w:jc w:val="right"/>
              <w:ind w:right="220"/>
              <w:spacing w:after="0"/>
              <w:rPr>
                <w:sz w:val="20"/>
                <w:szCs w:val="20"/>
                <w:color w:val="auto"/>
              </w:rPr>
            </w:pPr>
            <w:r>
              <w:rPr>
                <w:rFonts w:ascii="Arial" w:cs="Arial" w:eastAsia="Arial" w:hAnsi="Arial"/>
                <w:sz w:val="15"/>
                <w:szCs w:val="15"/>
                <w:color w:val="auto"/>
              </w:rPr>
              <w:t>—</w:t>
            </w:r>
          </w:p>
        </w:tc>
        <w:tc>
          <w:tcPr>
            <w:tcW w:w="4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2C6937"/>
            </w:tcBorders>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70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(137)</w:t>
            </w:r>
          </w:p>
        </w:tc>
        <w:tc>
          <w:tcPr>
            <w:tcW w:w="20" w:type="dxa"/>
            <w:vAlign w:val="bottom"/>
            <w:tcBorders>
              <w:bottom w:val="single" w:sz="8" w:color="2C6937"/>
            </w:tcBorders>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2C6937"/>
            </w:tcBorders>
          </w:tcPr>
          <w:p>
            <w:pPr>
              <w:spacing w:after="0"/>
              <w:rPr>
                <w:sz w:val="18"/>
                <w:szCs w:val="18"/>
                <w:color w:val="auto"/>
              </w:rPr>
            </w:pPr>
          </w:p>
        </w:tc>
        <w:tc>
          <w:tcPr>
            <w:tcW w:w="84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91</w:t>
            </w:r>
          </w:p>
        </w:tc>
        <w:tc>
          <w:tcPr>
            <w:tcW w:w="20" w:type="dxa"/>
            <w:vAlign w:val="bottom"/>
            <w:tcBorders>
              <w:bottom w:val="single" w:sz="8" w:color="2C6937"/>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2C6937"/>
            </w:tcBorders>
          </w:tcPr>
          <w:p>
            <w:pPr>
              <w:spacing w:after="0"/>
              <w:rPr>
                <w:sz w:val="18"/>
                <w:szCs w:val="18"/>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5"/>
                <w:szCs w:val="15"/>
                <w:color w:val="auto"/>
              </w:rPr>
              <w:t>9</w:t>
            </w:r>
          </w:p>
        </w:tc>
        <w:tc>
          <w:tcPr>
            <w:tcW w:w="20" w:type="dxa"/>
            <w:vAlign w:val="bottom"/>
            <w:tcBorders>
              <w:bottom w:val="single" w:sz="8" w:color="2C6937"/>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bottom w:val="single" w:sz="8" w:color="2C6937"/>
            </w:tcBorders>
          </w:tcPr>
          <w:p>
            <w:pPr>
              <w:spacing w:after="0"/>
              <w:rPr>
                <w:sz w:val="18"/>
                <w:szCs w:val="18"/>
                <w:color w:val="auto"/>
              </w:rPr>
            </w:pPr>
          </w:p>
        </w:tc>
        <w:tc>
          <w:tcPr>
            <w:tcW w:w="580" w:type="dxa"/>
            <w:vAlign w:val="bottom"/>
            <w:tcBorders>
              <w:bottom w:val="single" w:sz="8" w:color="2C6937"/>
            </w:tcBorders>
            <w:gridSpan w:val="2"/>
          </w:tcPr>
          <w:p>
            <w:pPr>
              <w:jc w:val="right"/>
              <w:ind w:right="2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0"/>
        </w:trPr>
        <w:tc>
          <w:tcPr>
            <w:tcW w:w="140" w:type="dxa"/>
            <w:vAlign w:val="bottom"/>
            <w:gridSpan w:val="2"/>
          </w:tcPr>
          <w:p>
            <w:pPr>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(2,505)</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2,367</w:t>
            </w:r>
          </w:p>
        </w:tc>
        <w:tc>
          <w:tcPr>
            <w:tcW w:w="40" w:type="dxa"/>
            <w:vAlign w:val="bottom"/>
          </w:tcPr>
          <w:p>
            <w:pPr>
              <w:spacing w:after="0"/>
              <w:rPr>
                <w:sz w:val="17"/>
                <w:szCs w:val="17"/>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250"/>
              <w:spacing w:after="0" w:line="200" w:lineRule="exact"/>
              <w:rPr>
                <w:sz w:val="20"/>
                <w:szCs w:val="20"/>
                <w:color w:val="auto"/>
              </w:rPr>
            </w:pPr>
            <w:r>
              <w:rPr>
                <w:rFonts w:ascii="Arial" w:cs="Arial" w:eastAsia="Arial" w:hAnsi="Arial"/>
                <w:sz w:val="15"/>
                <w:szCs w:val="15"/>
                <w:color w:val="auto"/>
              </w:rPr>
              <w:t xml:space="preserve">(138) </w:t>
            </w:r>
            <w:r>
              <w:rPr>
                <w:rFonts w:ascii="Arial" w:cs="Arial" w:eastAsia="Arial" w:hAnsi="Arial"/>
                <w:sz w:val="20"/>
                <w:szCs w:val="20"/>
                <w:color w:val="auto"/>
                <w:vertAlign w:val="superscript"/>
              </w:rPr>
              <w:t>(4)</w:t>
            </w:r>
          </w:p>
        </w:tc>
        <w:tc>
          <w:tcPr>
            <w:tcW w:w="36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91</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
        </w:trPr>
        <w:tc>
          <w:tcPr>
            <w:tcW w:w="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70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84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2C6937"/>
              <w:bottom w:val="single" w:sz="8" w:color="2C6937"/>
            </w:tcBorders>
          </w:tcPr>
          <w:p>
            <w:pPr>
              <w:spacing w:after="0" w:line="20" w:lineRule="exact"/>
              <w:rPr>
                <w:sz w:val="1"/>
                <w:szCs w:val="1"/>
                <w:color w:val="auto"/>
              </w:rPr>
            </w:pPr>
          </w:p>
        </w:tc>
        <w:tc>
          <w:tcPr>
            <w:tcW w:w="540" w:type="dxa"/>
            <w:vAlign w:val="bottom"/>
            <w:tcBorders>
              <w:top w:val="single" w:sz="8" w:color="2C6937"/>
              <w:bottom w:val="single" w:sz="8" w:color="2C6937"/>
            </w:tcBorders>
          </w:tcPr>
          <w:p>
            <w:pPr>
              <w:spacing w:after="0" w:line="20" w:lineRule="exact"/>
              <w:rPr>
                <w:sz w:val="1"/>
                <w:szCs w:val="1"/>
                <w:color w:val="auto"/>
              </w:rPr>
            </w:pPr>
          </w:p>
        </w:tc>
        <w:tc>
          <w:tcPr>
            <w:tcW w:w="4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ectPr>
          <w:pgSz w:w="11900" w:h="16838" w:orient="portrait"/>
          <w:cols w:equalWidth="0" w:num="2">
            <w:col w:w="3620" w:space="260"/>
            <w:col w:w="7320"/>
          </w:cols>
          <w:pgMar w:left="320" w:top="248" w:right="379" w:bottom="1440" w:gutter="0" w:footer="0" w:header="0"/>
          <w:type w:val="continuous"/>
        </w:sectPr>
      </w:pPr>
    </w:p>
    <w:p>
      <w:pPr>
        <w:ind w:left="240" w:hanging="237"/>
        <w:spacing w:after="0" w:line="226" w:lineRule="auto"/>
        <w:tabs>
          <w:tab w:leader="none" w:pos="233"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Represents the effect of the right to offset under legally enforceable master netting arrangements to settle with the same counterparty on a net basis, including cash collateral posted and received and accrued interest.</w:t>
      </w:r>
    </w:p>
    <w:p>
      <w:pPr>
        <w:spacing w:after="0" w:line="27" w:lineRule="exact"/>
        <w:rPr>
          <w:rFonts w:ascii="Arial" w:cs="Arial" w:eastAsia="Arial" w:hAnsi="Arial"/>
          <w:sz w:val="18"/>
          <w:szCs w:val="18"/>
          <w:color w:val="auto"/>
          <w:vertAlign w:val="superscript"/>
        </w:rPr>
      </w:pPr>
    </w:p>
    <w:p>
      <w:pPr>
        <w:ind w:left="240" w:right="700" w:hanging="237"/>
        <w:spacing w:after="0" w:line="226" w:lineRule="auto"/>
        <w:tabs>
          <w:tab w:leader="none" w:pos="233"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Mortgage commitment derivative amounts reflect where we have recognized both an asset and a liability with the same counterparty under an enforceable master netting arrangement but we have not elected to offset the related amounts in our condensed consolidated balance sheets.</w:t>
      </w:r>
    </w:p>
    <w:p>
      <w:pPr>
        <w:spacing w:after="0" w:line="14" w:lineRule="exact"/>
        <w:rPr>
          <w:rFonts w:ascii="Arial" w:cs="Arial" w:eastAsia="Arial" w:hAnsi="Arial"/>
          <w:sz w:val="18"/>
          <w:szCs w:val="18"/>
          <w:color w:val="auto"/>
          <w:vertAlign w:val="superscript"/>
        </w:rPr>
      </w:pPr>
    </w:p>
    <w:p>
      <w:pPr>
        <w:ind w:left="240" w:right="380" w:hanging="237"/>
        <w:spacing w:after="0" w:line="278" w:lineRule="auto"/>
        <w:tabs>
          <w:tab w:leader="none" w:pos="233" w:val="left"/>
        </w:tabs>
        <w:numPr>
          <w:ilvl w:val="0"/>
          <w:numId w:val="78"/>
        </w:numPr>
        <w:rPr>
          <w:rFonts w:ascii="Arial" w:cs="Arial" w:eastAsia="Arial" w:hAnsi="Arial"/>
          <w:sz w:val="9"/>
          <w:szCs w:val="9"/>
          <w:color w:val="auto"/>
        </w:rPr>
      </w:pPr>
      <w:r>
        <w:rPr>
          <w:rFonts w:ascii="Arial" w:cs="Arial" w:eastAsia="Arial" w:hAnsi="Arial"/>
          <w:sz w:val="14"/>
          <w:szCs w:val="14"/>
          <w:color w:val="auto"/>
        </w:rPr>
        <w:t>Represents collateral received that has not been recognized and has not been offset in our condensed consolidated balance sheets, as well as collateral posted that has been recognized but not offset in our condensed consolidated balance sheets. Does not include collateral held or posted in excess of our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349250</wp:posOffset>
            </wp:positionV>
            <wp:extent cx="680593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bookmarkStart w:id="102" w:name="page103"/>
    <w:bookmarkEnd w:id="102"/>
    <w:p>
      <w:pPr>
        <w:ind w:left="6260"/>
        <w:spacing w:after="0"/>
        <w:rPr>
          <w:sz w:val="20"/>
          <w:szCs w:val="20"/>
          <w:color w:val="auto"/>
        </w:rPr>
      </w:pPr>
      <w:r>
        <w:rPr>
          <w:rFonts w:ascii="Arial" w:cs="Arial" w:eastAsia="Arial" w:hAnsi="Arial"/>
          <w:sz w:val="13"/>
          <w:szCs w:val="13"/>
          <w:color w:val="05314D"/>
        </w:rPr>
        <w:t>Notes to Condensed Consolidated Financial Statements |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40" w:hanging="237"/>
        <w:spacing w:after="0" w:line="233" w:lineRule="auto"/>
        <w:tabs>
          <w:tab w:leader="none" w:pos="233"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Excludes derivative assets of $31 million and $28 million as of September 30, 2025 and December 31, 2024, respectively, and derivative liabilities of $9 million and $16 million as of September 30, 2025 and December 31, 2024, respectively, recognized in our condensed consolidated balance sheets, that were not subject to enforceable master netting arrangements.</w:t>
      </w:r>
    </w:p>
    <w:p>
      <w:pPr>
        <w:spacing w:after="0" w:line="39"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Derivative instruments are recorded at fair value and securities purchased under agreements to resell are recorded at amortized cost in our condensed consolidated balance sheets. For a discussion of how we determine our rights to offset the assets and liabilities presented above with the same counterparty, including collateral posted or received, see “Note 15, Netting Arrangements” in our 2024 Form 10-K.</w:t>
      </w:r>
    </w:p>
    <w:p>
      <w:pPr>
        <w:spacing w:after="0" w:line="12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13. Fair Value</w:t>
      </w:r>
    </w:p>
    <w:p>
      <w:pPr>
        <w:spacing w:after="0" w:line="80"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use fair value measurements for the initial recording of certain assets and liabilities and periodic remeasurement of certain assets and liabilities on a recurring or nonrecurring basis.</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Measurement</w:t>
      </w:r>
    </w:p>
    <w:p>
      <w:pPr>
        <w:spacing w:after="0" w:line="81" w:lineRule="exact"/>
        <w:rPr>
          <w:sz w:val="20"/>
          <w:szCs w:val="20"/>
          <w:color w:val="auto"/>
        </w:rPr>
      </w:pPr>
    </w:p>
    <w:p>
      <w:pPr>
        <w:ind w:right="460"/>
        <w:spacing w:after="0" w:line="272" w:lineRule="auto"/>
        <w:rPr>
          <w:sz w:val="20"/>
          <w:szCs w:val="20"/>
          <w:color w:val="auto"/>
        </w:rPr>
      </w:pPr>
      <w:r>
        <w:rPr>
          <w:rFonts w:ascii="Arial" w:cs="Arial" w:eastAsia="Arial" w:hAnsi="Arial"/>
          <w:sz w:val="16"/>
          <w:szCs w:val="16"/>
          <w:color w:val="auto"/>
        </w:rPr>
        <w:t>Fair value measurement guidance defines fair value, establishes a framework for measuring fair value and sets forth disclosures around fair value measurements. This guidance applies whenever other accounting guidance requires or permits assets or liabilities to be measured at fair value. The guidance establishes a three-level fair value hierarchy that prioritizes the inputs into the valuation techniques used to measure fair value as follows:</w:t>
      </w:r>
    </w:p>
    <w:p>
      <w:pPr>
        <w:spacing w:after="0" w:line="32" w:lineRule="exact"/>
        <w:rPr>
          <w:sz w:val="20"/>
          <w:szCs w:val="20"/>
          <w:color w:val="auto"/>
        </w:rPr>
      </w:pPr>
    </w:p>
    <w:p>
      <w:pPr>
        <w:ind w:left="620" w:hanging="307"/>
        <w:spacing w:after="0"/>
        <w:tabs>
          <w:tab w:leader="none" w:pos="6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for identical assets or liabilities.</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Level 2: Limited observable inputs or observable inputs for similar assets and liabilities.</w:t>
      </w:r>
    </w:p>
    <w:p>
      <w:pPr>
        <w:spacing w:after="0" w:line="98" w:lineRule="exact"/>
        <w:rPr>
          <w:rFonts w:ascii="Times New Roman" w:cs="Times New Roman" w:eastAsia="Times New Roman" w:hAnsi="Times New Roman"/>
          <w:sz w:val="16"/>
          <w:szCs w:val="16"/>
          <w:color w:val="auto"/>
        </w:rPr>
      </w:pPr>
    </w:p>
    <w:p>
      <w:pPr>
        <w:ind w:left="620" w:hanging="307"/>
        <w:spacing w:after="0"/>
        <w:tabs>
          <w:tab w:leader="none" w:pos="62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Level 3: Unobservable inputs.</w:t>
      </w:r>
    </w:p>
    <w:p>
      <w:pPr>
        <w:spacing w:after="0" w:line="8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See “Note 16, Fair Value” in our 2024 Form 10-K for information on the valuation control processes and the valuation techniques we use for fair value measurement and disclosure as well as our basis for classifying these measurements as Level 1, Level 2 or Level 3 of the valuation hierarchy in more specific situations. If the inputs used to measure assets or liabilities at fair value change, it may also result in a change in classification between Levels 1, 2, and 3. We made no material changes to the valuation control processes or the valuation techniques 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367030</wp:posOffset>
            </wp:positionV>
            <wp:extent cx="680593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48" w:right="439" w:bottom="1440" w:gutter="0" w:footer="0" w:header="0"/>
        </w:sectPr>
      </w:pPr>
    </w:p>
    <w:bookmarkStart w:id="103" w:name="page104"/>
    <w:bookmarkEnd w:id="103"/>
    <w:p>
      <w:pPr>
        <w:ind w:left="6980"/>
        <w:spacing w:after="0"/>
        <w:rPr>
          <w:sz w:val="20"/>
          <w:szCs w:val="20"/>
          <w:color w:val="auto"/>
        </w:rPr>
      </w:pPr>
      <w:r>
        <w:rPr>
          <w:rFonts w:ascii="Arial" w:cs="Arial" w:eastAsia="Arial" w:hAnsi="Arial"/>
          <w:sz w:val="13"/>
          <w:szCs w:val="13"/>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24130</wp:posOffset>
            </wp:positionV>
            <wp:extent cx="70154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Recurring Changes in Fair Value</w:t>
      </w:r>
    </w:p>
    <w:p>
      <w:pPr>
        <w:spacing w:after="0" w:line="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tables display our assets and liabilities measured in our condensed consolidated balance sheets at fair value on a recurring basis subsequent to initial recognition, including instruments for which we have elected the fair value option.</w:t>
      </w:r>
    </w:p>
    <w:p>
      <w:pPr>
        <w:sectPr>
          <w:pgSz w:w="11900" w:h="16838" w:orient="portrait"/>
          <w:cols w:equalWidth="0" w:num="1">
            <w:col w:w="11200"/>
          </w:cols>
          <w:pgMar w:left="320" w:top="2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trading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Agency</w:t>
      </w:r>
      <w:r>
        <w:rPr>
          <w:rFonts w:ascii="Arial" w:cs="Arial" w:eastAsia="Arial" w:hAnsi="Arial"/>
          <w:sz w:val="15"/>
          <w:szCs w:val="15"/>
          <w:color w:val="auto"/>
          <w:vertAlign w:val="superscript"/>
        </w:rPr>
        <w:t>(2)</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36601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Recurring fair value measurements: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Assets: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Trading securities: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Mortgage-related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Non-mortgage-related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trading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Available-for-sale securities: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Agency</w:t>
      </w:r>
      <w:r>
        <w:rPr>
          <w:rFonts w:ascii="Arial" w:cs="Arial" w:eastAsia="Arial" w:hAnsi="Arial"/>
          <w:sz w:val="15"/>
          <w:szCs w:val="15"/>
          <w:color w:val="auto"/>
          <w:vertAlign w:val="superscript"/>
        </w:rPr>
        <w:t>(2)</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Other mortgage-related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36601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available-for-sale securities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Mortgage loans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Arial" w:cs="Arial" w:eastAsia="Arial" w:hAnsi="Arial"/>
          <w:sz w:val="12"/>
          <w:szCs w:val="12"/>
          <w:color w:val="auto"/>
        </w:rPr>
        <w:t>Liabilities: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Long-term debt:</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Fannie Mae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Of consolidated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Total long-term debt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36601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236601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200"/>
        <w:spacing w:after="0"/>
        <w:rPr>
          <w:sz w:val="20"/>
          <w:szCs w:val="20"/>
          <w:color w:val="auto"/>
        </w:rPr>
      </w:pPr>
      <w:r>
        <w:rPr>
          <w:rFonts w:ascii="Arial" w:cs="Arial" w:eastAsia="Arial" w:hAnsi="Arial"/>
          <w:sz w:val="12"/>
          <w:szCs w:val="12"/>
          <w:b w:val="1"/>
          <w:bCs w:val="1"/>
          <w:color w:val="auto"/>
        </w:rPr>
        <w:t>Fair Value Measurements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46577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65772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Quoted Prices in</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100" w:type="dxa"/>
            <w:vAlign w:val="bottom"/>
          </w:tcPr>
          <w:p>
            <w:pPr>
              <w:spacing w:after="0"/>
              <w:rPr>
                <w:sz w:val="13"/>
                <w:szCs w:val="13"/>
                <w:color w:val="auto"/>
              </w:rPr>
            </w:pPr>
          </w:p>
        </w:tc>
        <w:tc>
          <w:tcPr>
            <w:tcW w:w="108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580" w:type="dxa"/>
            <w:vAlign w:val="bottom"/>
            <w:gridSpan w:val="4"/>
          </w:tcPr>
          <w:p>
            <w:pPr>
              <w:jc w:val="center"/>
              <w:ind w:right="200"/>
              <w:spacing w:after="0" w:line="129" w:lineRule="exact"/>
              <w:rPr>
                <w:sz w:val="20"/>
                <w:szCs w:val="20"/>
                <w:color w:val="auto"/>
              </w:rPr>
            </w:pPr>
            <w:r>
              <w:rPr>
                <w:rFonts w:ascii="Arial" w:cs="Arial" w:eastAsia="Arial" w:hAnsi="Arial"/>
                <w:sz w:val="12"/>
                <w:szCs w:val="12"/>
                <w:b w:val="1"/>
                <w:bCs w:val="1"/>
                <w:color w:val="auto"/>
              </w:rPr>
              <w:t>Identical Assets (Level</w:t>
            </w:r>
          </w:p>
        </w:tc>
        <w:tc>
          <w:tcPr>
            <w:tcW w:w="11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9"/>
              </w:rPr>
              <w:t>Observable Inputs</w:t>
            </w:r>
          </w:p>
        </w:tc>
        <w:tc>
          <w:tcPr>
            <w:tcW w:w="1640" w:type="dxa"/>
            <w:vAlign w:val="bottom"/>
            <w:gridSpan w:val="4"/>
          </w:tcPr>
          <w:p>
            <w:pPr>
              <w:jc w:val="center"/>
              <w:ind w:left="80"/>
              <w:spacing w:after="0" w:line="129" w:lineRule="exact"/>
              <w:rPr>
                <w:sz w:val="20"/>
                <w:szCs w:val="20"/>
                <w:color w:val="auto"/>
              </w:rPr>
            </w:pPr>
            <w:r>
              <w:rPr>
                <w:rFonts w:ascii="Arial" w:cs="Arial" w:eastAsia="Arial" w:hAnsi="Arial"/>
                <w:sz w:val="12"/>
                <w:szCs w:val="12"/>
                <w:b w:val="1"/>
                <w:bCs w:val="1"/>
                <w:color w:val="auto"/>
                <w:w w:val="99"/>
              </w:rPr>
              <w:t>Unobservable Inputs</w:t>
            </w:r>
          </w:p>
        </w:tc>
        <w:tc>
          <w:tcPr>
            <w:tcW w:w="160" w:type="dxa"/>
            <w:vAlign w:val="bottom"/>
          </w:tcPr>
          <w:p>
            <w:pPr>
              <w:spacing w:after="0"/>
              <w:rPr>
                <w:sz w:val="11"/>
                <w:szCs w:val="11"/>
                <w:color w:val="auto"/>
              </w:rPr>
            </w:pPr>
          </w:p>
        </w:tc>
        <w:tc>
          <w:tcPr>
            <w:tcW w:w="13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42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93"/>
        </w:trPr>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rPr>
              <w:t>1)</w:t>
            </w:r>
          </w:p>
        </w:tc>
        <w:tc>
          <w:tcPr>
            <w:tcW w:w="3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center"/>
              <w:ind w:right="6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gridSpan w:val="2"/>
          </w:tcPr>
          <w:p>
            <w:pPr>
              <w:jc w:val="center"/>
              <w:ind w:right="340"/>
              <w:spacing w:after="0"/>
              <w:rPr>
                <w:sz w:val="20"/>
                <w:szCs w:val="20"/>
                <w:color w:val="auto"/>
              </w:rPr>
            </w:pPr>
            <w:r>
              <w:rPr>
                <w:rFonts w:ascii="Arial" w:cs="Arial" w:eastAsia="Arial" w:hAnsi="Arial"/>
                <w:sz w:val="12"/>
                <w:szCs w:val="12"/>
                <w:b w:val="1"/>
                <w:bCs w:val="1"/>
                <w:color w:val="auto"/>
              </w:rPr>
              <w:t>(Level 3)</w:t>
            </w:r>
          </w:p>
        </w:tc>
        <w:tc>
          <w:tcPr>
            <w:tcW w:w="160" w:type="dxa"/>
            <w:vAlign w:val="bottom"/>
            <w:tcBorders>
              <w:bottom w:val="single" w:sz="8" w:color="2C6937"/>
            </w:tcBorders>
          </w:tcPr>
          <w:p>
            <w:pPr>
              <w:spacing w:after="0"/>
              <w:rPr>
                <w:sz w:val="16"/>
                <w:szCs w:val="16"/>
                <w:color w:val="auto"/>
              </w:rPr>
            </w:pPr>
          </w:p>
        </w:tc>
        <w:tc>
          <w:tcPr>
            <w:tcW w:w="1340" w:type="dxa"/>
            <w:vAlign w:val="bottom"/>
            <w:tcBorders>
              <w:bottom w:val="single" w:sz="8" w:color="2C6937"/>
            </w:tcBorders>
            <w:gridSpan w:val="3"/>
            <w:vMerge w:val="continue"/>
          </w:tcPr>
          <w:p>
            <w:pPr>
              <w:spacing w:after="0"/>
              <w:rPr>
                <w:sz w:val="16"/>
                <w:szCs w:val="16"/>
                <w:color w:val="auto"/>
              </w:rPr>
            </w:pPr>
          </w:p>
        </w:tc>
        <w:tc>
          <w:tcPr>
            <w:tcW w:w="1420" w:type="dxa"/>
            <w:vAlign w:val="bottom"/>
            <w:tcBorders>
              <w:bottom w:val="single" w:sz="8" w:color="2C6937"/>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0"/>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5,076</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26</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5,102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66,149</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66,166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66,149</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5,093</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26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71,268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283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37</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351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4,831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371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5,202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364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(277)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66,149</w:t>
            </w:r>
          </w:p>
        </w:tc>
        <w:tc>
          <w:tcPr>
            <w:tcW w:w="32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10,325</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805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(277)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77,002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8"/>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41</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258</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15,229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15,323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15,270</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352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15,622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1,494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(1,324)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16,764</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361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(1,324)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15,801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Borders>
              <w:bottom w:val="single" w:sz="8" w:color="2C6937"/>
            </w:tcBorders>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7"/>
        </w:trPr>
        <w:tc>
          <w:tcPr>
            <w:tcW w:w="10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1060" w:type="dxa"/>
            <w:vAlign w:val="bottom"/>
            <w:tcBorders>
              <w:bottom w:val="single" w:sz="8" w:color="2C6937"/>
            </w:tcBorders>
          </w:tcPr>
          <w:p>
            <w:pPr>
              <w:spacing w:after="0"/>
              <w:rPr>
                <w:sz w:val="24"/>
                <w:szCs w:val="24"/>
                <w:color w:val="auto"/>
              </w:rPr>
            </w:pPr>
          </w:p>
        </w:tc>
        <w:tc>
          <w:tcPr>
            <w:tcW w:w="32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3540" w:type="dxa"/>
            <w:vAlign w:val="bottom"/>
            <w:tcBorders>
              <w:bottom w:val="single" w:sz="8" w:color="2C6937"/>
            </w:tcBorders>
            <w:gridSpan w:val="7"/>
          </w:tcPr>
          <w:p>
            <w:pPr>
              <w:jc w:val="center"/>
              <w:ind w:left="360"/>
              <w:spacing w:after="0"/>
              <w:rPr>
                <w:sz w:val="20"/>
                <w:szCs w:val="20"/>
                <w:color w:val="auto"/>
              </w:rPr>
            </w:pPr>
            <w:r>
              <w:rPr>
                <w:rFonts w:ascii="Arial" w:cs="Arial" w:eastAsia="Arial" w:hAnsi="Arial"/>
                <w:sz w:val="12"/>
                <w:szCs w:val="12"/>
                <w:b w:val="1"/>
                <w:bCs w:val="1"/>
                <w:color w:val="auto"/>
              </w:rPr>
              <w:t>Fair Value Measurements as of December 31, 2024</w:t>
            </w:r>
          </w:p>
        </w:tc>
        <w:tc>
          <w:tcPr>
            <w:tcW w:w="52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160" w:type="dxa"/>
            <w:vAlign w:val="bottom"/>
            <w:tcBorders>
              <w:bottom w:val="single" w:sz="8" w:color="2C6937"/>
            </w:tcBorders>
          </w:tcPr>
          <w:p>
            <w:pPr>
              <w:spacing w:after="0"/>
              <w:rPr>
                <w:sz w:val="24"/>
                <w:szCs w:val="24"/>
                <w:color w:val="auto"/>
              </w:rPr>
            </w:pPr>
          </w:p>
        </w:tc>
        <w:tc>
          <w:tcPr>
            <w:tcW w:w="400" w:type="dxa"/>
            <w:vAlign w:val="bottom"/>
            <w:tcBorders>
              <w:bottom w:val="single" w:sz="8" w:color="2C6937"/>
            </w:tcBorders>
          </w:tcPr>
          <w:p>
            <w:pPr>
              <w:spacing w:after="0"/>
              <w:rPr>
                <w:sz w:val="24"/>
                <w:szCs w:val="24"/>
                <w:color w:val="auto"/>
              </w:rPr>
            </w:pPr>
          </w:p>
        </w:tc>
        <w:tc>
          <w:tcPr>
            <w:tcW w:w="760" w:type="dxa"/>
            <w:vAlign w:val="bottom"/>
            <w:tcBorders>
              <w:bottom w:val="single" w:sz="8" w:color="2C6937"/>
            </w:tcBorders>
          </w:tcPr>
          <w:p>
            <w:pPr>
              <w:spacing w:after="0"/>
              <w:rPr>
                <w:sz w:val="24"/>
                <w:szCs w:val="24"/>
                <w:color w:val="auto"/>
              </w:rPr>
            </w:pPr>
          </w:p>
        </w:tc>
        <w:tc>
          <w:tcPr>
            <w:tcW w:w="100" w:type="dxa"/>
            <w:vAlign w:val="bottom"/>
            <w:tcBorders>
              <w:bottom w:val="single" w:sz="8" w:color="2C6937"/>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Quoted Prices in</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9"/>
              </w:rPr>
              <w:t>Active Markets for</w:t>
            </w:r>
          </w:p>
        </w:tc>
        <w:tc>
          <w:tcPr>
            <w:tcW w:w="100" w:type="dxa"/>
            <w:vAlign w:val="bottom"/>
          </w:tcPr>
          <w:p>
            <w:pPr>
              <w:spacing w:after="0"/>
              <w:rPr>
                <w:sz w:val="13"/>
                <w:szCs w:val="13"/>
                <w:color w:val="auto"/>
              </w:rPr>
            </w:pPr>
          </w:p>
        </w:tc>
        <w:tc>
          <w:tcPr>
            <w:tcW w:w="1080" w:type="dxa"/>
            <w:vAlign w:val="bottom"/>
          </w:tcPr>
          <w:p>
            <w:pPr>
              <w:jc w:val="center"/>
              <w:ind w:right="60"/>
              <w:spacing w:after="0"/>
              <w:rPr>
                <w:sz w:val="20"/>
                <w:szCs w:val="20"/>
                <w:color w:val="auto"/>
              </w:rPr>
            </w:pPr>
            <w:r>
              <w:rPr>
                <w:rFonts w:ascii="Arial" w:cs="Arial" w:eastAsia="Arial" w:hAnsi="Arial"/>
                <w:sz w:val="12"/>
                <w:szCs w:val="12"/>
                <w:b w:val="1"/>
                <w:bCs w:val="1"/>
                <w:color w:val="auto"/>
                <w:w w:val="99"/>
              </w:rPr>
              <w:t>Significant Other</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Significant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580" w:type="dxa"/>
            <w:vAlign w:val="bottom"/>
            <w:gridSpan w:val="4"/>
          </w:tcPr>
          <w:p>
            <w:pPr>
              <w:jc w:val="center"/>
              <w:ind w:right="200"/>
              <w:spacing w:after="0" w:line="137" w:lineRule="exact"/>
              <w:rPr>
                <w:sz w:val="20"/>
                <w:szCs w:val="20"/>
                <w:color w:val="auto"/>
              </w:rPr>
            </w:pPr>
            <w:r>
              <w:rPr>
                <w:rFonts w:ascii="Arial" w:cs="Arial" w:eastAsia="Arial" w:hAnsi="Arial"/>
                <w:sz w:val="12"/>
                <w:szCs w:val="12"/>
                <w:b w:val="1"/>
                <w:bCs w:val="1"/>
                <w:color w:val="auto"/>
              </w:rPr>
              <w:t>Identical Assets (Level</w:t>
            </w:r>
          </w:p>
        </w:tc>
        <w:tc>
          <w:tcPr>
            <w:tcW w:w="118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w w:val="99"/>
              </w:rPr>
              <w:t>Observable Inputs</w:t>
            </w:r>
          </w:p>
        </w:tc>
        <w:tc>
          <w:tcPr>
            <w:tcW w:w="1640" w:type="dxa"/>
            <w:vAlign w:val="bottom"/>
            <w:gridSpan w:val="4"/>
          </w:tcPr>
          <w:p>
            <w:pPr>
              <w:jc w:val="center"/>
              <w:ind w:left="80"/>
              <w:spacing w:after="0" w:line="137" w:lineRule="exact"/>
              <w:rPr>
                <w:sz w:val="20"/>
                <w:szCs w:val="20"/>
                <w:color w:val="auto"/>
              </w:rPr>
            </w:pPr>
            <w:r>
              <w:rPr>
                <w:rFonts w:ascii="Arial" w:cs="Arial" w:eastAsia="Arial" w:hAnsi="Arial"/>
                <w:sz w:val="12"/>
                <w:szCs w:val="12"/>
                <w:b w:val="1"/>
                <w:bCs w:val="1"/>
                <w:color w:val="auto"/>
                <w:w w:val="99"/>
              </w:rPr>
              <w:t>Unobservable Inputs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jc w:val="center"/>
              <w:ind w:right="40"/>
              <w:spacing w:after="0"/>
              <w:rPr>
                <w:sz w:val="20"/>
                <w:szCs w:val="20"/>
                <w:color w:val="auto"/>
              </w:rPr>
            </w:pPr>
            <w:r>
              <w:rPr>
                <w:rFonts w:ascii="Arial" w:cs="Arial" w:eastAsia="Arial" w:hAnsi="Arial"/>
                <w:sz w:val="12"/>
                <w:szCs w:val="12"/>
                <w:b w:val="1"/>
                <w:bCs w:val="1"/>
                <w:color w:val="auto"/>
              </w:rPr>
              <w:t>1)</w:t>
            </w:r>
          </w:p>
        </w:tc>
        <w:tc>
          <w:tcPr>
            <w:tcW w:w="3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jc w:val="center"/>
              <w:ind w:right="60"/>
              <w:spacing w:after="0"/>
              <w:rPr>
                <w:sz w:val="20"/>
                <w:szCs w:val="20"/>
                <w:color w:val="auto"/>
              </w:rPr>
            </w:pPr>
            <w:r>
              <w:rPr>
                <w:rFonts w:ascii="Arial" w:cs="Arial" w:eastAsia="Arial" w:hAnsi="Arial"/>
                <w:sz w:val="12"/>
                <w:szCs w:val="12"/>
                <w:b w:val="1"/>
                <w:bCs w:val="1"/>
                <w:color w:val="auto"/>
                <w:w w:val="98"/>
              </w:rPr>
              <w:t>(Level 2)</w:t>
            </w:r>
          </w:p>
        </w:tc>
        <w:tc>
          <w:tcPr>
            <w:tcW w:w="300" w:type="dxa"/>
            <w:vAlign w:val="bottom"/>
            <w:tcBorders>
              <w:bottom w:val="single" w:sz="8" w:color="2C6937"/>
            </w:tcBorders>
          </w:tcPr>
          <w:p>
            <w:pPr>
              <w:spacing w:after="0"/>
              <w:rPr>
                <w:sz w:val="16"/>
                <w:szCs w:val="16"/>
                <w:color w:val="auto"/>
              </w:rPr>
            </w:pPr>
          </w:p>
        </w:tc>
        <w:tc>
          <w:tcPr>
            <w:tcW w:w="180" w:type="dxa"/>
            <w:vAlign w:val="bottom"/>
            <w:tcBorders>
              <w:bottom w:val="single" w:sz="8" w:color="2C6937"/>
            </w:tcBorders>
          </w:tcPr>
          <w:p>
            <w:pPr>
              <w:spacing w:after="0"/>
              <w:rPr>
                <w:sz w:val="16"/>
                <w:szCs w:val="16"/>
                <w:color w:val="auto"/>
              </w:rPr>
            </w:pPr>
          </w:p>
        </w:tc>
        <w:tc>
          <w:tcPr>
            <w:tcW w:w="1160" w:type="dxa"/>
            <w:vAlign w:val="bottom"/>
            <w:tcBorders>
              <w:bottom w:val="single" w:sz="8" w:color="2C6937"/>
            </w:tcBorders>
            <w:gridSpan w:val="2"/>
          </w:tcPr>
          <w:p>
            <w:pPr>
              <w:jc w:val="center"/>
              <w:ind w:right="340"/>
              <w:spacing w:after="0"/>
              <w:rPr>
                <w:sz w:val="20"/>
                <w:szCs w:val="20"/>
                <w:color w:val="auto"/>
              </w:rPr>
            </w:pPr>
            <w:r>
              <w:rPr>
                <w:rFonts w:ascii="Arial" w:cs="Arial" w:eastAsia="Arial" w:hAnsi="Arial"/>
                <w:sz w:val="12"/>
                <w:szCs w:val="12"/>
                <w:b w:val="1"/>
                <w:bCs w:val="1"/>
                <w:color w:val="auto"/>
              </w:rPr>
              <w:t>(Level 3)</w:t>
            </w:r>
          </w:p>
        </w:tc>
        <w:tc>
          <w:tcPr>
            <w:tcW w:w="1500" w:type="dxa"/>
            <w:vAlign w:val="bottom"/>
            <w:tcBorders>
              <w:bottom w:val="single" w:sz="8" w:color="2C6937"/>
            </w:tcBorders>
            <w:gridSpan w:val="4"/>
          </w:tcPr>
          <w:p>
            <w:pPr>
              <w:ind w:left="140"/>
              <w:spacing w:after="0"/>
              <w:rPr>
                <w:sz w:val="20"/>
                <w:szCs w:val="20"/>
                <w:color w:val="auto"/>
              </w:rPr>
            </w:pPr>
            <w:r>
              <w:rPr>
                <w:rFonts w:ascii="Arial" w:cs="Arial" w:eastAsia="Arial" w:hAnsi="Arial"/>
                <w:sz w:val="12"/>
                <w:szCs w:val="12"/>
                <w:b w:val="1"/>
                <w:bCs w:val="1"/>
                <w:color w:val="auto"/>
              </w:rPr>
              <w:t>Netting Adjustment</w:t>
            </w:r>
            <w:r>
              <w:rPr>
                <w:rFonts w:ascii="Arial" w:cs="Arial" w:eastAsia="Arial" w:hAnsi="Arial"/>
                <w:sz w:val="15"/>
                <w:szCs w:val="15"/>
                <w:b w:val="1"/>
                <w:bCs w:val="1"/>
                <w:color w:val="auto"/>
                <w:vertAlign w:val="superscript"/>
              </w:rPr>
              <w:t>(1)</w:t>
            </w:r>
          </w:p>
        </w:tc>
        <w:tc>
          <w:tcPr>
            <w:tcW w:w="1420" w:type="dxa"/>
            <w:vAlign w:val="bottom"/>
            <w:tcBorders>
              <w:bottom w:val="single" w:sz="8" w:color="2C6937"/>
            </w:tcBorders>
            <w:gridSpan w:val="4"/>
          </w:tcPr>
          <w:p>
            <w:pPr>
              <w:ind w:left="140"/>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(Dollars 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0"/>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1,070</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28</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77,610</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77,630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77,610</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1,090</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28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78,728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38</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301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42</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427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469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3,345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399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487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(362)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77,610</w:t>
            </w:r>
          </w:p>
        </w:tc>
        <w:tc>
          <w:tcPr>
            <w:tcW w:w="32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4,964</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908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(362)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83,120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8"/>
        </w:trPr>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136</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249</w:t>
            </w:r>
          </w:p>
        </w:tc>
        <w:tc>
          <w:tcPr>
            <w:tcW w:w="16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13,188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13,292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Borders>
              <w:top w:val="single" w:sz="8" w:color="2C6937"/>
            </w:tcBorders>
          </w:tcPr>
          <w:p>
            <w:pPr>
              <w:spacing w:after="0"/>
              <w:rPr>
                <w:sz w:val="13"/>
                <w:szCs w:val="13"/>
                <w:color w:val="auto"/>
              </w:rPr>
            </w:pPr>
          </w:p>
        </w:tc>
        <w:tc>
          <w:tcPr>
            <w:tcW w:w="108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13,324</w:t>
            </w:r>
          </w:p>
        </w:tc>
        <w:tc>
          <w:tcPr>
            <w:tcW w:w="300" w:type="dxa"/>
            <w:vAlign w:val="bottom"/>
          </w:tcPr>
          <w:p>
            <w:pPr>
              <w:spacing w:after="0"/>
              <w:rPr>
                <w:sz w:val="13"/>
                <w:szCs w:val="13"/>
                <w:color w:val="auto"/>
              </w:rPr>
            </w:pPr>
          </w:p>
        </w:tc>
        <w:tc>
          <w:tcPr>
            <w:tcW w:w="180" w:type="dxa"/>
            <w:vAlign w:val="bottom"/>
            <w:tcBorders>
              <w:top w:val="single" w:sz="8" w:color="2C6937"/>
            </w:tcBorders>
          </w:tcPr>
          <w:p>
            <w:pPr>
              <w:spacing w:after="0"/>
              <w:rPr>
                <w:sz w:val="13"/>
                <w:szCs w:val="13"/>
                <w:color w:val="auto"/>
              </w:rPr>
            </w:pPr>
          </w:p>
        </w:tc>
        <w:tc>
          <w:tcPr>
            <w:tcW w:w="100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353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2C6937"/>
            </w:tcBorders>
          </w:tcPr>
          <w:p>
            <w:pPr>
              <w:spacing w:after="0"/>
              <w:rPr>
                <w:sz w:val="13"/>
                <w:szCs w:val="13"/>
                <w:color w:val="auto"/>
              </w:rPr>
            </w:pPr>
          </w:p>
        </w:tc>
        <w:tc>
          <w:tcPr>
            <w:tcW w:w="52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2C6937"/>
            </w:tcBorders>
          </w:tcPr>
          <w:p>
            <w:pPr>
              <w:spacing w:after="0"/>
              <w:rPr>
                <w:sz w:val="13"/>
                <w:szCs w:val="13"/>
                <w:color w:val="auto"/>
              </w:rPr>
            </w:pPr>
          </w:p>
        </w:tc>
        <w:tc>
          <w:tcPr>
            <w:tcW w:w="760" w:type="dxa"/>
            <w:vAlign w:val="bottom"/>
            <w:tcBorders>
              <w:top w:val="single" w:sz="8" w:color="2C6937"/>
            </w:tcBorders>
          </w:tcPr>
          <w:p>
            <w:pPr>
              <w:jc w:val="right"/>
              <w:spacing w:after="0"/>
              <w:rPr>
                <w:sz w:val="20"/>
                <w:szCs w:val="20"/>
                <w:color w:val="auto"/>
              </w:rPr>
            </w:pPr>
            <w:r>
              <w:rPr>
                <w:rFonts w:ascii="Arial" w:cs="Arial" w:eastAsia="Arial" w:hAnsi="Arial"/>
                <w:sz w:val="12"/>
                <w:szCs w:val="12"/>
                <w:color w:val="auto"/>
              </w:rPr>
              <w:t>13,677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2,506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(2,367)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15,830</w:t>
            </w:r>
          </w:p>
        </w:tc>
        <w:tc>
          <w:tcPr>
            <w:tcW w:w="300" w:type="dxa"/>
            <w:vAlign w:val="bottom"/>
          </w:tcPr>
          <w:p>
            <w:pPr>
              <w:spacing w:after="0"/>
              <w:rPr>
                <w:sz w:val="14"/>
                <w:szCs w:val="14"/>
                <w:color w:val="auto"/>
              </w:rPr>
            </w:pPr>
          </w:p>
        </w:tc>
        <w:tc>
          <w:tcPr>
            <w:tcW w:w="180" w:type="dxa"/>
            <w:vAlign w:val="bottom"/>
            <w:tcBorders>
              <w:top w:val="single" w:sz="8" w:color="2C6937"/>
              <w:bottom w:val="single" w:sz="8" w:color="2C6937"/>
            </w:tcBorders>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368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2C6937"/>
              <w:bottom w:val="single" w:sz="8" w:color="2C6937"/>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(2,367)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2C6937"/>
              <w:bottom w:val="single" w:sz="8" w:color="2C6937"/>
            </w:tcBorders>
          </w:tcPr>
          <w:p>
            <w:pPr>
              <w:jc w:val="right"/>
              <w:ind w:right="26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2"/>
                <w:szCs w:val="12"/>
                <w:color w:val="auto"/>
              </w:rPr>
              <w:t>13,831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60" w:type="dxa"/>
            <w:vAlign w:val="bottom"/>
            <w:tcBorders>
              <w:bottom w:val="single" w:sz="8" w:color="2C6937"/>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2C6937"/>
            </w:tcBorders>
          </w:tcPr>
          <w:p>
            <w:pPr>
              <w:spacing w:after="0"/>
              <w:rPr>
                <w:sz w:val="2"/>
                <w:szCs w:val="2"/>
                <w:color w:val="auto"/>
              </w:rPr>
            </w:pPr>
          </w:p>
        </w:tc>
        <w:tc>
          <w:tcPr>
            <w:tcW w:w="1080" w:type="dxa"/>
            <w:vAlign w:val="bottom"/>
            <w:tcBorders>
              <w:bottom w:val="single" w:sz="8" w:color="2C6937"/>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2C6937"/>
            </w:tcBorders>
          </w:tcPr>
          <w:p>
            <w:pPr>
              <w:spacing w:after="0"/>
              <w:rPr>
                <w:sz w:val="2"/>
                <w:szCs w:val="2"/>
                <w:color w:val="auto"/>
              </w:rPr>
            </w:pPr>
          </w:p>
        </w:tc>
        <w:tc>
          <w:tcPr>
            <w:tcW w:w="100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2C6937"/>
            </w:tcBorders>
          </w:tcPr>
          <w:p>
            <w:pPr>
              <w:spacing w:after="0"/>
              <w:rPr>
                <w:sz w:val="2"/>
                <w:szCs w:val="2"/>
                <w:color w:val="auto"/>
              </w:rPr>
            </w:pPr>
          </w:p>
        </w:tc>
        <w:tc>
          <w:tcPr>
            <w:tcW w:w="520" w:type="dxa"/>
            <w:vAlign w:val="bottom"/>
            <w:tcBorders>
              <w:bottom w:val="single" w:sz="8" w:color="2C6937"/>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2C6937"/>
            </w:tcBorders>
          </w:tcPr>
          <w:p>
            <w:pPr>
              <w:spacing w:after="0"/>
              <w:rPr>
                <w:sz w:val="2"/>
                <w:szCs w:val="2"/>
                <w:color w:val="auto"/>
              </w:rPr>
            </w:pPr>
          </w:p>
        </w:tc>
        <w:tc>
          <w:tcPr>
            <w:tcW w:w="760" w:type="dxa"/>
            <w:vAlign w:val="bottom"/>
            <w:tcBorders>
              <w:bottom w:val="single" w:sz="8" w:color="2C693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441960</wp:posOffset>
            </wp:positionV>
            <wp:extent cx="680593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720"/>
            <w:col w:w="7360"/>
          </w:cols>
          <w:pgMar w:left="320" w:top="248" w:right="37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64070" cy="419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48" w:right="379" w:bottom="1440" w:gutter="0" w:footer="0" w:header="0"/>
          <w:type w:val="continuous"/>
        </w:sectPr>
      </w:pPr>
    </w:p>
    <w:bookmarkStart w:id="104" w:name="page105"/>
    <w:bookmarkEnd w:id="104"/>
    <w:p>
      <w:pPr>
        <w:jc w:val="right"/>
        <w:ind w:right="10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700" w:hanging="237"/>
        <w:spacing w:after="0" w:line="226" w:lineRule="auto"/>
        <w:tabs>
          <w:tab w:leader="none" w:pos="233"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Derivative contracts are reported on a gross basis by level. The netting adjustment represents the effect of the legal right to offset under legally enforceable master netting arrangements to settle with the same counterparty on a net basis, including cash collateral posted and received.</w:t>
      </w:r>
    </w:p>
    <w:p>
      <w:pPr>
        <w:spacing w:after="0" w:line="1"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Agency securities consist of securities issued by Fannie Mae, Freddie Mac, or Ginnie Mae.</w:t>
      </w:r>
    </w:p>
    <w:p>
      <w:pPr>
        <w:spacing w:after="0" w:line="62"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The following tables display a reconciliation of all assets and liabilities measured at fair value on a recurring basis using significant unobservable inputs (Level 3).</w:t>
      </w:r>
    </w:p>
    <w:p>
      <w:pPr>
        <w:sectPr>
          <w:pgSz w:w="11900" w:h="16838" w:orient="portrait"/>
          <w:cols w:equalWidth="0" w:num="1">
            <w:col w:w="11240"/>
          </w:cols>
          <w:pgMar w:left="320" w:top="2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June 30, 2025</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Purchases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Sales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Issuances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Settlements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transfers</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Total gains (losses) realized &amp; unrealized</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262763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262763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627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wp:posOffset>
            </wp:positionV>
            <wp:extent cx="262763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December 31, 2024</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Purchases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Sales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Issuances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Settlements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transfers</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Total gains (losses) realized &amp; unrealized</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262763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262763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627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wp:posOffset>
            </wp:positionV>
            <wp:extent cx="262763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June 30, 2024</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Purchases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Sales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Issuances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Settlements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transfers</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Total gains (losses) realized &amp; unrealized</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262763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262763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6276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wp:posOffset>
            </wp:positionV>
            <wp:extent cx="262763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400" w:type="dxa"/>
            <w:vAlign w:val="bottom"/>
            <w:tcBorders>
              <w:top w:val="single" w:sz="8" w:color="2C6937"/>
            </w:tcBorders>
            <w:gridSpan w:val="3"/>
            <w:vMerge w:val="restart"/>
          </w:tcPr>
          <w:p>
            <w:pPr>
              <w:ind w:left="60"/>
              <w:spacing w:after="0"/>
              <w:rPr>
                <w:sz w:val="20"/>
                <w:szCs w:val="20"/>
                <w:color w:val="auto"/>
              </w:rPr>
            </w:pPr>
            <w:r>
              <w:rPr>
                <w:rFonts w:ascii="Arial" w:cs="Arial" w:eastAsia="Arial" w:hAnsi="Arial"/>
                <w:sz w:val="14"/>
                <w:szCs w:val="14"/>
                <w:b w:val="1"/>
                <w:bCs w:val="1"/>
                <w:color w:val="auto"/>
              </w:rPr>
              <w:t>Trading Securities</w:t>
            </w:r>
          </w:p>
        </w:tc>
        <w:tc>
          <w:tcPr>
            <w:tcW w:w="1420" w:type="dxa"/>
            <w:vAlign w:val="bottom"/>
            <w:tcBorders>
              <w:top w:val="single" w:sz="8" w:color="2C6937"/>
            </w:tcBorders>
            <w:gridSpan w:val="3"/>
          </w:tcPr>
          <w:p>
            <w:pPr>
              <w:jc w:val="center"/>
              <w:ind w:right="60"/>
              <w:spacing w:after="0" w:line="140" w:lineRule="exact"/>
              <w:rPr>
                <w:sz w:val="20"/>
                <w:szCs w:val="20"/>
                <w:color w:val="auto"/>
              </w:rPr>
            </w:pPr>
            <w:r>
              <w:rPr>
                <w:rFonts w:ascii="Arial" w:cs="Arial" w:eastAsia="Arial" w:hAnsi="Arial"/>
                <w:sz w:val="14"/>
                <w:szCs w:val="14"/>
                <w:b w:val="1"/>
                <w:bCs w:val="1"/>
                <w:color w:val="auto"/>
                <w:w w:val="98"/>
              </w:rPr>
              <w:t>Available-for-Sale</w:t>
            </w:r>
          </w:p>
        </w:tc>
        <w:tc>
          <w:tcPr>
            <w:tcW w:w="120" w:type="dxa"/>
            <w:vAlign w:val="bottom"/>
            <w:tcBorders>
              <w:top w:val="single" w:sz="8" w:color="2C6937"/>
            </w:tcBorders>
          </w:tcPr>
          <w:p>
            <w:pPr>
              <w:spacing w:after="0"/>
              <w:rPr>
                <w:sz w:val="12"/>
                <w:szCs w:val="12"/>
                <w:color w:val="auto"/>
              </w:rPr>
            </w:pPr>
          </w:p>
        </w:tc>
        <w:tc>
          <w:tcPr>
            <w:tcW w:w="1300" w:type="dxa"/>
            <w:vAlign w:val="bottom"/>
            <w:tcBorders>
              <w:top w:val="single" w:sz="8" w:color="2C6937"/>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Mortgage Loans</w:t>
            </w:r>
          </w:p>
        </w:tc>
        <w:tc>
          <w:tcPr>
            <w:tcW w:w="140" w:type="dxa"/>
            <w:vAlign w:val="bottom"/>
            <w:tcBorders>
              <w:top w:val="single" w:sz="8" w:color="2C6937"/>
            </w:tcBorders>
          </w:tcPr>
          <w:p>
            <w:pPr>
              <w:spacing w:after="0"/>
              <w:rPr>
                <w:sz w:val="12"/>
                <w:szCs w:val="12"/>
                <w:color w:val="auto"/>
              </w:rPr>
            </w:pPr>
          </w:p>
        </w:tc>
        <w:tc>
          <w:tcPr>
            <w:tcW w:w="1300" w:type="dxa"/>
            <w:vAlign w:val="bottom"/>
            <w:tcBorders>
              <w:top w:val="single" w:sz="8" w:color="2C6937"/>
            </w:tcBorders>
            <w:gridSpan w:val="2"/>
            <w:vMerge w:val="restart"/>
          </w:tcPr>
          <w:p>
            <w:pPr>
              <w:ind w:left="40"/>
              <w:spacing w:after="0"/>
              <w:rPr>
                <w:sz w:val="20"/>
                <w:szCs w:val="20"/>
                <w:color w:val="auto"/>
              </w:rPr>
            </w:pPr>
            <w:r>
              <w:rPr>
                <w:rFonts w:ascii="Arial" w:cs="Arial" w:eastAsia="Arial" w:hAnsi="Arial"/>
                <w:sz w:val="14"/>
                <w:szCs w:val="14"/>
                <w:b w:val="1"/>
                <w:bCs w:val="1"/>
                <w:color w:val="auto"/>
              </w:rPr>
              <w:t>Net Derivatives</w:t>
            </w:r>
          </w:p>
        </w:tc>
        <w:tc>
          <w:tcPr>
            <w:tcW w:w="120" w:type="dxa"/>
            <w:vAlign w:val="bottom"/>
            <w:tcBorders>
              <w:top w:val="single" w:sz="8" w:color="2C6937"/>
            </w:tcBorders>
          </w:tcPr>
          <w:p>
            <w:pPr>
              <w:spacing w:after="0"/>
              <w:rPr>
                <w:sz w:val="12"/>
                <w:szCs w:val="12"/>
                <w:color w:val="auto"/>
              </w:rPr>
            </w:pPr>
          </w:p>
        </w:tc>
        <w:tc>
          <w:tcPr>
            <w:tcW w:w="1200" w:type="dxa"/>
            <w:vAlign w:val="bottom"/>
            <w:tcBorders>
              <w:top w:val="single" w:sz="8" w:color="2C6937"/>
            </w:tcBorders>
            <w:vMerge w:val="restart"/>
          </w:tcPr>
          <w:p>
            <w:pPr>
              <w:jc w:val="right"/>
              <w:ind w:right="71"/>
              <w:spacing w:after="0"/>
              <w:rPr>
                <w:sz w:val="20"/>
                <w:szCs w:val="20"/>
                <w:color w:val="auto"/>
              </w:rPr>
            </w:pPr>
            <w:r>
              <w:rPr>
                <w:rFonts w:ascii="Arial" w:cs="Arial" w:eastAsia="Arial" w:hAnsi="Arial"/>
                <w:sz w:val="14"/>
                <w:szCs w:val="14"/>
                <w:b w:val="1"/>
                <w:bCs w:val="1"/>
                <w:color w:val="auto"/>
                <w:w w:val="99"/>
              </w:rPr>
              <w:t>Long-term Debt</w:t>
            </w:r>
          </w:p>
        </w:tc>
        <w:tc>
          <w:tcPr>
            <w:tcW w:w="0" w:type="dxa"/>
            <w:vAlign w:val="bottom"/>
          </w:tcPr>
          <w:p>
            <w:pPr>
              <w:spacing w:after="0"/>
              <w:rPr>
                <w:sz w:val="1"/>
                <w:szCs w:val="1"/>
                <w:color w:val="auto"/>
              </w:rPr>
            </w:pPr>
          </w:p>
        </w:tc>
      </w:tr>
      <w:tr>
        <w:trPr>
          <w:trHeight w:val="177"/>
        </w:trPr>
        <w:tc>
          <w:tcPr>
            <w:tcW w:w="1400" w:type="dxa"/>
            <w:vAlign w:val="bottom"/>
            <w:tcBorders>
              <w:bottom w:val="single" w:sz="8" w:color="2C6937"/>
            </w:tcBorders>
            <w:gridSpan w:val="3"/>
            <w:vMerge w:val="continue"/>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Securities</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399</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600" w:type="dxa"/>
            <w:vAlign w:val="bottom"/>
            <w:tcBorders>
              <w:bottom w:val="single" w:sz="8" w:color="216C2B"/>
            </w:tcBorders>
          </w:tcPr>
          <w:p>
            <w:pPr>
              <w:spacing w:after="0"/>
              <w:rPr>
                <w:sz w:val="19"/>
                <w:szCs w:val="19"/>
                <w:color w:val="auto"/>
              </w:rPr>
            </w:pPr>
          </w:p>
        </w:tc>
        <w:tc>
          <w:tcPr>
            <w:tcW w:w="7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220" w:type="dxa"/>
            <w:vAlign w:val="bottom"/>
            <w:tcBorders>
              <w:bottom w:val="single" w:sz="8" w:color="216C2B"/>
            </w:tcBorders>
          </w:tcPr>
          <w:p>
            <w:pPr>
              <w:spacing w:after="0"/>
              <w:rPr>
                <w:sz w:val="19"/>
                <w:szCs w:val="19"/>
                <w:color w:val="auto"/>
              </w:rPr>
            </w:pPr>
          </w:p>
        </w:tc>
        <w:tc>
          <w:tcPr>
            <w:tcW w:w="11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2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9"/>
                <w:szCs w:val="19"/>
                <w:color w:val="auto"/>
              </w:rPr>
            </w:pPr>
          </w:p>
        </w:tc>
        <w:tc>
          <w:tcPr>
            <w:tcW w:w="14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600" w:type="dxa"/>
            <w:vAlign w:val="bottom"/>
            <w:tcBorders>
              <w:bottom w:val="single" w:sz="8" w:color="2C6937"/>
            </w:tcBorders>
          </w:tcPr>
          <w:p>
            <w:pPr>
              <w:jc w:val="right"/>
              <w:ind w:right="451"/>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6"/>
                <w:szCs w:val="16"/>
                <w:color w:val="auto"/>
              </w:rPr>
            </w:pPr>
          </w:p>
        </w:tc>
        <w:tc>
          <w:tcPr>
            <w:tcW w:w="22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351</w:t>
            </w:r>
          </w:p>
        </w:tc>
        <w:tc>
          <w:tcPr>
            <w:tcW w:w="80" w:type="dxa"/>
            <w:vAlign w:val="bottom"/>
          </w:tcPr>
          <w:p>
            <w:pPr>
              <w:spacing w:after="0"/>
              <w:rPr>
                <w:sz w:val="16"/>
                <w:szCs w:val="16"/>
                <w:color w:val="auto"/>
              </w:rPr>
            </w:pPr>
          </w:p>
        </w:tc>
        <w:tc>
          <w:tcPr>
            <w:tcW w:w="12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371</w:t>
            </w:r>
          </w:p>
        </w:tc>
        <w:tc>
          <w:tcPr>
            <w:tcW w:w="80" w:type="dxa"/>
            <w:vAlign w:val="bottom"/>
          </w:tcPr>
          <w:p>
            <w:pPr>
              <w:spacing w:after="0"/>
              <w:rPr>
                <w:sz w:val="16"/>
                <w:szCs w:val="16"/>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16"/>
                <w:szCs w:val="16"/>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(352)</w:t>
            </w:r>
          </w:p>
        </w:tc>
        <w:tc>
          <w:tcPr>
            <w:tcW w:w="0" w:type="dxa"/>
            <w:vAlign w:val="bottom"/>
          </w:tcPr>
          <w:p>
            <w:pPr>
              <w:spacing w:after="0"/>
              <w:rPr>
                <w:sz w:val="1"/>
                <w:szCs w:val="1"/>
                <w:color w:val="auto"/>
              </w:rPr>
            </w:pPr>
          </w:p>
        </w:tc>
      </w:tr>
      <w:tr>
        <w:trPr>
          <w:trHeight w:val="20"/>
        </w:trPr>
        <w:tc>
          <w:tcPr>
            <w:tcW w:w="6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2C6937"/>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00" w:type="dxa"/>
            <w:vAlign w:val="bottom"/>
            <w:tcBorders>
              <w:bottom w:val="single" w:sz="8" w:color="2C6937"/>
            </w:tcBorders>
          </w:tcPr>
          <w:p>
            <w:pPr>
              <w:spacing w:after="0"/>
              <w:rPr>
                <w:sz w:val="24"/>
                <w:szCs w:val="24"/>
                <w:color w:val="auto"/>
              </w:rPr>
            </w:pPr>
          </w:p>
        </w:tc>
        <w:tc>
          <w:tcPr>
            <w:tcW w:w="6400" w:type="dxa"/>
            <w:vAlign w:val="bottom"/>
            <w:tcBorders>
              <w:bottom w:val="single" w:sz="8" w:color="2C6937"/>
            </w:tcBorders>
            <w:gridSpan w:val="13"/>
          </w:tcPr>
          <w:p>
            <w:pPr>
              <w:jc w:val="center"/>
              <w:ind w:right="531"/>
              <w:spacing w:after="0"/>
              <w:rPr>
                <w:sz w:val="20"/>
                <w:szCs w:val="20"/>
                <w:color w:val="auto"/>
              </w:rPr>
            </w:pPr>
            <w:r>
              <w:rPr>
                <w:rFonts w:ascii="Arial" w:cs="Arial" w:eastAsia="Arial" w:hAnsi="Arial"/>
                <w:sz w:val="14"/>
                <w:szCs w:val="14"/>
                <w:b w:val="1"/>
                <w:bCs w:val="1"/>
                <w:color w:val="auto"/>
                <w:w w:val="97"/>
              </w:rPr>
              <w:t>Fair Value Measurements Using Significant Unobservable Inputs (Level 3)</w:t>
            </w:r>
          </w:p>
        </w:tc>
        <w:tc>
          <w:tcPr>
            <w:tcW w:w="0" w:type="dxa"/>
            <w:vAlign w:val="bottom"/>
          </w:tcPr>
          <w:p>
            <w:pPr>
              <w:spacing w:after="0"/>
              <w:rPr>
                <w:sz w:val="1"/>
                <w:szCs w:val="1"/>
                <w:color w:val="auto"/>
              </w:rPr>
            </w:pPr>
          </w:p>
        </w:tc>
      </w:tr>
      <w:tr>
        <w:trPr>
          <w:trHeight w:val="135"/>
        </w:trPr>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Trading Securities</w:t>
            </w:r>
          </w:p>
        </w:tc>
        <w:tc>
          <w:tcPr>
            <w:tcW w:w="14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8"/>
              </w:rPr>
              <w:t>Available-for-Sale</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Mortgage Loans</w:t>
            </w:r>
          </w:p>
        </w:tc>
        <w:tc>
          <w:tcPr>
            <w:tcW w:w="140" w:type="dxa"/>
            <w:vAlign w:val="bottom"/>
          </w:tcPr>
          <w:p>
            <w:pPr>
              <w:spacing w:after="0"/>
              <w:rPr>
                <w:sz w:val="11"/>
                <w:szCs w:val="11"/>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Derivatives</w:t>
            </w:r>
          </w:p>
        </w:tc>
        <w:tc>
          <w:tcPr>
            <w:tcW w:w="120" w:type="dxa"/>
            <w:vAlign w:val="bottom"/>
          </w:tcPr>
          <w:p>
            <w:pPr>
              <w:spacing w:after="0"/>
              <w:rPr>
                <w:sz w:val="11"/>
                <w:szCs w:val="11"/>
                <w:color w:val="auto"/>
              </w:rPr>
            </w:pPr>
          </w:p>
        </w:tc>
        <w:tc>
          <w:tcPr>
            <w:tcW w:w="12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9"/>
              </w:rPr>
              <w:t>Long-term Debt</w:t>
            </w:r>
          </w:p>
        </w:tc>
        <w:tc>
          <w:tcPr>
            <w:tcW w:w="0" w:type="dxa"/>
            <w:vAlign w:val="bottom"/>
          </w:tcPr>
          <w:p>
            <w:pPr>
              <w:spacing w:after="0"/>
              <w:rPr>
                <w:sz w:val="1"/>
                <w:szCs w:val="1"/>
                <w:color w:val="auto"/>
              </w:rPr>
            </w:pPr>
          </w:p>
        </w:tc>
      </w:tr>
      <w:tr>
        <w:trPr>
          <w:trHeight w:val="180"/>
        </w:trPr>
        <w:tc>
          <w:tcPr>
            <w:tcW w:w="1400" w:type="dxa"/>
            <w:vAlign w:val="bottom"/>
            <w:tcBorders>
              <w:bottom w:val="single" w:sz="8" w:color="2C6937"/>
            </w:tcBorders>
            <w:gridSpan w:val="3"/>
            <w:vMerge w:val="continue"/>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Securities</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427</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399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600" w:type="dxa"/>
            <w:vAlign w:val="bottom"/>
            <w:tcBorders>
              <w:bottom w:val="single" w:sz="8" w:color="216C2B"/>
            </w:tcBorders>
          </w:tcPr>
          <w:p>
            <w:pPr>
              <w:spacing w:after="0"/>
              <w:rPr>
                <w:sz w:val="19"/>
                <w:szCs w:val="19"/>
                <w:color w:val="auto"/>
              </w:rPr>
            </w:pPr>
          </w:p>
        </w:tc>
        <w:tc>
          <w:tcPr>
            <w:tcW w:w="7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220" w:type="dxa"/>
            <w:vAlign w:val="bottom"/>
            <w:tcBorders>
              <w:bottom w:val="single" w:sz="8" w:color="216C2B"/>
            </w:tcBorders>
          </w:tcPr>
          <w:p>
            <w:pPr>
              <w:spacing w:after="0"/>
              <w:rPr>
                <w:sz w:val="19"/>
                <w:szCs w:val="19"/>
                <w:color w:val="auto"/>
              </w:rPr>
            </w:pPr>
          </w:p>
        </w:tc>
        <w:tc>
          <w:tcPr>
            <w:tcW w:w="11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2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9"/>
                <w:szCs w:val="19"/>
                <w:color w:val="auto"/>
              </w:rPr>
            </w:pPr>
          </w:p>
        </w:tc>
        <w:tc>
          <w:tcPr>
            <w:tcW w:w="14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600" w:type="dxa"/>
            <w:vAlign w:val="bottom"/>
            <w:tcBorders>
              <w:bottom w:val="single" w:sz="8" w:color="2C6937"/>
            </w:tcBorders>
          </w:tcPr>
          <w:p>
            <w:pPr>
              <w:jc w:val="right"/>
              <w:ind w:right="451"/>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6"/>
                <w:szCs w:val="16"/>
                <w:color w:val="auto"/>
              </w:rPr>
            </w:pPr>
          </w:p>
        </w:tc>
        <w:tc>
          <w:tcPr>
            <w:tcW w:w="22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351</w:t>
            </w:r>
          </w:p>
        </w:tc>
        <w:tc>
          <w:tcPr>
            <w:tcW w:w="80" w:type="dxa"/>
            <w:vAlign w:val="bottom"/>
          </w:tcPr>
          <w:p>
            <w:pPr>
              <w:spacing w:after="0"/>
              <w:rPr>
                <w:sz w:val="16"/>
                <w:szCs w:val="16"/>
                <w:color w:val="auto"/>
              </w:rPr>
            </w:pPr>
          </w:p>
        </w:tc>
        <w:tc>
          <w:tcPr>
            <w:tcW w:w="120" w:type="dxa"/>
            <w:vAlign w:val="bottom"/>
            <w:tcBorders>
              <w:bottom w:val="single" w:sz="8" w:color="2C6937"/>
            </w:tcBorders>
          </w:tcPr>
          <w:p>
            <w:pPr>
              <w:ind w:left="2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371</w:t>
            </w:r>
          </w:p>
        </w:tc>
        <w:tc>
          <w:tcPr>
            <w:tcW w:w="80" w:type="dxa"/>
            <w:vAlign w:val="bottom"/>
          </w:tcPr>
          <w:p>
            <w:pPr>
              <w:spacing w:after="0"/>
              <w:rPr>
                <w:sz w:val="16"/>
                <w:szCs w:val="16"/>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16"/>
                <w:szCs w:val="16"/>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4"/>
                <w:szCs w:val="14"/>
                <w:b w:val="1"/>
                <w:bCs w:val="1"/>
                <w:color w:val="auto"/>
              </w:rPr>
              <w:t>(352)</w:t>
            </w:r>
          </w:p>
        </w:tc>
        <w:tc>
          <w:tcPr>
            <w:tcW w:w="0" w:type="dxa"/>
            <w:vAlign w:val="bottom"/>
          </w:tcPr>
          <w:p>
            <w:pPr>
              <w:spacing w:after="0"/>
              <w:rPr>
                <w:sz w:val="1"/>
                <w:szCs w:val="1"/>
                <w:color w:val="auto"/>
              </w:rPr>
            </w:pPr>
          </w:p>
        </w:tc>
      </w:tr>
      <w:tr>
        <w:trPr>
          <w:trHeight w:val="20"/>
        </w:trPr>
        <w:tc>
          <w:tcPr>
            <w:tcW w:w="6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2C6937"/>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2C6937"/>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2C6937"/>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600" w:type="dxa"/>
            <w:vAlign w:val="bottom"/>
            <w:tcBorders>
              <w:bottom w:val="single" w:sz="8" w:color="2C6937"/>
            </w:tcBorders>
          </w:tcPr>
          <w:p>
            <w:pPr>
              <w:spacing w:after="0"/>
              <w:rPr>
                <w:sz w:val="24"/>
                <w:szCs w:val="24"/>
                <w:color w:val="auto"/>
              </w:rPr>
            </w:pPr>
          </w:p>
        </w:tc>
        <w:tc>
          <w:tcPr>
            <w:tcW w:w="6400" w:type="dxa"/>
            <w:vAlign w:val="bottom"/>
            <w:tcBorders>
              <w:bottom w:val="single" w:sz="8" w:color="2C6937"/>
            </w:tcBorders>
            <w:gridSpan w:val="13"/>
          </w:tcPr>
          <w:p>
            <w:pPr>
              <w:jc w:val="center"/>
              <w:ind w:right="491"/>
              <w:spacing w:after="0"/>
              <w:rPr>
                <w:sz w:val="20"/>
                <w:szCs w:val="20"/>
                <w:color w:val="auto"/>
              </w:rPr>
            </w:pPr>
            <w:r>
              <w:rPr>
                <w:rFonts w:ascii="Arial" w:cs="Arial" w:eastAsia="Arial" w:hAnsi="Arial"/>
                <w:sz w:val="14"/>
                <w:szCs w:val="14"/>
                <w:b w:val="1"/>
                <w:bCs w:val="1"/>
                <w:color w:val="auto"/>
                <w:w w:val="97"/>
              </w:rPr>
              <w:t>Fair Value Measurements Using Significant Unobservable Inputs (Level 3)</w:t>
            </w:r>
          </w:p>
        </w:tc>
        <w:tc>
          <w:tcPr>
            <w:tcW w:w="0" w:type="dxa"/>
            <w:vAlign w:val="bottom"/>
          </w:tcPr>
          <w:p>
            <w:pPr>
              <w:spacing w:after="0"/>
              <w:rPr>
                <w:sz w:val="1"/>
                <w:szCs w:val="1"/>
                <w:color w:val="auto"/>
              </w:rPr>
            </w:pPr>
          </w:p>
        </w:tc>
      </w:tr>
      <w:tr>
        <w:trPr>
          <w:trHeight w:val="139"/>
        </w:trPr>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Trading Securities</w:t>
            </w:r>
          </w:p>
        </w:tc>
        <w:tc>
          <w:tcPr>
            <w:tcW w:w="1420" w:type="dxa"/>
            <w:vAlign w:val="bottom"/>
            <w:gridSpan w:val="3"/>
          </w:tcPr>
          <w:p>
            <w:pPr>
              <w:jc w:val="center"/>
              <w:ind w:right="60"/>
              <w:spacing w:after="0" w:line="139" w:lineRule="exact"/>
              <w:rPr>
                <w:sz w:val="20"/>
                <w:szCs w:val="20"/>
                <w:color w:val="auto"/>
              </w:rPr>
            </w:pPr>
            <w:r>
              <w:rPr>
                <w:rFonts w:ascii="Arial" w:cs="Arial" w:eastAsia="Arial" w:hAnsi="Arial"/>
                <w:sz w:val="14"/>
                <w:szCs w:val="14"/>
                <w:b w:val="1"/>
                <w:bCs w:val="1"/>
                <w:color w:val="auto"/>
                <w:w w:val="98"/>
              </w:rPr>
              <w:t>Available-for-Sale</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Mortgage Loans</w:t>
            </w:r>
          </w:p>
        </w:tc>
        <w:tc>
          <w:tcPr>
            <w:tcW w:w="14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Derivatives</w:t>
            </w:r>
          </w:p>
        </w:tc>
        <w:tc>
          <w:tcPr>
            <w:tcW w:w="120" w:type="dxa"/>
            <w:vAlign w:val="bottom"/>
          </w:tcPr>
          <w:p>
            <w:pPr>
              <w:spacing w:after="0"/>
              <w:rPr>
                <w:sz w:val="12"/>
                <w:szCs w:val="12"/>
                <w:color w:val="auto"/>
              </w:rPr>
            </w:pPr>
          </w:p>
        </w:tc>
        <w:tc>
          <w:tcPr>
            <w:tcW w:w="12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9"/>
              </w:rPr>
              <w:t>Long-term Debt</w:t>
            </w:r>
          </w:p>
        </w:tc>
        <w:tc>
          <w:tcPr>
            <w:tcW w:w="0" w:type="dxa"/>
            <w:vAlign w:val="bottom"/>
          </w:tcPr>
          <w:p>
            <w:pPr>
              <w:spacing w:after="0"/>
              <w:rPr>
                <w:sz w:val="1"/>
                <w:szCs w:val="1"/>
                <w:color w:val="auto"/>
              </w:rPr>
            </w:pPr>
          </w:p>
        </w:tc>
      </w:tr>
      <w:tr>
        <w:trPr>
          <w:trHeight w:val="177"/>
        </w:trPr>
        <w:tc>
          <w:tcPr>
            <w:tcW w:w="1400" w:type="dxa"/>
            <w:vAlign w:val="bottom"/>
            <w:tcBorders>
              <w:bottom w:val="single" w:sz="8" w:color="2C6937"/>
            </w:tcBorders>
            <w:gridSpan w:val="3"/>
            <w:vMerge w:val="continue"/>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Securities</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461</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3"/>
        </w:trPr>
        <w:tc>
          <w:tcPr>
            <w:tcW w:w="600" w:type="dxa"/>
            <w:vAlign w:val="bottom"/>
            <w:tcBorders>
              <w:bottom w:val="single" w:sz="8" w:color="216C2B"/>
            </w:tcBorders>
          </w:tcPr>
          <w:p>
            <w:pPr>
              <w:spacing w:after="0"/>
              <w:rPr>
                <w:sz w:val="19"/>
                <w:szCs w:val="19"/>
                <w:color w:val="auto"/>
              </w:rPr>
            </w:pPr>
          </w:p>
        </w:tc>
        <w:tc>
          <w:tcPr>
            <w:tcW w:w="7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9"/>
                <w:szCs w:val="19"/>
                <w:color w:val="auto"/>
              </w:rPr>
            </w:pPr>
          </w:p>
        </w:tc>
        <w:tc>
          <w:tcPr>
            <w:tcW w:w="220" w:type="dxa"/>
            <w:vAlign w:val="bottom"/>
            <w:tcBorders>
              <w:bottom w:val="single" w:sz="8" w:color="216C2B"/>
            </w:tcBorders>
          </w:tcPr>
          <w:p>
            <w:pPr>
              <w:spacing w:after="0"/>
              <w:rPr>
                <w:sz w:val="19"/>
                <w:szCs w:val="19"/>
                <w:color w:val="auto"/>
              </w:rPr>
            </w:pPr>
          </w:p>
        </w:tc>
        <w:tc>
          <w:tcPr>
            <w:tcW w:w="11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2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9"/>
                <w:szCs w:val="19"/>
                <w:color w:val="auto"/>
              </w:rPr>
            </w:pPr>
          </w:p>
        </w:tc>
        <w:tc>
          <w:tcPr>
            <w:tcW w:w="14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600" w:type="dxa"/>
            <w:vAlign w:val="bottom"/>
            <w:tcBorders>
              <w:bottom w:val="single" w:sz="8" w:color="2C6937"/>
            </w:tcBorders>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6"/>
                <w:szCs w:val="16"/>
                <w:color w:val="auto"/>
              </w:rPr>
            </w:pPr>
          </w:p>
        </w:tc>
        <w:tc>
          <w:tcPr>
            <w:tcW w:w="220" w:type="dxa"/>
            <w:vAlign w:val="bottom"/>
            <w:tcBorders>
              <w:bottom w:val="single" w:sz="8" w:color="2C6937"/>
            </w:tcBorders>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448</w:t>
            </w:r>
          </w:p>
        </w:tc>
        <w:tc>
          <w:tcPr>
            <w:tcW w:w="80" w:type="dxa"/>
            <w:vAlign w:val="bottom"/>
          </w:tcPr>
          <w:p>
            <w:pPr>
              <w:spacing w:after="0"/>
              <w:rPr>
                <w:sz w:val="16"/>
                <w:szCs w:val="16"/>
                <w:color w:val="auto"/>
              </w:rPr>
            </w:pPr>
          </w:p>
        </w:tc>
        <w:tc>
          <w:tcPr>
            <w:tcW w:w="1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430</w:t>
            </w:r>
          </w:p>
        </w:tc>
        <w:tc>
          <w:tcPr>
            <w:tcW w:w="80" w:type="dxa"/>
            <w:vAlign w:val="bottom"/>
          </w:tcPr>
          <w:p>
            <w:pPr>
              <w:spacing w:after="0"/>
              <w:rPr>
                <w:sz w:val="16"/>
                <w:szCs w:val="16"/>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22"/>
        </w:trPr>
        <w:tc>
          <w:tcPr>
            <w:tcW w:w="600" w:type="dxa"/>
            <w:vAlign w:val="bottom"/>
            <w:tcBorders>
              <w:bottom w:val="single" w:sz="8" w:color="2C6937"/>
            </w:tcBorders>
          </w:tcPr>
          <w:p>
            <w:pPr>
              <w:spacing w:after="0" w:line="20" w:lineRule="exact"/>
              <w:rPr>
                <w:sz w:val="1"/>
                <w:szCs w:val="1"/>
                <w:color w:val="auto"/>
              </w:rPr>
            </w:pPr>
          </w:p>
        </w:tc>
        <w:tc>
          <w:tcPr>
            <w:tcW w:w="7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20" w:type="dxa"/>
            <w:vAlign w:val="bottom"/>
            <w:tcBorders>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20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-2296795</wp:posOffset>
            </wp:positionH>
            <wp:positionV relativeFrom="paragraph">
              <wp:posOffset>458470</wp:posOffset>
            </wp:positionV>
            <wp:extent cx="680593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000"/>
          </w:cols>
          <w:pgMar w:left="320" w:top="248"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640"/>
        <w:spacing w:after="0"/>
        <w:rPr>
          <w:sz w:val="20"/>
          <w:szCs w:val="20"/>
          <w:color w:val="auto"/>
        </w:rPr>
      </w:pPr>
      <w:r>
        <w:rPr>
          <w:rFonts w:ascii="Arial" w:cs="Arial" w:eastAsia="Arial" w:hAnsi="Arial"/>
          <w:sz w:val="13"/>
          <w:szCs w:val="13"/>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167005</wp:posOffset>
            </wp:positionV>
            <wp:extent cx="7164070" cy="419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type w:val="continuous"/>
        </w:sectPr>
      </w:pPr>
    </w:p>
    <w:bookmarkStart w:id="105" w:name="page106"/>
    <w:bookmarkEnd w:id="105"/>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2C6937"/>
            </w:tcBorders>
          </w:tcPr>
          <w:p>
            <w:pPr>
              <w:spacing w:after="0"/>
              <w:rPr>
                <w:sz w:val="16"/>
                <w:szCs w:val="16"/>
                <w:color w:val="auto"/>
              </w:rPr>
            </w:pPr>
          </w:p>
        </w:tc>
        <w:tc>
          <w:tcPr>
            <w:tcW w:w="6400" w:type="dxa"/>
            <w:vAlign w:val="bottom"/>
            <w:tcBorders>
              <w:bottom w:val="single" w:sz="8" w:color="2C6937"/>
            </w:tcBorders>
            <w:gridSpan w:val="13"/>
          </w:tcPr>
          <w:p>
            <w:pPr>
              <w:jc w:val="right"/>
              <w:ind w:right="1011"/>
              <w:spacing w:after="0"/>
              <w:rPr>
                <w:sz w:val="20"/>
                <w:szCs w:val="20"/>
                <w:color w:val="auto"/>
              </w:rPr>
            </w:pPr>
            <w:r>
              <w:rPr>
                <w:rFonts w:ascii="Arial" w:cs="Arial" w:eastAsia="Arial" w:hAnsi="Arial"/>
                <w:sz w:val="14"/>
                <w:szCs w:val="14"/>
                <w:b w:val="1"/>
                <w:bCs w:val="1"/>
                <w:color w:val="auto"/>
              </w:rPr>
              <w:t>Fair Value Measurements Using Significant Unobservable Inputs (Level 3)</w:t>
            </w:r>
          </w:p>
        </w:tc>
        <w:tc>
          <w:tcPr>
            <w:tcW w:w="0" w:type="dxa"/>
            <w:vAlign w:val="bottom"/>
          </w:tcPr>
          <w:p>
            <w:pPr>
              <w:spacing w:after="0"/>
              <w:rPr>
                <w:sz w:val="1"/>
                <w:szCs w:val="1"/>
                <w:color w:val="auto"/>
              </w:rPr>
            </w:pPr>
          </w:p>
        </w:tc>
      </w:tr>
      <w:tr>
        <w:trPr>
          <w:trHeight w:val="13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Trading Securities</w:t>
            </w:r>
          </w:p>
        </w:tc>
        <w:tc>
          <w:tcPr>
            <w:tcW w:w="1420" w:type="dxa"/>
            <w:vAlign w:val="bottom"/>
            <w:gridSpan w:val="3"/>
          </w:tcPr>
          <w:p>
            <w:pPr>
              <w:jc w:val="center"/>
              <w:ind w:right="60"/>
              <w:spacing w:after="0" w:line="139" w:lineRule="exact"/>
              <w:rPr>
                <w:sz w:val="20"/>
                <w:szCs w:val="20"/>
                <w:color w:val="auto"/>
              </w:rPr>
            </w:pPr>
            <w:r>
              <w:rPr>
                <w:rFonts w:ascii="Arial" w:cs="Arial" w:eastAsia="Arial" w:hAnsi="Arial"/>
                <w:sz w:val="14"/>
                <w:szCs w:val="14"/>
                <w:b w:val="1"/>
                <w:bCs w:val="1"/>
                <w:color w:val="auto"/>
                <w:w w:val="98"/>
              </w:rPr>
              <w:t>Available-for-Sale</w:t>
            </w:r>
          </w:p>
        </w:tc>
        <w:tc>
          <w:tcPr>
            <w:tcW w:w="12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Loans</w:t>
            </w:r>
          </w:p>
        </w:tc>
        <w:tc>
          <w:tcPr>
            <w:tcW w:w="14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Derivatives</w:t>
            </w:r>
          </w:p>
        </w:tc>
        <w:tc>
          <w:tcPr>
            <w:tcW w:w="120" w:type="dxa"/>
            <w:vAlign w:val="bottom"/>
          </w:tcPr>
          <w:p>
            <w:pPr>
              <w:spacing w:after="0"/>
              <w:rPr>
                <w:sz w:val="12"/>
                <w:szCs w:val="12"/>
                <w:color w:val="auto"/>
              </w:rPr>
            </w:pPr>
          </w:p>
        </w:tc>
        <w:tc>
          <w:tcPr>
            <w:tcW w:w="12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9"/>
              </w:rPr>
              <w:t>Long-term Debt</w:t>
            </w:r>
          </w:p>
        </w:tc>
        <w:tc>
          <w:tcPr>
            <w:tcW w:w="0" w:type="dxa"/>
            <w:vAlign w:val="bottom"/>
          </w:tcPr>
          <w:p>
            <w:pPr>
              <w:spacing w:after="0"/>
              <w:rPr>
                <w:sz w:val="1"/>
                <w:szCs w:val="1"/>
                <w:color w:val="auto"/>
              </w:rPr>
            </w:pPr>
          </w:p>
        </w:tc>
      </w:tr>
      <w:tr>
        <w:trPr>
          <w:trHeight w:val="177"/>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2C6937"/>
            </w:tcBorders>
            <w:gridSpan w:val="3"/>
            <w:vMerge w:val="continue"/>
          </w:tcPr>
          <w:p>
            <w:pPr>
              <w:spacing w:after="0"/>
              <w:rPr>
                <w:sz w:val="15"/>
                <w:szCs w:val="15"/>
                <w:color w:val="auto"/>
              </w:rPr>
            </w:pPr>
          </w:p>
        </w:tc>
        <w:tc>
          <w:tcPr>
            <w:tcW w:w="2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gridSpan w:val="2"/>
          </w:tcPr>
          <w:p>
            <w:pPr>
              <w:jc w:val="center"/>
              <w:ind w:right="300"/>
              <w:spacing w:after="0"/>
              <w:rPr>
                <w:sz w:val="20"/>
                <w:szCs w:val="20"/>
                <w:color w:val="auto"/>
              </w:rPr>
            </w:pPr>
            <w:r>
              <w:rPr>
                <w:rFonts w:ascii="Arial" w:cs="Arial" w:eastAsia="Arial" w:hAnsi="Arial"/>
                <w:sz w:val="14"/>
                <w:szCs w:val="14"/>
                <w:b w:val="1"/>
                <w:bCs w:val="1"/>
                <w:color w:val="auto"/>
                <w:w w:val="98"/>
              </w:rPr>
              <w:t>Securities</w:t>
            </w:r>
          </w:p>
        </w:tc>
        <w:tc>
          <w:tcPr>
            <w:tcW w:w="12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40" w:type="dxa"/>
            <w:vAlign w:val="bottom"/>
            <w:tcBorders>
              <w:bottom w:val="single" w:sz="8" w:color="2C6937"/>
            </w:tcBorders>
          </w:tcPr>
          <w:p>
            <w:pPr>
              <w:spacing w:after="0"/>
              <w:rPr>
                <w:sz w:val="15"/>
                <w:szCs w:val="15"/>
                <w:color w:val="auto"/>
              </w:rPr>
            </w:pPr>
          </w:p>
        </w:tc>
        <w:tc>
          <w:tcPr>
            <w:tcW w:w="1300" w:type="dxa"/>
            <w:vAlign w:val="bottom"/>
            <w:tcBorders>
              <w:bottom w:val="single" w:sz="8" w:color="2C6937"/>
            </w:tcBorders>
            <w:gridSpan w:val="2"/>
            <w:vMerge w:val="continue"/>
          </w:tcPr>
          <w:p>
            <w:pPr>
              <w:spacing w:after="0"/>
              <w:rPr>
                <w:sz w:val="15"/>
                <w:szCs w:val="15"/>
                <w:color w:val="auto"/>
              </w:rPr>
            </w:pPr>
          </w:p>
        </w:tc>
        <w:tc>
          <w:tcPr>
            <w:tcW w:w="12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December 31, 2023</w:t>
            </w:r>
          </w:p>
        </w:tc>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514</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477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13"/>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Purchases</w:t>
            </w:r>
          </w:p>
        </w:tc>
        <w:tc>
          <w:tcPr>
            <w:tcW w:w="6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Sales</w:t>
            </w:r>
          </w:p>
        </w:tc>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Issuances</w:t>
            </w:r>
          </w:p>
        </w:tc>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Settlements</w:t>
            </w:r>
          </w:p>
        </w:tc>
        <w:tc>
          <w:tcPr>
            <w:tcW w:w="6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19"/>
        </w:trPr>
        <w:tc>
          <w:tcPr>
            <w:tcW w:w="4240" w:type="dxa"/>
            <w:vAlign w:val="bottom"/>
            <w:gridSpan w:val="2"/>
          </w:tcPr>
          <w:p>
            <w:pPr>
              <w:ind w:left="220"/>
              <w:spacing w:after="0"/>
              <w:rPr>
                <w:sz w:val="20"/>
                <w:szCs w:val="20"/>
                <w:color w:val="auto"/>
              </w:rPr>
            </w:pPr>
            <w:r>
              <w:rPr>
                <w:rFonts w:ascii="Arial" w:cs="Arial" w:eastAsia="Arial" w:hAnsi="Arial"/>
                <w:sz w:val="14"/>
                <w:szCs w:val="14"/>
                <w:color w:val="auto"/>
              </w:rPr>
              <w:t>Net transfers</w:t>
            </w: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4140" w:type="dxa"/>
            <w:vAlign w:val="bottom"/>
            <w:tcBorders>
              <w:bottom w:val="single" w:sz="8" w:color="216C2B"/>
            </w:tcBorders>
          </w:tcPr>
          <w:p>
            <w:pPr>
              <w:ind w:left="220"/>
              <w:spacing w:after="0"/>
              <w:rPr>
                <w:sz w:val="20"/>
                <w:szCs w:val="20"/>
                <w:color w:val="auto"/>
              </w:rPr>
            </w:pPr>
            <w:r>
              <w:rPr>
                <w:rFonts w:ascii="Arial" w:cs="Arial" w:eastAsia="Arial" w:hAnsi="Arial"/>
                <w:sz w:val="14"/>
                <w:szCs w:val="14"/>
                <w:color w:val="auto"/>
              </w:rPr>
              <w:t>Total gains (losses) realized &amp; unrealized</w:t>
            </w:r>
            <w:r>
              <w:rPr>
                <w:rFonts w:ascii="Arial" w:cs="Arial" w:eastAsia="Arial" w:hAnsi="Arial"/>
                <w:sz w:val="17"/>
                <w:szCs w:val="17"/>
                <w:color w:val="auto"/>
                <w:vertAlign w:val="superscript"/>
              </w:rPr>
              <w:t>(1)</w:t>
            </w:r>
          </w:p>
        </w:tc>
        <w:tc>
          <w:tcPr>
            <w:tcW w:w="100" w:type="dxa"/>
            <w:vAlign w:val="bottom"/>
          </w:tcPr>
          <w:p>
            <w:pPr>
              <w:spacing w:after="0"/>
              <w:rPr>
                <w:sz w:val="19"/>
                <w:szCs w:val="19"/>
                <w:color w:val="auto"/>
              </w:rPr>
            </w:pPr>
          </w:p>
        </w:tc>
        <w:tc>
          <w:tcPr>
            <w:tcW w:w="600" w:type="dxa"/>
            <w:vAlign w:val="bottom"/>
            <w:tcBorders>
              <w:bottom w:val="single" w:sz="8" w:color="216C2B"/>
            </w:tcBorders>
          </w:tcPr>
          <w:p>
            <w:pPr>
              <w:spacing w:after="0"/>
              <w:rPr>
                <w:sz w:val="19"/>
                <w:szCs w:val="19"/>
                <w:color w:val="auto"/>
              </w:rPr>
            </w:pPr>
          </w:p>
        </w:tc>
        <w:tc>
          <w:tcPr>
            <w:tcW w:w="7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220" w:type="dxa"/>
            <w:vAlign w:val="bottom"/>
            <w:tcBorders>
              <w:bottom w:val="single" w:sz="8" w:color="216C2B"/>
            </w:tcBorders>
          </w:tcPr>
          <w:p>
            <w:pPr>
              <w:spacing w:after="0"/>
              <w:rPr>
                <w:sz w:val="19"/>
                <w:szCs w:val="19"/>
                <w:color w:val="auto"/>
              </w:rPr>
            </w:pPr>
          </w:p>
        </w:tc>
        <w:tc>
          <w:tcPr>
            <w:tcW w:w="11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22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9"/>
                <w:szCs w:val="19"/>
                <w:color w:val="auto"/>
              </w:rPr>
            </w:pPr>
          </w:p>
        </w:tc>
        <w:tc>
          <w:tcPr>
            <w:tcW w:w="14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9"/>
                <w:szCs w:val="19"/>
                <w:color w:val="auto"/>
              </w:rPr>
            </w:pPr>
          </w:p>
        </w:tc>
        <w:tc>
          <w:tcPr>
            <w:tcW w:w="120" w:type="dxa"/>
            <w:vAlign w:val="bottom"/>
            <w:tcBorders>
              <w:bottom w:val="single" w:sz="8" w:color="216C2B"/>
            </w:tcBorders>
          </w:tcPr>
          <w:p>
            <w:pPr>
              <w:spacing w:after="0"/>
              <w:rPr>
                <w:sz w:val="19"/>
                <w:szCs w:val="19"/>
                <w:color w:val="auto"/>
              </w:rPr>
            </w:pPr>
          </w:p>
        </w:tc>
        <w:tc>
          <w:tcPr>
            <w:tcW w:w="1200" w:type="dxa"/>
            <w:vAlign w:val="bottom"/>
            <w:tcBorders>
              <w:bottom w:val="single" w:sz="8" w:color="216C2B"/>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5"/>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September 30, 2024</w:t>
            </w:r>
          </w:p>
        </w:tc>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448</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430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20"/>
        </w:trPr>
        <w:tc>
          <w:tcPr>
            <w:tcW w:w="414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2C6937"/>
              <w:bottom w:val="single" w:sz="8" w:color="2C6937"/>
            </w:tcBorders>
          </w:tcPr>
          <w:p>
            <w:pPr>
              <w:spacing w:after="0" w:line="20" w:lineRule="exact"/>
              <w:rPr>
                <w:sz w:val="1"/>
                <w:szCs w:val="1"/>
                <w:color w:val="auto"/>
              </w:rPr>
            </w:pPr>
          </w:p>
        </w:tc>
        <w:tc>
          <w:tcPr>
            <w:tcW w:w="7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20" w:type="dxa"/>
            <w:vAlign w:val="bottom"/>
            <w:tcBorders>
              <w:top w:val="single" w:sz="8" w:color="2C6937"/>
              <w:bottom w:val="single" w:sz="8" w:color="2C6937"/>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20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40" w:right="80" w:hanging="237"/>
        <w:spacing w:after="0" w:line="218" w:lineRule="auto"/>
        <w:tabs>
          <w:tab w:leader="none" w:pos="233"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We had no significant unrealized gains or losses related to assets and liabilities still held in either “Net income” or “Other comprehensive income (loss)” as of September 30, 2025 or September 30, 2024.</w:t>
      </w:r>
    </w:p>
    <w:p>
      <w:pPr>
        <w:spacing w:after="0" w:line="5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following tables display valuation techniques for our Level 3 assets and liabilities measured at fair value on a recurring basis, excluding instruments for which we have elected the fair value option. Changes in these unobservable inputs can result in significantly higher or lower fair value measurements of these assets and liabilities as of the reporting date.</w:t>
      </w:r>
    </w:p>
    <w:p>
      <w:pPr>
        <w:spacing w:after="0" w:line="83" w:lineRule="exact"/>
        <w:rPr>
          <w:sz w:val="20"/>
          <w:szCs w:val="20"/>
          <w:color w:val="auto"/>
        </w:rPr>
      </w:pPr>
    </w:p>
    <w:tbl>
      <w:tblPr>
        <w:tblLayout w:type="fixed"/>
        <w:tblInd w:w="24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5720" w:type="dxa"/>
            <w:vAlign w:val="bottom"/>
            <w:tcBorders>
              <w:bottom w:val="single" w:sz="8" w:color="2C6937"/>
            </w:tcBorders>
          </w:tcPr>
          <w:p>
            <w:pPr>
              <w:ind w:left="260"/>
              <w:spacing w:after="0"/>
              <w:rPr>
                <w:sz w:val="20"/>
                <w:szCs w:val="20"/>
                <w:color w:val="auto"/>
              </w:rPr>
            </w:pPr>
            <w:r>
              <w:rPr>
                <w:rFonts w:ascii="Arial" w:cs="Arial" w:eastAsia="Arial" w:hAnsi="Arial"/>
                <w:sz w:val="15"/>
                <w:szCs w:val="15"/>
                <w:b w:val="1"/>
                <w:bCs w:val="1"/>
                <w:color w:val="auto"/>
              </w:rPr>
              <w:t>Fair Value Measurements as of September 30, 2025</w:t>
            </w:r>
          </w:p>
        </w:tc>
      </w:tr>
      <w:tr>
        <w:trPr>
          <w:trHeight w:val="225"/>
        </w:trPr>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260" w:type="dxa"/>
            <w:vAlign w:val="bottom"/>
            <w:tcBorders>
              <w:bottom w:val="single" w:sz="8" w:color="2C6937"/>
            </w:tcBorders>
            <w:gridSpan w:val="2"/>
          </w:tcPr>
          <w:p>
            <w:pPr>
              <w:ind w:left="120"/>
              <w:spacing w:after="0"/>
              <w:rPr>
                <w:sz w:val="20"/>
                <w:szCs w:val="20"/>
                <w:color w:val="auto"/>
              </w:rPr>
            </w:pPr>
            <w:r>
              <w:rPr>
                <w:rFonts w:ascii="Arial" w:cs="Arial" w:eastAsia="Arial" w:hAnsi="Arial"/>
                <w:sz w:val="15"/>
                <w:szCs w:val="15"/>
                <w:b w:val="1"/>
                <w:bCs w:val="1"/>
                <w:color w:val="auto"/>
              </w:rPr>
              <w:t>Fair Value</w:t>
            </w:r>
          </w:p>
        </w:tc>
        <w:tc>
          <w:tcPr>
            <w:tcW w:w="5720" w:type="dxa"/>
            <w:vAlign w:val="bottom"/>
            <w:tcBorders>
              <w:bottom w:val="single" w:sz="8" w:color="2C6937"/>
            </w:tcBorders>
          </w:tcPr>
          <w:p>
            <w:pPr>
              <w:ind w:left="1660"/>
              <w:spacing w:after="0"/>
              <w:rPr>
                <w:sz w:val="20"/>
                <w:szCs w:val="20"/>
                <w:color w:val="auto"/>
              </w:rPr>
            </w:pPr>
            <w:r>
              <w:rPr>
                <w:rFonts w:ascii="Arial" w:cs="Arial" w:eastAsia="Arial" w:hAnsi="Arial"/>
                <w:sz w:val="15"/>
                <w:szCs w:val="15"/>
                <w:b w:val="1"/>
                <w:bCs w:val="1"/>
                <w:color w:val="auto"/>
              </w:rPr>
              <w:t>Significant Valuation Techniques</w:t>
            </w:r>
          </w:p>
        </w:tc>
      </w:tr>
      <w:tr>
        <w:trPr>
          <w:trHeight w:val="210"/>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20" w:type="dxa"/>
            <w:vAlign w:val="bottom"/>
          </w:tcPr>
          <w:p>
            <w:pPr>
              <w:ind w:left="1420"/>
              <w:spacing w:after="0"/>
              <w:rPr>
                <w:sz w:val="20"/>
                <w:szCs w:val="20"/>
                <w:color w:val="auto"/>
              </w:rPr>
            </w:pPr>
            <w:r>
              <w:rPr>
                <w:rFonts w:ascii="Arial" w:cs="Arial" w:eastAsia="Arial" w:hAnsi="Arial"/>
                <w:sz w:val="15"/>
                <w:szCs w:val="15"/>
                <w:b w:val="1"/>
                <w:bCs w:val="1"/>
                <w:color w:val="auto"/>
              </w:rPr>
              <w:t>(Dollars in millions)</w:t>
            </w:r>
          </w:p>
        </w:tc>
      </w:tr>
      <w:tr>
        <w:trPr>
          <w:trHeight w:val="218"/>
        </w:trPr>
        <w:tc>
          <w:tcPr>
            <w:tcW w:w="3580" w:type="dxa"/>
            <w:vAlign w:val="bottom"/>
            <w:gridSpan w:val="2"/>
          </w:tcPr>
          <w:p>
            <w:pPr>
              <w:ind w:left="20"/>
              <w:spacing w:after="0"/>
              <w:rPr>
                <w:sz w:val="20"/>
                <w:szCs w:val="20"/>
                <w:color w:val="auto"/>
              </w:rPr>
            </w:pPr>
            <w:r>
              <w:rPr>
                <w:rFonts w:ascii="Arial" w:cs="Arial" w:eastAsia="Arial" w:hAnsi="Arial"/>
                <w:sz w:val="15"/>
                <w:szCs w:val="15"/>
                <w:b w:val="1"/>
                <w:bCs w:val="1"/>
                <w:color w:val="auto"/>
              </w:rPr>
              <w:t>Recurring fair value measurements: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20" w:type="dxa"/>
            <w:vAlign w:val="bottom"/>
          </w:tcPr>
          <w:p>
            <w:pPr>
              <w:spacing w:after="0"/>
              <w:rPr>
                <w:sz w:val="18"/>
                <w:szCs w:val="18"/>
                <w:color w:val="auto"/>
              </w:rPr>
            </w:pP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Trading securities: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260"/>
        </w:trPr>
        <w:tc>
          <w:tcPr>
            <w:tcW w:w="3580" w:type="dxa"/>
            <w:vAlign w:val="bottom"/>
            <w:gridSpan w:val="2"/>
          </w:tcPr>
          <w:p>
            <w:pPr>
              <w:ind w:left="120"/>
              <w:spacing w:after="0"/>
              <w:rPr>
                <w:sz w:val="20"/>
                <w:szCs w:val="20"/>
                <w:color w:val="auto"/>
              </w:rPr>
            </w:pPr>
            <w:r>
              <w:rPr>
                <w:rFonts w:ascii="Arial" w:cs="Arial" w:eastAsia="Arial" w:hAnsi="Arial"/>
                <w:sz w:val="15"/>
                <w:szCs w:val="15"/>
                <w:color w:val="auto"/>
              </w:rPr>
              <w:t>Mortgage-related</w:t>
            </w:r>
            <w:r>
              <w:rPr>
                <w:rFonts w:ascii="Arial" w:cs="Arial" w:eastAsia="Arial" w:hAnsi="Arial"/>
                <w:sz w:val="20"/>
                <w:szCs w:val="20"/>
                <w:color w:val="auto"/>
                <w:vertAlign w:val="superscript"/>
              </w:rPr>
              <w:t>(1)</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5"/>
                <w:szCs w:val="15"/>
                <w:color w:val="auto"/>
              </w:rPr>
              <w:t>Primarily Consensus</w:t>
            </w:r>
          </w:p>
        </w:tc>
      </w:tr>
      <w:tr>
        <w:trPr>
          <w:trHeight w:val="20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Available-for-sale securities: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20" w:type="dxa"/>
            <w:vAlign w:val="bottom"/>
          </w:tcPr>
          <w:p>
            <w:pPr>
              <w:spacing w:after="0"/>
              <w:rPr>
                <w:sz w:val="17"/>
                <w:szCs w:val="17"/>
                <w:color w:val="auto"/>
              </w:rPr>
            </w:pPr>
          </w:p>
        </w:tc>
      </w:tr>
      <w:tr>
        <w:trPr>
          <w:trHeight w:val="260"/>
        </w:trPr>
        <w:tc>
          <w:tcPr>
            <w:tcW w:w="3580" w:type="dxa"/>
            <w:vAlign w:val="bottom"/>
            <w:gridSpan w:val="2"/>
          </w:tcPr>
          <w:p>
            <w:pPr>
              <w:ind w:left="120"/>
              <w:spacing w:after="0"/>
              <w:rPr>
                <w:sz w:val="20"/>
                <w:szCs w:val="20"/>
                <w:color w:val="auto"/>
              </w:rPr>
            </w:pPr>
            <w:r>
              <w:rPr>
                <w:rFonts w:ascii="Arial" w:cs="Arial" w:eastAsia="Arial" w:hAnsi="Arial"/>
                <w:sz w:val="15"/>
                <w:szCs w:val="15"/>
                <w:color w:val="auto"/>
              </w:rPr>
              <w:t>Agency</w:t>
            </w:r>
            <w:r>
              <w:rPr>
                <w:rFonts w:ascii="Arial" w:cs="Arial" w:eastAsia="Arial" w:hAnsi="Arial"/>
                <w:sz w:val="20"/>
                <w:szCs w:val="20"/>
                <w:color w:val="auto"/>
                <w:vertAlign w:val="superscript"/>
              </w:rPr>
              <w:t>(1)</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283</w:t>
            </w:r>
          </w:p>
        </w:tc>
        <w:tc>
          <w:tcPr>
            <w:tcW w:w="10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5"/>
                <w:szCs w:val="15"/>
                <w:color w:val="auto"/>
              </w:rPr>
              <w:t>Consensus and Single Vendor</w:t>
            </w:r>
          </w:p>
        </w:tc>
      </w:tr>
      <w:tr>
        <w:trPr>
          <w:trHeight w:val="218"/>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Other mortgage-related</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18"/>
                <w:szCs w:val="18"/>
                <w:color w:val="auto"/>
              </w:rPr>
            </w:pPr>
          </w:p>
        </w:tc>
        <w:tc>
          <w:tcPr>
            <w:tcW w:w="5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Primarily Single Vendor and Consensus</w:t>
            </w: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Total available-for-sale securities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351</w:t>
            </w:r>
          </w:p>
        </w:tc>
        <w:tc>
          <w:tcPr>
            <w:tcW w:w="10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232"/>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Net derivatives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5"/>
                <w:szCs w:val="15"/>
                <w:color w:val="auto"/>
              </w:rPr>
              <w:t>Dealer Mark and Discounted Cash Flow</w:t>
            </w:r>
          </w:p>
        </w:tc>
      </w:tr>
    </w:tbl>
    <w:p>
      <w:pPr>
        <w:spacing w:after="0" w:line="194" w:lineRule="exact"/>
        <w:rPr>
          <w:sz w:val="20"/>
          <w:szCs w:val="20"/>
          <w:color w:val="auto"/>
        </w:rPr>
      </w:pPr>
    </w:p>
    <w:tbl>
      <w:tblPr>
        <w:tblLayout w:type="fixed"/>
        <w:tblInd w:w="24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spacing w:after="0"/>
              <w:rPr>
                <w:sz w:val="18"/>
                <w:szCs w:val="18"/>
                <w:color w:val="auto"/>
              </w:rPr>
            </w:pPr>
          </w:p>
        </w:tc>
        <w:tc>
          <w:tcPr>
            <w:tcW w:w="100" w:type="dxa"/>
            <w:vAlign w:val="bottom"/>
            <w:tcBorders>
              <w:bottom w:val="single" w:sz="8" w:color="2C6937"/>
            </w:tcBorders>
          </w:tcPr>
          <w:p>
            <w:pPr>
              <w:spacing w:after="0"/>
              <w:rPr>
                <w:sz w:val="18"/>
                <w:szCs w:val="18"/>
                <w:color w:val="auto"/>
              </w:rPr>
            </w:pPr>
          </w:p>
        </w:tc>
        <w:tc>
          <w:tcPr>
            <w:tcW w:w="5720" w:type="dxa"/>
            <w:vAlign w:val="bottom"/>
            <w:tcBorders>
              <w:bottom w:val="single" w:sz="8" w:color="2C6937"/>
            </w:tcBorders>
          </w:tcPr>
          <w:p>
            <w:pPr>
              <w:ind w:left="280"/>
              <w:spacing w:after="0"/>
              <w:rPr>
                <w:sz w:val="20"/>
                <w:szCs w:val="20"/>
                <w:color w:val="auto"/>
              </w:rPr>
            </w:pPr>
            <w:r>
              <w:rPr>
                <w:rFonts w:ascii="Arial" w:cs="Arial" w:eastAsia="Arial" w:hAnsi="Arial"/>
                <w:sz w:val="15"/>
                <w:szCs w:val="15"/>
                <w:b w:val="1"/>
                <w:bCs w:val="1"/>
                <w:color w:val="auto"/>
              </w:rPr>
              <w:t>Fair Value Measurements as of December 31, 2024</w:t>
            </w:r>
          </w:p>
        </w:tc>
      </w:tr>
      <w:tr>
        <w:trPr>
          <w:trHeight w:val="225"/>
        </w:trPr>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2C6937"/>
            </w:tcBorders>
          </w:tcPr>
          <w:p>
            <w:pPr>
              <w:spacing w:after="0"/>
              <w:rPr>
                <w:sz w:val="19"/>
                <w:szCs w:val="19"/>
                <w:color w:val="auto"/>
              </w:rPr>
            </w:pPr>
          </w:p>
        </w:tc>
        <w:tc>
          <w:tcPr>
            <w:tcW w:w="1260" w:type="dxa"/>
            <w:vAlign w:val="bottom"/>
            <w:tcBorders>
              <w:bottom w:val="single" w:sz="8" w:color="2C6937"/>
            </w:tcBorders>
            <w:gridSpan w:val="2"/>
          </w:tcPr>
          <w:p>
            <w:pPr>
              <w:ind w:left="120"/>
              <w:spacing w:after="0"/>
              <w:rPr>
                <w:sz w:val="20"/>
                <w:szCs w:val="20"/>
                <w:color w:val="auto"/>
              </w:rPr>
            </w:pPr>
            <w:r>
              <w:rPr>
                <w:rFonts w:ascii="Arial" w:cs="Arial" w:eastAsia="Arial" w:hAnsi="Arial"/>
                <w:sz w:val="15"/>
                <w:szCs w:val="15"/>
                <w:b w:val="1"/>
                <w:bCs w:val="1"/>
                <w:color w:val="auto"/>
              </w:rPr>
              <w:t>Fair Value</w:t>
            </w:r>
          </w:p>
        </w:tc>
        <w:tc>
          <w:tcPr>
            <w:tcW w:w="5720" w:type="dxa"/>
            <w:vAlign w:val="bottom"/>
            <w:tcBorders>
              <w:bottom w:val="single" w:sz="8" w:color="2C6937"/>
            </w:tcBorders>
          </w:tcPr>
          <w:p>
            <w:pPr>
              <w:ind w:left="1660"/>
              <w:spacing w:after="0"/>
              <w:rPr>
                <w:sz w:val="20"/>
                <w:szCs w:val="20"/>
                <w:color w:val="auto"/>
              </w:rPr>
            </w:pPr>
            <w:r>
              <w:rPr>
                <w:rFonts w:ascii="Arial" w:cs="Arial" w:eastAsia="Arial" w:hAnsi="Arial"/>
                <w:sz w:val="15"/>
                <w:szCs w:val="15"/>
                <w:b w:val="1"/>
                <w:bCs w:val="1"/>
                <w:color w:val="auto"/>
              </w:rPr>
              <w:t>Significant Valuation Techniques</w:t>
            </w:r>
          </w:p>
        </w:tc>
      </w:tr>
      <w:tr>
        <w:trPr>
          <w:trHeight w:val="210"/>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20" w:type="dxa"/>
            <w:vAlign w:val="bottom"/>
          </w:tcPr>
          <w:p>
            <w:pPr>
              <w:ind w:left="1420"/>
              <w:spacing w:after="0"/>
              <w:rPr>
                <w:sz w:val="20"/>
                <w:szCs w:val="20"/>
                <w:color w:val="auto"/>
              </w:rPr>
            </w:pPr>
            <w:r>
              <w:rPr>
                <w:rFonts w:ascii="Arial" w:cs="Arial" w:eastAsia="Arial" w:hAnsi="Arial"/>
                <w:sz w:val="15"/>
                <w:szCs w:val="15"/>
                <w:b w:val="1"/>
                <w:bCs w:val="1"/>
                <w:color w:val="auto"/>
              </w:rPr>
              <w:t>(Dollars in millions)</w:t>
            </w:r>
          </w:p>
        </w:tc>
      </w:tr>
      <w:tr>
        <w:trPr>
          <w:trHeight w:val="218"/>
        </w:trPr>
        <w:tc>
          <w:tcPr>
            <w:tcW w:w="3580" w:type="dxa"/>
            <w:vAlign w:val="bottom"/>
            <w:gridSpan w:val="2"/>
          </w:tcPr>
          <w:p>
            <w:pPr>
              <w:ind w:left="20"/>
              <w:spacing w:after="0"/>
              <w:rPr>
                <w:sz w:val="20"/>
                <w:szCs w:val="20"/>
                <w:color w:val="auto"/>
              </w:rPr>
            </w:pPr>
            <w:r>
              <w:rPr>
                <w:rFonts w:ascii="Arial" w:cs="Arial" w:eastAsia="Arial" w:hAnsi="Arial"/>
                <w:sz w:val="15"/>
                <w:szCs w:val="15"/>
                <w:b w:val="1"/>
                <w:bCs w:val="1"/>
                <w:color w:val="auto"/>
              </w:rPr>
              <w:t>Recurring fair value measurements: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20" w:type="dxa"/>
            <w:vAlign w:val="bottom"/>
          </w:tcPr>
          <w:p>
            <w:pPr>
              <w:spacing w:after="0"/>
              <w:rPr>
                <w:sz w:val="18"/>
                <w:szCs w:val="18"/>
                <w:color w:val="auto"/>
              </w:rPr>
            </w:pP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Trading securities: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260"/>
        </w:trPr>
        <w:tc>
          <w:tcPr>
            <w:tcW w:w="3580" w:type="dxa"/>
            <w:vAlign w:val="bottom"/>
            <w:gridSpan w:val="2"/>
          </w:tcPr>
          <w:p>
            <w:pPr>
              <w:ind w:left="120"/>
              <w:spacing w:after="0"/>
              <w:rPr>
                <w:sz w:val="20"/>
                <w:szCs w:val="20"/>
                <w:color w:val="auto"/>
              </w:rPr>
            </w:pPr>
            <w:r>
              <w:rPr>
                <w:rFonts w:ascii="Arial" w:cs="Arial" w:eastAsia="Arial" w:hAnsi="Arial"/>
                <w:sz w:val="15"/>
                <w:szCs w:val="15"/>
                <w:color w:val="auto"/>
              </w:rPr>
              <w:t>Mortgage-related</w:t>
            </w:r>
            <w:r>
              <w:rPr>
                <w:rFonts w:ascii="Arial" w:cs="Arial" w:eastAsia="Arial" w:hAnsi="Arial"/>
                <w:sz w:val="20"/>
                <w:szCs w:val="20"/>
                <w:color w:val="auto"/>
                <w:vertAlign w:val="superscript"/>
              </w:rPr>
              <w:t>(1)</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5"/>
                <w:szCs w:val="15"/>
                <w:color w:val="auto"/>
              </w:rPr>
              <w:t>Primarily Consensus</w:t>
            </w:r>
          </w:p>
        </w:tc>
      </w:tr>
      <w:tr>
        <w:trPr>
          <w:trHeight w:val="20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Available-for-sale securities: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20" w:type="dxa"/>
            <w:vAlign w:val="bottom"/>
          </w:tcPr>
          <w:p>
            <w:pPr>
              <w:spacing w:after="0"/>
              <w:rPr>
                <w:sz w:val="17"/>
                <w:szCs w:val="17"/>
                <w:color w:val="auto"/>
              </w:rPr>
            </w:pPr>
          </w:p>
        </w:tc>
      </w:tr>
      <w:tr>
        <w:trPr>
          <w:trHeight w:val="260"/>
        </w:trPr>
        <w:tc>
          <w:tcPr>
            <w:tcW w:w="3580" w:type="dxa"/>
            <w:vAlign w:val="bottom"/>
            <w:gridSpan w:val="2"/>
          </w:tcPr>
          <w:p>
            <w:pPr>
              <w:ind w:left="120"/>
              <w:spacing w:after="0"/>
              <w:rPr>
                <w:sz w:val="20"/>
                <w:szCs w:val="20"/>
                <w:color w:val="auto"/>
              </w:rPr>
            </w:pPr>
            <w:r>
              <w:rPr>
                <w:rFonts w:ascii="Arial" w:cs="Arial" w:eastAsia="Arial" w:hAnsi="Arial"/>
                <w:sz w:val="15"/>
                <w:szCs w:val="15"/>
                <w:color w:val="auto"/>
              </w:rPr>
              <w:t>Agency</w:t>
            </w:r>
            <w:r>
              <w:rPr>
                <w:rFonts w:ascii="Arial" w:cs="Arial" w:eastAsia="Arial" w:hAnsi="Arial"/>
                <w:sz w:val="20"/>
                <w:szCs w:val="20"/>
                <w:color w:val="auto"/>
                <w:vertAlign w:val="superscript"/>
              </w:rPr>
              <w:t>(1)</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301</w:t>
            </w:r>
          </w:p>
        </w:tc>
        <w:tc>
          <w:tcPr>
            <w:tcW w:w="10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5"/>
                <w:szCs w:val="15"/>
                <w:color w:val="auto"/>
              </w:rPr>
              <w:t>Consensus</w:t>
            </w:r>
          </w:p>
        </w:tc>
      </w:tr>
      <w:tr>
        <w:trPr>
          <w:trHeight w:val="218"/>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5"/>
                <w:szCs w:val="15"/>
                <w:color w:val="auto"/>
              </w:rPr>
              <w:t>Other mortgage-related</w:t>
            </w:r>
          </w:p>
        </w:tc>
        <w:tc>
          <w:tcPr>
            <w:tcW w:w="100" w:type="dxa"/>
            <w:vAlign w:val="bottom"/>
          </w:tcPr>
          <w:p>
            <w:pPr>
              <w:spacing w:after="0"/>
              <w:rPr>
                <w:sz w:val="18"/>
                <w:szCs w:val="18"/>
                <w:color w:val="auto"/>
              </w:rPr>
            </w:pPr>
          </w:p>
        </w:tc>
        <w:tc>
          <w:tcPr>
            <w:tcW w:w="200" w:type="dxa"/>
            <w:vAlign w:val="bottom"/>
            <w:tcBorders>
              <w:bottom w:val="single" w:sz="8" w:color="2C6937"/>
            </w:tcBorders>
          </w:tcPr>
          <w:p>
            <w:pPr>
              <w:spacing w:after="0"/>
              <w:rPr>
                <w:sz w:val="18"/>
                <w:szCs w:val="18"/>
                <w:color w:val="auto"/>
              </w:rPr>
            </w:pPr>
          </w:p>
        </w:tc>
        <w:tc>
          <w:tcPr>
            <w:tcW w:w="1160" w:type="dxa"/>
            <w:vAlign w:val="bottom"/>
            <w:tcBorders>
              <w:bottom w:val="single" w:sz="8" w:color="2C6937"/>
            </w:tcBorders>
          </w:tcPr>
          <w:p>
            <w:pPr>
              <w:jc w:val="right"/>
              <w:ind w:right="3"/>
              <w:spacing w:after="0"/>
              <w:rPr>
                <w:sz w:val="20"/>
                <w:szCs w:val="20"/>
                <w:color w:val="auto"/>
              </w:rPr>
            </w:pPr>
            <w:r>
              <w:rPr>
                <w:rFonts w:ascii="Arial" w:cs="Arial" w:eastAsia="Arial" w:hAnsi="Arial"/>
                <w:sz w:val="15"/>
                <w:szCs w:val="15"/>
                <w:color w:val="auto"/>
              </w:rPr>
              <w:t>126</w:t>
            </w:r>
          </w:p>
        </w:tc>
        <w:tc>
          <w:tcPr>
            <w:tcW w:w="100" w:type="dxa"/>
            <w:vAlign w:val="bottom"/>
          </w:tcPr>
          <w:p>
            <w:pPr>
              <w:spacing w:after="0"/>
              <w:rPr>
                <w:sz w:val="18"/>
                <w:szCs w:val="18"/>
                <w:color w:val="auto"/>
              </w:rPr>
            </w:pPr>
          </w:p>
        </w:tc>
        <w:tc>
          <w:tcPr>
            <w:tcW w:w="5720" w:type="dxa"/>
            <w:vAlign w:val="bottom"/>
            <w:tcBorders>
              <w:bottom w:val="single" w:sz="8" w:color="2C6937"/>
            </w:tcBorders>
          </w:tcPr>
          <w:p>
            <w:pPr>
              <w:ind w:left="20"/>
              <w:spacing w:after="0"/>
              <w:rPr>
                <w:sz w:val="20"/>
                <w:szCs w:val="20"/>
                <w:color w:val="auto"/>
              </w:rPr>
            </w:pPr>
            <w:r>
              <w:rPr>
                <w:rFonts w:ascii="Arial" w:cs="Arial" w:eastAsia="Arial" w:hAnsi="Arial"/>
                <w:sz w:val="15"/>
                <w:szCs w:val="15"/>
                <w:color w:val="auto"/>
              </w:rPr>
              <w:t>Primarily Discounted Cash Flow, Single Vendor, and Consensus</w:t>
            </w:r>
          </w:p>
        </w:tc>
      </w:tr>
      <w:tr>
        <w:trPr>
          <w:trHeight w:val="224"/>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Total available-for-sale securities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427</w:t>
            </w:r>
          </w:p>
        </w:tc>
        <w:tc>
          <w:tcPr>
            <w:tcW w:w="10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232"/>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Net derivatives</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5"/>
                <w:szCs w:val="15"/>
                <w:color w:val="auto"/>
              </w:rPr>
              <w:t>Dealer Mark and Discounted Cash Flow</w:t>
            </w:r>
          </w:p>
        </w:tc>
      </w:tr>
    </w:tbl>
    <w:p>
      <w:pPr>
        <w:spacing w:after="0" w:line="96" w:lineRule="exact"/>
        <w:rPr>
          <w:sz w:val="20"/>
          <w:szCs w:val="20"/>
          <w:color w:val="auto"/>
        </w:rPr>
      </w:pPr>
    </w:p>
    <w:p>
      <w:pPr>
        <w:ind w:left="220" w:hanging="217"/>
        <w:spacing w:after="0"/>
        <w:tabs>
          <w:tab w:leader="none" w:pos="220" w:val="left"/>
        </w:tabs>
        <w:numPr>
          <w:ilvl w:val="0"/>
          <w:numId w:val="83"/>
        </w:numPr>
        <w:rPr>
          <w:rFonts w:ascii="Arial" w:cs="Arial" w:eastAsia="Arial" w:hAnsi="Arial"/>
          <w:sz w:val="18"/>
          <w:szCs w:val="18"/>
          <w:color w:val="auto"/>
          <w:vertAlign w:val="superscript"/>
        </w:rPr>
      </w:pPr>
      <w:r>
        <w:rPr>
          <w:rFonts w:ascii="Arial" w:cs="Arial" w:eastAsia="Arial" w:hAnsi="Arial"/>
          <w:sz w:val="14"/>
          <w:szCs w:val="14"/>
          <w:color w:val="auto"/>
        </w:rPr>
        <w:t>Includes Fannie Mae and Freddie Mac securities.</w:t>
      </w:r>
    </w:p>
    <w:p>
      <w:pPr>
        <w:spacing w:after="0" w:line="54" w:lineRule="exact"/>
        <w:rPr>
          <w:sz w:val="20"/>
          <w:szCs w:val="20"/>
          <w:color w:val="auto"/>
        </w:rPr>
      </w:pPr>
    </w:p>
    <w:p>
      <w:pPr>
        <w:jc w:val="both"/>
        <w:ind w:right="80"/>
        <w:spacing w:after="0" w:line="270" w:lineRule="auto"/>
        <w:rPr>
          <w:sz w:val="20"/>
          <w:szCs w:val="20"/>
          <w:color w:val="auto"/>
        </w:rPr>
      </w:pPr>
      <w:r>
        <w:rPr>
          <w:rFonts w:ascii="Arial" w:cs="Arial" w:eastAsia="Arial" w:hAnsi="Arial"/>
          <w:sz w:val="16"/>
          <w:szCs w:val="16"/>
          <w:color w:val="auto"/>
        </w:rPr>
        <w:t>In our condensed consolidated balance sheets, certain assets and liabilities are measured at fair value on a nonrecurring basis; that is, the instruments are not measured at fair value on an ongoing basis but are subject to fair value adjustments in certain circumstances (for example, when we evaluate loans for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362585</wp:posOffset>
            </wp:positionV>
            <wp:extent cx="680593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6" w:name="page107"/>
    <w:bookmarkEnd w:id="106"/>
    <w:p>
      <w:pPr>
        <w:jc w:val="right"/>
        <w:ind w:right="4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valuation techniques for our Level 3 assets measured at fair value on a nonrecurring basis.</w:t>
      </w:r>
    </w:p>
    <w:p>
      <w:pPr>
        <w:sectPr>
          <w:pgSz w:w="11900" w:h="16838" w:orient="portrait"/>
          <w:cols w:equalWidth="0" w:num="1">
            <w:col w:w="11180"/>
          </w:cols>
          <w:pgMar w:left="320" w:top="24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Nonrecurring fair value measurements:</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5"/>
          <w:szCs w:val="15"/>
          <w:color w:val="auto"/>
        </w:rPr>
        <w:t>Mortgage loans:</w:t>
      </w:r>
      <w:r>
        <w:rPr>
          <w:rFonts w:ascii="Arial" w:cs="Arial" w:eastAsia="Arial" w:hAnsi="Arial"/>
          <w:sz w:val="20"/>
          <w:szCs w:val="20"/>
          <w:color w:val="auto"/>
          <w:vertAlign w:val="superscript"/>
        </w:rPr>
        <w:t>(1)</w:t>
      </w:r>
    </w:p>
    <w:p>
      <w:pPr>
        <w:ind w:left="160" w:right="880"/>
        <w:spacing w:after="0" w:line="347" w:lineRule="auto"/>
        <w:rPr>
          <w:sz w:val="20"/>
          <w:szCs w:val="20"/>
          <w:color w:val="auto"/>
        </w:rPr>
      </w:pPr>
      <w:r>
        <w:rPr>
          <w:rFonts w:ascii="Arial" w:cs="Arial" w:eastAsia="Arial" w:hAnsi="Arial"/>
          <w:sz w:val="15"/>
          <w:szCs w:val="15"/>
          <w:color w:val="auto"/>
        </w:rPr>
        <w:t>Mortgage loans held for sale, at lower of cost or fair value Single-family mortgage loans held for investment, at amortized cost</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Multifamily mortgage loans held for investment, at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422275</wp:posOffset>
            </wp:positionV>
            <wp:extent cx="39376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937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Total multifamily mortgage loans held for investment, at amortized cost</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15"/>
          <w:szCs w:val="15"/>
          <w:color w:val="auto"/>
        </w:rPr>
        <w:t>Acquired property, net:</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Single-family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258445</wp:posOffset>
            </wp:positionV>
            <wp:extent cx="39376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93763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Total single-family</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Multifamily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29210</wp:posOffset>
            </wp:positionV>
            <wp:extent cx="39376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937635" cy="8255"/>
                    </a:xfrm>
                    <a:prstGeom prst="rect">
                      <a:avLst/>
                    </a:prstGeom>
                    <a:noFill/>
                  </pic:spPr>
                </pic:pic>
              </a:graphicData>
            </a:graphic>
          </wp:anchor>
        </w:drawing>
      </w:r>
    </w:p>
    <w:p>
      <w:pPr>
        <w:spacing w:after="0" w:line="40" w:lineRule="exact"/>
        <w:rPr>
          <w:sz w:val="20"/>
          <w:szCs w:val="20"/>
          <w:color w:val="auto"/>
        </w:rPr>
      </w:pPr>
    </w:p>
    <w:p>
      <w:pPr>
        <w:ind w:left="80"/>
        <w:spacing w:after="0"/>
        <w:rPr>
          <w:sz w:val="20"/>
          <w:szCs w:val="20"/>
          <w:color w:val="auto"/>
        </w:rPr>
      </w:pPr>
      <w:r>
        <w:rPr>
          <w:rFonts w:ascii="Arial" w:cs="Arial" w:eastAsia="Arial" w:hAnsi="Arial"/>
          <w:sz w:val="15"/>
          <w:szCs w:val="15"/>
          <w:color w:val="auto"/>
        </w:rPr>
        <w:t>Total nonrecurring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20955</wp:posOffset>
            </wp:positionV>
            <wp:extent cx="39376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93763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45720</wp:posOffset>
            </wp:positionV>
            <wp:extent cx="39376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9376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Fair Value Measurements</w:t>
            </w: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2C6937"/>
            </w:tcBorders>
          </w:tcPr>
          <w:p>
            <w:pPr>
              <w:spacing w:after="0"/>
              <w:rPr>
                <w:sz w:val="17"/>
                <w:szCs w:val="17"/>
                <w:color w:val="auto"/>
              </w:rPr>
            </w:pPr>
          </w:p>
        </w:tc>
        <w:tc>
          <w:tcPr>
            <w:tcW w:w="1540" w:type="dxa"/>
            <w:vAlign w:val="bottom"/>
            <w:tcBorders>
              <w:bottom w:val="single" w:sz="8" w:color="2C6937"/>
            </w:tcBorders>
          </w:tcPr>
          <w:p>
            <w:pPr>
              <w:jc w:val="center"/>
              <w:ind w:right="1111"/>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145"/>
        </w:trPr>
        <w:tc>
          <w:tcPr>
            <w:tcW w:w="2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Valuation Techniques</w:t>
            </w:r>
          </w:p>
        </w:tc>
        <w:tc>
          <w:tcPr>
            <w:tcW w:w="1160" w:type="dxa"/>
            <w:vAlign w:val="bottom"/>
          </w:tcPr>
          <w:p>
            <w:pPr>
              <w:jc w:val="center"/>
              <w:ind w:left="71"/>
              <w:spacing w:after="0" w:line="145" w:lineRule="exact"/>
              <w:rPr>
                <w:sz w:val="20"/>
                <w:szCs w:val="20"/>
                <w:color w:val="auto"/>
              </w:rPr>
            </w:pPr>
            <w:r>
              <w:rPr>
                <w:rFonts w:ascii="Arial" w:cs="Arial" w:eastAsia="Arial" w:hAnsi="Arial"/>
                <w:sz w:val="14"/>
                <w:szCs w:val="14"/>
                <w:b w:val="1"/>
                <w:bCs w:val="1"/>
                <w:color w:val="auto"/>
                <w:w w:val="98"/>
              </w:rPr>
              <w:t>September 30,</w:t>
            </w:r>
          </w:p>
        </w:tc>
        <w:tc>
          <w:tcPr>
            <w:tcW w:w="154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8"/>
              </w:rPr>
              <w:t>December 31, 2024</w:t>
            </w:r>
          </w:p>
        </w:tc>
        <w:tc>
          <w:tcPr>
            <w:tcW w:w="0" w:type="dxa"/>
            <w:vAlign w:val="bottom"/>
          </w:tcPr>
          <w:p>
            <w:pPr>
              <w:spacing w:after="0"/>
              <w:rPr>
                <w:sz w:val="1"/>
                <w:szCs w:val="1"/>
                <w:color w:val="auto"/>
              </w:rPr>
            </w:pPr>
          </w:p>
        </w:tc>
      </w:tr>
      <w:tr>
        <w:trPr>
          <w:trHeight w:val="177"/>
        </w:trPr>
        <w:tc>
          <w:tcPr>
            <w:tcW w:w="2100" w:type="dxa"/>
            <w:vAlign w:val="bottom"/>
            <w:gridSpan w:val="2"/>
            <w:vMerge w:val="continue"/>
          </w:tcPr>
          <w:p>
            <w:pPr>
              <w:spacing w:after="0"/>
              <w:rPr>
                <w:sz w:val="15"/>
                <w:szCs w:val="15"/>
                <w:color w:val="auto"/>
              </w:rPr>
            </w:pPr>
          </w:p>
        </w:tc>
        <w:tc>
          <w:tcPr>
            <w:tcW w:w="1160" w:type="dxa"/>
            <w:vAlign w:val="bottom"/>
          </w:tcPr>
          <w:p>
            <w:pPr>
              <w:jc w:val="right"/>
              <w:ind w:right="291"/>
              <w:spacing w:after="0"/>
              <w:rPr>
                <w:sz w:val="20"/>
                <w:szCs w:val="20"/>
                <w:color w:val="auto"/>
              </w:rPr>
            </w:pPr>
            <w:r>
              <w:rPr>
                <w:rFonts w:ascii="Arial" w:cs="Arial" w:eastAsia="Arial" w:hAnsi="Arial"/>
                <w:sz w:val="14"/>
                <w:szCs w:val="14"/>
                <w:b w:val="1"/>
                <w:bCs w:val="1"/>
                <w:color w:val="auto"/>
              </w:rPr>
              <w:t>2025</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80" w:type="dxa"/>
            <w:vAlign w:val="bottom"/>
            <w:tcBorders>
              <w:top w:val="single" w:sz="8" w:color="2C6937"/>
            </w:tcBorders>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top w:val="single" w:sz="8" w:color="2C6937"/>
            </w:tcBorders>
            <w:gridSpan w:val="2"/>
          </w:tcPr>
          <w:p>
            <w:pPr>
              <w:jc w:val="center"/>
              <w:spacing w:after="0"/>
              <w:rPr>
                <w:sz w:val="20"/>
                <w:szCs w:val="20"/>
                <w:color w:val="auto"/>
              </w:rPr>
            </w:pPr>
            <w:r>
              <w:rPr>
                <w:rFonts w:ascii="Arial" w:cs="Arial" w:eastAsia="Arial" w:hAnsi="Arial"/>
                <w:sz w:val="14"/>
                <w:szCs w:val="14"/>
                <w:b w:val="1"/>
                <w:bCs w:val="1"/>
                <w:color w:val="auto"/>
                <w:w w:val="98"/>
              </w:rPr>
              <w:t>(Dollars in millions)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00" w:type="dxa"/>
            <w:vAlign w:val="bottom"/>
            <w:gridSpan w:val="2"/>
          </w:tcPr>
          <w:p>
            <w:pPr>
              <w:spacing w:after="0"/>
              <w:rPr>
                <w:sz w:val="20"/>
                <w:szCs w:val="20"/>
                <w:color w:val="auto"/>
              </w:rPr>
            </w:pPr>
            <w:r>
              <w:rPr>
                <w:rFonts w:ascii="Arial" w:cs="Arial" w:eastAsia="Arial" w:hAnsi="Arial"/>
                <w:sz w:val="15"/>
                <w:szCs w:val="15"/>
                <w:color w:val="auto"/>
              </w:rPr>
              <w:t>Consensus</w:t>
            </w:r>
          </w:p>
        </w:tc>
        <w:tc>
          <w:tcPr>
            <w:tcW w:w="460" w:type="dxa"/>
            <w:vAlign w:val="bottom"/>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455</w:t>
            </w:r>
          </w:p>
        </w:tc>
        <w:tc>
          <w:tcPr>
            <w:tcW w:w="100" w:type="dxa"/>
            <w:vAlign w:val="bottom"/>
          </w:tcPr>
          <w:p>
            <w:pPr>
              <w:spacing w:after="0"/>
              <w:rPr>
                <w:sz w:val="18"/>
                <w:szCs w:val="18"/>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32"/>
        </w:trPr>
        <w:tc>
          <w:tcPr>
            <w:tcW w:w="2100" w:type="dxa"/>
            <w:vAlign w:val="bottom"/>
            <w:gridSpan w:val="2"/>
          </w:tcPr>
          <w:p>
            <w:pPr>
              <w:spacing w:after="0"/>
              <w:rPr>
                <w:sz w:val="20"/>
                <w:szCs w:val="20"/>
                <w:color w:val="auto"/>
              </w:rPr>
            </w:pPr>
            <w:r>
              <w:rPr>
                <w:rFonts w:ascii="Arial" w:cs="Arial" w:eastAsia="Arial" w:hAnsi="Arial"/>
                <w:sz w:val="15"/>
                <w:szCs w:val="15"/>
                <w:color w:val="auto"/>
              </w:rPr>
              <w:t>Internal Model</w:t>
            </w:r>
          </w:p>
        </w:tc>
        <w:tc>
          <w:tcPr>
            <w:tcW w:w="46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272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267</w:t>
            </w:r>
          </w:p>
        </w:tc>
        <w:tc>
          <w:tcPr>
            <w:tcW w:w="0" w:type="dxa"/>
            <w:vAlign w:val="bottom"/>
          </w:tcPr>
          <w:p>
            <w:pPr>
              <w:spacing w:after="0"/>
              <w:rPr>
                <w:sz w:val="1"/>
                <w:szCs w:val="1"/>
                <w:color w:val="auto"/>
              </w:rPr>
            </w:pPr>
          </w:p>
        </w:tc>
      </w:tr>
      <w:tr>
        <w:trPr>
          <w:trHeight w:val="315"/>
        </w:trPr>
        <w:tc>
          <w:tcPr>
            <w:tcW w:w="2100" w:type="dxa"/>
            <w:vAlign w:val="bottom"/>
            <w:gridSpan w:val="2"/>
          </w:tcPr>
          <w:p>
            <w:pPr>
              <w:spacing w:after="0"/>
              <w:rPr>
                <w:sz w:val="20"/>
                <w:szCs w:val="20"/>
                <w:color w:val="auto"/>
              </w:rPr>
            </w:pPr>
            <w:r>
              <w:rPr>
                <w:rFonts w:ascii="Arial" w:cs="Arial" w:eastAsia="Arial" w:hAnsi="Arial"/>
                <w:sz w:val="15"/>
                <w:szCs w:val="15"/>
                <w:color w:val="auto"/>
              </w:rPr>
              <w:t>Appraisal</w:t>
            </w:r>
          </w:p>
        </w:tc>
        <w:tc>
          <w:tcPr>
            <w:tcW w:w="46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259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448</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Asset Manager Estimate</w:t>
            </w:r>
          </w:p>
        </w:tc>
        <w:tc>
          <w:tcPr>
            <w:tcW w:w="46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71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Broker Price Opinion</w:t>
            </w:r>
          </w:p>
        </w:tc>
        <w:tc>
          <w:tcPr>
            <w:tcW w:w="46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1,319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851</w:t>
            </w:r>
          </w:p>
        </w:tc>
        <w:tc>
          <w:tcPr>
            <w:tcW w:w="0" w:type="dxa"/>
            <w:vAlign w:val="bottom"/>
          </w:tcPr>
          <w:p>
            <w:pPr>
              <w:spacing w:after="0"/>
              <w:rPr>
                <w:sz w:val="1"/>
                <w:szCs w:val="1"/>
                <w:color w:val="auto"/>
              </w:rPr>
            </w:pPr>
          </w:p>
        </w:tc>
      </w:tr>
      <w:tr>
        <w:trPr>
          <w:trHeight w:val="208"/>
        </w:trPr>
        <w:tc>
          <w:tcPr>
            <w:tcW w:w="2100" w:type="dxa"/>
            <w:vAlign w:val="bottom"/>
            <w:gridSpan w:val="2"/>
          </w:tcPr>
          <w:p>
            <w:pPr>
              <w:spacing w:after="0"/>
              <w:rPr>
                <w:sz w:val="20"/>
                <w:szCs w:val="20"/>
                <w:color w:val="auto"/>
              </w:rPr>
            </w:pPr>
            <w:r>
              <w:rPr>
                <w:rFonts w:ascii="Arial" w:cs="Arial" w:eastAsia="Arial" w:hAnsi="Arial"/>
                <w:sz w:val="15"/>
                <w:szCs w:val="15"/>
                <w:color w:val="auto"/>
              </w:rPr>
              <w:t>Internal Model</w:t>
            </w:r>
          </w:p>
        </w:tc>
        <w:tc>
          <w:tcPr>
            <w:tcW w:w="4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b w:val="1"/>
                <w:bCs w:val="1"/>
                <w:color w:val="auto"/>
              </w:rPr>
              <w:t>176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231"/>
        </w:trPr>
        <w:tc>
          <w:tcPr>
            <w:tcW w:w="1980" w:type="dxa"/>
            <w:vAlign w:val="bottom"/>
            <w:tcBorders>
              <w:top w:val="single" w:sz="8" w:color="2C6937"/>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2C6937"/>
            </w:tcBorders>
          </w:tcPr>
          <w:p>
            <w:pPr>
              <w:spacing w:after="0"/>
              <w:rPr>
                <w:sz w:val="20"/>
                <w:szCs w:val="20"/>
                <w:color w:val="auto"/>
              </w:rPr>
            </w:pPr>
          </w:p>
        </w:tc>
        <w:tc>
          <w:tcPr>
            <w:tcW w:w="840" w:type="dxa"/>
            <w:vAlign w:val="bottom"/>
            <w:tcBorders>
              <w:top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1,825</w:t>
            </w:r>
          </w:p>
        </w:tc>
        <w:tc>
          <w:tcPr>
            <w:tcW w:w="100" w:type="dxa"/>
            <w:vAlign w:val="bottom"/>
          </w:tcPr>
          <w:p>
            <w:pPr>
              <w:spacing w:after="0"/>
              <w:rPr>
                <w:sz w:val="20"/>
                <w:szCs w:val="20"/>
                <w:color w:val="auto"/>
              </w:rPr>
            </w:pPr>
          </w:p>
        </w:tc>
        <w:tc>
          <w:tcPr>
            <w:tcW w:w="480" w:type="dxa"/>
            <w:vAlign w:val="bottom"/>
            <w:tcBorders>
              <w:top w:val="single" w:sz="8" w:color="2C6937"/>
            </w:tcBorders>
          </w:tcPr>
          <w:p>
            <w:pPr>
              <w:spacing w:after="0"/>
              <w:rPr>
                <w:sz w:val="20"/>
                <w:szCs w:val="20"/>
                <w:color w:val="auto"/>
              </w:rPr>
            </w:pPr>
          </w:p>
        </w:tc>
        <w:tc>
          <w:tcPr>
            <w:tcW w:w="82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1,471</w:t>
            </w:r>
          </w:p>
        </w:tc>
        <w:tc>
          <w:tcPr>
            <w:tcW w:w="0" w:type="dxa"/>
            <w:vAlign w:val="bottom"/>
          </w:tcPr>
          <w:p>
            <w:pPr>
              <w:spacing w:after="0"/>
              <w:rPr>
                <w:sz w:val="1"/>
                <w:szCs w:val="1"/>
                <w:color w:val="auto"/>
              </w:rPr>
            </w:pPr>
          </w:p>
        </w:tc>
      </w:tr>
      <w:tr>
        <w:trPr>
          <w:trHeight w:val="355"/>
        </w:trPr>
        <w:tc>
          <w:tcPr>
            <w:tcW w:w="2100" w:type="dxa"/>
            <w:vAlign w:val="bottom"/>
            <w:gridSpan w:val="2"/>
          </w:tcPr>
          <w:p>
            <w:pPr>
              <w:spacing w:after="0"/>
              <w:rPr>
                <w:sz w:val="20"/>
                <w:szCs w:val="20"/>
                <w:color w:val="auto"/>
              </w:rPr>
            </w:pPr>
            <w:r>
              <w:rPr>
                <w:rFonts w:ascii="Arial" w:cs="Arial" w:eastAsia="Arial" w:hAnsi="Arial"/>
                <w:sz w:val="15"/>
                <w:szCs w:val="15"/>
                <w:color w:val="auto"/>
              </w:rPr>
              <w:t>Accepted Offer and</w:t>
            </w:r>
          </w:p>
        </w:tc>
        <w:tc>
          <w:tcPr>
            <w:tcW w:w="460" w:type="dxa"/>
            <w:vAlign w:val="bottom"/>
          </w:tcPr>
          <w:p>
            <w:pPr>
              <w:spacing w:after="0"/>
              <w:rPr>
                <w:sz w:val="24"/>
                <w:szCs w:val="24"/>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172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Appraisal</w:t>
            </w: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100" w:type="dxa"/>
            <w:vAlign w:val="bottom"/>
            <w:gridSpan w:val="2"/>
          </w:tcPr>
          <w:p>
            <w:pPr>
              <w:spacing w:after="0" w:line="155" w:lineRule="exact"/>
              <w:rPr>
                <w:sz w:val="20"/>
                <w:szCs w:val="20"/>
                <w:color w:val="auto"/>
              </w:rPr>
            </w:pPr>
            <w:r>
              <w:rPr>
                <w:rFonts w:ascii="Arial" w:cs="Arial" w:eastAsia="Arial" w:hAnsi="Arial"/>
                <w:sz w:val="15"/>
                <w:szCs w:val="15"/>
                <w:color w:val="auto"/>
              </w:rPr>
              <w:t>Internal Model and Walk</w:t>
            </w:r>
          </w:p>
        </w:tc>
        <w:tc>
          <w:tcPr>
            <w:tcW w:w="460" w:type="dxa"/>
            <w:vAlign w:val="bottom"/>
          </w:tcPr>
          <w:p>
            <w:pPr>
              <w:spacing w:after="0"/>
              <w:rPr>
                <w:sz w:val="13"/>
                <w:szCs w:val="13"/>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284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Forward</w:t>
            </w: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980" w:type="dxa"/>
            <w:vAlign w:val="bottom"/>
            <w:tcBorders>
              <w:top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2C6937"/>
            </w:tcBorders>
          </w:tcPr>
          <w:p>
            <w:pPr>
              <w:spacing w:after="0"/>
              <w:rPr>
                <w:sz w:val="17"/>
                <w:szCs w:val="17"/>
                <w:color w:val="auto"/>
              </w:rPr>
            </w:pPr>
          </w:p>
        </w:tc>
        <w:tc>
          <w:tcPr>
            <w:tcW w:w="840" w:type="dxa"/>
            <w:vAlign w:val="bottom"/>
            <w:tcBorders>
              <w:top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456</w:t>
            </w:r>
          </w:p>
        </w:tc>
        <w:tc>
          <w:tcPr>
            <w:tcW w:w="100" w:type="dxa"/>
            <w:vAlign w:val="bottom"/>
          </w:tcPr>
          <w:p>
            <w:pPr>
              <w:spacing w:after="0"/>
              <w:rPr>
                <w:sz w:val="17"/>
                <w:szCs w:val="17"/>
                <w:color w:val="auto"/>
              </w:rPr>
            </w:pPr>
          </w:p>
        </w:tc>
        <w:tc>
          <w:tcPr>
            <w:tcW w:w="480" w:type="dxa"/>
            <w:vAlign w:val="bottom"/>
            <w:tcBorders>
              <w:top w:val="single" w:sz="8" w:color="2C6937"/>
            </w:tcBorders>
          </w:tcPr>
          <w:p>
            <w:pPr>
              <w:spacing w:after="0"/>
              <w:rPr>
                <w:sz w:val="17"/>
                <w:szCs w:val="17"/>
                <w:color w:val="auto"/>
              </w:rPr>
            </w:pPr>
          </w:p>
        </w:tc>
        <w:tc>
          <w:tcPr>
            <w:tcW w:w="820" w:type="dxa"/>
            <w:vAlign w:val="bottom"/>
            <w:tcBorders>
              <w:top w:val="single" w:sz="8" w:color="2C6937"/>
            </w:tcBorders>
          </w:tcPr>
          <w:p>
            <w:pPr>
              <w:jc w:val="right"/>
              <w:spacing w:after="0"/>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r>
        <w:trPr>
          <w:trHeight w:val="173"/>
        </w:trPr>
        <w:tc>
          <w:tcPr>
            <w:tcW w:w="2100" w:type="dxa"/>
            <w:vAlign w:val="bottom"/>
            <w:gridSpan w:val="2"/>
          </w:tcPr>
          <w:p>
            <w:pPr>
              <w:spacing w:after="0"/>
              <w:rPr>
                <w:sz w:val="20"/>
                <w:szCs w:val="20"/>
                <w:color w:val="auto"/>
              </w:rPr>
            </w:pPr>
            <w:r>
              <w:rPr>
                <w:rFonts w:ascii="Arial" w:cs="Arial" w:eastAsia="Arial" w:hAnsi="Arial"/>
                <w:sz w:val="15"/>
                <w:szCs w:val="15"/>
                <w:color w:val="auto"/>
              </w:rPr>
              <w:t>Broker Price Opinion and</w:t>
            </w:r>
          </w:p>
        </w:tc>
        <w:tc>
          <w:tcPr>
            <w:tcW w:w="460" w:type="dxa"/>
            <w:vAlign w:val="bottom"/>
          </w:tcPr>
          <w:p>
            <w:pPr>
              <w:spacing w:after="0"/>
              <w:rPr>
                <w:sz w:val="15"/>
                <w:szCs w:val="15"/>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97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5"/>
                <w:szCs w:val="15"/>
                <w:color w:val="auto"/>
              </w:rPr>
              <w:t>Appraisal</w:t>
            </w: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80" w:type="dxa"/>
            <w:vAlign w:val="bottom"/>
            <w:tcBorders>
              <w:top w:val="single" w:sz="8" w:color="2C6937"/>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2C6937"/>
              <w:bottom w:val="single" w:sz="8" w:color="2C6937"/>
            </w:tcBorders>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top w:val="single" w:sz="8" w:color="2C6937"/>
              <w:bottom w:val="single" w:sz="8" w:color="2C6937"/>
            </w:tcBorders>
          </w:tcPr>
          <w:p>
            <w:pPr>
              <w:jc w:val="right"/>
              <w:ind w:right="3"/>
              <w:spacing w:after="0"/>
              <w:rPr>
                <w:sz w:val="20"/>
                <w:szCs w:val="20"/>
                <w:color w:val="auto"/>
              </w:rPr>
            </w:pPr>
            <w:r>
              <w:rPr>
                <w:rFonts w:ascii="Arial" w:cs="Arial" w:eastAsia="Arial" w:hAnsi="Arial"/>
                <w:sz w:val="15"/>
                <w:szCs w:val="15"/>
                <w:b w:val="1"/>
                <w:bCs w:val="1"/>
                <w:color w:val="auto"/>
              </w:rPr>
              <w:t>3,105</w:t>
            </w:r>
          </w:p>
        </w:tc>
        <w:tc>
          <w:tcPr>
            <w:tcW w:w="100" w:type="dxa"/>
            <w:vAlign w:val="bottom"/>
          </w:tcPr>
          <w:p>
            <w:pPr>
              <w:spacing w:after="0"/>
              <w:rPr>
                <w:sz w:val="17"/>
                <w:szCs w:val="17"/>
                <w:color w:val="auto"/>
              </w:rPr>
            </w:pPr>
          </w:p>
        </w:tc>
        <w:tc>
          <w:tcPr>
            <w:tcW w:w="480" w:type="dxa"/>
            <w:vAlign w:val="bottom"/>
            <w:tcBorders>
              <w:top w:val="single" w:sz="8" w:color="2C6937"/>
              <w:bottom w:val="single" w:sz="8" w:color="2C6937"/>
            </w:tcBorders>
          </w:tcPr>
          <w:p>
            <w:pPr>
              <w:jc w:val="right"/>
              <w:ind w:right="303"/>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2C6937"/>
              <w:bottom w:val="single" w:sz="8" w:color="2C6937"/>
            </w:tcBorders>
          </w:tcPr>
          <w:p>
            <w:pPr>
              <w:jc w:val="right"/>
              <w:spacing w:after="0"/>
              <w:rPr>
                <w:sz w:val="20"/>
                <w:szCs w:val="20"/>
                <w:color w:val="auto"/>
              </w:rPr>
            </w:pPr>
            <w:r>
              <w:rPr>
                <w:rFonts w:ascii="Arial" w:cs="Arial" w:eastAsia="Arial" w:hAnsi="Arial"/>
                <w:sz w:val="15"/>
                <w:szCs w:val="15"/>
                <w:color w:val="auto"/>
              </w:rPr>
              <w:t>2,497</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2C6937"/>
            </w:tcBorders>
          </w:tcPr>
          <w:p>
            <w:pPr>
              <w:spacing w:after="0" w:line="20" w:lineRule="exact"/>
              <w:rPr>
                <w:sz w:val="1"/>
                <w:szCs w:val="1"/>
                <w:color w:val="auto"/>
              </w:rPr>
            </w:pPr>
          </w:p>
        </w:tc>
        <w:tc>
          <w:tcPr>
            <w:tcW w:w="84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2C6937"/>
            </w:tcBorders>
          </w:tcPr>
          <w:p>
            <w:pPr>
              <w:spacing w:after="0" w:line="20" w:lineRule="exact"/>
              <w:rPr>
                <w:sz w:val="1"/>
                <w:szCs w:val="1"/>
                <w:color w:val="auto"/>
              </w:rPr>
            </w:pPr>
          </w:p>
        </w:tc>
        <w:tc>
          <w:tcPr>
            <w:tcW w:w="82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5660" w:space="720"/>
            <w:col w:w="4800"/>
          </w:cols>
          <w:pgMar w:left="320" w:top="248" w:right="399" w:bottom="1440" w:gutter="0" w:footer="0" w:header="0"/>
          <w:type w:val="continuous"/>
        </w:sectPr>
      </w:pPr>
    </w:p>
    <w:p>
      <w:pPr>
        <w:jc w:val="both"/>
        <w:ind w:left="240" w:right="80" w:hanging="237"/>
        <w:spacing w:after="0" w:line="228" w:lineRule="auto"/>
        <w:tabs>
          <w:tab w:leader="none" w:pos="233"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When we measure impairment, including recoveries, based on the fair value of the loan or the underlying collateral and impairment is recorded on any component of the mortgage loan, including accrued interest receivable and amounts due from the borrower for advances of taxes and insurance, we present the entire fair value measurement amount with the corresponding mortgage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373380</wp:posOffset>
            </wp:positionV>
            <wp:extent cx="680593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48" w:right="39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of Financial Instruments</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table displays the carrying value and estimated fair value of our financial instruments. The fair value of financial instruments we disclose includes commitments to purchase multifamily and single-family mortgage loans that we do not record in our condensed consolidated balance sheets. The fair values of these commitments are included as “Mortgage loans held for investment, net of allowance for loan losses.” The disclosure excludes all non-financial instruments; therefore, the fair value of our financial assets and liabilities does not represent the underlying fair value of our total consolidated assets and liabilities.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2C6937"/>
            </w:tcBorders>
          </w:tcPr>
          <w:p>
            <w:pPr>
              <w:spacing w:after="0"/>
              <w:rPr>
                <w:sz w:val="16"/>
                <w:szCs w:val="16"/>
                <w:color w:val="auto"/>
              </w:rPr>
            </w:pPr>
          </w:p>
        </w:tc>
        <w:tc>
          <w:tcPr>
            <w:tcW w:w="8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2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2640" w:type="dxa"/>
            <w:vAlign w:val="bottom"/>
            <w:tcBorders>
              <w:bottom w:val="single" w:sz="8" w:color="2C6937"/>
            </w:tcBorders>
            <w:gridSpan w:val="5"/>
          </w:tcPr>
          <w:p>
            <w:pPr>
              <w:jc w:val="center"/>
              <w:ind w:right="180"/>
              <w:spacing w:after="0"/>
              <w:rPr>
                <w:sz w:val="20"/>
                <w:szCs w:val="20"/>
                <w:color w:val="auto"/>
              </w:rPr>
            </w:pPr>
            <w:r>
              <w:rPr>
                <w:rFonts w:ascii="Arial" w:cs="Arial" w:eastAsia="Arial" w:hAnsi="Arial"/>
                <w:sz w:val="14"/>
                <w:szCs w:val="14"/>
                <w:b w:val="1"/>
                <w:bCs w:val="1"/>
                <w:color w:val="auto"/>
                <w:w w:val="97"/>
              </w:rPr>
              <w:t>As of September 30, 2025</w:t>
            </w: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Quoted Prices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 Active</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Markets for</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Significant Other</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Unobservable</w:t>
            </w:r>
          </w:p>
        </w:tc>
        <w:tc>
          <w:tcPr>
            <w:tcW w:w="14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80" w:type="dxa"/>
            <w:vAlign w:val="bottom"/>
          </w:tcPr>
          <w:p>
            <w:pPr>
              <w:spacing w:after="0"/>
              <w:rPr>
                <w:sz w:val="14"/>
                <w:szCs w:val="14"/>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Identical Assets</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Observable</w:t>
            </w:r>
          </w:p>
        </w:tc>
        <w:tc>
          <w:tcPr>
            <w:tcW w:w="140" w:type="dxa"/>
            <w:vAlign w:val="bottom"/>
          </w:tcPr>
          <w:p>
            <w:pPr>
              <w:spacing w:after="0"/>
              <w:rPr>
                <w:sz w:val="13"/>
                <w:szCs w:val="13"/>
                <w:color w:val="auto"/>
              </w:rPr>
            </w:pPr>
          </w:p>
        </w:tc>
        <w:tc>
          <w:tcPr>
            <w:tcW w:w="12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2C6937"/>
            </w:tcBorders>
            <w:gridSpan w:val="3"/>
          </w:tcPr>
          <w:p>
            <w:pPr>
              <w:ind w:left="80"/>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(Level 1)</w:t>
            </w:r>
          </w:p>
        </w:tc>
        <w:tc>
          <w:tcPr>
            <w:tcW w:w="100" w:type="dxa"/>
            <w:vAlign w:val="bottom"/>
            <w:tcBorders>
              <w:bottom w:val="single" w:sz="8" w:color="2C6937"/>
            </w:tcBorders>
          </w:tcPr>
          <w:p>
            <w:pPr>
              <w:spacing w:after="0"/>
              <w:rPr>
                <w:sz w:val="17"/>
                <w:szCs w:val="17"/>
                <w:color w:val="auto"/>
              </w:rPr>
            </w:pPr>
          </w:p>
        </w:tc>
        <w:tc>
          <w:tcPr>
            <w:tcW w:w="1240" w:type="dxa"/>
            <w:vAlign w:val="bottom"/>
            <w:tcBorders>
              <w:bottom w:val="single" w:sz="8" w:color="2C6937"/>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Inputs (Level 2)</w:t>
            </w:r>
          </w:p>
        </w:tc>
        <w:tc>
          <w:tcPr>
            <w:tcW w:w="140" w:type="dxa"/>
            <w:vAlign w:val="bottom"/>
            <w:tcBorders>
              <w:bottom w:val="single" w:sz="8" w:color="2C6937"/>
            </w:tcBorders>
          </w:tcPr>
          <w:p>
            <w:pPr>
              <w:spacing w:after="0"/>
              <w:rPr>
                <w:sz w:val="17"/>
                <w:szCs w:val="17"/>
                <w:color w:val="auto"/>
              </w:rPr>
            </w:pPr>
          </w:p>
        </w:tc>
        <w:tc>
          <w:tcPr>
            <w:tcW w:w="1260" w:type="dxa"/>
            <w:vAlign w:val="bottom"/>
            <w:tcBorders>
              <w:bottom w:val="single" w:sz="8" w:color="2C6937"/>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10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33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Cash, including restricted cash</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39,375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39,375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39,375</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61,525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61,525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61,525</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71,268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66,149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71,268</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19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4,122,582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3,640,183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134,684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3,774,867</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3,227</w:t>
            </w:r>
          </w:p>
        </w:tc>
        <w:tc>
          <w:tcPr>
            <w:tcW w:w="0" w:type="dxa"/>
            <w:vAlign w:val="bottom"/>
          </w:tcPr>
          <w:p>
            <w:pPr>
              <w:spacing w:after="0"/>
              <w:rPr>
                <w:sz w:val="1"/>
                <w:szCs w:val="1"/>
                <w:color w:val="auto"/>
              </w:rPr>
            </w:pPr>
          </w:p>
        </w:tc>
      </w:tr>
      <w:tr>
        <w:trPr>
          <w:trHeight w:val="219"/>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97"/>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12"/>
        </w:trPr>
        <w:tc>
          <w:tcPr>
            <w:tcW w:w="342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8"/>
                <w:szCs w:val="18"/>
                <w:color w:val="auto"/>
              </w:rPr>
            </w:pPr>
          </w:p>
        </w:tc>
        <w:tc>
          <w:tcPr>
            <w:tcW w:w="280" w:type="dxa"/>
            <w:vAlign w:val="bottom"/>
            <w:tcBorders>
              <w:bottom w:val="single" w:sz="8" w:color="2C6937"/>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4,299,374</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105,524</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3,710,950</w:t>
            </w:r>
          </w:p>
        </w:tc>
        <w:tc>
          <w:tcPr>
            <w:tcW w:w="12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135,600</w:t>
            </w:r>
          </w:p>
        </w:tc>
        <w:tc>
          <w:tcPr>
            <w:tcW w:w="10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8"/>
                <w:szCs w:val="18"/>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3,951,797</w:t>
            </w:r>
          </w:p>
        </w:tc>
        <w:tc>
          <w:tcPr>
            <w:tcW w:w="0" w:type="dxa"/>
            <w:vAlign w:val="bottom"/>
          </w:tcPr>
          <w:p>
            <w:pPr>
              <w:spacing w:after="0"/>
              <w:rPr>
                <w:sz w:val="1"/>
                <w:szCs w:val="1"/>
                <w:color w:val="auto"/>
              </w:rPr>
            </w:pPr>
          </w:p>
        </w:tc>
      </w:tr>
      <w:tr>
        <w:trPr>
          <w:trHeight w:val="22"/>
        </w:trPr>
        <w:tc>
          <w:tcPr>
            <w:tcW w:w="34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C6937"/>
            </w:tcBorders>
          </w:tcPr>
          <w:p>
            <w:pPr>
              <w:spacing w:after="0" w:line="20" w:lineRule="exact"/>
              <w:rPr>
                <w:sz w:val="1"/>
                <w:szCs w:val="1"/>
                <w:color w:val="auto"/>
              </w:rPr>
            </w:pPr>
          </w:p>
        </w:tc>
        <w:tc>
          <w:tcPr>
            <w:tcW w:w="8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1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19,922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19,928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19,928</w:t>
            </w:r>
          </w:p>
        </w:tc>
        <w:tc>
          <w:tcPr>
            <w:tcW w:w="0" w:type="dxa"/>
            <w:vAlign w:val="bottom"/>
          </w:tcPr>
          <w:p>
            <w:pPr>
              <w:spacing w:after="0"/>
              <w:rPr>
                <w:sz w:val="1"/>
                <w:szCs w:val="1"/>
                <w:color w:val="auto"/>
              </w:rPr>
            </w:pPr>
          </w:p>
        </w:tc>
      </w:tr>
      <w:tr>
        <w:trPr>
          <w:trHeight w:val="206"/>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106,468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108,474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109,075</w:t>
            </w:r>
          </w:p>
        </w:tc>
        <w:tc>
          <w:tcPr>
            <w:tcW w:w="0" w:type="dxa"/>
            <w:vAlign w:val="bottom"/>
          </w:tcPr>
          <w:p>
            <w:pPr>
              <w:spacing w:after="0"/>
              <w:rPr>
                <w:sz w:val="1"/>
                <w:szCs w:val="1"/>
                <w:color w:val="auto"/>
              </w:rPr>
            </w:pPr>
          </w:p>
        </w:tc>
      </w:tr>
      <w:tr>
        <w:trPr>
          <w:trHeight w:val="219"/>
        </w:trPr>
        <w:tc>
          <w:tcPr>
            <w:tcW w:w="352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4,076,945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3,696,260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3,696,507</w:t>
            </w:r>
          </w:p>
        </w:tc>
        <w:tc>
          <w:tcPr>
            <w:tcW w:w="0" w:type="dxa"/>
            <w:vAlign w:val="bottom"/>
          </w:tcPr>
          <w:p>
            <w:pPr>
              <w:spacing w:after="0"/>
              <w:rPr>
                <w:sz w:val="1"/>
                <w:szCs w:val="1"/>
                <w:color w:val="auto"/>
              </w:rPr>
            </w:pPr>
          </w:p>
        </w:tc>
      </w:tr>
      <w:tr>
        <w:trPr>
          <w:trHeight w:val="193"/>
        </w:trPr>
        <w:tc>
          <w:tcPr>
            <w:tcW w:w="352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(1,324)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97"/>
        </w:trPr>
        <w:tc>
          <w:tcPr>
            <w:tcW w:w="342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7"/>
                <w:szCs w:val="17"/>
                <w:color w:val="auto"/>
              </w:rPr>
            </w:pPr>
          </w:p>
        </w:tc>
        <w:tc>
          <w:tcPr>
            <w:tcW w:w="280" w:type="dxa"/>
            <w:vAlign w:val="bottom"/>
            <w:tcBorders>
              <w:bottom w:val="single" w:sz="8" w:color="2C6937"/>
            </w:tcBorders>
          </w:tcPr>
          <w:p>
            <w:pPr>
              <w:spacing w:after="0"/>
              <w:rPr>
                <w:sz w:val="17"/>
                <w:szCs w:val="17"/>
                <w:color w:val="auto"/>
              </w:rPr>
            </w:pPr>
          </w:p>
        </w:tc>
        <w:tc>
          <w:tcPr>
            <w:tcW w:w="8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12"/>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4,203,576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3,826,156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908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(1,324)</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3,825,740</w:t>
            </w:r>
          </w:p>
        </w:tc>
        <w:tc>
          <w:tcPr>
            <w:tcW w:w="0" w:type="dxa"/>
            <w:vAlign w:val="bottom"/>
          </w:tcPr>
          <w:p>
            <w:pPr>
              <w:spacing w:after="0"/>
              <w:rPr>
                <w:sz w:val="1"/>
                <w:szCs w:val="1"/>
                <w:color w:val="auto"/>
              </w:rPr>
            </w:pPr>
          </w:p>
        </w:tc>
      </w:tr>
      <w:tr>
        <w:trPr>
          <w:trHeight w:val="22"/>
        </w:trPr>
        <w:tc>
          <w:tcPr>
            <w:tcW w:w="34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C6937"/>
              <w:bottom w:val="single" w:sz="8" w:color="2C6937"/>
            </w:tcBorders>
          </w:tcPr>
          <w:p>
            <w:pPr>
              <w:spacing w:after="0" w:line="20" w:lineRule="exact"/>
              <w:rPr>
                <w:sz w:val="1"/>
                <w:szCs w:val="1"/>
                <w:color w:val="auto"/>
              </w:rPr>
            </w:pPr>
          </w:p>
        </w:tc>
        <w:tc>
          <w:tcPr>
            <w:tcW w:w="8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1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671195</wp:posOffset>
            </wp:positionV>
            <wp:extent cx="680593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248" w:right="439" w:bottom="1440" w:gutter="0" w:footer="0" w:header="0"/>
        </w:sectPr>
      </w:pPr>
    </w:p>
    <w:bookmarkStart w:id="108" w:name="page109"/>
    <w:bookmarkEnd w:id="108"/>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6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40" w:type="dxa"/>
            <w:vAlign w:val="bottom"/>
            <w:tcBorders>
              <w:bottom w:val="single" w:sz="8" w:color="2C6937"/>
            </w:tcBorders>
          </w:tcPr>
          <w:p>
            <w:pPr>
              <w:spacing w:after="0"/>
              <w:rPr>
                <w:sz w:val="16"/>
                <w:szCs w:val="16"/>
                <w:color w:val="auto"/>
              </w:rPr>
            </w:pPr>
          </w:p>
        </w:tc>
        <w:tc>
          <w:tcPr>
            <w:tcW w:w="100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80" w:type="dxa"/>
            <w:vAlign w:val="bottom"/>
            <w:tcBorders>
              <w:bottom w:val="single" w:sz="8" w:color="2C6937"/>
            </w:tcBorders>
          </w:tcPr>
          <w:p>
            <w:pPr>
              <w:spacing w:after="0"/>
              <w:rPr>
                <w:sz w:val="16"/>
                <w:szCs w:val="16"/>
                <w:color w:val="auto"/>
              </w:rPr>
            </w:pPr>
          </w:p>
        </w:tc>
        <w:tc>
          <w:tcPr>
            <w:tcW w:w="2660" w:type="dxa"/>
            <w:vAlign w:val="bottom"/>
            <w:tcBorders>
              <w:bottom w:val="single" w:sz="8" w:color="2C6937"/>
            </w:tcBorders>
            <w:gridSpan w:val="5"/>
          </w:tcPr>
          <w:p>
            <w:pPr>
              <w:jc w:val="center"/>
              <w:ind w:right="160"/>
              <w:spacing w:after="0"/>
              <w:rPr>
                <w:sz w:val="20"/>
                <w:szCs w:val="20"/>
                <w:color w:val="auto"/>
              </w:rPr>
            </w:pPr>
            <w:r>
              <w:rPr>
                <w:rFonts w:ascii="Arial" w:cs="Arial" w:eastAsia="Arial" w:hAnsi="Arial"/>
                <w:sz w:val="14"/>
                <w:szCs w:val="14"/>
                <w:b w:val="1"/>
                <w:bCs w:val="1"/>
                <w:color w:val="auto"/>
                <w:w w:val="98"/>
              </w:rPr>
              <w:t>As of December 31, 2024</w:t>
            </w:r>
          </w:p>
        </w:tc>
        <w:tc>
          <w:tcPr>
            <w:tcW w:w="14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20" w:type="dxa"/>
            <w:vAlign w:val="bottom"/>
            <w:tcBorders>
              <w:bottom w:val="single" w:sz="8" w:color="2C6937"/>
            </w:tcBorders>
          </w:tcPr>
          <w:p>
            <w:pPr>
              <w:spacing w:after="0"/>
              <w:rPr>
                <w:sz w:val="16"/>
                <w:szCs w:val="16"/>
                <w:color w:val="auto"/>
              </w:rPr>
            </w:pPr>
          </w:p>
        </w:tc>
        <w:tc>
          <w:tcPr>
            <w:tcW w:w="10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Quoted Prices in</w:t>
            </w:r>
          </w:p>
        </w:tc>
        <w:tc>
          <w:tcPr>
            <w:tcW w:w="8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Significant</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Significant</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Active Markets</w:t>
            </w: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Unobservable</w:t>
            </w:r>
          </w:p>
        </w:tc>
        <w:tc>
          <w:tcPr>
            <w:tcW w:w="14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Netting</w:t>
            </w:r>
          </w:p>
        </w:tc>
        <w:tc>
          <w:tcPr>
            <w:tcW w:w="120" w:type="dxa"/>
            <w:vAlign w:val="bottom"/>
          </w:tcPr>
          <w:p>
            <w:pPr>
              <w:spacing w:after="0"/>
              <w:rPr>
                <w:sz w:val="14"/>
                <w:szCs w:val="14"/>
                <w:color w:val="auto"/>
              </w:rPr>
            </w:pPr>
          </w:p>
        </w:tc>
        <w:tc>
          <w:tcPr>
            <w:tcW w:w="10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for Identical</w:t>
            </w:r>
          </w:p>
        </w:tc>
        <w:tc>
          <w:tcPr>
            <w:tcW w:w="80" w:type="dxa"/>
            <w:vAlign w:val="bottom"/>
          </w:tcPr>
          <w:p>
            <w:pPr>
              <w:spacing w:after="0"/>
              <w:rPr>
                <w:sz w:val="13"/>
                <w:szCs w:val="13"/>
                <w:color w:val="auto"/>
              </w:rPr>
            </w:pPr>
          </w:p>
        </w:tc>
        <w:tc>
          <w:tcPr>
            <w:tcW w:w="12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6"/>
              </w:rPr>
              <w:t>Observable</w:t>
            </w:r>
          </w:p>
        </w:tc>
        <w:tc>
          <w:tcPr>
            <w:tcW w:w="160" w:type="dxa"/>
            <w:vAlign w:val="bottom"/>
          </w:tcPr>
          <w:p>
            <w:pPr>
              <w:spacing w:after="0"/>
              <w:rPr>
                <w:sz w:val="13"/>
                <w:szCs w:val="13"/>
                <w:color w:val="auto"/>
              </w:rPr>
            </w:pPr>
          </w:p>
        </w:tc>
        <w:tc>
          <w:tcPr>
            <w:tcW w:w="12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160" w:type="dxa"/>
            <w:vAlign w:val="bottom"/>
            <w:tcBorders>
              <w:bottom w:val="single" w:sz="8" w:color="2C6937"/>
            </w:tcBorders>
            <w:gridSpan w:val="2"/>
          </w:tcPr>
          <w:p>
            <w:pPr>
              <w:spacing w:after="0"/>
              <w:rPr>
                <w:sz w:val="20"/>
                <w:szCs w:val="20"/>
                <w:color w:val="auto"/>
              </w:rPr>
            </w:pPr>
            <w:r>
              <w:rPr>
                <w:rFonts w:ascii="Arial" w:cs="Arial" w:eastAsia="Arial" w:hAnsi="Arial"/>
                <w:sz w:val="14"/>
                <w:szCs w:val="14"/>
                <w:b w:val="1"/>
                <w:bCs w:val="1"/>
                <w:color w:val="auto"/>
              </w:rPr>
              <w:t>Carrying Value</w:t>
            </w:r>
          </w:p>
        </w:tc>
        <w:tc>
          <w:tcPr>
            <w:tcW w:w="1240" w:type="dxa"/>
            <w:vAlign w:val="bottom"/>
            <w:tcBorders>
              <w:bottom w:val="single" w:sz="8" w:color="2C6937"/>
            </w:tcBorders>
            <w:gridSpan w:val="3"/>
          </w:tcPr>
          <w:p>
            <w:pPr>
              <w:jc w:val="center"/>
              <w:ind w:right="120"/>
              <w:spacing w:after="0"/>
              <w:rPr>
                <w:sz w:val="20"/>
                <w:szCs w:val="20"/>
                <w:color w:val="auto"/>
              </w:rPr>
            </w:pPr>
            <w:r>
              <w:rPr>
                <w:rFonts w:ascii="Arial" w:cs="Arial" w:eastAsia="Arial" w:hAnsi="Arial"/>
                <w:sz w:val="14"/>
                <w:szCs w:val="14"/>
                <w:b w:val="1"/>
                <w:bCs w:val="1"/>
                <w:color w:val="auto"/>
                <w:w w:val="97"/>
              </w:rPr>
              <w:t>Assets (Level 1)</w:t>
            </w:r>
          </w:p>
        </w:tc>
        <w:tc>
          <w:tcPr>
            <w:tcW w:w="80" w:type="dxa"/>
            <w:vAlign w:val="bottom"/>
            <w:tcBorders>
              <w:bottom w:val="single" w:sz="8" w:color="2C6937"/>
            </w:tcBorders>
          </w:tcPr>
          <w:p>
            <w:pPr>
              <w:spacing w:after="0"/>
              <w:rPr>
                <w:sz w:val="17"/>
                <w:szCs w:val="17"/>
                <w:color w:val="auto"/>
              </w:rPr>
            </w:pPr>
          </w:p>
        </w:tc>
        <w:tc>
          <w:tcPr>
            <w:tcW w:w="1220" w:type="dxa"/>
            <w:vAlign w:val="bottom"/>
            <w:tcBorders>
              <w:bottom w:val="single" w:sz="8" w:color="2C6937"/>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Inputs (Level 2)</w:t>
            </w:r>
          </w:p>
        </w:tc>
        <w:tc>
          <w:tcPr>
            <w:tcW w:w="160" w:type="dxa"/>
            <w:vAlign w:val="bottom"/>
            <w:tcBorders>
              <w:bottom w:val="single" w:sz="8" w:color="2C6937"/>
            </w:tcBorders>
          </w:tcPr>
          <w:p>
            <w:pPr>
              <w:spacing w:after="0"/>
              <w:rPr>
                <w:sz w:val="17"/>
                <w:szCs w:val="17"/>
                <w:color w:val="auto"/>
              </w:rPr>
            </w:pPr>
          </w:p>
        </w:tc>
        <w:tc>
          <w:tcPr>
            <w:tcW w:w="1280" w:type="dxa"/>
            <w:vAlign w:val="bottom"/>
            <w:tcBorders>
              <w:bottom w:val="single" w:sz="8" w:color="2C6937"/>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(Level 3)</w:t>
            </w:r>
          </w:p>
        </w:tc>
        <w:tc>
          <w:tcPr>
            <w:tcW w:w="14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ind w:right="35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Cash, including restricted cash</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38,536</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38,536</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38,536</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56,250</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Trading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78,728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77,610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78,728</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Available-for-sale securities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sale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Mortgage loans held for investment, net of allowance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for loan losses</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4,137,633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3,496,803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127,763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3,624,566</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Advances to lenders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r>
        <w:trPr>
          <w:trHeight w:val="219"/>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assets at fair value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97"/>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assets</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12"/>
        </w:trPr>
        <w:tc>
          <w:tcPr>
            <w:tcW w:w="348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Pr>
          <w:p>
            <w:pPr>
              <w:spacing w:after="0"/>
              <w:rPr>
                <w:sz w:val="18"/>
                <w:szCs w:val="18"/>
                <w:color w:val="auto"/>
              </w:rPr>
            </w:pPr>
          </w:p>
        </w:tc>
        <w:tc>
          <w:tcPr>
            <w:tcW w:w="10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4,314,057</w:t>
            </w:r>
          </w:p>
        </w:tc>
        <w:tc>
          <w:tcPr>
            <w:tcW w:w="100" w:type="dxa"/>
            <w:vAlign w:val="bottom"/>
          </w:tcPr>
          <w:p>
            <w:pPr>
              <w:spacing w:after="0"/>
              <w:rPr>
                <w:sz w:val="18"/>
                <w:szCs w:val="18"/>
                <w:color w:val="auto"/>
              </w:rPr>
            </w:pPr>
          </w:p>
        </w:tc>
        <w:tc>
          <w:tcPr>
            <w:tcW w:w="140" w:type="dxa"/>
            <w:vAlign w:val="bottom"/>
            <w:tcBorders>
              <w:bottom w:val="single" w:sz="8" w:color="2C6937"/>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116,146</w:t>
            </w:r>
          </w:p>
        </w:tc>
        <w:tc>
          <w:tcPr>
            <w:tcW w:w="100" w:type="dxa"/>
            <w:vAlign w:val="bottom"/>
          </w:tcPr>
          <w:p>
            <w:pPr>
              <w:spacing w:after="0"/>
              <w:rPr>
                <w:sz w:val="18"/>
                <w:szCs w:val="18"/>
                <w:color w:val="auto"/>
              </w:rPr>
            </w:pPr>
          </w:p>
        </w:tc>
        <w:tc>
          <w:tcPr>
            <w:tcW w:w="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3,556,627</w:t>
            </w:r>
          </w:p>
        </w:tc>
        <w:tc>
          <w:tcPr>
            <w:tcW w:w="100" w:type="dxa"/>
            <w:vAlign w:val="bottom"/>
          </w:tcPr>
          <w:p>
            <w:pPr>
              <w:spacing w:after="0"/>
              <w:rPr>
                <w:sz w:val="18"/>
                <w:szCs w:val="18"/>
                <w:color w:val="auto"/>
              </w:rPr>
            </w:pPr>
          </w:p>
        </w:tc>
        <w:tc>
          <w:tcPr>
            <w:tcW w:w="160" w:type="dxa"/>
            <w:vAlign w:val="bottom"/>
            <w:tcBorders>
              <w:bottom w:val="single" w:sz="8" w:color="2C6937"/>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128,690</w:t>
            </w:r>
          </w:p>
        </w:tc>
        <w:tc>
          <w:tcPr>
            <w:tcW w:w="100" w:type="dxa"/>
            <w:vAlign w:val="bottom"/>
          </w:tcPr>
          <w:p>
            <w:pPr>
              <w:spacing w:after="0"/>
              <w:rPr>
                <w:sz w:val="18"/>
                <w:szCs w:val="18"/>
                <w:color w:val="auto"/>
              </w:rPr>
            </w:pPr>
          </w:p>
        </w:tc>
        <w:tc>
          <w:tcPr>
            <w:tcW w:w="14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8"/>
                <w:szCs w:val="18"/>
                <w:color w:val="auto"/>
              </w:rPr>
            </w:pPr>
          </w:p>
        </w:tc>
        <w:tc>
          <w:tcPr>
            <w:tcW w:w="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3,801,101</w:t>
            </w:r>
          </w:p>
        </w:tc>
        <w:tc>
          <w:tcPr>
            <w:tcW w:w="0" w:type="dxa"/>
            <w:vAlign w:val="bottom"/>
          </w:tcPr>
          <w:p>
            <w:pPr>
              <w:spacing w:after="0"/>
              <w:rPr>
                <w:sz w:val="1"/>
                <w:szCs w:val="1"/>
                <w:color w:val="auto"/>
              </w:rPr>
            </w:pPr>
          </w:p>
        </w:tc>
      </w:tr>
      <w:tr>
        <w:trPr>
          <w:trHeight w:val="22"/>
        </w:trPr>
        <w:tc>
          <w:tcPr>
            <w:tcW w:w="34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C6937"/>
            </w:tcBorders>
          </w:tcPr>
          <w:p>
            <w:pPr>
              <w:spacing w:after="0" w:line="20" w:lineRule="exact"/>
              <w:rPr>
                <w:sz w:val="1"/>
                <w:szCs w:val="1"/>
                <w:color w:val="auto"/>
              </w:rPr>
            </w:pPr>
          </w:p>
        </w:tc>
        <w:tc>
          <w:tcPr>
            <w:tcW w:w="106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100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6937"/>
            </w:tcBorders>
          </w:tcPr>
          <w:p>
            <w:pPr>
              <w:spacing w:after="0" w:line="20" w:lineRule="exact"/>
              <w:rPr>
                <w:sz w:val="1"/>
                <w:szCs w:val="1"/>
                <w:color w:val="auto"/>
              </w:rPr>
            </w:pPr>
          </w:p>
        </w:tc>
        <w:tc>
          <w:tcPr>
            <w:tcW w:w="112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C6937"/>
            </w:tcBorders>
          </w:tcPr>
          <w:p>
            <w:pPr>
              <w:spacing w:after="0" w:line="20" w:lineRule="exact"/>
              <w:rPr>
                <w:sz w:val="1"/>
                <w:szCs w:val="1"/>
                <w:color w:val="auto"/>
              </w:rPr>
            </w:pPr>
          </w:p>
        </w:tc>
        <w:tc>
          <w:tcPr>
            <w:tcW w:w="11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C6937"/>
            </w:tcBorders>
          </w:tcPr>
          <w:p>
            <w:pPr>
              <w:spacing w:after="0" w:line="20" w:lineRule="exact"/>
              <w:rPr>
                <w:sz w:val="1"/>
                <w:szCs w:val="1"/>
                <w:color w:val="auto"/>
              </w:rPr>
            </w:pPr>
          </w:p>
        </w:tc>
        <w:tc>
          <w:tcPr>
            <w:tcW w:w="980" w:type="dxa"/>
            <w:vAlign w:val="bottom"/>
            <w:tcBorders>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C6937"/>
            </w:tcBorders>
          </w:tcPr>
          <w:p>
            <w:pPr>
              <w:spacing w:after="0" w:line="20" w:lineRule="exact"/>
              <w:rPr>
                <w:sz w:val="1"/>
                <w:szCs w:val="1"/>
                <w:color w:val="auto"/>
              </w:rPr>
            </w:pPr>
          </w:p>
        </w:tc>
        <w:tc>
          <w:tcPr>
            <w:tcW w:w="1080" w:type="dxa"/>
            <w:vAlign w:val="bottom"/>
            <w:tcBorders>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Short-term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11,188</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11,193</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11,193</w:t>
            </w:r>
          </w:p>
        </w:tc>
        <w:tc>
          <w:tcPr>
            <w:tcW w:w="0" w:type="dxa"/>
            <w:vAlign w:val="bottom"/>
          </w:tcPr>
          <w:p>
            <w:pPr>
              <w:spacing w:after="0"/>
              <w:rPr>
                <w:sz w:val="1"/>
                <w:szCs w:val="1"/>
                <w:color w:val="auto"/>
              </w:rPr>
            </w:pPr>
          </w:p>
        </w:tc>
      </w:tr>
      <w:tr>
        <w:trPr>
          <w:trHeight w:val="206"/>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Fannie Mae</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128,234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129,152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129,719</w:t>
            </w:r>
          </w:p>
        </w:tc>
        <w:tc>
          <w:tcPr>
            <w:tcW w:w="0" w:type="dxa"/>
            <w:vAlign w:val="bottom"/>
          </w:tcPr>
          <w:p>
            <w:pPr>
              <w:spacing w:after="0"/>
              <w:rPr>
                <w:sz w:val="1"/>
                <w:szCs w:val="1"/>
                <w:color w:val="auto"/>
              </w:rPr>
            </w:pPr>
          </w:p>
        </w:tc>
      </w:tr>
      <w:tr>
        <w:trPr>
          <w:trHeight w:val="219"/>
        </w:trPr>
        <w:tc>
          <w:tcPr>
            <w:tcW w:w="3580" w:type="dxa"/>
            <w:vAlign w:val="bottom"/>
            <w:gridSpan w:val="2"/>
          </w:tcPr>
          <w:p>
            <w:pPr>
              <w:ind w:left="220"/>
              <w:spacing w:after="0"/>
              <w:rPr>
                <w:sz w:val="20"/>
                <w:szCs w:val="20"/>
                <w:color w:val="auto"/>
              </w:rPr>
            </w:pPr>
            <w:r>
              <w:rPr>
                <w:rFonts w:ascii="Arial" w:cs="Arial" w:eastAsia="Arial" w:hAnsi="Arial"/>
                <w:sz w:val="14"/>
                <w:szCs w:val="14"/>
                <w:color w:val="auto"/>
              </w:rPr>
              <w:t>Of consolidated trusts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4,088,675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3,557,237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3,557,511</w:t>
            </w:r>
          </w:p>
        </w:tc>
        <w:tc>
          <w:tcPr>
            <w:tcW w:w="0" w:type="dxa"/>
            <w:vAlign w:val="bottom"/>
          </w:tcPr>
          <w:p>
            <w:pPr>
              <w:spacing w:after="0"/>
              <w:rPr>
                <w:sz w:val="1"/>
                <w:szCs w:val="1"/>
                <w:color w:val="auto"/>
              </w:rPr>
            </w:pPr>
          </w:p>
        </w:tc>
      </w:tr>
      <w:tr>
        <w:trPr>
          <w:trHeight w:val="193"/>
        </w:trPr>
        <w:tc>
          <w:tcPr>
            <w:tcW w:w="3580" w:type="dxa"/>
            <w:vAlign w:val="bottom"/>
            <w:gridSpan w:val="2"/>
          </w:tcPr>
          <w:p>
            <w:pPr>
              <w:ind w:left="120"/>
              <w:spacing w:after="0"/>
              <w:rPr>
                <w:sz w:val="20"/>
                <w:szCs w:val="20"/>
                <w:color w:val="auto"/>
              </w:rPr>
            </w:pPr>
            <w:r>
              <w:rPr>
                <w:rFonts w:ascii="Arial" w:cs="Arial" w:eastAsia="Arial" w:hAnsi="Arial"/>
                <w:sz w:val="14"/>
                <w:szCs w:val="14"/>
                <w:color w:val="auto"/>
              </w:rPr>
              <w:t>Derivative liabilities at fair value</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97"/>
        </w:trPr>
        <w:tc>
          <w:tcPr>
            <w:tcW w:w="3480" w:type="dxa"/>
            <w:vAlign w:val="bottom"/>
            <w:tcBorders>
              <w:bottom w:val="single" w:sz="8" w:color="2C6937"/>
            </w:tcBorders>
          </w:tcPr>
          <w:p>
            <w:pPr>
              <w:ind w:left="120"/>
              <w:spacing w:after="0"/>
              <w:rPr>
                <w:sz w:val="20"/>
                <w:szCs w:val="20"/>
                <w:color w:val="auto"/>
              </w:rPr>
            </w:pPr>
            <w:r>
              <w:rPr>
                <w:rFonts w:ascii="Arial" w:cs="Arial" w:eastAsia="Arial" w:hAnsi="Arial"/>
                <w:sz w:val="14"/>
                <w:szCs w:val="14"/>
                <w:color w:val="auto"/>
              </w:rPr>
              <w:t>Guaranty obligations</w:t>
            </w:r>
          </w:p>
        </w:tc>
        <w:tc>
          <w:tcPr>
            <w:tcW w:w="100" w:type="dxa"/>
            <w:vAlign w:val="bottom"/>
          </w:tcPr>
          <w:p>
            <w:pPr>
              <w:spacing w:after="0"/>
              <w:rPr>
                <w:sz w:val="17"/>
                <w:szCs w:val="17"/>
                <w:color w:val="auto"/>
              </w:rPr>
            </w:pPr>
          </w:p>
        </w:tc>
        <w:tc>
          <w:tcPr>
            <w:tcW w:w="100" w:type="dxa"/>
            <w:vAlign w:val="bottom"/>
            <w:tcBorders>
              <w:bottom w:val="single" w:sz="8" w:color="2C6937"/>
            </w:tcBorders>
          </w:tcPr>
          <w:p>
            <w:pPr>
              <w:spacing w:after="0"/>
              <w:rPr>
                <w:sz w:val="17"/>
                <w:szCs w:val="17"/>
                <w:color w:val="auto"/>
              </w:rPr>
            </w:pPr>
          </w:p>
        </w:tc>
        <w:tc>
          <w:tcPr>
            <w:tcW w:w="106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1000" w:type="dxa"/>
            <w:vAlign w:val="bottom"/>
            <w:tcBorders>
              <w:bottom w:val="single" w:sz="8" w:color="2C6937"/>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 w:type="dxa"/>
            <w:vAlign w:val="bottom"/>
            <w:tcBorders>
              <w:bottom w:val="single" w:sz="8" w:color="2C6937"/>
            </w:tcBorders>
          </w:tcPr>
          <w:p>
            <w:pPr>
              <w:spacing w:after="0"/>
              <w:rPr>
                <w:sz w:val="17"/>
                <w:szCs w:val="17"/>
                <w:color w:val="auto"/>
              </w:rPr>
            </w:pPr>
          </w:p>
        </w:tc>
        <w:tc>
          <w:tcPr>
            <w:tcW w:w="112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bottom w:val="single" w:sz="8" w:color="2C6937"/>
            </w:tcBorders>
          </w:tcPr>
          <w:p>
            <w:pPr>
              <w:spacing w:after="0"/>
              <w:rPr>
                <w:sz w:val="17"/>
                <w:szCs w:val="17"/>
                <w:color w:val="auto"/>
              </w:rPr>
            </w:pPr>
          </w:p>
        </w:tc>
        <w:tc>
          <w:tcPr>
            <w:tcW w:w="11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140" w:type="dxa"/>
            <w:vAlign w:val="bottom"/>
            <w:tcBorders>
              <w:bottom w:val="single" w:sz="8" w:color="2C6937"/>
            </w:tcBorders>
          </w:tcPr>
          <w:p>
            <w:pPr>
              <w:spacing w:after="0"/>
              <w:rPr>
                <w:sz w:val="17"/>
                <w:szCs w:val="17"/>
                <w:color w:val="auto"/>
              </w:rPr>
            </w:pPr>
          </w:p>
        </w:tc>
        <w:tc>
          <w:tcPr>
            <w:tcW w:w="980" w:type="dxa"/>
            <w:vAlign w:val="bottom"/>
            <w:tcBorders>
              <w:bottom w:val="single" w:sz="8" w:color="2C6937"/>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2C6937"/>
            </w:tcBorders>
          </w:tcPr>
          <w:p>
            <w:pPr>
              <w:spacing w:after="0"/>
              <w:rPr>
                <w:sz w:val="17"/>
                <w:szCs w:val="17"/>
                <w:color w:val="auto"/>
              </w:rPr>
            </w:pPr>
          </w:p>
        </w:tc>
        <w:tc>
          <w:tcPr>
            <w:tcW w:w="1080" w:type="dxa"/>
            <w:vAlign w:val="bottom"/>
            <w:tcBorders>
              <w:bottom w:val="single" w:sz="8" w:color="2C6937"/>
            </w:tcBorders>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12"/>
        </w:trPr>
        <w:tc>
          <w:tcPr>
            <w:tcW w:w="3580" w:type="dxa"/>
            <w:vAlign w:val="bottom"/>
            <w:gridSpan w:val="2"/>
          </w:tcPr>
          <w:p>
            <w:pPr>
              <w:ind w:left="20"/>
              <w:spacing w:after="0"/>
              <w:rPr>
                <w:sz w:val="20"/>
                <w:szCs w:val="20"/>
                <w:color w:val="auto"/>
              </w:rPr>
            </w:pPr>
            <w:r>
              <w:rPr>
                <w:rFonts w:ascii="Arial" w:cs="Arial" w:eastAsia="Arial" w:hAnsi="Arial"/>
                <w:sz w:val="14"/>
                <w:szCs w:val="14"/>
                <w:color w:val="auto"/>
              </w:rPr>
              <w:t>Total financial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4,228,320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3,700,088</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(2,367)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3,698,637</w:t>
            </w:r>
          </w:p>
        </w:tc>
        <w:tc>
          <w:tcPr>
            <w:tcW w:w="0" w:type="dxa"/>
            <w:vAlign w:val="bottom"/>
          </w:tcPr>
          <w:p>
            <w:pPr>
              <w:spacing w:after="0"/>
              <w:rPr>
                <w:sz w:val="1"/>
                <w:szCs w:val="1"/>
                <w:color w:val="auto"/>
              </w:rPr>
            </w:pPr>
          </w:p>
        </w:tc>
      </w:tr>
      <w:tr>
        <w:trPr>
          <w:trHeight w:val="22"/>
        </w:trPr>
        <w:tc>
          <w:tcPr>
            <w:tcW w:w="34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C6937"/>
              <w:bottom w:val="single" w:sz="8" w:color="2C6937"/>
            </w:tcBorders>
          </w:tcPr>
          <w:p>
            <w:pPr>
              <w:spacing w:after="0" w:line="20" w:lineRule="exact"/>
              <w:rPr>
                <w:sz w:val="1"/>
                <w:szCs w:val="1"/>
                <w:color w:val="auto"/>
              </w:rPr>
            </w:pPr>
          </w:p>
        </w:tc>
        <w:tc>
          <w:tcPr>
            <w:tcW w:w="106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100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2C6937"/>
              <w:bottom w:val="single" w:sz="8" w:color="2C6937"/>
            </w:tcBorders>
          </w:tcPr>
          <w:p>
            <w:pPr>
              <w:spacing w:after="0" w:line="20" w:lineRule="exact"/>
              <w:rPr>
                <w:sz w:val="1"/>
                <w:szCs w:val="1"/>
                <w:color w:val="auto"/>
              </w:rPr>
            </w:pPr>
          </w:p>
        </w:tc>
        <w:tc>
          <w:tcPr>
            <w:tcW w:w="112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C6937"/>
              <w:bottom w:val="single" w:sz="8" w:color="2C6937"/>
            </w:tcBorders>
          </w:tcPr>
          <w:p>
            <w:pPr>
              <w:spacing w:after="0" w:line="20" w:lineRule="exact"/>
              <w:rPr>
                <w:sz w:val="1"/>
                <w:szCs w:val="1"/>
                <w:color w:val="auto"/>
              </w:rPr>
            </w:pPr>
          </w:p>
        </w:tc>
        <w:tc>
          <w:tcPr>
            <w:tcW w:w="11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C6937"/>
              <w:bottom w:val="single" w:sz="8" w:color="2C6937"/>
            </w:tcBorders>
          </w:tcPr>
          <w:p>
            <w:pPr>
              <w:spacing w:after="0" w:line="20" w:lineRule="exact"/>
              <w:rPr>
                <w:sz w:val="1"/>
                <w:szCs w:val="1"/>
                <w:color w:val="auto"/>
              </w:rPr>
            </w:pPr>
          </w:p>
        </w:tc>
        <w:tc>
          <w:tcPr>
            <w:tcW w:w="980" w:type="dxa"/>
            <w:vAlign w:val="bottom"/>
            <w:tcBorders>
              <w:top w:val="single" w:sz="8" w:color="2C6937"/>
              <w:bottom w:val="single" w:sz="8" w:color="2C693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C6937"/>
              <w:bottom w:val="single" w:sz="8" w:color="2C6937"/>
            </w:tcBorders>
          </w:tcPr>
          <w:p>
            <w:pPr>
              <w:spacing w:after="0" w:line="20" w:lineRule="exact"/>
              <w:rPr>
                <w:sz w:val="1"/>
                <w:szCs w:val="1"/>
                <w:color w:val="auto"/>
              </w:rPr>
            </w:pPr>
          </w:p>
        </w:tc>
        <w:tc>
          <w:tcPr>
            <w:tcW w:w="1080" w:type="dxa"/>
            <w:vAlign w:val="bottom"/>
            <w:tcBorders>
              <w:top w:val="single" w:sz="8" w:color="2C6937"/>
              <w:bottom w:val="single" w:sz="8" w:color="2C693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For a detailed description and classification of our financial instruments, see “Note 16, Fair Value” in our 2024 Form 10-K.</w:t>
      </w:r>
    </w:p>
    <w:p>
      <w:pPr>
        <w:spacing w:after="0" w:line="146"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Fair Value Option</w:t>
      </w:r>
    </w:p>
    <w:p>
      <w:pPr>
        <w:spacing w:after="0" w:line="68"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We generally elect the fair value option on a financial instrument when the accounting guidance would otherwise require us to separately account for a derivative that is embedded in the instrument at fair value. Under the fair value option, we carry this type of instrument, in its entirety, at fair value instead of separately accounting for the derivative.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from the mortgage loans is recorded in “Interest income: Mortgage loans” and interest expense for the debt instruments is recorded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Long-term debt” in our condensed consolidated statements of operations and comprehensive income.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the fair value and unpaid principal balance of the financial instruments for which we have elected the fair value option.</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200" w:type="dxa"/>
            <w:vAlign w:val="bottom"/>
            <w:tcBorders>
              <w:bottom w:val="single" w:sz="8" w:color="2C6937"/>
            </w:tcBorders>
          </w:tcPr>
          <w:p>
            <w:pPr>
              <w:spacing w:after="0"/>
              <w:rPr>
                <w:sz w:val="16"/>
                <w:szCs w:val="16"/>
                <w:color w:val="auto"/>
              </w:rPr>
            </w:pPr>
          </w:p>
        </w:tc>
        <w:tc>
          <w:tcPr>
            <w:tcW w:w="4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gridSpan w:val="3"/>
          </w:tcPr>
          <w:p>
            <w:pPr>
              <w:jc w:val="center"/>
              <w:ind w:right="160"/>
              <w:spacing w:after="0"/>
              <w:rPr>
                <w:sz w:val="20"/>
                <w:szCs w:val="20"/>
                <w:color w:val="auto"/>
              </w:rPr>
            </w:pPr>
            <w:r>
              <w:rPr>
                <w:rFonts w:ascii="Arial" w:cs="Arial" w:eastAsia="Arial" w:hAnsi="Arial"/>
                <w:sz w:val="14"/>
                <w:szCs w:val="14"/>
                <w:b w:val="1"/>
                <w:bCs w:val="1"/>
                <w:color w:val="auto"/>
                <w:w w:val="97"/>
              </w:rPr>
              <w:t>As of</w:t>
            </w:r>
          </w:p>
        </w:tc>
        <w:tc>
          <w:tcPr>
            <w:tcW w:w="980" w:type="dxa"/>
            <w:vAlign w:val="bottom"/>
            <w:tcBorders>
              <w:bottom w:val="single" w:sz="8" w:color="2C6937"/>
            </w:tcBorders>
          </w:tcPr>
          <w:p>
            <w:pPr>
              <w:spacing w:after="0"/>
              <w:rPr>
                <w:sz w:val="16"/>
                <w:szCs w:val="16"/>
                <w:color w:val="auto"/>
              </w:rPr>
            </w:pPr>
          </w:p>
        </w:tc>
        <w:tc>
          <w:tcPr>
            <w:tcW w:w="360" w:type="dxa"/>
            <w:vAlign w:val="bottom"/>
            <w:tcBorders>
              <w:bottom w:val="single" w:sz="8" w:color="2C6937"/>
            </w:tcBorders>
          </w:tcPr>
          <w:p>
            <w:pPr>
              <w:spacing w:after="0"/>
              <w:rPr>
                <w:sz w:val="16"/>
                <w:szCs w:val="16"/>
                <w:color w:val="auto"/>
              </w:rPr>
            </w:pPr>
          </w:p>
        </w:tc>
        <w:tc>
          <w:tcPr>
            <w:tcW w:w="1220" w:type="dxa"/>
            <w:vAlign w:val="bottom"/>
            <w:tcBorders>
              <w:bottom w:val="single" w:sz="8" w:color="2C6937"/>
            </w:tcBorders>
          </w:tcPr>
          <w:p>
            <w:pPr>
              <w:spacing w:after="0"/>
              <w:rPr>
                <w:sz w:val="16"/>
                <w:szCs w:val="16"/>
                <w:color w:val="auto"/>
              </w:rPr>
            </w:pP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560" w:type="dxa"/>
            <w:vAlign w:val="bottom"/>
            <w:tcBorders>
              <w:bottom w:val="single" w:sz="8" w:color="2C6937"/>
            </w:tcBorders>
            <w:gridSpan w:val="2"/>
          </w:tcPr>
          <w:p>
            <w:pPr>
              <w:ind w:left="220"/>
              <w:spacing w:after="0"/>
              <w:rPr>
                <w:sz w:val="20"/>
                <w:szCs w:val="20"/>
                <w:color w:val="auto"/>
              </w:rPr>
            </w:pPr>
            <w:r>
              <w:rPr>
                <w:rFonts w:ascii="Arial" w:cs="Arial" w:eastAsia="Arial" w:hAnsi="Arial"/>
                <w:sz w:val="14"/>
                <w:szCs w:val="14"/>
                <w:b w:val="1"/>
                <w:bCs w:val="1"/>
                <w:color w:val="auto"/>
              </w:rPr>
              <w:t>September 30, 2025</w:t>
            </w:r>
          </w:p>
        </w:tc>
        <w:tc>
          <w:tcPr>
            <w:tcW w:w="480" w:type="dxa"/>
            <w:vAlign w:val="bottom"/>
            <w:tcBorders>
              <w:bottom w:val="single" w:sz="8" w:color="2C6937"/>
            </w:tcBorders>
          </w:tcPr>
          <w:p>
            <w:pPr>
              <w:spacing w:after="0"/>
              <w:rPr>
                <w:sz w:val="16"/>
                <w:szCs w:val="16"/>
                <w:color w:val="auto"/>
              </w:rPr>
            </w:pPr>
          </w:p>
        </w:tc>
        <w:tc>
          <w:tcPr>
            <w:tcW w:w="880" w:type="dxa"/>
            <w:vAlign w:val="bottom"/>
            <w:tcBorders>
              <w:bottom w:val="single" w:sz="8" w:color="2C6937"/>
            </w:tcBorders>
          </w:tcPr>
          <w:p>
            <w:pPr>
              <w:spacing w:after="0"/>
              <w:rPr>
                <w:sz w:val="16"/>
                <w:szCs w:val="16"/>
                <w:color w:val="auto"/>
              </w:rPr>
            </w:pPr>
          </w:p>
        </w:tc>
        <w:tc>
          <w:tcPr>
            <w:tcW w:w="100" w:type="dxa"/>
            <w:vAlign w:val="bottom"/>
            <w:tcBorders>
              <w:bottom w:val="single" w:sz="8" w:color="2C6937"/>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1580" w:type="dxa"/>
            <w:vAlign w:val="bottom"/>
            <w:tcBorders>
              <w:bottom w:val="single" w:sz="8" w:color="2C6937"/>
            </w:tcBorders>
            <w:gridSpan w:val="2"/>
          </w:tcPr>
          <w:p>
            <w:pPr>
              <w:jc w:val="right"/>
              <w:spacing w:after="0"/>
              <w:rPr>
                <w:sz w:val="20"/>
                <w:szCs w:val="20"/>
                <w:color w:val="auto"/>
              </w:rPr>
            </w:pPr>
            <w:r>
              <w:rPr>
                <w:rFonts w:ascii="Arial" w:cs="Arial" w:eastAsia="Arial" w:hAnsi="Arial"/>
                <w:sz w:val="14"/>
                <w:szCs w:val="14"/>
                <w:b w:val="1"/>
                <w:bCs w:val="1"/>
                <w:color w:val="auto"/>
              </w:rPr>
              <w:t>December 31, 2024</w:t>
            </w:r>
          </w:p>
        </w:tc>
        <w:tc>
          <w:tcPr>
            <w:tcW w:w="500" w:type="dxa"/>
            <w:vAlign w:val="bottom"/>
            <w:tcBorders>
              <w:bottom w:val="single" w:sz="8" w:color="2C6937"/>
            </w:tcBorders>
          </w:tcPr>
          <w:p>
            <w:pPr>
              <w:spacing w:after="0"/>
              <w:rPr>
                <w:sz w:val="16"/>
                <w:szCs w:val="16"/>
                <w:color w:val="auto"/>
              </w:rPr>
            </w:pPr>
          </w:p>
        </w:tc>
        <w:tc>
          <w:tcPr>
            <w:tcW w:w="980" w:type="dxa"/>
            <w:vAlign w:val="bottom"/>
            <w:tcBorders>
              <w:bottom w:val="single" w:sz="8" w:color="2C6937"/>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560" w:type="dxa"/>
            <w:vAlign w:val="bottom"/>
            <w:gridSpan w:val="2"/>
          </w:tcPr>
          <w:p>
            <w:pPr>
              <w:jc w:val="right"/>
              <w:ind w:right="126"/>
              <w:spacing w:after="0" w:line="139" w:lineRule="exact"/>
              <w:rPr>
                <w:sz w:val="20"/>
                <w:szCs w:val="20"/>
                <w:color w:val="auto"/>
              </w:rPr>
            </w:pPr>
            <w:r>
              <w:rPr>
                <w:rFonts w:ascii="Arial" w:cs="Arial" w:eastAsia="Arial" w:hAnsi="Arial"/>
                <w:sz w:val="14"/>
                <w:szCs w:val="14"/>
                <w:b w:val="1"/>
                <w:bCs w:val="1"/>
                <w:color w:val="auto"/>
              </w:rPr>
              <w:t>Long-Term Debt of</w:t>
            </w:r>
          </w:p>
        </w:tc>
        <w:tc>
          <w:tcPr>
            <w:tcW w:w="13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Long-Term Debt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Loans</w:t>
            </w:r>
            <w:r>
              <w:rPr>
                <w:rFonts w:ascii="Arial" w:cs="Arial" w:eastAsia="Arial" w:hAnsi="Arial"/>
                <w:sz w:val="17"/>
                <w:szCs w:val="17"/>
                <w:b w:val="1"/>
                <w:bCs w:val="1"/>
                <w:color w:val="auto"/>
                <w:vertAlign w:val="superscript"/>
              </w:rPr>
              <w:t>(1)</w:t>
            </w:r>
          </w:p>
        </w:tc>
        <w:tc>
          <w:tcPr>
            <w:tcW w:w="1580" w:type="dxa"/>
            <w:vAlign w:val="bottom"/>
            <w:gridSpan w:val="2"/>
          </w:tcPr>
          <w:p>
            <w:pPr>
              <w:jc w:val="right"/>
              <w:ind w:right="126"/>
              <w:spacing w:after="0" w:line="139" w:lineRule="exact"/>
              <w:rPr>
                <w:sz w:val="20"/>
                <w:szCs w:val="20"/>
                <w:color w:val="auto"/>
              </w:rPr>
            </w:pPr>
            <w:r>
              <w:rPr>
                <w:rFonts w:ascii="Arial" w:cs="Arial" w:eastAsia="Arial" w:hAnsi="Arial"/>
                <w:sz w:val="14"/>
                <w:szCs w:val="14"/>
                <w:b w:val="1"/>
                <w:bCs w:val="1"/>
                <w:color w:val="auto"/>
              </w:rPr>
              <w:t>Long-Term Debt of</w:t>
            </w:r>
          </w:p>
        </w:tc>
        <w:tc>
          <w:tcPr>
            <w:tcW w:w="148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Long-Term Debt of</w:t>
            </w:r>
          </w:p>
        </w:tc>
        <w:tc>
          <w:tcPr>
            <w:tcW w:w="0" w:type="dxa"/>
            <w:vAlign w:val="bottom"/>
          </w:tcPr>
          <w:p>
            <w:pPr>
              <w:spacing w:after="0"/>
              <w:rPr>
                <w:sz w:val="1"/>
                <w:szCs w:val="1"/>
                <w:color w:val="auto"/>
              </w:rPr>
            </w:pPr>
          </w:p>
        </w:tc>
      </w:tr>
      <w:tr>
        <w:trPr>
          <w:trHeight w:val="177"/>
        </w:trPr>
        <w:tc>
          <w:tcPr>
            <w:tcW w:w="2480" w:type="dxa"/>
            <w:vAlign w:val="bottom"/>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00" w:type="dxa"/>
            <w:vAlign w:val="bottom"/>
            <w:tcBorders>
              <w:bottom w:val="single" w:sz="8" w:color="2C6937"/>
            </w:tcBorders>
          </w:tcPr>
          <w:p>
            <w:pPr>
              <w:jc w:val="right"/>
              <w:ind w:right="366"/>
              <w:spacing w:after="0"/>
              <w:rPr>
                <w:sz w:val="20"/>
                <w:szCs w:val="20"/>
                <w:color w:val="auto"/>
              </w:rPr>
            </w:pPr>
            <w:r>
              <w:rPr>
                <w:rFonts w:ascii="Arial" w:cs="Arial" w:eastAsia="Arial" w:hAnsi="Arial"/>
                <w:sz w:val="14"/>
                <w:szCs w:val="14"/>
                <w:b w:val="1"/>
                <w:bCs w:val="1"/>
                <w:color w:val="auto"/>
                <w:w w:val="96"/>
              </w:rPr>
              <w:t>Fannie Mae</w:t>
            </w:r>
          </w:p>
        </w:tc>
        <w:tc>
          <w:tcPr>
            <w:tcW w:w="1360" w:type="dxa"/>
            <w:vAlign w:val="bottom"/>
            <w:tcBorders>
              <w:bottom w:val="single" w:sz="8" w:color="2C6937"/>
            </w:tcBorders>
            <w:gridSpan w:val="2"/>
          </w:tcPr>
          <w:p>
            <w:pPr>
              <w:ind w:left="40"/>
              <w:spacing w:after="0"/>
              <w:rPr>
                <w:sz w:val="20"/>
                <w:szCs w:val="20"/>
                <w:color w:val="auto"/>
              </w:rPr>
            </w:pPr>
            <w:r>
              <w:rPr>
                <w:rFonts w:ascii="Arial" w:cs="Arial" w:eastAsia="Arial" w:hAnsi="Arial"/>
                <w:sz w:val="14"/>
                <w:szCs w:val="14"/>
                <w:b w:val="1"/>
                <w:bCs w:val="1"/>
                <w:color w:val="auto"/>
                <w:w w:val="96"/>
              </w:rPr>
              <w:t>Consolidated Trusts</w:t>
            </w:r>
          </w:p>
        </w:tc>
        <w:tc>
          <w:tcPr>
            <w:tcW w:w="100" w:type="dxa"/>
            <w:vAlign w:val="bottom"/>
            <w:tcBorders>
              <w:bottom w:val="single" w:sz="8" w:color="2C6937"/>
            </w:tcBorders>
          </w:tcPr>
          <w:p>
            <w:pPr>
              <w:spacing w:after="0"/>
              <w:rPr>
                <w:sz w:val="15"/>
                <w:szCs w:val="15"/>
                <w:color w:val="auto"/>
              </w:rPr>
            </w:pPr>
          </w:p>
        </w:tc>
        <w:tc>
          <w:tcPr>
            <w:tcW w:w="100" w:type="dxa"/>
            <w:vAlign w:val="bottom"/>
            <w:tcBorders>
              <w:bottom w:val="single" w:sz="8" w:color="2C6937"/>
            </w:tcBorders>
          </w:tcPr>
          <w:p>
            <w:pPr>
              <w:spacing w:after="0"/>
              <w:rPr>
                <w:sz w:val="15"/>
                <w:szCs w:val="15"/>
                <w:color w:val="auto"/>
              </w:rPr>
            </w:pPr>
          </w:p>
        </w:tc>
        <w:tc>
          <w:tcPr>
            <w:tcW w:w="300" w:type="dxa"/>
            <w:vAlign w:val="bottom"/>
            <w:tcBorders>
              <w:bottom w:val="single" w:sz="8" w:color="2C6937"/>
            </w:tcBorders>
          </w:tcPr>
          <w:p>
            <w:pPr>
              <w:spacing w:after="0"/>
              <w:rPr>
                <w:sz w:val="15"/>
                <w:szCs w:val="15"/>
                <w:color w:val="auto"/>
              </w:rPr>
            </w:pPr>
          </w:p>
        </w:tc>
        <w:tc>
          <w:tcPr>
            <w:tcW w:w="980" w:type="dxa"/>
            <w:vAlign w:val="bottom"/>
            <w:tcBorders>
              <w:bottom w:val="single" w:sz="8" w:color="2C6937"/>
            </w:tcBorders>
            <w:vMerge w:val="continue"/>
          </w:tcPr>
          <w:p>
            <w:pPr>
              <w:spacing w:after="0"/>
              <w:rPr>
                <w:sz w:val="15"/>
                <w:szCs w:val="15"/>
                <w:color w:val="auto"/>
              </w:rPr>
            </w:pPr>
          </w:p>
        </w:tc>
        <w:tc>
          <w:tcPr>
            <w:tcW w:w="360" w:type="dxa"/>
            <w:vAlign w:val="bottom"/>
            <w:tcBorders>
              <w:bottom w:val="single" w:sz="8" w:color="2C6937"/>
            </w:tcBorders>
          </w:tcPr>
          <w:p>
            <w:pPr>
              <w:spacing w:after="0"/>
              <w:rPr>
                <w:sz w:val="15"/>
                <w:szCs w:val="15"/>
                <w:color w:val="auto"/>
              </w:rPr>
            </w:pPr>
          </w:p>
        </w:tc>
        <w:tc>
          <w:tcPr>
            <w:tcW w:w="1220" w:type="dxa"/>
            <w:vAlign w:val="bottom"/>
            <w:tcBorders>
              <w:bottom w:val="single" w:sz="8" w:color="2C6937"/>
            </w:tcBorders>
          </w:tcPr>
          <w:p>
            <w:pPr>
              <w:jc w:val="right"/>
              <w:ind w:right="346"/>
              <w:spacing w:after="0"/>
              <w:rPr>
                <w:sz w:val="20"/>
                <w:szCs w:val="20"/>
                <w:color w:val="auto"/>
              </w:rPr>
            </w:pPr>
            <w:r>
              <w:rPr>
                <w:rFonts w:ascii="Arial" w:cs="Arial" w:eastAsia="Arial" w:hAnsi="Arial"/>
                <w:sz w:val="14"/>
                <w:szCs w:val="14"/>
                <w:b w:val="1"/>
                <w:bCs w:val="1"/>
                <w:color w:val="auto"/>
              </w:rPr>
              <w:t>Fannie Mae</w:t>
            </w:r>
          </w:p>
        </w:tc>
        <w:tc>
          <w:tcPr>
            <w:tcW w:w="1480" w:type="dxa"/>
            <w:vAlign w:val="bottom"/>
            <w:tcBorders>
              <w:bottom w:val="single" w:sz="8" w:color="2C6937"/>
            </w:tcBorders>
            <w:gridSpan w:val="2"/>
          </w:tcPr>
          <w:p>
            <w:pPr>
              <w:ind w:left="60"/>
              <w:spacing w:after="0"/>
              <w:rPr>
                <w:sz w:val="20"/>
                <w:szCs w:val="20"/>
                <w:color w:val="auto"/>
              </w:rPr>
            </w:pPr>
            <w:r>
              <w:rPr>
                <w:rFonts w:ascii="Arial" w:cs="Arial" w:eastAsia="Arial" w:hAnsi="Arial"/>
                <w:sz w:val="14"/>
                <w:szCs w:val="14"/>
                <w:b w:val="1"/>
                <w:bCs w:val="1"/>
                <w:color w:val="auto"/>
              </w:rPr>
              <w:t>Consolidated Trusts</w:t>
            </w: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60" w:type="dxa"/>
            <w:vAlign w:val="bottom"/>
            <w:gridSpan w:val="5"/>
          </w:tcPr>
          <w:p>
            <w:pPr>
              <w:jc w:val="center"/>
              <w:ind w:right="186"/>
              <w:spacing w:after="0"/>
              <w:rPr>
                <w:sz w:val="20"/>
                <w:szCs w:val="20"/>
                <w:color w:val="auto"/>
              </w:rPr>
            </w:pPr>
            <w:r>
              <w:rPr>
                <w:rFonts w:ascii="Arial" w:cs="Arial" w:eastAsia="Arial" w:hAnsi="Arial"/>
                <w:sz w:val="14"/>
                <w:szCs w:val="14"/>
                <w:b w:val="1"/>
                <w:bCs w:val="1"/>
                <w:color w:val="auto"/>
                <w:w w:val="96"/>
              </w:rPr>
              <w:t>(Dollars in millions)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80" w:type="dxa"/>
            <w:vAlign w:val="bottom"/>
          </w:tcPr>
          <w:p>
            <w:pPr>
              <w:spacing w:after="0"/>
              <w:rPr>
                <w:sz w:val="20"/>
                <w:szCs w:val="20"/>
                <w:color w:val="auto"/>
              </w:rPr>
            </w:pPr>
            <w:r>
              <w:rPr>
                <w:rFonts w:ascii="Arial" w:cs="Arial" w:eastAsia="Arial" w:hAnsi="Arial"/>
                <w:sz w:val="15"/>
                <w:szCs w:val="15"/>
                <w:color w:val="auto"/>
              </w:rPr>
              <w:t>Fair value</w:t>
            </w:r>
          </w:p>
        </w:tc>
        <w:tc>
          <w:tcPr>
            <w:tcW w:w="30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5,202</w:t>
            </w:r>
          </w:p>
        </w:tc>
        <w:tc>
          <w:tcPr>
            <w:tcW w:w="360" w:type="dxa"/>
            <w:vAlign w:val="bottom"/>
          </w:tcPr>
          <w:p>
            <w:pPr>
              <w:ind w:left="240"/>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266"/>
              <w:spacing w:after="0"/>
              <w:rPr>
                <w:sz w:val="20"/>
                <w:szCs w:val="20"/>
                <w:color w:val="auto"/>
              </w:rPr>
            </w:pPr>
            <w:r>
              <w:rPr>
                <w:rFonts w:ascii="Arial" w:cs="Arial" w:eastAsia="Arial" w:hAnsi="Arial"/>
                <w:sz w:val="15"/>
                <w:szCs w:val="15"/>
                <w:b w:val="1"/>
                <w:bCs w:val="1"/>
                <w:color w:val="auto"/>
              </w:rPr>
              <w:t>299</w:t>
            </w:r>
          </w:p>
        </w:tc>
        <w:tc>
          <w:tcPr>
            <w:tcW w:w="48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15,323</w:t>
            </w:r>
          </w:p>
        </w:tc>
        <w:tc>
          <w:tcPr>
            <w:tcW w:w="5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3,744</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385</w:t>
            </w:r>
          </w:p>
        </w:tc>
        <w:tc>
          <w:tcPr>
            <w:tcW w:w="500" w:type="dxa"/>
            <w:vAlign w:val="bottom"/>
          </w:tcPr>
          <w:p>
            <w:pPr>
              <w:ind w:left="8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13,292</w:t>
            </w:r>
          </w:p>
        </w:tc>
        <w:tc>
          <w:tcPr>
            <w:tcW w:w="0" w:type="dxa"/>
            <w:vAlign w:val="bottom"/>
          </w:tcPr>
          <w:p>
            <w:pPr>
              <w:spacing w:after="0"/>
              <w:rPr>
                <w:sz w:val="1"/>
                <w:szCs w:val="1"/>
                <w:color w:val="auto"/>
              </w:rPr>
            </w:pPr>
          </w:p>
        </w:tc>
      </w:tr>
      <w:tr>
        <w:trPr>
          <w:trHeight w:val="214"/>
        </w:trPr>
        <w:tc>
          <w:tcPr>
            <w:tcW w:w="2480" w:type="dxa"/>
            <w:vAlign w:val="bottom"/>
          </w:tcPr>
          <w:p>
            <w:pPr>
              <w:spacing w:after="0"/>
              <w:rPr>
                <w:sz w:val="20"/>
                <w:szCs w:val="20"/>
                <w:color w:val="auto"/>
              </w:rPr>
            </w:pPr>
            <w:r>
              <w:rPr>
                <w:rFonts w:ascii="Arial" w:cs="Arial" w:eastAsia="Arial" w:hAnsi="Arial"/>
                <w:sz w:val="15"/>
                <w:szCs w:val="15"/>
                <w:color w:val="auto"/>
              </w:rPr>
              <w:t>Unpaid principal balance</w:t>
            </w:r>
          </w:p>
        </w:tc>
        <w:tc>
          <w:tcPr>
            <w:tcW w:w="300" w:type="dxa"/>
            <w:vAlign w:val="bottom"/>
          </w:tcPr>
          <w:p>
            <w:pPr>
              <w:spacing w:after="0"/>
              <w:rPr>
                <w:sz w:val="18"/>
                <w:szCs w:val="18"/>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5,528</w:t>
            </w:r>
          </w:p>
        </w:tc>
        <w:tc>
          <w:tcPr>
            <w:tcW w:w="360" w:type="dxa"/>
            <w:vAlign w:val="bottom"/>
          </w:tcPr>
          <w:p>
            <w:pPr>
              <w:spacing w:after="0"/>
              <w:rPr>
                <w:sz w:val="18"/>
                <w:szCs w:val="18"/>
                <w:color w:val="auto"/>
              </w:rPr>
            </w:pPr>
          </w:p>
        </w:tc>
        <w:tc>
          <w:tcPr>
            <w:tcW w:w="1200" w:type="dxa"/>
            <w:vAlign w:val="bottom"/>
          </w:tcPr>
          <w:p>
            <w:pPr>
              <w:jc w:val="right"/>
              <w:ind w:right="266"/>
              <w:spacing w:after="0"/>
              <w:rPr>
                <w:sz w:val="20"/>
                <w:szCs w:val="20"/>
                <w:color w:val="auto"/>
              </w:rPr>
            </w:pPr>
            <w:r>
              <w:rPr>
                <w:rFonts w:ascii="Arial" w:cs="Arial" w:eastAsia="Arial" w:hAnsi="Arial"/>
                <w:sz w:val="15"/>
                <w:szCs w:val="15"/>
                <w:b w:val="1"/>
                <w:bCs w:val="1"/>
                <w:color w:val="auto"/>
              </w:rPr>
              <w:t>290</w:t>
            </w:r>
          </w:p>
        </w:tc>
        <w:tc>
          <w:tcPr>
            <w:tcW w:w="48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5"/>
                <w:szCs w:val="15"/>
                <w:b w:val="1"/>
                <w:bCs w:val="1"/>
                <w:color w:val="auto"/>
              </w:rPr>
              <w:t>15,827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4,079</w:t>
            </w:r>
          </w:p>
        </w:tc>
        <w:tc>
          <w:tcPr>
            <w:tcW w:w="360" w:type="dxa"/>
            <w:vAlign w:val="bottom"/>
          </w:tcPr>
          <w:p>
            <w:pPr>
              <w:spacing w:after="0"/>
              <w:rPr>
                <w:sz w:val="18"/>
                <w:szCs w:val="18"/>
                <w:color w:val="auto"/>
              </w:rPr>
            </w:pPr>
          </w:p>
        </w:tc>
        <w:tc>
          <w:tcPr>
            <w:tcW w:w="1220" w:type="dxa"/>
            <w:vAlign w:val="bottom"/>
          </w:tcPr>
          <w:p>
            <w:pPr>
              <w:jc w:val="right"/>
              <w:ind w:right="246"/>
              <w:spacing w:after="0"/>
              <w:rPr>
                <w:sz w:val="20"/>
                <w:szCs w:val="20"/>
                <w:color w:val="auto"/>
              </w:rPr>
            </w:pPr>
            <w:r>
              <w:rPr>
                <w:rFonts w:ascii="Arial" w:cs="Arial" w:eastAsia="Arial" w:hAnsi="Arial"/>
                <w:sz w:val="15"/>
                <w:szCs w:val="15"/>
                <w:color w:val="auto"/>
              </w:rPr>
              <w:t>383</w:t>
            </w:r>
          </w:p>
        </w:tc>
        <w:tc>
          <w:tcPr>
            <w:tcW w:w="500" w:type="dxa"/>
            <w:vAlign w:val="bottom"/>
          </w:tcPr>
          <w:p>
            <w:pPr>
              <w:spacing w:after="0"/>
              <w:rPr>
                <w:sz w:val="18"/>
                <w:szCs w:val="18"/>
                <w:color w:val="auto"/>
              </w:rPr>
            </w:pP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13,766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429895</wp:posOffset>
            </wp:positionV>
            <wp:extent cx="680593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09" w:name="page110"/>
    <w:bookmarkEnd w:id="109"/>
    <w:p>
      <w:pPr>
        <w:ind w:left="6980"/>
        <w:spacing w:after="0"/>
        <w:rPr>
          <w:sz w:val="20"/>
          <w:szCs w:val="20"/>
          <w:color w:val="auto"/>
        </w:rPr>
      </w:pPr>
      <w:r>
        <w:rPr>
          <w:rFonts w:ascii="Arial" w:cs="Arial" w:eastAsia="Arial" w:hAnsi="Arial"/>
          <w:sz w:val="14"/>
          <w:szCs w:val="14"/>
          <w:color w:val="001543"/>
        </w:rPr>
        <w:t>Notes to Condensed Consolidated Financial Statements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154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right="180" w:hanging="237"/>
        <w:spacing w:after="0" w:line="226" w:lineRule="auto"/>
        <w:tabs>
          <w:tab w:leader="none" w:pos="233"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Includes nonaccrual loans with a fair value of $26 million and $31 million as of September 30, 2025 and December 31, 2024, respectively. Includes loans that are 90 days or more past due with a fair value of $22 million and $25 million as of September 30, 2025 and December 31, 2024, respectively.</w:t>
      </w:r>
    </w:p>
    <w:p>
      <w:pPr>
        <w:spacing w:after="0" w:line="98" w:lineRule="exact"/>
        <w:rPr>
          <w:sz w:val="20"/>
          <w:szCs w:val="20"/>
          <w:color w:val="auto"/>
        </w:rPr>
      </w:pPr>
    </w:p>
    <w:p>
      <w:pPr>
        <w:spacing w:after="0"/>
        <w:rPr>
          <w:sz w:val="20"/>
          <w:szCs w:val="20"/>
          <w:color w:val="auto"/>
        </w:rPr>
      </w:pPr>
      <w:r>
        <w:rPr>
          <w:rFonts w:ascii="Georgia" w:cs="Georgia" w:eastAsia="Georgia" w:hAnsi="Georgia"/>
          <w:sz w:val="21"/>
          <w:szCs w:val="21"/>
          <w:i w:val="1"/>
          <w:iCs w:val="1"/>
          <w:color w:val="05314D"/>
        </w:rPr>
        <w:t>Changes in Fair Value under the Fair Value Option Election</w:t>
      </w:r>
    </w:p>
    <w:p>
      <w:pPr>
        <w:spacing w:after="0" w:line="63" w:lineRule="exact"/>
        <w:rPr>
          <w:sz w:val="20"/>
          <w:szCs w:val="20"/>
          <w:color w:val="auto"/>
        </w:rPr>
      </w:pPr>
    </w:p>
    <w:p>
      <w:pPr>
        <w:jc w:val="both"/>
        <w:ind w:right="260"/>
        <w:spacing w:after="0" w:line="272" w:lineRule="auto"/>
        <w:rPr>
          <w:sz w:val="20"/>
          <w:szCs w:val="20"/>
          <w:color w:val="auto"/>
        </w:rPr>
      </w:pPr>
      <w:r>
        <w:rPr>
          <w:rFonts w:ascii="Arial" w:cs="Arial" w:eastAsia="Arial" w:hAnsi="Arial"/>
          <w:sz w:val="16"/>
          <w:szCs w:val="16"/>
          <w:color w:val="auto"/>
        </w:rPr>
        <w:t>We recorded gains of $87 million and $248 million for the three and nine months ended September 30, 2025, respectively, and gains of $134 million and $87 million for the three and nine months ended September 30, 2024, respectively, from changes in the fair value of loans recorded at fair value in “Fair value gains (losses), net” in our condensed consolidated statements of operations and comprehensive income.</w:t>
      </w:r>
    </w:p>
    <w:p>
      <w:pPr>
        <w:spacing w:after="0" w:line="3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We recorded losses of $203 million and $582 million for the three and nine months ended September 30, 2025, respectively, and losses of $471 million and $343 million for the three and nine months ended September 30, 2024, respectively, from changes in the fair value of long-term debt recorded at fair value in “Fair value gains (losses), net” in our condensed consolidated statements of operations and comprehensive income.</w:t>
      </w:r>
    </w:p>
    <w:p>
      <w:pPr>
        <w:spacing w:after="0" w:line="121"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14. Commitments and Contingencies</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We are party to various types of legal actions and proceedings, including actions brought on behalf of various classes of claimants. We also are subject to regulatory examinations, inquiries and investigations, and other information gathering requests. In some of the matters, indeterminate amounts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This variability in pleadings, together with our and our counsel’s actual experience in litigating or settling claims, leads us to conclude that the monetary relief that may be sought by plaintiffs bears little relevance to the merits or disposition value of claims.</w:t>
      </w:r>
    </w:p>
    <w:p>
      <w:pPr>
        <w:spacing w:after="0" w:line="4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Legal actions and proceedings of all types are subject to many uncertain factors that generally cannot be predicted with assurance. Accordingly, the outcome of any given matter and the amount or range of potential loss at particular points in time is frequently difficult to ascertain. Uncertainties can include how fact finders will evaluate documentary evidence and the credibility and effectiveness of witness testimony, and how the court will apply the law. Disposition valuations are also subject to the uncertainty of how opposing parties and their counsel may view the evidence and applicable law.</w:t>
      </w:r>
    </w:p>
    <w:p>
      <w:pPr>
        <w:spacing w:after="0" w:line="4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On a quarterly basis, we review relevant information about pending legal actions and proceedings for the purpose of evaluating and revising our contingencies, accruals and disclosures. We establish an accrual only for matters when the likelihood of a loss is probable and we can reasonably estimate the amount of such loss. We are often unable to estimate the possible losses or ranges of losses, particularly for proceedings that are in their early stages of development, where plaintiffs seek indeterminate or unspecified damages, where there may be novel or unsettled legal questions relevant to the proceedings, or where settlement negotiations have not occurred or progressed. Given the uncertainties involved in any action or proceeding, regardless of whether we have established an accrual, the ultimate resolution of certain of these matters may be material to our operating results for a particular period, depending on, among other factors, the size of the loss or liability imposed and the level of our net income or loss for that period.</w:t>
      </w:r>
    </w:p>
    <w:p>
      <w:pPr>
        <w:spacing w:after="0" w:line="4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addition to the matters specifically described below, we are involved in a number of legal and regulatory proceedings that arise in the ordinary course of business that we do not expect will have a material impact on our business or financial condition.</w:t>
      </w:r>
    </w:p>
    <w:p>
      <w:pPr>
        <w:spacing w:after="0" w:line="61" w:lineRule="exact"/>
        <w:rPr>
          <w:sz w:val="20"/>
          <w:szCs w:val="20"/>
          <w:color w:val="auto"/>
        </w:rPr>
      </w:pPr>
    </w:p>
    <w:p>
      <w:pPr>
        <w:spacing w:after="0"/>
        <w:rPr>
          <w:sz w:val="20"/>
          <w:szCs w:val="20"/>
          <w:color w:val="auto"/>
        </w:rPr>
      </w:pPr>
      <w:r>
        <w:rPr>
          <w:rFonts w:ascii="Georgia" w:cs="Georgia" w:eastAsia="Georgia" w:hAnsi="Georgia"/>
          <w:sz w:val="24"/>
          <w:szCs w:val="24"/>
          <w:b w:val="1"/>
          <w:bCs w:val="1"/>
          <w:i w:val="1"/>
          <w:iCs w:val="1"/>
          <w:color w:val="05314D"/>
        </w:rPr>
        <w:t>Senior Preferred Stock Purchase Agreements Litigation</w:t>
      </w:r>
    </w:p>
    <w:p>
      <w:pPr>
        <w:spacing w:after="0" w:line="81"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A consolidated class action (</w:t>
      </w:r>
      <w:r>
        <w:rPr>
          <w:rFonts w:ascii="Arial" w:cs="Arial" w:eastAsia="Arial" w:hAnsi="Arial"/>
          <w:sz w:val="16"/>
          <w:szCs w:val="16"/>
          <w:i w:val="1"/>
          <w:iCs w:val="1"/>
          <w:color w:val="auto"/>
        </w:rPr>
        <w:t>“In re Fannie Mae/Freddie Mac Senior Preferred Stock Purchase Agreement Class Action Litigations”</w:t>
      </w:r>
      <w:r>
        <w:rPr>
          <w:rFonts w:ascii="Arial" w:cs="Arial" w:eastAsia="Arial" w:hAnsi="Arial"/>
          <w:sz w:val="16"/>
          <w:szCs w:val="16"/>
          <w:color w:val="auto"/>
        </w:rPr>
        <w:t xml:space="preserve">) and a non-class action lawsuit, </w:t>
      </w:r>
      <w:r>
        <w:rPr>
          <w:rFonts w:ascii="Arial" w:cs="Arial" w:eastAsia="Arial" w:hAnsi="Arial"/>
          <w:sz w:val="16"/>
          <w:szCs w:val="16"/>
          <w:i w:val="1"/>
          <w:iCs w:val="1"/>
          <w:color w:val="auto"/>
        </w:rPr>
        <w:t>Fairholme Funds v. FHFA</w:t>
      </w:r>
      <w:r>
        <w:rPr>
          <w:rFonts w:ascii="Arial" w:cs="Arial" w:eastAsia="Arial" w:hAnsi="Arial"/>
          <w:sz w:val="16"/>
          <w:szCs w:val="16"/>
          <w:color w:val="auto"/>
        </w:rPr>
        <w:t>, filed by Fannie Mae and Freddie Mac stockholders against us, FHFA as our conservator, and Freddie Mac were filed in the U.S. District Court for the District of Columbia. The lawsuits challenge the August 2012 amendment to each company’s senior preferred stock purchase agreement with Treasury.</w:t>
      </w:r>
    </w:p>
    <w:p>
      <w:pPr>
        <w:spacing w:after="0" w:line="3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Plaintiffs in these lawsuits allege that the net worth sweep dividend provisions of the senior preferred stock that were implemented pursuant to the August 2012 amendments nullified certain of the stockholders’ rights and caused them harm. Plaintiffs in the class action represent a class of Fannie Mae preferred stockholders and classes of Freddie Mac common and preferred stockholders. The cases were tried before a jury at a trial that commenced on July 24, 2023. On August 14, 2023, the jury returned a verdict for the plaintiffs and awarded damages of $299.4 million to Fannie Mae preferred stockholders. On October 24, 2023, the court held that these stockholders were entitled to receive prejudgment interest on the damage award. On March 20, 2024, the court entered final judgment and set the amount of prejudgment interest owed by Fannie Mae at $199.7 million. On April 17, 2024, the defendants filed a motion for judgment as a matter of law, which the court denied on March 14, 2025. The defendants filed a notice of appeal on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358775</wp:posOffset>
            </wp:positionV>
            <wp:extent cx="680593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7164070" cy="419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48" w:right="359" w:bottom="1440" w:gutter="0" w:footer="0" w:header="0"/>
        </w:sectPr>
      </w:pPr>
    </w:p>
    <w:bookmarkStart w:id="110" w:name="page111"/>
    <w:bookmarkEnd w:id="110"/>
    <w:p>
      <w:pPr>
        <w:ind w:left="5620"/>
        <w:spacing w:after="0"/>
        <w:rPr>
          <w:sz w:val="20"/>
          <w:szCs w:val="20"/>
          <w:color w:val="auto"/>
        </w:rPr>
      </w:pPr>
      <w:r>
        <w:rPr>
          <w:rFonts w:ascii="Arial" w:cs="Arial" w:eastAsia="Arial" w:hAnsi="Arial"/>
          <w:sz w:val="13"/>
          <w:szCs w:val="13"/>
          <w:color w:val="05314D"/>
        </w:rPr>
        <w:t>Notes to Condensed Consolidated Financial Statements |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24130</wp:posOffset>
            </wp:positionV>
            <wp:extent cx="706501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11, 2025. On April 25, 2025, plaintiffs filed a notice of cross-appeal challenging several of the court’s pretrial rulings, which they contend prevented them from seeking the full measure of their alleged damages. Until the appeal is resolved and any final judgment amount has been paid, post-judgment interest on the damages and prejudgment interest awards will accrue at a rate of 5.01%, starting on March 20, 2024, to be computed daily and compounded annually. We recognized $495 million in 2023 related to the jury verdict and estimated prejudgment interest through December 31, 2023 in “Other expenses, net.” We recognized an additional $24 million of expense through December 31, 2024, and $7 million and $20 million of expense for the three and nine months ended September 30, 2025, respectively, related to the prejudgment and post-judgment interest. Briefing on the appeal is currently scheduled to conclude in February 2026.</w:t>
      </w:r>
    </w:p>
    <w:p>
      <w:pPr>
        <w:spacing w:after="0" w:line="140" w:lineRule="exact"/>
        <w:rPr>
          <w:sz w:val="20"/>
          <w:szCs w:val="20"/>
          <w:color w:val="auto"/>
        </w:rPr>
      </w:pPr>
    </w:p>
    <w:p>
      <w:pPr>
        <w:spacing w:after="0"/>
        <w:rPr>
          <w:sz w:val="20"/>
          <w:szCs w:val="20"/>
          <w:color w:val="auto"/>
        </w:rPr>
      </w:pPr>
      <w:r>
        <w:rPr>
          <w:rFonts w:ascii="Georgia" w:cs="Georgia" w:eastAsia="Georgia" w:hAnsi="Georgia"/>
          <w:sz w:val="31"/>
          <w:szCs w:val="31"/>
          <w:b w:val="1"/>
          <w:bCs w:val="1"/>
          <w:color w:val="05314D"/>
        </w:rPr>
        <w:t>15. Regulatory Capital Requirements</w:t>
      </w:r>
    </w:p>
    <w:p>
      <w:pPr>
        <w:spacing w:after="0" w:line="105" w:lineRule="exact"/>
        <w:rPr>
          <w:sz w:val="20"/>
          <w:szCs w:val="20"/>
          <w:color w:val="auto"/>
        </w:rPr>
      </w:pPr>
    </w:p>
    <w:p>
      <w:pPr>
        <w:jc w:val="both"/>
        <w:ind w:right="300"/>
        <w:spacing w:after="0" w:line="272" w:lineRule="auto"/>
        <w:rPr>
          <w:sz w:val="20"/>
          <w:szCs w:val="20"/>
          <w:color w:val="auto"/>
        </w:rPr>
      </w:pPr>
      <w:r>
        <w:rPr>
          <w:rFonts w:ascii="Arial" w:cs="Arial" w:eastAsia="Arial" w:hAnsi="Arial"/>
          <w:sz w:val="16"/>
          <w:szCs w:val="16"/>
          <w:color w:val="auto"/>
        </w:rPr>
        <w:t>The enterprise regulatory capital framework went into effect in February 2021; however, we are not required to hold capital according to the framework’s requirements until the date of termination of our conservatorship, or such later date as may be ordered by FHFA. The following table displays our capital requirements under the standardized approach of the enterprise regulatory capital framework.</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September 30, 2025</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ind w:left="800"/>
              <w:spacing w:after="0"/>
              <w:rPr>
                <w:sz w:val="20"/>
                <w:szCs w:val="20"/>
                <w:color w:val="auto"/>
              </w:rPr>
            </w:pPr>
            <w:r>
              <w:rPr>
                <w:rFonts w:ascii="Arial" w:cs="Arial" w:eastAsia="Arial" w:hAnsi="Arial"/>
                <w:sz w:val="14"/>
                <w:szCs w:val="14"/>
                <w:b w:val="1"/>
                <w:bCs w:val="1"/>
                <w:color w:val="auto"/>
              </w:rPr>
              <w:t>(Dollars in billions)</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1"/>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Adjusted total assets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4,443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2"/>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Risk-weighted assets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26"/>
        </w:trPr>
        <w:tc>
          <w:tcPr>
            <w:tcW w:w="2640" w:type="dxa"/>
            <w:vAlign w:val="bottom"/>
            <w:tcBorders>
              <w:top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2C6937"/>
              <w:bottom w:val="single" w:sz="8" w:color="2C6937"/>
            </w:tcBorders>
          </w:tcPr>
          <w:p>
            <w:pPr>
              <w:spacing w:after="0"/>
              <w:rPr>
                <w:sz w:val="19"/>
                <w:szCs w:val="19"/>
                <w:color w:val="auto"/>
              </w:rPr>
            </w:pPr>
          </w:p>
        </w:tc>
        <w:tc>
          <w:tcPr>
            <w:tcW w:w="1020" w:type="dxa"/>
            <w:vAlign w:val="bottom"/>
            <w:tcBorders>
              <w:top w:val="single" w:sz="8" w:color="2C6937"/>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Amounts</w:t>
            </w:r>
          </w:p>
        </w:tc>
        <w:tc>
          <w:tcPr>
            <w:tcW w:w="14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Ratios</w:t>
            </w:r>
          </w:p>
        </w:tc>
        <w:tc>
          <w:tcPr>
            <w:tcW w:w="1620" w:type="dxa"/>
            <w:vAlign w:val="bottom"/>
            <w:tcBorders>
              <w:bottom w:val="single" w:sz="8" w:color="2C6937"/>
            </w:tcBorders>
          </w:tcPr>
          <w:p>
            <w:pPr>
              <w:spacing w:after="0"/>
              <w:rPr>
                <w:sz w:val="19"/>
                <w:szCs w:val="19"/>
                <w:color w:val="auto"/>
              </w:rPr>
            </w:pPr>
          </w:p>
        </w:tc>
      </w:tr>
      <w:tr>
        <w:trPr>
          <w:trHeight w:val="165"/>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 Capital</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jc w:val="right"/>
              <w:ind w:right="326"/>
              <w:spacing w:after="0"/>
              <w:rPr>
                <w:sz w:val="20"/>
                <w:szCs w:val="20"/>
                <w:color w:val="auto"/>
              </w:rPr>
            </w:pPr>
            <w:r>
              <w:rPr>
                <w:rFonts w:ascii="Arial" w:cs="Arial" w:eastAsia="Arial" w:hAnsi="Arial"/>
                <w:sz w:val="14"/>
                <w:szCs w:val="14"/>
                <w:b w:val="1"/>
                <w:bCs w:val="1"/>
                <w:color w:val="auto"/>
              </w:rPr>
              <w:t>Total Capital</w:t>
            </w:r>
          </w:p>
        </w:tc>
      </w:tr>
      <w:tr>
        <w:trPr>
          <w:trHeight w:val="155"/>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7"/>
              </w:rPr>
              <w:t>Available</w:t>
            </w:r>
          </w:p>
        </w:tc>
        <w:tc>
          <w:tcPr>
            <w:tcW w:w="134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(including</w:t>
            </w:r>
          </w:p>
        </w:tc>
        <w:tc>
          <w:tcPr>
            <w:tcW w:w="14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Available Capital</w:t>
            </w:r>
          </w:p>
        </w:tc>
        <w:tc>
          <w:tcPr>
            <w:tcW w:w="146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Minimum Capital</w:t>
            </w:r>
          </w:p>
        </w:tc>
        <w:tc>
          <w:tcPr>
            <w:tcW w:w="1620" w:type="dxa"/>
            <w:vAlign w:val="bottom"/>
          </w:tcPr>
          <w:p>
            <w:pPr>
              <w:jc w:val="right"/>
              <w:ind w:right="126"/>
              <w:spacing w:after="0" w:line="155" w:lineRule="exact"/>
              <w:rPr>
                <w:sz w:val="20"/>
                <w:szCs w:val="20"/>
                <w:color w:val="auto"/>
              </w:rPr>
            </w:pPr>
            <w:r>
              <w:rPr>
                <w:rFonts w:ascii="Arial" w:cs="Arial" w:eastAsia="Arial" w:hAnsi="Arial"/>
                <w:sz w:val="14"/>
                <w:szCs w:val="14"/>
                <w:b w:val="1"/>
                <w:bCs w:val="1"/>
                <w:color w:val="auto"/>
              </w:rPr>
              <w:t>Requirement Ratio</w:t>
            </w: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Capital (Deficit)</w:t>
            </w:r>
            <w:r>
              <w:rPr>
                <w:rFonts w:ascii="Arial" w:cs="Arial" w:eastAsia="Arial" w:hAnsi="Arial"/>
                <w:sz w:val="8"/>
                <w:szCs w:val="8"/>
                <w:b w:val="1"/>
                <w:bCs w:val="1"/>
                <w:color w:val="auto"/>
                <w:w w:val="97"/>
              </w:rPr>
              <w:t>(2)</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Buffers)</w:t>
            </w:r>
            <w:r>
              <w:rPr>
                <w:rFonts w:ascii="Arial" w:cs="Arial" w:eastAsia="Arial" w:hAnsi="Arial"/>
                <w:sz w:val="17"/>
                <w:szCs w:val="17"/>
                <w:b w:val="1"/>
                <w:bCs w:val="1"/>
                <w:color w:val="auto"/>
                <w:w w:val="94"/>
                <w:vertAlign w:val="superscript"/>
              </w:rPr>
              <w:t>(3)</w:t>
            </w: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 Ratio</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620" w:type="dxa"/>
            <w:vAlign w:val="bottom"/>
          </w:tcPr>
          <w:p>
            <w:pPr>
              <w:jc w:val="right"/>
              <w:ind w:right="126"/>
              <w:spacing w:after="0"/>
              <w:rPr>
                <w:sz w:val="20"/>
                <w:szCs w:val="20"/>
                <w:color w:val="auto"/>
              </w:rPr>
            </w:pPr>
            <w:r>
              <w:rPr>
                <w:rFonts w:ascii="Arial" w:cs="Arial" w:eastAsia="Arial" w:hAnsi="Arial"/>
                <w:sz w:val="14"/>
                <w:szCs w:val="14"/>
                <w:b w:val="1"/>
                <w:bCs w:val="1"/>
                <w:color w:val="auto"/>
              </w:rPr>
              <w:t>(including Buffers)</w:t>
            </w:r>
          </w:p>
        </w:tc>
      </w:tr>
      <w:tr>
        <w:trPr>
          <w:trHeight w:val="206"/>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Risk-based capital:</w:t>
            </w:r>
          </w:p>
        </w:tc>
        <w:tc>
          <w:tcPr>
            <w:tcW w:w="20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Borders>
              <w:top w:val="single" w:sz="8" w:color="2C6937"/>
            </w:tcBorders>
          </w:tcPr>
          <w:p>
            <w:pPr>
              <w:spacing w:after="0"/>
              <w:rPr>
                <w:sz w:val="17"/>
                <w:szCs w:val="17"/>
                <w:color w:val="auto"/>
              </w:rPr>
            </w:pPr>
          </w:p>
        </w:tc>
      </w:tr>
      <w:tr>
        <w:trPr>
          <w:trHeight w:val="23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Total capital (statutory)</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8.0 %</w:t>
            </w: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Common equity 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10.3</w:t>
            </w: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162</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11.8</w:t>
            </w: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Adjusted total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190</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13.8</w:t>
            </w:r>
          </w:p>
        </w:tc>
      </w:tr>
      <w:tr>
        <w:trPr>
          <w:trHeight w:val="227"/>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Leverage capital:</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Core capital (statutory)</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2.5</w:t>
            </w: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(0.6)</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426720</wp:posOffset>
            </wp:positionV>
            <wp:extent cx="680593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1" w:name="page112"/>
    <w:bookmarkEnd w:id="111"/>
    <w:p>
      <w:pPr>
        <w:ind w:left="5660"/>
        <w:spacing w:after="0"/>
        <w:rPr>
          <w:sz w:val="20"/>
          <w:szCs w:val="20"/>
          <w:color w:val="auto"/>
        </w:rPr>
      </w:pPr>
      <w:r>
        <w:rPr>
          <w:rFonts w:ascii="Arial" w:cs="Arial" w:eastAsia="Arial" w:hAnsi="Arial"/>
          <w:sz w:val="13"/>
          <w:szCs w:val="13"/>
          <w:color w:val="05314D"/>
        </w:rPr>
        <w:t>Notes to Condensed Consolidated Financial Statements | Regulatory Capital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12216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5314D"/>
        </w:rPr>
        <w:t>Capital Metrics under the Enterprise Regulatory Capital Framework as of December 31, 2024</w:t>
      </w:r>
      <w:r>
        <w:rPr>
          <w:rFonts w:ascii="Arial" w:cs="Arial" w:eastAsia="Arial" w:hAnsi="Arial"/>
          <w:sz w:val="24"/>
          <w:szCs w:val="24"/>
          <w:b w:val="1"/>
          <w:bCs w:val="1"/>
          <w:color w:val="05314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65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ind w:left="800"/>
              <w:spacing w:after="0"/>
              <w:rPr>
                <w:sz w:val="20"/>
                <w:szCs w:val="20"/>
                <w:color w:val="auto"/>
              </w:rPr>
            </w:pPr>
            <w:r>
              <w:rPr>
                <w:rFonts w:ascii="Arial" w:cs="Arial" w:eastAsia="Arial" w:hAnsi="Arial"/>
                <w:sz w:val="14"/>
                <w:szCs w:val="14"/>
                <w:b w:val="1"/>
                <w:bCs w:val="1"/>
                <w:color w:val="auto"/>
              </w:rPr>
              <w:t>(Dollars in billions)</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Adjusted total assets</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4,460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740" w:type="dxa"/>
            <w:vAlign w:val="bottom"/>
            <w:gridSpan w:val="2"/>
          </w:tcPr>
          <w:p>
            <w:pPr>
              <w:ind w:left="20"/>
              <w:spacing w:after="0"/>
              <w:rPr>
                <w:sz w:val="20"/>
                <w:szCs w:val="20"/>
                <w:color w:val="auto"/>
              </w:rPr>
            </w:pPr>
            <w:r>
              <w:rPr>
                <w:rFonts w:ascii="Arial" w:cs="Arial" w:eastAsia="Arial" w:hAnsi="Arial"/>
                <w:sz w:val="15"/>
                <w:szCs w:val="15"/>
                <w:color w:val="auto"/>
              </w:rPr>
              <w:t>Risk-weighted assets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40" w:type="dxa"/>
            <w:vAlign w:val="bottom"/>
            <w:tcBorders>
              <w:top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2C6937"/>
              <w:bottom w:val="single" w:sz="8" w:color="2C6937"/>
            </w:tcBorders>
          </w:tcPr>
          <w:p>
            <w:pPr>
              <w:spacing w:after="0"/>
              <w:rPr>
                <w:sz w:val="19"/>
                <w:szCs w:val="19"/>
                <w:color w:val="auto"/>
              </w:rPr>
            </w:pPr>
          </w:p>
        </w:tc>
        <w:tc>
          <w:tcPr>
            <w:tcW w:w="1020" w:type="dxa"/>
            <w:vAlign w:val="bottom"/>
            <w:tcBorders>
              <w:top w:val="single" w:sz="8" w:color="2C6937"/>
              <w:bottom w:val="single" w:sz="8" w:color="2C6937"/>
            </w:tcBorders>
          </w:tcPr>
          <w:p>
            <w:pPr>
              <w:spacing w:after="0"/>
              <w:rPr>
                <w:sz w:val="19"/>
                <w:szCs w:val="19"/>
                <w:color w:val="auto"/>
              </w:rPr>
            </w:pPr>
          </w:p>
        </w:tc>
        <w:tc>
          <w:tcPr>
            <w:tcW w:w="100" w:type="dxa"/>
            <w:vAlign w:val="bottom"/>
            <w:tcBorders>
              <w:bottom w:val="single" w:sz="8" w:color="2C6937"/>
            </w:tcBorders>
          </w:tcPr>
          <w:p>
            <w:pPr>
              <w:spacing w:after="0"/>
              <w:rPr>
                <w:sz w:val="19"/>
                <w:szCs w:val="19"/>
                <w:color w:val="auto"/>
              </w:rPr>
            </w:pPr>
          </w:p>
        </w:tc>
        <w:tc>
          <w:tcPr>
            <w:tcW w:w="140" w:type="dxa"/>
            <w:vAlign w:val="bottom"/>
            <w:tcBorders>
              <w:bottom w:val="single" w:sz="8" w:color="2C6937"/>
            </w:tcBorders>
          </w:tcPr>
          <w:p>
            <w:pPr>
              <w:spacing w:after="0"/>
              <w:rPr>
                <w:sz w:val="19"/>
                <w:szCs w:val="19"/>
                <w:color w:val="auto"/>
              </w:rPr>
            </w:pPr>
          </w:p>
        </w:tc>
        <w:tc>
          <w:tcPr>
            <w:tcW w:w="1200" w:type="dxa"/>
            <w:vAlign w:val="bottom"/>
            <w:tcBorders>
              <w:bottom w:val="single" w:sz="8" w:color="2C6937"/>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Amounts</w:t>
            </w:r>
          </w:p>
        </w:tc>
        <w:tc>
          <w:tcPr>
            <w:tcW w:w="140" w:type="dxa"/>
            <w:vAlign w:val="bottom"/>
            <w:tcBorders>
              <w:bottom w:val="single" w:sz="8" w:color="2C6937"/>
            </w:tcBorders>
          </w:tcPr>
          <w:p>
            <w:pPr>
              <w:spacing w:after="0"/>
              <w:rPr>
                <w:sz w:val="19"/>
                <w:szCs w:val="19"/>
                <w:color w:val="auto"/>
              </w:rPr>
            </w:pPr>
          </w:p>
        </w:tc>
        <w:tc>
          <w:tcPr>
            <w:tcW w:w="1100" w:type="dxa"/>
            <w:vAlign w:val="bottom"/>
            <w:tcBorders>
              <w:bottom w:val="single" w:sz="8" w:color="2C6937"/>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2C6937"/>
            </w:tcBorders>
          </w:tcPr>
          <w:p>
            <w:pPr>
              <w:spacing w:after="0"/>
              <w:rPr>
                <w:sz w:val="19"/>
                <w:szCs w:val="19"/>
                <w:color w:val="auto"/>
              </w:rPr>
            </w:pPr>
          </w:p>
        </w:tc>
        <w:tc>
          <w:tcPr>
            <w:tcW w:w="80" w:type="dxa"/>
            <w:vAlign w:val="bottom"/>
            <w:tcBorders>
              <w:bottom w:val="single" w:sz="8" w:color="2C6937"/>
            </w:tcBorders>
          </w:tcPr>
          <w:p>
            <w:pPr>
              <w:spacing w:after="0"/>
              <w:rPr>
                <w:sz w:val="19"/>
                <w:szCs w:val="19"/>
                <w:color w:val="auto"/>
              </w:rPr>
            </w:pPr>
          </w:p>
        </w:tc>
        <w:tc>
          <w:tcPr>
            <w:tcW w:w="1460" w:type="dxa"/>
            <w:vAlign w:val="bottom"/>
            <w:tcBorders>
              <w:bottom w:val="single" w:sz="8" w:color="2C6937"/>
            </w:tcBorders>
            <w:gridSpan w:val="2"/>
          </w:tcPr>
          <w:p>
            <w:pPr>
              <w:ind w:left="620"/>
              <w:spacing w:after="0"/>
              <w:rPr>
                <w:sz w:val="20"/>
                <w:szCs w:val="20"/>
                <w:color w:val="auto"/>
              </w:rPr>
            </w:pPr>
            <w:r>
              <w:rPr>
                <w:rFonts w:ascii="Arial" w:cs="Arial" w:eastAsia="Arial" w:hAnsi="Arial"/>
                <w:sz w:val="14"/>
                <w:szCs w:val="14"/>
                <w:b w:val="1"/>
                <w:bCs w:val="1"/>
                <w:color w:val="auto"/>
              </w:rPr>
              <w:t>Ratios</w:t>
            </w:r>
          </w:p>
        </w:tc>
        <w:tc>
          <w:tcPr>
            <w:tcW w:w="1620" w:type="dxa"/>
            <w:vAlign w:val="bottom"/>
            <w:tcBorders>
              <w:bottom w:val="single" w:sz="8" w:color="2C6937"/>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 Capital</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Available</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Minimum Capital</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Available Capital</w:t>
            </w: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Minimum Capital</w:t>
            </w:r>
          </w:p>
        </w:tc>
        <w:tc>
          <w:tcPr>
            <w:tcW w:w="1620" w:type="dxa"/>
            <w:vAlign w:val="bottom"/>
          </w:tcPr>
          <w:p>
            <w:pPr>
              <w:jc w:val="right"/>
              <w:ind w:right="326"/>
              <w:spacing w:after="0"/>
              <w:rPr>
                <w:sz w:val="20"/>
                <w:szCs w:val="20"/>
                <w:color w:val="auto"/>
              </w:rPr>
            </w:pPr>
            <w:r>
              <w:rPr>
                <w:rFonts w:ascii="Arial" w:cs="Arial" w:eastAsia="Arial" w:hAnsi="Arial"/>
                <w:sz w:val="14"/>
                <w:szCs w:val="14"/>
                <w:b w:val="1"/>
                <w:bCs w:val="1"/>
                <w:color w:val="auto"/>
              </w:rPr>
              <w:t>Total Capital</w:t>
            </w: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(including</w:t>
            </w:r>
          </w:p>
        </w:tc>
        <w:tc>
          <w:tcPr>
            <w:tcW w:w="142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20" w:type="dxa"/>
            <w:vAlign w:val="bottom"/>
          </w:tcPr>
          <w:p>
            <w:pPr>
              <w:jc w:val="right"/>
              <w:ind w:right="126"/>
              <w:spacing w:after="0" w:line="153" w:lineRule="exact"/>
              <w:rPr>
                <w:sz w:val="20"/>
                <w:szCs w:val="20"/>
                <w:color w:val="auto"/>
              </w:rPr>
            </w:pPr>
            <w:r>
              <w:rPr>
                <w:rFonts w:ascii="Arial" w:cs="Arial" w:eastAsia="Arial" w:hAnsi="Arial"/>
                <w:sz w:val="14"/>
                <w:szCs w:val="14"/>
                <w:b w:val="1"/>
                <w:bCs w:val="1"/>
                <w:color w:val="auto"/>
              </w:rPr>
              <w:t>Requirement Ratio</w:t>
            </w: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Capital (Deficit)</w:t>
            </w:r>
            <w:r>
              <w:rPr>
                <w:rFonts w:ascii="Arial" w:cs="Arial" w:eastAsia="Arial" w:hAnsi="Arial"/>
                <w:sz w:val="17"/>
                <w:szCs w:val="17"/>
                <w:b w:val="1"/>
                <w:bCs w:val="1"/>
                <w:color w:val="auto"/>
                <w:w w:val="94"/>
                <w:vertAlign w:val="superscript"/>
              </w:rPr>
              <w:t>(2)</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Requirement</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Buffers)</w:t>
            </w:r>
            <w:r>
              <w:rPr>
                <w:rFonts w:ascii="Arial" w:cs="Arial" w:eastAsia="Arial" w:hAnsi="Arial"/>
                <w:sz w:val="8"/>
                <w:szCs w:val="8"/>
                <w:b w:val="1"/>
                <w:bCs w:val="1"/>
                <w:color w:val="auto"/>
              </w:rPr>
              <w:t>(3)</w:t>
            </w: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 Ratio</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Ratio Requirement</w:t>
            </w:r>
          </w:p>
        </w:tc>
        <w:tc>
          <w:tcPr>
            <w:tcW w:w="1620" w:type="dxa"/>
            <w:vAlign w:val="bottom"/>
          </w:tcPr>
          <w:p>
            <w:pPr>
              <w:jc w:val="right"/>
              <w:ind w:right="126"/>
              <w:spacing w:after="0"/>
              <w:rPr>
                <w:sz w:val="20"/>
                <w:szCs w:val="20"/>
                <w:color w:val="auto"/>
              </w:rPr>
            </w:pPr>
            <w:r>
              <w:rPr>
                <w:rFonts w:ascii="Arial" w:cs="Arial" w:eastAsia="Arial" w:hAnsi="Arial"/>
                <w:sz w:val="14"/>
                <w:szCs w:val="14"/>
                <w:b w:val="1"/>
                <w:bCs w:val="1"/>
                <w:color w:val="auto"/>
              </w:rPr>
              <w:t>(including Buffers)</w:t>
            </w:r>
          </w:p>
        </w:tc>
        <w:tc>
          <w:tcPr>
            <w:tcW w:w="0" w:type="dxa"/>
            <w:vAlign w:val="bottom"/>
          </w:tcPr>
          <w:p>
            <w:pPr>
              <w:spacing w:after="0"/>
              <w:rPr>
                <w:sz w:val="1"/>
                <w:szCs w:val="1"/>
                <w:color w:val="auto"/>
              </w:rPr>
            </w:pPr>
          </w:p>
        </w:tc>
      </w:tr>
      <w:tr>
        <w:trPr>
          <w:trHeight w:val="206"/>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Risk-based capital:</w:t>
            </w:r>
          </w:p>
        </w:tc>
        <w:tc>
          <w:tcPr>
            <w:tcW w:w="200" w:type="dxa"/>
            <w:vAlign w:val="bottom"/>
            <w:tcBorders>
              <w:top w:val="single" w:sz="8" w:color="2C6937"/>
            </w:tcBorders>
          </w:tcPr>
          <w:p>
            <w:pPr>
              <w:spacing w:after="0"/>
              <w:rPr>
                <w:sz w:val="17"/>
                <w:szCs w:val="17"/>
                <w:color w:val="auto"/>
              </w:rPr>
            </w:pPr>
          </w:p>
        </w:tc>
        <w:tc>
          <w:tcPr>
            <w:tcW w:w="102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2C6937"/>
            </w:tcBorders>
          </w:tcPr>
          <w:p>
            <w:pPr>
              <w:spacing w:after="0"/>
              <w:rPr>
                <w:sz w:val="17"/>
                <w:szCs w:val="17"/>
                <w:color w:val="auto"/>
              </w:rPr>
            </w:pPr>
          </w:p>
        </w:tc>
        <w:tc>
          <w:tcPr>
            <w:tcW w:w="1100" w:type="dxa"/>
            <w:vAlign w:val="bottom"/>
            <w:tcBorders>
              <w:top w:val="single" w:sz="8" w:color="2C6937"/>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2C6937"/>
            </w:tcBorders>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Borders>
              <w:top w:val="single" w:sz="8" w:color="2C6937"/>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Total capital (statutory)</w:t>
            </w:r>
          </w:p>
        </w:tc>
        <w:tc>
          <w:tcPr>
            <w:tcW w:w="200" w:type="dxa"/>
            <w:vAlign w:val="bottom"/>
          </w:tcPr>
          <w:p>
            <w:pPr>
              <w:jc w:val="right"/>
              <w:ind w:right="26"/>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8.0 %</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Common equity 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163</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Adjusted total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190</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227"/>
        </w:trPr>
        <w:tc>
          <w:tcPr>
            <w:tcW w:w="2740" w:type="dxa"/>
            <w:vAlign w:val="bottom"/>
            <w:gridSpan w:val="2"/>
          </w:tcPr>
          <w:p>
            <w:pPr>
              <w:ind w:left="20"/>
              <w:spacing w:after="0"/>
              <w:rPr>
                <w:sz w:val="20"/>
                <w:szCs w:val="20"/>
                <w:color w:val="auto"/>
              </w:rPr>
            </w:pPr>
            <w:r>
              <w:rPr>
                <w:rFonts w:ascii="Arial" w:cs="Arial" w:eastAsia="Arial" w:hAnsi="Arial"/>
                <w:sz w:val="15"/>
                <w:szCs w:val="15"/>
                <w:b w:val="1"/>
                <w:bCs w:val="1"/>
                <w:color w:val="auto"/>
              </w:rPr>
              <w:t>Leverage capital:</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Core capital (statutory)</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(0.6)</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32"/>
        </w:trPr>
        <w:tc>
          <w:tcPr>
            <w:tcW w:w="2740" w:type="dxa"/>
            <w:vAlign w:val="bottom"/>
            <w:gridSpan w:val="2"/>
          </w:tcPr>
          <w:p>
            <w:pPr>
              <w:ind w:left="220"/>
              <w:spacing w:after="0"/>
              <w:rPr>
                <w:sz w:val="20"/>
                <w:szCs w:val="20"/>
                <w:color w:val="auto"/>
              </w:rPr>
            </w:pPr>
            <w:r>
              <w:rPr>
                <w:rFonts w:ascii="Arial" w:cs="Arial" w:eastAsia="Arial" w:hAnsi="Arial"/>
                <w:sz w:val="15"/>
                <w:szCs w:val="15"/>
                <w:color w:val="auto"/>
              </w:rPr>
              <w:t>Tier 1 capital</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20"/>
                <w:szCs w:val="20"/>
                <w:color w:val="auto"/>
              </w:rPr>
            </w:pPr>
          </w:p>
        </w:tc>
        <w:tc>
          <w:tcPr>
            <w:tcW w:w="1340" w:type="dxa"/>
            <w:vAlign w:val="bottom"/>
          </w:tcPr>
          <w:p>
            <w:pPr>
              <w:ind w:left="860"/>
              <w:spacing w:after="0"/>
              <w:rPr>
                <w:sz w:val="20"/>
                <w:szCs w:val="20"/>
                <w:color w:val="auto"/>
              </w:rPr>
            </w:pPr>
            <w:r>
              <w:rPr>
                <w:rFonts w:ascii="Arial" w:cs="Arial" w:eastAsia="Arial" w:hAnsi="Arial"/>
                <w:sz w:val="15"/>
                <w:szCs w:val="15"/>
                <w:color w:val="auto"/>
              </w:rPr>
              <w:t>(0.8)</w:t>
            </w:r>
          </w:p>
        </w:tc>
        <w:tc>
          <w:tcPr>
            <w:tcW w:w="80" w:type="dxa"/>
            <w:vAlign w:val="bottom"/>
          </w:tcPr>
          <w:p>
            <w:pPr>
              <w:spacing w:after="0"/>
              <w:rPr>
                <w:sz w:val="20"/>
                <w:szCs w:val="20"/>
                <w:color w:val="auto"/>
              </w:rPr>
            </w:pPr>
          </w:p>
        </w:tc>
        <w:tc>
          <w:tcPr>
            <w:tcW w:w="1380" w:type="dxa"/>
            <w:vAlign w:val="bottom"/>
          </w:tcPr>
          <w:p>
            <w:pPr>
              <w:ind w:left="960"/>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0"/>
                <w:szCs w:val="20"/>
                <w:color w:val="auto"/>
              </w:rPr>
            </w:pPr>
          </w:p>
        </w:tc>
        <w:tc>
          <w:tcPr>
            <w:tcW w:w="1620" w:type="dxa"/>
            <w:vAlign w:val="bottom"/>
          </w:tcPr>
          <w:p>
            <w:pPr>
              <w:jc w:val="right"/>
              <w:ind w:right="12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20" w:hanging="217"/>
        <w:spacing w:after="0"/>
        <w:tabs>
          <w:tab w:leader="none" w:pos="220" w:val="left"/>
        </w:tabs>
        <w:numPr>
          <w:ilvl w:val="0"/>
          <w:numId w:val="86"/>
        </w:numPr>
        <w:rPr>
          <w:rFonts w:ascii="Arial" w:cs="Arial" w:eastAsia="Arial" w:hAnsi="Arial"/>
          <w:sz w:val="18"/>
          <w:szCs w:val="18"/>
          <w:color w:val="auto"/>
          <w:vertAlign w:val="superscript"/>
        </w:rPr>
      </w:pPr>
      <w:r>
        <w:rPr>
          <w:rFonts w:ascii="Arial" w:cs="Arial" w:eastAsia="Arial" w:hAnsi="Arial"/>
          <w:sz w:val="14"/>
          <w:szCs w:val="14"/>
          <w:color w:val="auto"/>
        </w:rPr>
        <w:t>Ratios are calculated as a percentage of risk-weighted assets for risk-based capital metrics and as a percentage of adjusted total assets for leverage capital metrics.</w:t>
      </w:r>
    </w:p>
    <w:p>
      <w:pPr>
        <w:spacing w:after="0" w:line="37" w:lineRule="exact"/>
        <w:rPr>
          <w:rFonts w:ascii="Arial" w:cs="Arial" w:eastAsia="Arial" w:hAnsi="Arial"/>
          <w:sz w:val="18"/>
          <w:szCs w:val="18"/>
          <w:color w:val="auto"/>
          <w:vertAlign w:val="superscript"/>
        </w:rPr>
      </w:pPr>
    </w:p>
    <w:p>
      <w:pPr>
        <w:ind w:left="220" w:hanging="217"/>
        <w:spacing w:after="0" w:line="195" w:lineRule="auto"/>
        <w:tabs>
          <w:tab w:leader="none" w:pos="220" w:val="left"/>
        </w:tabs>
        <w:numPr>
          <w:ilvl w:val="0"/>
          <w:numId w:val="86"/>
        </w:numPr>
        <w:rPr>
          <w:rFonts w:ascii="Arial" w:cs="Arial" w:eastAsia="Arial" w:hAnsi="Arial"/>
          <w:sz w:val="18"/>
          <w:szCs w:val="18"/>
          <w:color w:val="auto"/>
          <w:vertAlign w:val="superscript"/>
        </w:rPr>
      </w:pPr>
      <w:r>
        <w:rPr>
          <w:rFonts w:ascii="Arial" w:cs="Arial" w:eastAsia="Arial" w:hAnsi="Arial"/>
          <w:sz w:val="14"/>
          <w:szCs w:val="14"/>
          <w:color w:val="auto"/>
        </w:rPr>
        <w:t>Available capital deficit for all line items excludes the stated value of the senior preferred stock ($120.8 billion).</w:t>
      </w:r>
    </w:p>
    <w:p>
      <w:pPr>
        <w:spacing w:after="0" w:line="25" w:lineRule="exact"/>
        <w:rPr>
          <w:rFonts w:ascii="Arial" w:cs="Arial" w:eastAsia="Arial" w:hAnsi="Arial"/>
          <w:sz w:val="18"/>
          <w:szCs w:val="18"/>
          <w:color w:val="auto"/>
          <w:vertAlign w:val="superscript"/>
        </w:rPr>
      </w:pPr>
    </w:p>
    <w:p>
      <w:pPr>
        <w:ind w:left="220" w:hanging="217"/>
        <w:spacing w:after="0"/>
        <w:tabs>
          <w:tab w:leader="none" w:pos="220" w:val="left"/>
        </w:tabs>
        <w:numPr>
          <w:ilvl w:val="0"/>
          <w:numId w:val="86"/>
        </w:numPr>
        <w:rPr>
          <w:rFonts w:ascii="Arial" w:cs="Arial" w:eastAsia="Arial" w:hAnsi="Arial"/>
          <w:sz w:val="9"/>
          <w:szCs w:val="9"/>
          <w:color w:val="auto"/>
        </w:rPr>
      </w:pPr>
      <w:r>
        <w:rPr>
          <w:rFonts w:ascii="Arial" w:cs="Arial" w:eastAsia="Arial" w:hAnsi="Arial"/>
          <w:sz w:val="14"/>
          <w:szCs w:val="14"/>
          <w:color w:val="auto"/>
        </w:rPr>
        <w:t>Prescribed capital conservation buffer amount, or PCCBA, for risk-based capital and prescribed leverage buffer amount, or PLBA, for leverage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377825</wp:posOffset>
            </wp:positionV>
            <wp:extent cx="680593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640"/>
        <w:spacing w:after="0"/>
        <w:rPr>
          <w:sz w:val="20"/>
          <w:szCs w:val="20"/>
          <w:color w:val="auto"/>
        </w:rPr>
      </w:pPr>
      <w:r>
        <w:rPr>
          <w:rFonts w:ascii="Arial" w:cs="Arial" w:eastAsia="Arial" w:hAnsi="Arial"/>
          <w:sz w:val="14"/>
          <w:szCs w:val="14"/>
          <w:color w:val="05314D"/>
        </w:rPr>
        <w:t>Fannie Mae (In conservatorship) Third Quarter 2025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151765</wp:posOffset>
            </wp:positionV>
            <wp:extent cx="7164070" cy="419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2" w:name="page113"/>
    <w:bookmarkEnd w:id="112"/>
    <w:p>
      <w:pPr>
        <w:ind w:left="7580"/>
        <w:spacing w:after="0"/>
        <w:rPr>
          <w:sz w:val="20"/>
          <w:szCs w:val="20"/>
          <w:color w:val="auto"/>
        </w:rPr>
      </w:pPr>
      <w:r>
        <w:rPr>
          <w:rFonts w:ascii="Arial" w:cs="Arial" w:eastAsia="Arial" w:hAnsi="Arial"/>
          <w:sz w:val="14"/>
          <w:szCs w:val="14"/>
          <w:color w:val="05314D"/>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17145</wp:posOffset>
            </wp:positionV>
            <wp:extent cx="706501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065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3. Quantitative and Qualitative Disclosures about Market Risk</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market risk is set forth in “MD&amp;A—Risk Management—Market Risk Management, including Interest-Rate Risk Management.”</w:t>
      </w:r>
    </w:p>
    <w:p>
      <w:pPr>
        <w:spacing w:after="0" w:line="192"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4. Controls and Procedures</w:t>
      </w:r>
    </w:p>
    <w:p>
      <w:pPr>
        <w:spacing w:after="0" w:line="11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Overview</w:t>
      </w:r>
    </w:p>
    <w:p>
      <w:pPr>
        <w:spacing w:after="0" w:line="7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are required under applicable laws and regulations to maintain controls and procedures, which include disclosure controls and procedures as well as internal control over financial reporting, as further described below.</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Evaluation of Disclosure Controls and Procedures</w:t>
      </w:r>
    </w:p>
    <w:p>
      <w:pPr>
        <w:spacing w:after="0" w:line="10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Disclosure Controls and Procedures</w:t>
      </w:r>
    </w:p>
    <w:p>
      <w:pPr>
        <w:spacing w:after="0" w:line="8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Disclosure controls and procedures refer to controls and other procedures designed to provide reasonable assurance that information required to be disclosed in the reports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82" w:lineRule="exact"/>
        <w:rPr>
          <w:sz w:val="20"/>
          <w:szCs w:val="20"/>
          <w:color w:val="auto"/>
        </w:rPr>
      </w:pPr>
    </w:p>
    <w:p>
      <w:pPr>
        <w:spacing w:after="0"/>
        <w:rPr>
          <w:sz w:val="20"/>
          <w:szCs w:val="20"/>
          <w:color w:val="auto"/>
        </w:rPr>
      </w:pPr>
      <w:r>
        <w:rPr>
          <w:rFonts w:ascii="Georgia" w:cs="Georgia" w:eastAsia="Georgia" w:hAnsi="Georgia"/>
          <w:sz w:val="19"/>
          <w:szCs w:val="19"/>
          <w:b w:val="1"/>
          <w:bCs w:val="1"/>
          <w:i w:val="1"/>
          <w:iCs w:val="1"/>
          <w:color w:val="05314D"/>
        </w:rPr>
        <w:t>Evaluation of Disclosure Controls and Procedures</w:t>
      </w:r>
    </w:p>
    <w:p>
      <w:pPr>
        <w:spacing w:after="0" w:line="80"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As required by Rule 13a-15 under the Exchange Act, management has evaluated, with the participation of our Chief Executive Officer and Chief Financial Officer, the effectiveness of our disclosure controls and procedures in effect as of September 30, 2025, the end of the period covered by this report. As a result of management’s evaluation, our Chief Executive Officer and Chief Financial Officer concluded that our disclosure controls and procedures were not effective at a reasonable assurance level as of September 30, 2025, or as of the date of filing this report.</w:t>
      </w:r>
    </w:p>
    <w:p>
      <w:pPr>
        <w:spacing w:after="0" w:line="4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Our disclosure controls and procedures were not effective as of September 30, 2025, or as of the date of filing this report because they did not adequately ensure the accumulation and communication to management of information known to FHFA that is needed to meet our disclosure obligations under the federal securities laws. As a result, we were not able to rely upon the disclosure controls and procedures that were in place as of September 30, 2025, or as of the date of this filing, and we continue to have a material weakness in our internal control over financial reporting. This material weakness is described in more detail below under “Description of Material Weakness.” Based on discussions with FHFA and the structural nature of this material weakness, we do not expect to remediate this material weakness while we are under conservatorship.</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Description of Material Weakness</w:t>
      </w:r>
    </w:p>
    <w:p>
      <w:pPr>
        <w:spacing w:after="0" w:line="63"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The Public Company Accounting Oversight Board’s Auditing Standard 2201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determined that we continued to have the following material weakness as of September 30, 2025, and as of the date of filing this report:</w:t>
      </w:r>
    </w:p>
    <w:p>
      <w:pPr>
        <w:spacing w:after="0" w:line="100" w:lineRule="exact"/>
        <w:rPr>
          <w:sz w:val="20"/>
          <w:szCs w:val="20"/>
          <w:color w:val="auto"/>
        </w:rPr>
      </w:pPr>
    </w:p>
    <w:p>
      <w:pPr>
        <w:ind w:left="620" w:hanging="307"/>
        <w:spacing w:after="0" w:line="262" w:lineRule="auto"/>
        <w:tabs>
          <w:tab w:leader="none" w:pos="612"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We have been under the conservatorship of FHFA since September 2008. Under the GSE Act, FHFA is an</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agency that currently functions as both our conservator and our regulator with respect to our safety, soundness, and mission. Because of the nature of the conservatorship under the GSE Act, which places us under the “control” of FHFA (as that term is defined by securities laws), some of the information that we may need to meet our disclosure obligations may be solely within the knowledge of FHFA. As our conservator, FHFA has the power to take actions without our knowledge that could be material to our stockholders and other stakeholders, and could significantly affect our financial performance or our continued existence as an ongoing business. Although we and FHFA attempted to design and implement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501015</wp:posOffset>
            </wp:positionV>
            <wp:extent cx="71386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110</w:t>
            </w:r>
          </w:p>
        </w:tc>
      </w:tr>
      <w:tr>
        <w:trPr>
          <w:trHeight w:val="220"/>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3" w:name="page114"/>
    <w:bookmarkEnd w:id="113"/>
    <w:p>
      <w:pPr>
        <w:ind w:left="9600"/>
        <w:spacing w:after="0"/>
        <w:rPr>
          <w:sz w:val="20"/>
          <w:szCs w:val="20"/>
          <w:color w:val="auto"/>
        </w:rPr>
      </w:pPr>
      <w:r>
        <w:rPr>
          <w:rFonts w:ascii="Arial" w:cs="Arial" w:eastAsia="Arial" w:hAnsi="Arial"/>
          <w:sz w:val="14"/>
          <w:szCs w:val="14"/>
          <w:color w:val="001543"/>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right="120"/>
        <w:spacing w:after="0" w:line="263" w:lineRule="auto"/>
        <w:rPr>
          <w:sz w:val="20"/>
          <w:szCs w:val="20"/>
          <w:color w:val="auto"/>
        </w:rPr>
      </w:pPr>
      <w:r>
        <w:rPr>
          <w:rFonts w:ascii="Arial" w:cs="Arial" w:eastAsia="Arial" w:hAnsi="Arial"/>
          <w:sz w:val="16"/>
          <w:szCs w:val="16"/>
          <w:color w:val="auto"/>
        </w:rPr>
        <w:t>disclosure policies and procedures that would account for the conservatorship and accomplish the same objectives as a disclosure controls and procedures policy of a typical reporting company, there are inherent structural limitations on our ability to design, implement, operate, and test effective disclosure controls and procedures. As both our regulator and our conservator under the GSE Act, FHFA is limited in its ability to design and implement a complete set of disclosure controls and procedures relating to Fannie Mae, particularly with respect to current reporting pursuant to Form 8-K. Similarly, as a regulated entity, we are limited in our ability to design, implement, operate, and test the controls and procedures for which FHFA is responsible.</w:t>
      </w:r>
    </w:p>
    <w:p>
      <w:pPr>
        <w:spacing w:after="0" w:line="41" w:lineRule="exact"/>
        <w:rPr>
          <w:sz w:val="20"/>
          <w:szCs w:val="20"/>
          <w:color w:val="auto"/>
        </w:rPr>
      </w:pPr>
    </w:p>
    <w:p>
      <w:pPr>
        <w:ind w:right="360"/>
        <w:spacing w:after="0" w:line="263" w:lineRule="auto"/>
        <w:rPr>
          <w:sz w:val="20"/>
          <w:szCs w:val="20"/>
          <w:color w:val="auto"/>
        </w:rPr>
      </w:pPr>
      <w:r>
        <w:rPr>
          <w:rFonts w:ascii="Arial" w:cs="Arial" w:eastAsia="Arial" w:hAnsi="Arial"/>
          <w:sz w:val="16"/>
          <w:szCs w:val="16"/>
          <w:color w:val="auto"/>
        </w:rPr>
        <w:t>Due to these circumstances, we have not been able to update our disclosure controls and procedures in a manner that adequately ensures the accumulation and communication to management of information known to FHFA that is needed to meet our disclosure obligations under the federal securities laws, including disclosures affecting our condensed consolidated financial statements. As a result, we did not maintain effective controls and procedures designed to ensure complete and accurate disclosure as required by GAAP as of September 30, 2025, or as of the date of filing this report. Based on discussions with FHFA and the structural nature of this weakness, we do not expect to remediate this material weakness while we are under conservatorship.</w:t>
      </w:r>
    </w:p>
    <w:p>
      <w:pPr>
        <w:spacing w:after="0" w:line="87"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Mitigating Actions Related to Material Weakness</w:t>
      </w:r>
    </w:p>
    <w:p>
      <w:pPr>
        <w:spacing w:after="0" w:line="6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We and FHFA have engaged in the following practices intended to permit accumulation and communication to management of information needed to meet our disclosure obligations under the federal securities laws:</w:t>
      </w:r>
    </w:p>
    <w:p>
      <w:pPr>
        <w:spacing w:after="0" w:line="2" w:lineRule="exact"/>
        <w:rPr>
          <w:sz w:val="20"/>
          <w:szCs w:val="20"/>
          <w:color w:val="auto"/>
        </w:rPr>
      </w:pPr>
    </w:p>
    <w:p>
      <w:pPr>
        <w:ind w:left="620" w:hanging="307"/>
        <w:spacing w:after="0"/>
        <w:tabs>
          <w:tab w:leader="none" w:pos="6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FHFA has established a process to facilitate operation of the company under the oversight of the conservator.</w:t>
      </w:r>
    </w:p>
    <w:p>
      <w:pPr>
        <w:spacing w:after="0" w:line="86" w:lineRule="exact"/>
        <w:rPr>
          <w:rFonts w:ascii="Arial" w:cs="Arial" w:eastAsia="Arial" w:hAnsi="Arial"/>
          <w:sz w:val="16"/>
          <w:szCs w:val="16"/>
          <w:color w:val="auto"/>
        </w:rPr>
      </w:pPr>
    </w:p>
    <w:p>
      <w:pPr>
        <w:ind w:left="620" w:right="80" w:hanging="307"/>
        <w:spacing w:after="0" w:line="266" w:lineRule="auto"/>
        <w:tabs>
          <w:tab w:leader="none" w:pos="612" w:val="left"/>
        </w:tabs>
        <w:numPr>
          <w:ilvl w:val="0"/>
          <w:numId w:val="88"/>
        </w:numPr>
        <w:rPr>
          <w:rFonts w:ascii="Arial" w:cs="Arial" w:eastAsia="Arial" w:hAnsi="Arial"/>
          <w:sz w:val="16"/>
          <w:szCs w:val="16"/>
          <w:color w:val="auto"/>
        </w:rPr>
      </w:pPr>
      <w:r>
        <w:rPr>
          <w:rFonts w:ascii="Arial" w:cs="Arial" w:eastAsia="Arial" w:hAnsi="Arial"/>
          <w:sz w:val="16"/>
          <w:szCs w:val="16"/>
          <w:color w:val="auto"/>
        </w:rPr>
        <w:t>FHFA personnel, including senior officials, have reviewed our quarterly and annual SEC filings prior to filing, including this quarterly report on Form 10-Q for the quarter ended September 30, 2025 (“Third Quarter 2025 Form 10-Q”), and engaged in discussions regarding issues associated with the information contained in those filings. Prior to filing our Third Quarter 2025 Form 10-Q, FHFA provided Fannie Mae management with written acknowledgment that it had reviewed the Third Quarter 2025 Form 10-Q, and it was not aware of any material misstatements or omissions in the Third Quarter 2025 Form 10-Q and had no objection to our filing the Third Quarter 2025 Form 10-Q.</w:t>
      </w:r>
    </w:p>
    <w:p>
      <w:pPr>
        <w:spacing w:after="0" w:line="37" w:lineRule="exact"/>
        <w:rPr>
          <w:rFonts w:ascii="Arial" w:cs="Arial" w:eastAsia="Arial" w:hAnsi="Arial"/>
          <w:sz w:val="16"/>
          <w:szCs w:val="16"/>
          <w:color w:val="auto"/>
        </w:rPr>
      </w:pPr>
    </w:p>
    <w:p>
      <w:pPr>
        <w:ind w:left="620" w:right="200" w:hanging="307"/>
        <w:spacing w:after="0" w:line="293" w:lineRule="auto"/>
        <w:tabs>
          <w:tab w:leader="none" w:pos="612" w:val="left"/>
        </w:tabs>
        <w:numPr>
          <w:ilvl w:val="0"/>
          <w:numId w:val="88"/>
        </w:numPr>
        <w:rPr>
          <w:rFonts w:ascii="Arial" w:cs="Arial" w:eastAsia="Arial" w:hAnsi="Arial"/>
          <w:sz w:val="16"/>
          <w:szCs w:val="16"/>
          <w:color w:val="auto"/>
        </w:rPr>
      </w:pPr>
      <w:r>
        <w:rPr>
          <w:rFonts w:ascii="Arial" w:cs="Arial" w:eastAsia="Arial" w:hAnsi="Arial"/>
          <w:sz w:val="16"/>
          <w:szCs w:val="16"/>
          <w:color w:val="auto"/>
        </w:rPr>
        <w:t>We have also provided FHFA personnel drafts of our Form 8-K filings, external press releases, statements, and speeches for their review prior to filing or release.</w:t>
      </w:r>
    </w:p>
    <w:p>
      <w:pPr>
        <w:spacing w:after="0" w:line="14" w:lineRule="exact"/>
        <w:rPr>
          <w:rFonts w:ascii="Arial" w:cs="Arial" w:eastAsia="Arial" w:hAnsi="Arial"/>
          <w:sz w:val="16"/>
          <w:szCs w:val="16"/>
          <w:color w:val="auto"/>
        </w:rPr>
      </w:pPr>
    </w:p>
    <w:p>
      <w:pPr>
        <w:ind w:left="620" w:right="580" w:hanging="307"/>
        <w:spacing w:after="0" w:line="310" w:lineRule="auto"/>
        <w:tabs>
          <w:tab w:leader="none" w:pos="612" w:val="left"/>
        </w:tabs>
        <w:numPr>
          <w:ilvl w:val="0"/>
          <w:numId w:val="88"/>
        </w:numPr>
        <w:rPr>
          <w:rFonts w:ascii="Arial" w:cs="Arial" w:eastAsia="Arial" w:hAnsi="Arial"/>
          <w:sz w:val="16"/>
          <w:szCs w:val="16"/>
          <w:color w:val="auto"/>
        </w:rPr>
      </w:pPr>
      <w:r>
        <w:rPr>
          <w:rFonts w:ascii="Arial" w:cs="Arial" w:eastAsia="Arial" w:hAnsi="Arial"/>
          <w:sz w:val="16"/>
          <w:szCs w:val="16"/>
          <w:color w:val="auto"/>
        </w:rPr>
        <w:t>Our senior management meets regularly with senior leadership at FHFA. In addition, the FHFA Director serves as Chairman of our Board of Directors.</w:t>
      </w:r>
    </w:p>
    <w:p>
      <w:pPr>
        <w:spacing w:after="0" w:line="1" w:lineRule="exact"/>
        <w:rPr>
          <w:rFonts w:ascii="Arial" w:cs="Arial" w:eastAsia="Arial" w:hAnsi="Arial"/>
          <w:sz w:val="16"/>
          <w:szCs w:val="16"/>
          <w:color w:val="auto"/>
        </w:rPr>
      </w:pPr>
    </w:p>
    <w:p>
      <w:pPr>
        <w:ind w:left="620" w:right="620" w:hanging="307"/>
        <w:spacing w:after="0" w:line="293" w:lineRule="auto"/>
        <w:tabs>
          <w:tab w:leader="none" w:pos="612" w:val="left"/>
        </w:tabs>
        <w:numPr>
          <w:ilvl w:val="0"/>
          <w:numId w:val="88"/>
        </w:numPr>
        <w:rPr>
          <w:rFonts w:ascii="Arial" w:cs="Arial" w:eastAsia="Arial" w:hAnsi="Arial"/>
          <w:sz w:val="16"/>
          <w:szCs w:val="16"/>
          <w:color w:val="auto"/>
        </w:rPr>
      </w:pPr>
      <w:r>
        <w:rPr>
          <w:rFonts w:ascii="Arial" w:cs="Arial" w:eastAsia="Arial" w:hAnsi="Arial"/>
          <w:sz w:val="16"/>
          <w:szCs w:val="16"/>
          <w:color w:val="auto"/>
        </w:rPr>
        <w:t>FHFA representatives attend meetings frequently with various groups within the company to enhance the flow of information and to provide oversight on a variety of matters, including accounting, credit and market risk management, external communications, and legal matters.</w:t>
      </w:r>
    </w:p>
    <w:p>
      <w:pPr>
        <w:spacing w:after="0" w:line="14" w:lineRule="exact"/>
        <w:rPr>
          <w:rFonts w:ascii="Arial" w:cs="Arial" w:eastAsia="Arial" w:hAnsi="Arial"/>
          <w:sz w:val="16"/>
          <w:szCs w:val="16"/>
          <w:color w:val="auto"/>
        </w:rPr>
      </w:pPr>
    </w:p>
    <w:p>
      <w:pPr>
        <w:ind w:left="620" w:right="500" w:hanging="307"/>
        <w:spacing w:after="0" w:line="293" w:lineRule="auto"/>
        <w:tabs>
          <w:tab w:leader="none" w:pos="612" w:val="left"/>
        </w:tabs>
        <w:numPr>
          <w:ilvl w:val="0"/>
          <w:numId w:val="88"/>
        </w:numPr>
        <w:rPr>
          <w:rFonts w:ascii="Arial" w:cs="Arial" w:eastAsia="Arial" w:hAnsi="Arial"/>
          <w:sz w:val="16"/>
          <w:szCs w:val="16"/>
          <w:color w:val="auto"/>
        </w:rPr>
      </w:pPr>
      <w:r>
        <w:rPr>
          <w:rFonts w:ascii="Arial" w:cs="Arial" w:eastAsia="Arial" w:hAnsi="Arial"/>
          <w:sz w:val="16"/>
          <w:szCs w:val="16"/>
          <w:color w:val="auto"/>
        </w:rPr>
        <w:t>Senior officials within FHFA’s Office of the Chief Accountant have met frequently with our senior finance executives regarding our accounting policies, practices, and procedures.</w:t>
      </w:r>
    </w:p>
    <w:p>
      <w:pPr>
        <w:spacing w:after="0" w:line="6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Changes in Internal Control Over Financial Reporting</w:t>
      </w:r>
    </w:p>
    <w:p>
      <w:pPr>
        <w:spacing w:after="0" w:line="7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Management has evaluated, with the participation of our Chief Executive Officer and Chief Financial Officer, whether any changes in our internal control over financial reporting that occurred during our last fiscal quarter have materially affected, or are reasonably likely to materially affect, our internal control over financial reporting. There were no changes in our internal control over financial reporting from July 1, 2025 through September 30, 2025 that management believes have materially affected, or are reasonably likely to materially affect, our internal control over financial reporting.</w:t>
      </w:r>
    </w:p>
    <w:p>
      <w:pPr>
        <w:spacing w:after="0" w:line="35"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In the ordinary course of business, we review our system of internal control over financial reporting and make changes that we believe will improve these controls and increase efficiency, while continuing to ensure that we maintain effective internal controls. Changes may include implementing new, more efficient systems, automating manual processes, changes in personnel performing controls, and updating existing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713867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40" w:type="dxa"/>
            <w:vAlign w:val="bottom"/>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400" w:type="dxa"/>
            <w:vAlign w:val="bottom"/>
          </w:tcPr>
          <w:p>
            <w:pPr>
              <w:jc w:val="right"/>
              <w:spacing w:after="0"/>
              <w:rPr>
                <w:sz w:val="20"/>
                <w:szCs w:val="20"/>
                <w:color w:val="auto"/>
              </w:rPr>
            </w:pPr>
            <w:r>
              <w:rPr>
                <w:rFonts w:ascii="Arial" w:cs="Arial" w:eastAsia="Arial" w:hAnsi="Arial"/>
                <w:sz w:val="14"/>
                <w:szCs w:val="14"/>
                <w:color w:val="05314D"/>
              </w:rPr>
              <w:t>111</w:t>
            </w:r>
          </w:p>
        </w:tc>
      </w:tr>
      <w:tr>
        <w:trPr>
          <w:trHeight w:val="220"/>
        </w:trPr>
        <w:tc>
          <w:tcPr>
            <w:tcW w:w="6840" w:type="dxa"/>
            <w:vAlign w:val="bottom"/>
            <w:tcBorders>
              <w:bottom w:val="single" w:sz="8" w:color="9A9A9A"/>
            </w:tcBorders>
          </w:tcPr>
          <w:p>
            <w:pPr>
              <w:spacing w:after="0"/>
              <w:rPr>
                <w:sz w:val="19"/>
                <w:szCs w:val="19"/>
                <w:color w:val="auto"/>
              </w:rPr>
            </w:pPr>
          </w:p>
        </w:tc>
        <w:tc>
          <w:tcPr>
            <w:tcW w:w="44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4" w:name="page115"/>
    <w:bookmarkEnd w:id="114"/>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940"/>
        <w:spacing w:after="0"/>
        <w:rPr>
          <w:sz w:val="20"/>
          <w:szCs w:val="20"/>
          <w:color w:val="auto"/>
        </w:rPr>
      </w:pPr>
      <w:r>
        <w:rPr>
          <w:rFonts w:ascii="Georgia" w:cs="Georgia" w:eastAsia="Georgia" w:hAnsi="Georgia"/>
          <w:sz w:val="31"/>
          <w:szCs w:val="31"/>
          <w:b w:val="1"/>
          <w:bCs w:val="1"/>
          <w:color w:val="05314D"/>
        </w:rPr>
        <w:t>PART II—OTHER INFORMATION</w:t>
      </w:r>
    </w:p>
    <w:p>
      <w:pPr>
        <w:spacing w:after="0" w:line="185"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 Legal Proceedings</w:t>
      </w:r>
    </w:p>
    <w:p>
      <w:pPr>
        <w:spacing w:after="0" w:line="65"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The information in this item supplements and updates information regarding certain legal proceedings set forth in “Legal Proceedings” in our 2024 Form 10-K, our First Quarter 2025 Form 10-Q, and our Second Quarter 2025 Form 10-Q. We also provide information regarding material legal proceedings in “Note 14, Commitments and Contingencies,” which is incorporated herein by reference. In addition to the matters specifically described or incorporated by reference in this item, we are involved in legal and regulatory proceedings that arise in the ordinary course of business that we do not expect will have a material impact on our business or financial condition. However, litigation claims and proceedings of all types are subject to many factors and their outcome and effect on our business and financial condition generally cannot be predicted accurately.</w:t>
      </w:r>
    </w:p>
    <w:p>
      <w:pPr>
        <w:spacing w:after="0" w:line="5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establish an accrual for legal claims only when a loss is probable and we can reasonably estimate the amount of such loss. The actual costs of resolving legal claims may be substantially higher or lower than the amounts accrued for those claims. If certain of these matters are determined against us, FHFA or Treasury, it could have a material adverse effect on our results of operations, liquidity and financial condition, including our net worth.</w:t>
      </w:r>
    </w:p>
    <w:p>
      <w:pPr>
        <w:spacing w:after="0" w:line="78"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Senior Preferred Stock Purchase Agreements Litigation</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Since June 2013, preferred and common stockholders of Fannie Mae and Freddie Mac filed lawsuits in multiple federal courts against one or more of the United States, Treasury and FHFA, challenging actions taken by the defendants relating to the Fannie Mae and Freddie Mac senior preferred stock purchase agreements and the conservatorships of Fannie Mae and Freddie Mac. Some of these lawsuits also contain claims against Fannie Mae and Freddie Mac. The legal claims being advanced by one or more of these lawsuits include challenges to the net worth sweep dividend provisions of the senior preferred stock that were implemented pursuant to August 2012 amendments to the agreements, the payment of dividends to Treasury under the net worth sweep dividend provisions, and FHFA’s decision to require Fannie Mae and Freddie Mac to draw funds from Treasury to pay dividends to Treasury prior to the August 2012 amendments. The plaintiffs seek various forms of equitable and injunctive relief as well as damages. The cases that remain pending or were terminated on or after June 30, 2025 are as follows:</w:t>
      </w:r>
    </w:p>
    <w:p>
      <w:pPr>
        <w:spacing w:after="0" w:line="43"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i w:val="1"/>
          <w:iCs w:val="1"/>
          <w:color w:val="auto"/>
        </w:rPr>
        <w:t>District of Columbia (In re Fannie Mae/Freddie Mac Senior Preferred Stock Purchase Agreement Class Action Litigations and Fairholme Funds v. FHFA)</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Fannie Mae is a defendant in two cases filed in the U.S. District Court for the District of Columbia, including a consolidated class action. The cases were consolidated for trial, and on August 14, 2023, the jury returned a verdict for the plaintiffs and awarded damages of $299.4 million to Fannie Mae preferred stockholders. On March 20, 2024, the court entered final judgment and set the amount of prejudgment interest owed by Fannie Mae at $199.7 million. Defendants filed a notice of appeal on April 11, 2025, and plaintiffs filed a notice of cross-appeal on April 25, 2025. See “Note 14, Commitments and Contingencies” for additional information.</w:t>
      </w:r>
    </w:p>
    <w:p>
      <w:pPr>
        <w:spacing w:after="0" w:line="4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i w:val="1"/>
          <w:iCs w:val="1"/>
          <w:color w:val="auto"/>
        </w:rPr>
        <w:t xml:space="preserve">Western District of Michigan (Rop et al. v. FHFA et al.). </w:t>
      </w:r>
      <w:r>
        <w:rPr>
          <w:rFonts w:ascii="Arial" w:cs="Arial" w:eastAsia="Arial" w:hAnsi="Arial"/>
          <w:sz w:val="16"/>
          <w:szCs w:val="16"/>
          <w:color w:val="auto"/>
        </w:rPr>
        <w:t>On June 1, 2017, preferred and common stockholders of Fannie Mae and Freddie Mac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for declaratory and injunctive relief against FHFA and Treasury in the U.S. District Court for the Western District of Michigan. FHFA and Treasury moved to dismiss the case on September 8, 2017, and plaintiffs filed a motion for summary judgment on October 6, 2017. On September 8, 2020, the court denied plaintiffs’ motion for summary judgment and granted defendants’ motion to dismiss. On October 4, 2022, the U.S. Court of Appeals for the Sixth Circuit reversed the dismissal and remanded the case to the district court to determine whether the stockholders suffered compensable harm. On February 2, 2023, plaintiffs filed a petition with the Supreme Court seeking review of the Sixth Circuit’s decision, which the Supreme Court denied on June 12, 2023. On August 11, 2023, plaintiffs submitted a motion for leave to file an amended complaint in the district court, which the court denied on December 11, 2024. On March 27, 2025, FHFA filed a motion for judgment on the pleadings. Treasury likewise filed a motion for judgment on the pleadings on March 28, 2025. On April 1, 2025, plaintiffs filed a motion for leave to amend their complaint.</w:t>
      </w:r>
    </w:p>
    <w:p>
      <w:pPr>
        <w:spacing w:after="0" w:line="5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i w:val="1"/>
          <w:iCs w:val="1"/>
          <w:color w:val="auto"/>
        </w:rPr>
        <w:t>Eastern District of Pennsylvania (Wazee Street Opportunities Fund IV L.P. et al. v. FHFA et al.)</w:t>
      </w:r>
      <w:r>
        <w:rPr>
          <w:rFonts w:ascii="Arial" w:cs="Arial" w:eastAsia="Arial" w:hAnsi="Arial"/>
          <w:sz w:val="16"/>
          <w:szCs w:val="16"/>
          <w:color w:val="auto"/>
        </w:rPr>
        <w:t>. On August 16, 2018, common stockholders of Fannie Mae</w:t>
      </w:r>
      <w:r>
        <w:rPr>
          <w:rFonts w:ascii="Arial" w:cs="Arial" w:eastAsia="Arial" w:hAnsi="Arial"/>
          <w:sz w:val="16"/>
          <w:szCs w:val="16"/>
          <w:i w:val="1"/>
          <w:iCs w:val="1"/>
          <w:color w:val="auto"/>
        </w:rPr>
        <w:t xml:space="preserve"> </w:t>
      </w:r>
      <w:r>
        <w:rPr>
          <w:rFonts w:ascii="Arial" w:cs="Arial" w:eastAsia="Arial" w:hAnsi="Arial"/>
          <w:sz w:val="16"/>
          <w:szCs w:val="16"/>
          <w:color w:val="auto"/>
        </w:rPr>
        <w:t>and Freddie Mac filed a complaint for declaratory and injunctive relief against FHFA and Treasury in the U.S. District Court for the Eastern District of Pennsylvania. FHFA and Treasury moved to dismiss the case on November 16, 2018, and plaintiffs filed a motion for summary judgment on December 21, 2018. On April 30, 2025, the district court granted FHFA’s and Treasury’s motions and dismissed the case. The stockholders’ time to seek further review expired on June 30, 2025, and the case is now concluded.</w:t>
      </w:r>
    </w:p>
    <w:p>
      <w:pPr>
        <w:spacing w:after="0" w:line="53" w:lineRule="exact"/>
        <w:rPr>
          <w:sz w:val="20"/>
          <w:szCs w:val="20"/>
          <w:color w:val="auto"/>
        </w:rPr>
      </w:pPr>
    </w:p>
    <w:p>
      <w:pPr>
        <w:jc w:val="both"/>
        <w:ind w:right="80"/>
        <w:spacing w:after="0" w:line="272" w:lineRule="auto"/>
        <w:rPr>
          <w:sz w:val="20"/>
          <w:szCs w:val="20"/>
          <w:color w:val="auto"/>
        </w:rPr>
      </w:pPr>
      <w:r>
        <w:rPr>
          <w:rFonts w:ascii="Arial" w:cs="Arial" w:eastAsia="Arial" w:hAnsi="Arial"/>
          <w:sz w:val="16"/>
          <w:szCs w:val="16"/>
          <w:i w:val="1"/>
          <w:iCs w:val="1"/>
          <w:color w:val="auto"/>
        </w:rPr>
        <w:t xml:space="preserve">U.S. Court of Federal Claims (Fisher et al. v. United States of America). </w:t>
      </w:r>
      <w:r>
        <w:rPr>
          <w:rFonts w:ascii="Arial" w:cs="Arial" w:eastAsia="Arial" w:hAnsi="Arial"/>
          <w:sz w:val="16"/>
          <w:szCs w:val="16"/>
          <w:color w:val="auto"/>
        </w:rPr>
        <w:t>On December 2, 2013, common stockholders of Fannie Mae filed a lawsuit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that listed Fannie Mae as a nominal defendant. The plaintiffs alleged that the net worth sweep dividend provisions of the senior preferred stock that were implemented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369570</wp:posOffset>
            </wp:positionV>
            <wp:extent cx="713867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112</w:t>
            </w:r>
          </w:p>
        </w:tc>
      </w:tr>
      <w:tr>
        <w:trPr>
          <w:trHeight w:val="220"/>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5" w:name="page116"/>
    <w:bookmarkEnd w:id="115"/>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August 2012 amendment constituted a taking of Fannie Mae’s property without just compensation in violation of the U.S. Constitution. On February 15, 2023, the court issued an order for plaintiffs to show cause why their claims should not be dismissed, as claims similar to theirs brought by other Fannie Mae stockholders in other cases against the United States had been dismissed by the court. On September 1, 2023, the court dismissed the case with prejudice. On August 12, 2025, the U.S. Court of Appeals for the Federal Circuit affirmed the trial court’s order dismissing the case.</w:t>
      </w:r>
    </w:p>
    <w:p>
      <w:pPr>
        <w:spacing w:after="0" w:line="86"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1A. Risk Factors</w:t>
      </w:r>
    </w:p>
    <w:p>
      <w:pPr>
        <w:spacing w:after="0" w:line="9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In addition to the information in this report, you should carefully consider the risks relating to our business that we identify in “Risk Factors” in our 2024 Form 10-K. Also refer to “MD&amp;A—Risk Management,” “MD&amp;A—Single-Family Business” and “MD&amp;A—Multifamily Business” in our 2024 Form 10-K and in this report for more detailed descriptions of the primary risks to our business and how we seek to manage those risks.</w:t>
      </w:r>
    </w:p>
    <w:p>
      <w:pPr>
        <w:spacing w:after="0" w:line="2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risks we face could materially adversely affect our business, results of operations, financial condition, liquidity and net worth, and could cause our actual results to differ materially from our past results or the results contemplated by any forward-looking statements we make. We believe the risks described in the sections of this report and our 2024 Form 10-K referenced above are the most significant we face; however, these are not the only risks we face. We face additional risks and uncertainties not currently known to us or that we currently believe are immaterial.</w:t>
      </w:r>
    </w:p>
    <w:p>
      <w:pPr>
        <w:spacing w:after="0" w:line="101"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2. Unregistered Sales of Equity Securities and Use of Proceeds</w:t>
      </w:r>
    </w:p>
    <w:p>
      <w:pPr>
        <w:spacing w:after="0" w:line="11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Common Stock</w:t>
      </w:r>
    </w:p>
    <w:p>
      <w:pPr>
        <w:spacing w:after="0" w:line="63" w:lineRule="exact"/>
        <w:rPr>
          <w:sz w:val="20"/>
          <w:szCs w:val="20"/>
          <w:color w:val="auto"/>
        </w:rPr>
      </w:pPr>
    </w:p>
    <w:p>
      <w:pPr>
        <w:ind w:right="420"/>
        <w:spacing w:after="0" w:line="310" w:lineRule="auto"/>
        <w:rPr>
          <w:sz w:val="20"/>
          <w:szCs w:val="20"/>
          <w:color w:val="auto"/>
        </w:rPr>
      </w:pPr>
      <w:r>
        <w:rPr>
          <w:rFonts w:ascii="Arial" w:cs="Arial" w:eastAsia="Arial" w:hAnsi="Arial"/>
          <w:sz w:val="16"/>
          <w:szCs w:val="16"/>
          <w:color w:val="auto"/>
        </w:rPr>
        <w:t>Our common stock is traded in the over-the-counter market and quoted on the OTCQB, operated by OTC Markets Group Inc., under the ticker symbol “FNMA.”</w:t>
      </w:r>
    </w:p>
    <w:p>
      <w:pPr>
        <w:spacing w:after="0" w:line="2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Recent Sales of Unregistered Equity Securities</w:t>
      </w:r>
    </w:p>
    <w:p>
      <w:pPr>
        <w:spacing w:after="0" w:line="63"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Under the terms of our senior preferred stock purchase agreement with Treasury, we are prohibited from selling or issuing our equity interests without the prior written consent of Treasury except under limited circumstances, which are described in “Business—Conservatorship and Treasury Agreements— Treasury Agreements—Covenants” in our 2024 Form 10-K. During the quarter ended September 30, 2025, we did not sell any equity securities.</w:t>
      </w:r>
    </w:p>
    <w:p>
      <w:pPr>
        <w:spacing w:after="0" w:line="91"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Information about Certain Securities Issuances by Fannie Mae</w:t>
      </w:r>
    </w:p>
    <w:p>
      <w:pPr>
        <w:spacing w:after="0" w:line="63"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Pursuant to SEC regulations, public companies are required to disclose certain information when they incur a material direct financial obligation or become directly or contingently liable for a material obligation under an off-balance sheet arrangement. The disclosure must be made in a current report on Form 8-K under Item 2.03 or, if the obligation is incurred in connection with certain types of securities offerings, in prospectuses for that offering that are filed with the SEC.</w:t>
      </w:r>
    </w:p>
    <w:p>
      <w:pPr>
        <w:spacing w:after="0" w:line="4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Because the securities we issue are exempted securities under the Securities Act of 1933, we do not file registration statements or prospectuses with the SEC with respect to our securities offerings. To comply with the disclosure requirements of Form 8-K relating to the incurrence of material financial obligations, in accordance with a “no-action” letter we received from the SEC staff in 2004, we report our incurrence of these types of obligations in offering circulars or prospectuses (or supplements thereto) that we post on our website within the same time period that a prospectus for a non-exempt securities offering would be required to be filed with the SEC. To the extent we incur a material financial obligation that is not disclosed in this manner, we would file a Form 8-K if required to do so under applicable Form 8-K requirements.</w:t>
      </w:r>
    </w:p>
    <w:p>
      <w:pPr>
        <w:spacing w:after="0" w:line="55" w:lineRule="exact"/>
        <w:rPr>
          <w:sz w:val="20"/>
          <w:szCs w:val="20"/>
          <w:color w:val="auto"/>
        </w:rPr>
      </w:pPr>
    </w:p>
    <w:p>
      <w:pPr>
        <w:ind w:right="460"/>
        <w:spacing w:after="0" w:line="272" w:lineRule="auto"/>
        <w:rPr>
          <w:sz w:val="20"/>
          <w:szCs w:val="20"/>
          <w:color w:val="auto"/>
        </w:rPr>
      </w:pPr>
      <w:r>
        <w:rPr>
          <w:rFonts w:ascii="Arial" w:cs="Arial" w:eastAsia="Arial" w:hAnsi="Arial"/>
          <w:sz w:val="16"/>
          <w:szCs w:val="16"/>
          <w:color w:val="auto"/>
        </w:rPr>
        <w:t>The website address for disclosure about our debt securities is www.fanniemae.com/debtsearch. From this address, investors can access the offering circular and related supplements for debt securities offerings under Fannie Mae’s universal debt facility, including pricing supplements for individual issuances of debt securities.</w:t>
      </w:r>
    </w:p>
    <w:p>
      <w:pPr>
        <w:spacing w:after="0" w:line="32"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color w:val="auto"/>
        </w:rPr>
        <w:t>Disclosure about our obligations pursuant to the MBS we issue, some of which may be off-balance sheet obligations, can be found at www.fanniemae.com/mbsdisclosure. From this address, investors can access information and documents about our MBS, including prospectuses and related prospectus supplements.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We are providing our website address solely for your information. Information appearing on our website is not incorporated into this report.</w:t>
      </w:r>
    </w:p>
    <w:p>
      <w:pPr>
        <w:spacing w:after="0" w:line="13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Our Purchases of Equity Securities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We did not repurchase any of our equity securities during the third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412750</wp:posOffset>
            </wp:positionV>
            <wp:extent cx="713867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113</w:t>
            </w:r>
          </w:p>
        </w:tc>
      </w:tr>
      <w:tr>
        <w:trPr>
          <w:trHeight w:val="207"/>
        </w:trPr>
        <w:tc>
          <w:tcPr>
            <w:tcW w:w="6820" w:type="dxa"/>
            <w:vAlign w:val="bottom"/>
            <w:tcBorders>
              <w:bottom w:val="single" w:sz="8" w:color="9A9A9A"/>
            </w:tcBorders>
          </w:tcPr>
          <w:p>
            <w:pPr>
              <w:spacing w:after="0"/>
              <w:rPr>
                <w:sz w:val="17"/>
                <w:szCs w:val="17"/>
                <w:color w:val="auto"/>
              </w:rPr>
            </w:pPr>
          </w:p>
        </w:tc>
        <w:tc>
          <w:tcPr>
            <w:tcW w:w="44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6" w:name="page117"/>
    <w:bookmarkEnd w:id="116"/>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Dividend Restrictions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Our payment of dividends is subject to the following restrictions:</w:t>
      </w:r>
    </w:p>
    <w:p>
      <w:pPr>
        <w:spacing w:after="0" w:line="8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i w:val="1"/>
          <w:iCs w:val="1"/>
          <w:color w:val="auto"/>
        </w:rPr>
        <w:t xml:space="preserve">Restrictions Relating to Conservatorship. </w:t>
      </w:r>
      <w:r>
        <w:rPr>
          <w:rFonts w:ascii="Arial" w:cs="Arial" w:eastAsia="Arial" w:hAnsi="Arial"/>
          <w:sz w:val="16"/>
          <w:szCs w:val="16"/>
          <w:color w:val="auto"/>
        </w:rPr>
        <w:t>Our conservator announced on September 7, 2008 that we would not pay any dividends on the common stock or</w:t>
      </w:r>
      <w:r>
        <w:rPr>
          <w:rFonts w:ascii="Arial" w:cs="Arial" w:eastAsia="Arial" w:hAnsi="Arial"/>
          <w:sz w:val="16"/>
          <w:szCs w:val="16"/>
          <w:i w:val="1"/>
          <w:iCs w:val="1"/>
          <w:color w:val="auto"/>
        </w:rPr>
        <w:t xml:space="preserve"> </w:t>
      </w:r>
      <w:r>
        <w:rPr>
          <w:rFonts w:ascii="Arial" w:cs="Arial" w:eastAsia="Arial" w:hAnsi="Arial"/>
          <w:sz w:val="16"/>
          <w:szCs w:val="16"/>
          <w:color w:val="auto"/>
        </w:rPr>
        <w:t>on any series of preferred stock, other than the senior preferred stock. In addition, FHFA’s regulations relating to conservatorship and receivership operations prohibit us from paying any dividends while in conservatorship unless authorized by the Director of FHFA. The Director of FHFA has directed us to make dividend payments on the senior preferred stock on a quarterly basis for every dividend period for which dividends were payable.</w:t>
      </w:r>
    </w:p>
    <w:p>
      <w:pPr>
        <w:spacing w:after="0" w:line="3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 xml:space="preserve">Restrictions Under Senior Preferred Stock Purchase Agreement and Senior Preferred Stock. </w:t>
      </w:r>
      <w:r>
        <w:rPr>
          <w:rFonts w:ascii="Arial" w:cs="Arial" w:eastAsia="Arial" w:hAnsi="Arial"/>
          <w:sz w:val="16"/>
          <w:szCs w:val="16"/>
          <w:color w:val="auto"/>
        </w:rPr>
        <w:t>The senior preferred stock purchase agreement prohibits us</w:t>
      </w:r>
      <w:r>
        <w:rPr>
          <w:rFonts w:ascii="Arial" w:cs="Arial" w:eastAsia="Arial" w:hAnsi="Arial"/>
          <w:sz w:val="16"/>
          <w:szCs w:val="16"/>
          <w:i w:val="1"/>
          <w:iCs w:val="1"/>
          <w:color w:val="auto"/>
        </w:rPr>
        <w:t xml:space="preserve"> </w:t>
      </w:r>
      <w:r>
        <w:rPr>
          <w:rFonts w:ascii="Arial" w:cs="Arial" w:eastAsia="Arial" w:hAnsi="Arial"/>
          <w:sz w:val="16"/>
          <w:szCs w:val="16"/>
          <w:color w:val="auto"/>
        </w:rPr>
        <w:t>from declaring or paying any dividends on Fannie Mae equity securities (other than the senior preferred stock) without the prior written consent of Treasury. In addition, the provisions of the senior preferred stock provide for dividends each quarter through and including the capital reserve end date in the amount, if any, by which our net worth as of the end of the immediately preceding fiscal quarter exceeds an applicable capital reserve amount. The applicable capital reserve amount is the amount of adjusted total capital necessary for us to meet the capital requirements and buffers set forth in the enterprise regulatory capital framework. The capital reserve end date is defined as the last day of the second consecutive fiscal quarter during which we have had and maintained capital equal to, or in excess of, all of the capital requirements and buffers under the enterprise regulatory capital framework. After the capital reserve end date, the amount of quarterly dividends to Treasury will be equal to the lesser of any quarterly increase in our net worth and a 10% annual rate on the then-current liquidation preference of the senior preferred stock. As a result, our ability to retain earnings in excess of the capital requirements and buffers set forth in the enterprise regulatory capital framework will be limited. For more information on the terms of the senior preferred stock purchase agreement and senior preferred stock, see “Business—Conservatorship and Treasury Agreements” in our 2024 Form 10-K.</w:t>
      </w:r>
    </w:p>
    <w:p>
      <w:pPr>
        <w:spacing w:after="0" w:line="46"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i w:val="1"/>
          <w:iCs w:val="1"/>
          <w:color w:val="auto"/>
        </w:rPr>
        <w:t xml:space="preserve">Additional Restrictions Relating to Preferred Stock. </w:t>
      </w:r>
      <w:r>
        <w:rPr>
          <w:rFonts w:ascii="Arial" w:cs="Arial" w:eastAsia="Arial" w:hAnsi="Arial"/>
          <w:sz w:val="16"/>
          <w:szCs w:val="16"/>
          <w:color w:val="auto"/>
        </w:rPr>
        <w:t>Payment of dividends on our common stock is also subject to the prior payment of dividends on our</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and our senior preferred stock. Payment of dividends on all outstanding preferred stock, other than the senior preferred stock, is also subject to the prior payment of dividends on the senior preferred stock.</w:t>
      </w:r>
    </w:p>
    <w:p>
      <w:pPr>
        <w:spacing w:after="0" w:line="2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 xml:space="preserve">Statutory Restrictions. </w:t>
      </w:r>
      <w:r>
        <w:rPr>
          <w:rFonts w:ascii="Arial" w:cs="Arial" w:eastAsia="Arial" w:hAnsi="Arial"/>
          <w:sz w:val="16"/>
          <w:szCs w:val="16"/>
          <w:color w:val="auto"/>
        </w:rPr>
        <w:t>Under the GSE Act, we are not permitted to make a capital distribution (including the payment of dividends) if, after making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we would be undercapitalized. The Director of FHFA, however, may permit us to repurchase shares if the repurchase is made in connection with the issuance of additional shares or obligations in at least an equivalent amount and will reduce our financial obligations or otherwise improve our financial condition. The GSE Act also provides that: (1) if we are classified as undercapitalized, we may not make a capital distribution that would result in our reclassification as significantly or critically undercapitalized; and (2) if we are classified as significantly undercapitalized, we may not make a capital distribution that would result in our reclassification as critically undercapitalized and we may not make any other capital distribution without the approval of the Director of FHFA. Our capital classifications have been suspended during conservatorship. In addition, under the Charter Act, we must obtain the prior written approval of FHFA to make a capital distribution that would decrease our total capital to an amount less than the risk-based capital level or that would decrease our core capital to an amount less than the minimum capital level.</w:t>
      </w:r>
    </w:p>
    <w:p>
      <w:pPr>
        <w:spacing w:after="0" w:line="4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i w:val="1"/>
          <w:iCs w:val="1"/>
          <w:color w:val="auto"/>
        </w:rPr>
        <w:t xml:space="preserve">Restrictions Under Enterprise Regulatory Capital Framework. </w:t>
      </w:r>
      <w:r>
        <w:rPr>
          <w:rFonts w:ascii="Arial" w:cs="Arial" w:eastAsia="Arial" w:hAnsi="Arial"/>
          <w:sz w:val="16"/>
          <w:szCs w:val="16"/>
          <w:color w:val="auto"/>
        </w:rPr>
        <w:t>The enterprise regulatory capital framework rule establishes capital planning and prior notice</w:t>
      </w:r>
      <w:r>
        <w:rPr>
          <w:rFonts w:ascii="Arial" w:cs="Arial" w:eastAsia="Arial" w:hAnsi="Arial"/>
          <w:sz w:val="16"/>
          <w:szCs w:val="16"/>
          <w:i w:val="1"/>
          <w:iCs w:val="1"/>
          <w:color w:val="auto"/>
        </w:rPr>
        <w:t xml:space="preserve"> </w:t>
      </w:r>
      <w:r>
        <w:rPr>
          <w:rFonts w:ascii="Arial" w:cs="Arial" w:eastAsia="Arial" w:hAnsi="Arial"/>
          <w:sz w:val="16"/>
          <w:szCs w:val="16"/>
          <w:color w:val="auto"/>
        </w:rPr>
        <w:t>and approval requirements for capital distributions. In addition, while not currently applicable, our payment of dividends and capital distributions will be subject to the following restrictions under the enterprise regulatory capital framework effective on the date of termination of our conservatorship:</w:t>
      </w:r>
    </w:p>
    <w:p>
      <w:pPr>
        <w:spacing w:after="0" w:line="24"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During a calendar quarter, we will not be permitted to pay dividends or make any other capital distributions (or create an obligation to make such distributions) that, in the aggregate, exceed the amount equal to our eligible retained income for the quarter multiplied by our maximum payout ratio. The maximum payout ratio for a given quarter is the lowest of the payout ratios determined by our capital conservation buffer and our leverage buffer. We will not be subject to this limitation on distributions if we have a capital conservation buffer that is greater than our prescribed capital conservation buffer amount and a leverage buffer that is greater than our prescribed leverage buffer amount. Notwithstanding the above-described limitations, FHFA may permit us to make a distribution upon our request, if FHFA determines that the distribution would not be contrary to the purposes of this section of the enterprise regulatory capital framework or to our safety and soundness. We will not be permitted to make any distributions during a quarter if our eligible retained income is negative and either (a) our capital conservation buffer is less than our stress capital buffer or (b) our leverage buffer is less than our prescribed leverage buffer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503555</wp:posOffset>
            </wp:positionV>
            <wp:extent cx="71386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114</w:t>
            </w:r>
          </w:p>
        </w:tc>
      </w:tr>
      <w:tr>
        <w:trPr>
          <w:trHeight w:val="220"/>
        </w:trPr>
        <w:tc>
          <w:tcPr>
            <w:tcW w:w="6820" w:type="dxa"/>
            <w:vAlign w:val="bottom"/>
            <w:tcBorders>
              <w:bottom w:val="single" w:sz="8" w:color="9A9A9A"/>
            </w:tcBorders>
          </w:tcPr>
          <w:p>
            <w:pPr>
              <w:spacing w:after="0"/>
              <w:rPr>
                <w:sz w:val="19"/>
                <w:szCs w:val="19"/>
                <w:color w:val="auto"/>
              </w:rPr>
            </w:pPr>
          </w:p>
        </w:tc>
        <w:tc>
          <w:tcPr>
            <w:tcW w:w="44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7" w:name="page118"/>
    <w:bookmarkEnd w:id="117"/>
    <w:p>
      <w:pPr>
        <w:ind w:left="10060"/>
        <w:spacing w:after="0"/>
        <w:rPr>
          <w:sz w:val="20"/>
          <w:szCs w:val="20"/>
          <w:color w:val="auto"/>
        </w:rPr>
      </w:pPr>
      <w:r>
        <w:rPr>
          <w:rFonts w:ascii="Arial" w:cs="Arial" w:eastAsia="Arial" w:hAnsi="Arial"/>
          <w:sz w:val="14"/>
          <w:szCs w:val="14"/>
          <w:color w:val="05314D"/>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3. Defaults Upon Senior Securities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4. Mine Safety Disclosures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53"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5. Other Information</w:t>
      </w:r>
    </w:p>
    <w:p>
      <w:pPr>
        <w:spacing w:after="0" w:line="112" w:lineRule="exact"/>
        <w:rPr>
          <w:sz w:val="20"/>
          <w:szCs w:val="20"/>
          <w:color w:val="auto"/>
        </w:rPr>
      </w:pPr>
    </w:p>
    <w:p>
      <w:pPr>
        <w:spacing w:after="0"/>
        <w:rPr>
          <w:sz w:val="20"/>
          <w:szCs w:val="20"/>
          <w:color w:val="auto"/>
        </w:rPr>
      </w:pPr>
      <w:r>
        <w:rPr>
          <w:rFonts w:ascii="Georgia" w:cs="Georgia" w:eastAsia="Georgia" w:hAnsi="Georgia"/>
          <w:sz w:val="21"/>
          <w:szCs w:val="21"/>
          <w:b w:val="1"/>
          <w:bCs w:val="1"/>
          <w:color w:val="05314D"/>
        </w:rPr>
        <w:t>Trading Arrangements</w:t>
      </w:r>
    </w:p>
    <w:p>
      <w:pPr>
        <w:spacing w:after="0" w:line="63"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color w:val="auto"/>
        </w:rPr>
        <w:t>During the quarter ended September 30, 2025, no Fannie Mae director or officer (as that term is defined by the SEC in Rule 16a-1(f) under the Exchange Act) adopted or terminated a Rule 10b5-1 trading arrangement or a non-Rule 10b5-1 trading arrangement for transactions in Fannie Mae securities.</w:t>
      </w:r>
    </w:p>
    <w:p>
      <w:pPr>
        <w:spacing w:after="0" w:line="55" w:lineRule="exact"/>
        <w:rPr>
          <w:sz w:val="20"/>
          <w:szCs w:val="20"/>
          <w:color w:val="auto"/>
        </w:rPr>
      </w:pPr>
    </w:p>
    <w:p>
      <w:pPr>
        <w:spacing w:after="0"/>
        <w:rPr>
          <w:sz w:val="20"/>
          <w:szCs w:val="20"/>
          <w:color w:val="auto"/>
        </w:rPr>
      </w:pPr>
      <w:r>
        <w:rPr>
          <w:rFonts w:ascii="Georgia" w:cs="Georgia" w:eastAsia="Georgia" w:hAnsi="Georgia"/>
          <w:sz w:val="27"/>
          <w:szCs w:val="27"/>
          <w:b w:val="1"/>
          <w:bCs w:val="1"/>
          <w:color w:val="05314D"/>
        </w:rPr>
        <w:t>Item 6. Exhibits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below are being filed or furnished with or incorporated by reference into this report.</w:t>
      </w:r>
    </w:p>
    <w:p>
      <w:pPr>
        <w:spacing w:after="0" w:line="14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20" w:type="dxa"/>
            <w:vAlign w:val="bottom"/>
          </w:tcPr>
          <w:p>
            <w:pPr>
              <w:spacing w:after="0"/>
              <w:rPr>
                <w:sz w:val="20"/>
                <w:szCs w:val="20"/>
                <w:color w:val="auto"/>
              </w:rPr>
            </w:pPr>
            <w:r>
              <w:rPr>
                <w:rFonts w:ascii="Arial" w:cs="Arial" w:eastAsia="Arial" w:hAnsi="Arial"/>
                <w:sz w:val="15"/>
                <w:szCs w:val="15"/>
                <w:b w:val="1"/>
                <w:bCs w:val="1"/>
                <w:color w:val="auto"/>
                <w:w w:val="97"/>
              </w:rPr>
              <w:t>Item</w:t>
            </w:r>
          </w:p>
        </w:tc>
        <w:tc>
          <w:tcPr>
            <w:tcW w:w="1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500" w:type="dxa"/>
            <w:vAlign w:val="bottom"/>
            <w:gridSpan w:val="11"/>
          </w:tcPr>
          <w:p>
            <w:pPr>
              <w:ind w:left="1320"/>
              <w:spacing w:after="0"/>
              <w:rPr>
                <w:sz w:val="20"/>
                <w:szCs w:val="20"/>
                <w:color w:val="auto"/>
              </w:rPr>
            </w:pPr>
            <w:r>
              <w:rPr>
                <w:rFonts w:ascii="Arial" w:cs="Arial" w:eastAsia="Arial" w:hAnsi="Arial"/>
                <w:sz w:val="15"/>
                <w:szCs w:val="15"/>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w:t>
            </w:r>
          </w:p>
        </w:tc>
        <w:tc>
          <w:tcPr>
            <w:tcW w:w="1060" w:type="dxa"/>
            <w:vAlign w:val="bottom"/>
          </w:tcPr>
          <w:p>
            <w:pPr>
              <w:spacing w:after="0"/>
              <w:rPr>
                <w:sz w:val="16"/>
                <w:szCs w:val="16"/>
                <w:color w:val="auto"/>
              </w:rPr>
            </w:pPr>
          </w:p>
        </w:tc>
        <w:tc>
          <w:tcPr>
            <w:tcW w:w="9600" w:type="dxa"/>
            <w:vAlign w:val="bottom"/>
            <w:gridSpan w:val="12"/>
          </w:tcPr>
          <w:p>
            <w:pPr>
              <w:spacing w:after="0"/>
              <w:rPr>
                <w:rFonts w:ascii="Arial" w:cs="Arial" w:eastAsia="Arial" w:hAnsi="Arial"/>
                <w:sz w:val="15"/>
                <w:szCs w:val="15"/>
                <w:color w:val="0000FF"/>
              </w:rPr>
            </w:pPr>
            <w:hyperlink r:id="rId527">
              <w:r>
                <w:rPr>
                  <w:rFonts w:ascii="Arial" w:cs="Arial" w:eastAsia="Arial" w:hAnsi="Arial"/>
                  <w:sz w:val="15"/>
                  <w:szCs w:val="15"/>
                  <w:color w:val="0000FF"/>
                </w:rPr>
                <w:t>Fannie Mae Charter Act (12 U.S.C. § 1716 et seq.) as amended through July 25, 2019 (Incorporated by reference to Exhibit 3.1 to Fannie</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0" w:type="dxa"/>
            <w:vAlign w:val="bottom"/>
            <w:tcBorders>
              <w:top w:val="single" w:sz="8" w:color="0000FF"/>
            </w:tcBorders>
            <w:gridSpan w:val="11"/>
          </w:tcPr>
          <w:p>
            <w:pPr>
              <w:spacing w:after="0" w:line="135" w:lineRule="exact"/>
              <w:rPr>
                <w:rFonts w:ascii="Arial" w:cs="Arial" w:eastAsia="Arial" w:hAnsi="Arial"/>
                <w:sz w:val="15"/>
                <w:szCs w:val="15"/>
                <w:color w:val="0000FF"/>
              </w:rPr>
            </w:pPr>
            <w:hyperlink r:id="rId527">
              <w:r>
                <w:rPr>
                  <w:rFonts w:ascii="Arial" w:cs="Arial" w:eastAsia="Arial" w:hAnsi="Arial"/>
                  <w:sz w:val="15"/>
                  <w:szCs w:val="15"/>
                  <w:color w:val="0000FF"/>
                </w:rPr>
                <w:t>Mae’s Quarterly Report on Form 10-Q for the quarter ended September 30, 2019, filed October 31, 2019.)</w:t>
              </w:r>
            </w:hyperlink>
          </w:p>
        </w:tc>
        <w:tc>
          <w:tcPr>
            <w:tcW w:w="200" w:type="dxa"/>
            <w:vAlign w:val="bottom"/>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w:t>
            </w:r>
          </w:p>
        </w:tc>
        <w:tc>
          <w:tcPr>
            <w:tcW w:w="1060" w:type="dxa"/>
            <w:vAlign w:val="bottom"/>
          </w:tcPr>
          <w:p>
            <w:pPr>
              <w:spacing w:after="0"/>
              <w:rPr>
                <w:sz w:val="16"/>
                <w:szCs w:val="16"/>
                <w:color w:val="auto"/>
              </w:rPr>
            </w:pPr>
          </w:p>
        </w:tc>
        <w:tc>
          <w:tcPr>
            <w:tcW w:w="9600" w:type="dxa"/>
            <w:vAlign w:val="bottom"/>
            <w:gridSpan w:val="12"/>
          </w:tcPr>
          <w:p>
            <w:pPr>
              <w:spacing w:after="0"/>
              <w:rPr>
                <w:rFonts w:ascii="Arial" w:cs="Arial" w:eastAsia="Arial" w:hAnsi="Arial"/>
                <w:sz w:val="15"/>
                <w:szCs w:val="15"/>
                <w:color w:val="0000FF"/>
              </w:rPr>
            </w:pPr>
            <w:hyperlink r:id="rId528">
              <w:r>
                <w:rPr>
                  <w:rFonts w:ascii="Arial" w:cs="Arial" w:eastAsia="Arial" w:hAnsi="Arial"/>
                  <w:sz w:val="15"/>
                  <w:szCs w:val="15"/>
                  <w:color w:val="0000FF"/>
                </w:rPr>
                <w:t>Fannie Mae Bylaws, as amended through January 29, 2019 (Incorporated by reference to Exhibit 3.2 to Fannie Mae’s Annual Report on</w:t>
              </w:r>
            </w:hyperlink>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320" w:type="dxa"/>
            <w:vAlign w:val="bottom"/>
            <w:tcBorders>
              <w:top w:val="single" w:sz="8" w:color="0000FF"/>
            </w:tcBorders>
            <w:gridSpan w:val="10"/>
          </w:tcPr>
          <w:p>
            <w:pPr>
              <w:spacing w:after="0" w:line="135" w:lineRule="exact"/>
              <w:rPr>
                <w:rFonts w:ascii="Arial" w:cs="Arial" w:eastAsia="Arial" w:hAnsi="Arial"/>
                <w:sz w:val="15"/>
                <w:szCs w:val="15"/>
                <w:color w:val="0000FF"/>
              </w:rPr>
            </w:pPr>
            <w:hyperlink r:id="rId528">
              <w:r>
                <w:rPr>
                  <w:rFonts w:ascii="Arial" w:cs="Arial" w:eastAsia="Arial" w:hAnsi="Arial"/>
                  <w:sz w:val="15"/>
                  <w:szCs w:val="15"/>
                  <w:color w:val="0000FF"/>
                </w:rPr>
                <w:t>Form 10-K for the year ended December 31, 2018, filed February 14, 2019.)</w:t>
              </w:r>
            </w:hyperlink>
          </w:p>
        </w:tc>
        <w:tc>
          <w:tcPr>
            <w:tcW w:w="280" w:type="dxa"/>
            <w:vAlign w:val="bottom"/>
            <w:gridSpan w:val="2"/>
          </w:tcPr>
          <w:p>
            <w:pPr>
              <w:spacing w:after="0"/>
              <w:rPr>
                <w:sz w:val="11"/>
                <w:szCs w:val="1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18.1</w:t>
            </w:r>
          </w:p>
        </w:tc>
        <w:tc>
          <w:tcPr>
            <w:tcW w:w="1060" w:type="dxa"/>
            <w:vAlign w:val="bottom"/>
          </w:tcPr>
          <w:p>
            <w:pPr>
              <w:spacing w:after="0"/>
              <w:rPr>
                <w:sz w:val="16"/>
                <w:szCs w:val="16"/>
                <w:color w:val="auto"/>
              </w:rPr>
            </w:pPr>
          </w:p>
        </w:tc>
        <w:tc>
          <w:tcPr>
            <w:tcW w:w="9600" w:type="dxa"/>
            <w:vAlign w:val="bottom"/>
            <w:gridSpan w:val="12"/>
          </w:tcPr>
          <w:p>
            <w:pPr>
              <w:spacing w:after="0"/>
              <w:rPr>
                <w:sz w:val="20"/>
                <w:szCs w:val="20"/>
                <w:color w:val="auto"/>
              </w:rPr>
            </w:pPr>
            <w:r>
              <w:rPr>
                <w:rFonts w:ascii="Arial" w:cs="Arial" w:eastAsia="Arial" w:hAnsi="Arial"/>
                <w:sz w:val="15"/>
                <w:szCs w:val="15"/>
                <w:color w:val="0000FF"/>
              </w:rPr>
              <w:t>Letter from Deloitte &amp; Touche LLP, Independent Registered Public Accounting Firm, Regarding Change in Accounting Principle for Cash</w:t>
            </w:r>
          </w:p>
        </w:tc>
      </w:tr>
      <w:tr>
        <w:trPr>
          <w:trHeight w:val="135"/>
        </w:trPr>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00" w:type="dxa"/>
            <w:vAlign w:val="bottom"/>
            <w:tcBorders>
              <w:top w:val="single" w:sz="8" w:color="0000FF"/>
              <w:bottom w:val="single" w:sz="8" w:color="0000FF"/>
            </w:tcBorders>
          </w:tcPr>
          <w:p>
            <w:pPr>
              <w:spacing w:after="0" w:line="135" w:lineRule="exact"/>
              <w:rPr>
                <w:sz w:val="20"/>
                <w:szCs w:val="20"/>
                <w:color w:val="auto"/>
              </w:rPr>
            </w:pPr>
            <w:r>
              <w:rPr>
                <w:rFonts w:ascii="Arial" w:cs="Arial" w:eastAsia="Arial" w:hAnsi="Arial"/>
                <w:sz w:val="15"/>
                <w:szCs w:val="15"/>
                <w:color w:val="0000FF"/>
              </w:rPr>
              <w:t>Equivalents and Restricted Cash Equivalents</w:t>
            </w:r>
          </w:p>
        </w:tc>
        <w:tc>
          <w:tcPr>
            <w:tcW w:w="6200" w:type="dxa"/>
            <w:vAlign w:val="bottom"/>
            <w:tcBorders>
              <w:top w:val="single" w:sz="8" w:color="0000FF"/>
            </w:tcBorders>
            <w:gridSpan w:val="8"/>
          </w:tcPr>
          <w:p>
            <w:pPr>
              <w:spacing w:after="0"/>
              <w:rPr>
                <w:sz w:val="11"/>
                <w:szCs w:val="11"/>
                <w:color w:val="auto"/>
              </w:rPr>
            </w:pPr>
          </w:p>
        </w:tc>
        <w:tc>
          <w:tcPr>
            <w:tcW w:w="300" w:type="dxa"/>
            <w:vAlign w:val="bottom"/>
            <w:gridSpan w:val="3"/>
          </w:tcPr>
          <w:p>
            <w:pPr>
              <w:spacing w:after="0"/>
              <w:rPr>
                <w:sz w:val="11"/>
                <w:szCs w:val="11"/>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31.1</w:t>
            </w:r>
          </w:p>
        </w:tc>
        <w:tc>
          <w:tcPr>
            <w:tcW w:w="1060" w:type="dxa"/>
            <w:vAlign w:val="bottom"/>
          </w:tcPr>
          <w:p>
            <w:pPr>
              <w:spacing w:after="0"/>
              <w:rPr>
                <w:sz w:val="16"/>
                <w:szCs w:val="16"/>
                <w:color w:val="auto"/>
              </w:rPr>
            </w:pPr>
          </w:p>
        </w:tc>
        <w:tc>
          <w:tcPr>
            <w:tcW w:w="9600" w:type="dxa"/>
            <w:vAlign w:val="bottom"/>
            <w:gridSpan w:val="12"/>
          </w:tcPr>
          <w:p>
            <w:pPr>
              <w:spacing w:after="0"/>
              <w:rPr>
                <w:sz w:val="20"/>
                <w:szCs w:val="20"/>
                <w:color w:val="auto"/>
              </w:rPr>
            </w:pPr>
            <w:r>
              <w:rPr>
                <w:rFonts w:ascii="Arial" w:cs="Arial" w:eastAsia="Arial" w:hAnsi="Arial"/>
                <w:sz w:val="15"/>
                <w:szCs w:val="15"/>
                <w:color w:val="0000FF"/>
              </w:rPr>
              <w:t>Certification of Chief Executive Officer pursuant to Securities Exchange Act Rule 13a-14(a)</w:t>
            </w: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31.2</w:t>
            </w:r>
          </w:p>
        </w:tc>
        <w:tc>
          <w:tcPr>
            <w:tcW w:w="1060" w:type="dxa"/>
            <w:vAlign w:val="bottom"/>
          </w:tcPr>
          <w:p>
            <w:pPr>
              <w:spacing w:after="0"/>
              <w:rPr>
                <w:sz w:val="16"/>
                <w:szCs w:val="16"/>
                <w:color w:val="auto"/>
              </w:rPr>
            </w:pPr>
          </w:p>
        </w:tc>
        <w:tc>
          <w:tcPr>
            <w:tcW w:w="6220" w:type="dxa"/>
            <w:vAlign w:val="bottom"/>
            <w:tcBorders>
              <w:top w:val="single" w:sz="8" w:color="0000FF"/>
            </w:tcBorders>
            <w:gridSpan w:val="7"/>
          </w:tcPr>
          <w:p>
            <w:pPr>
              <w:spacing w:after="0"/>
              <w:rPr>
                <w:sz w:val="20"/>
                <w:szCs w:val="20"/>
                <w:color w:val="auto"/>
              </w:rPr>
            </w:pPr>
            <w:r>
              <w:rPr>
                <w:rFonts w:ascii="Arial" w:cs="Arial" w:eastAsia="Arial" w:hAnsi="Arial"/>
                <w:sz w:val="15"/>
                <w:szCs w:val="15"/>
                <w:color w:val="0000FF"/>
              </w:rPr>
              <w:t>Certification of Chief Financial Officer pursuant to Securities Exchange Act Rule 13a-14(a)</w:t>
            </w:r>
          </w:p>
        </w:tc>
        <w:tc>
          <w:tcPr>
            <w:tcW w:w="3380" w:type="dxa"/>
            <w:vAlign w:val="bottom"/>
            <w:gridSpan w:val="5"/>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32.1</w:t>
            </w:r>
          </w:p>
        </w:tc>
        <w:tc>
          <w:tcPr>
            <w:tcW w:w="1060" w:type="dxa"/>
            <w:vAlign w:val="bottom"/>
          </w:tcPr>
          <w:p>
            <w:pPr>
              <w:spacing w:after="0"/>
              <w:rPr>
                <w:sz w:val="16"/>
                <w:szCs w:val="16"/>
                <w:color w:val="auto"/>
              </w:rPr>
            </w:pPr>
          </w:p>
        </w:tc>
        <w:tc>
          <w:tcPr>
            <w:tcW w:w="6160" w:type="dxa"/>
            <w:vAlign w:val="bottom"/>
            <w:tcBorders>
              <w:top w:val="single" w:sz="8" w:color="0000FF"/>
            </w:tcBorders>
            <w:gridSpan w:val="6"/>
          </w:tcPr>
          <w:p>
            <w:pPr>
              <w:spacing w:after="0"/>
              <w:rPr>
                <w:sz w:val="20"/>
                <w:szCs w:val="20"/>
                <w:color w:val="auto"/>
              </w:rPr>
            </w:pPr>
            <w:r>
              <w:rPr>
                <w:rFonts w:ascii="Arial" w:cs="Arial" w:eastAsia="Arial" w:hAnsi="Arial"/>
                <w:sz w:val="15"/>
                <w:szCs w:val="15"/>
                <w:color w:val="0000FF"/>
              </w:rPr>
              <w:t>Certification of Chief Executive Officer pursuant to 18 U.S.C. Section 1350</w:t>
            </w:r>
          </w:p>
        </w:tc>
        <w:tc>
          <w:tcPr>
            <w:tcW w:w="3440" w:type="dxa"/>
            <w:vAlign w:val="bottom"/>
            <w:gridSpan w:val="6"/>
          </w:tcPr>
          <w:p>
            <w:pPr>
              <w:spacing w:after="0"/>
              <w:rPr>
                <w:sz w:val="16"/>
                <w:szCs w:val="16"/>
                <w:color w:val="auto"/>
              </w:rPr>
            </w:pPr>
          </w:p>
        </w:tc>
      </w:tr>
      <w:tr>
        <w:trPr>
          <w:trHeight w:val="186"/>
        </w:trPr>
        <w:tc>
          <w:tcPr>
            <w:tcW w:w="320" w:type="dxa"/>
            <w:vAlign w:val="bottom"/>
          </w:tcPr>
          <w:p>
            <w:pPr>
              <w:spacing w:after="0"/>
              <w:rPr>
                <w:sz w:val="20"/>
                <w:szCs w:val="20"/>
                <w:color w:val="auto"/>
              </w:rPr>
            </w:pPr>
            <w:r>
              <w:rPr>
                <w:rFonts w:ascii="Arial" w:cs="Arial" w:eastAsia="Arial" w:hAnsi="Arial"/>
                <w:sz w:val="15"/>
                <w:szCs w:val="15"/>
                <w:color w:val="auto"/>
              </w:rPr>
              <w:t>32.2</w:t>
            </w:r>
          </w:p>
        </w:tc>
        <w:tc>
          <w:tcPr>
            <w:tcW w:w="1060" w:type="dxa"/>
            <w:vAlign w:val="bottom"/>
          </w:tcPr>
          <w:p>
            <w:pPr>
              <w:spacing w:after="0"/>
              <w:rPr>
                <w:sz w:val="16"/>
                <w:szCs w:val="16"/>
                <w:color w:val="auto"/>
              </w:rPr>
            </w:pPr>
          </w:p>
        </w:tc>
        <w:tc>
          <w:tcPr>
            <w:tcW w:w="50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5"/>
                <w:szCs w:val="15"/>
                <w:color w:val="0000FF"/>
              </w:rPr>
              <w:t>Certification of Chief Financial Officer pursuant to 18 U.S.C. Section 1350</w:t>
            </w:r>
          </w:p>
        </w:tc>
        <w:tc>
          <w:tcPr>
            <w:tcW w:w="40" w:type="dxa"/>
            <w:vAlign w:val="bottom"/>
            <w:tcBorders>
              <w:top w:val="single" w:sz="8" w:color="0000FF"/>
            </w:tcBorders>
          </w:tcPr>
          <w:p>
            <w:pPr>
              <w:spacing w:after="0"/>
              <w:rPr>
                <w:sz w:val="16"/>
                <w:szCs w:val="16"/>
                <w:color w:val="auto"/>
              </w:rPr>
            </w:pPr>
          </w:p>
        </w:tc>
        <w:tc>
          <w:tcPr>
            <w:tcW w:w="4520" w:type="dxa"/>
            <w:vAlign w:val="bottom"/>
            <w:gridSpan w:val="8"/>
          </w:tcPr>
          <w:p>
            <w:pPr>
              <w:spacing w:after="0"/>
              <w:rPr>
                <w:sz w:val="16"/>
                <w:szCs w:val="16"/>
                <w:color w:val="auto"/>
              </w:rPr>
            </w:pPr>
          </w:p>
        </w:tc>
      </w:tr>
      <w:tr>
        <w:trPr>
          <w:trHeight w:val="174"/>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INS</w:t>
            </w:r>
          </w:p>
        </w:tc>
        <w:tc>
          <w:tcPr>
            <w:tcW w:w="9600" w:type="dxa"/>
            <w:vAlign w:val="bottom"/>
            <w:gridSpan w:val="12"/>
          </w:tcPr>
          <w:p>
            <w:pPr>
              <w:spacing w:after="0"/>
              <w:rPr>
                <w:sz w:val="20"/>
                <w:szCs w:val="20"/>
                <w:color w:val="auto"/>
              </w:rPr>
            </w:pPr>
            <w:r>
              <w:rPr>
                <w:rFonts w:ascii="Arial" w:cs="Arial" w:eastAsia="Arial" w:hAnsi="Arial"/>
                <w:sz w:val="15"/>
                <w:szCs w:val="15"/>
                <w:color w:val="auto"/>
              </w:rPr>
              <w:t>Inline XBRL Instance Document* - the instance document does not appear in the Interactive Data File because its XBRL tags are embedded</w:t>
            </w:r>
          </w:p>
        </w:tc>
      </w:tr>
      <w:tr>
        <w:trPr>
          <w:trHeight w:val="204"/>
        </w:trPr>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0" w:type="dxa"/>
            <w:vAlign w:val="bottom"/>
            <w:gridSpan w:val="12"/>
          </w:tcPr>
          <w:p>
            <w:pPr>
              <w:spacing w:after="0"/>
              <w:rPr>
                <w:sz w:val="20"/>
                <w:szCs w:val="20"/>
                <w:color w:val="auto"/>
              </w:rPr>
            </w:pPr>
            <w:r>
              <w:rPr>
                <w:rFonts w:ascii="Arial" w:cs="Arial" w:eastAsia="Arial" w:hAnsi="Arial"/>
                <w:sz w:val="15"/>
                <w:szCs w:val="15"/>
                <w:color w:val="auto"/>
              </w:rPr>
              <w:t>within the Inline XBRL document</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SCH</w:t>
            </w:r>
          </w:p>
        </w:tc>
        <w:tc>
          <w:tcPr>
            <w:tcW w:w="9600" w:type="dxa"/>
            <w:vAlign w:val="bottom"/>
            <w:gridSpan w:val="12"/>
          </w:tcPr>
          <w:p>
            <w:pPr>
              <w:spacing w:after="0"/>
              <w:rPr>
                <w:sz w:val="20"/>
                <w:szCs w:val="20"/>
                <w:color w:val="auto"/>
              </w:rPr>
            </w:pPr>
            <w:r>
              <w:rPr>
                <w:rFonts w:ascii="Arial" w:cs="Arial" w:eastAsia="Arial" w:hAnsi="Arial"/>
                <w:sz w:val="15"/>
                <w:szCs w:val="15"/>
                <w:color w:val="auto"/>
              </w:rPr>
              <w:t>Inline XBRL Taxonomy Extension Schema*</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CAL</w:t>
            </w:r>
          </w:p>
        </w:tc>
        <w:tc>
          <w:tcPr>
            <w:tcW w:w="9600" w:type="dxa"/>
            <w:vAlign w:val="bottom"/>
            <w:gridSpan w:val="12"/>
          </w:tcPr>
          <w:p>
            <w:pPr>
              <w:spacing w:after="0"/>
              <w:rPr>
                <w:sz w:val="20"/>
                <w:szCs w:val="20"/>
                <w:color w:val="auto"/>
              </w:rPr>
            </w:pPr>
            <w:r>
              <w:rPr>
                <w:rFonts w:ascii="Arial" w:cs="Arial" w:eastAsia="Arial" w:hAnsi="Arial"/>
                <w:sz w:val="15"/>
                <w:szCs w:val="15"/>
                <w:color w:val="auto"/>
              </w:rPr>
              <w:t>Inline XBRL Taxonomy Extension Calculation*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DEF</w:t>
            </w:r>
          </w:p>
        </w:tc>
        <w:tc>
          <w:tcPr>
            <w:tcW w:w="9600" w:type="dxa"/>
            <w:vAlign w:val="bottom"/>
            <w:gridSpan w:val="12"/>
          </w:tcPr>
          <w:p>
            <w:pPr>
              <w:spacing w:after="0"/>
              <w:rPr>
                <w:sz w:val="20"/>
                <w:szCs w:val="20"/>
                <w:color w:val="auto"/>
              </w:rPr>
            </w:pPr>
            <w:r>
              <w:rPr>
                <w:rFonts w:ascii="Arial" w:cs="Arial" w:eastAsia="Arial" w:hAnsi="Arial"/>
                <w:sz w:val="15"/>
                <w:szCs w:val="15"/>
                <w:color w:val="auto"/>
              </w:rPr>
              <w:t>Inline XBRL Taxonomy Extension Definition*</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LAB</w:t>
            </w:r>
          </w:p>
        </w:tc>
        <w:tc>
          <w:tcPr>
            <w:tcW w:w="9600" w:type="dxa"/>
            <w:vAlign w:val="bottom"/>
            <w:gridSpan w:val="12"/>
          </w:tcPr>
          <w:p>
            <w:pPr>
              <w:spacing w:after="0"/>
              <w:rPr>
                <w:sz w:val="20"/>
                <w:szCs w:val="20"/>
                <w:color w:val="auto"/>
              </w:rPr>
            </w:pPr>
            <w:r>
              <w:rPr>
                <w:rFonts w:ascii="Arial" w:cs="Arial" w:eastAsia="Arial" w:hAnsi="Arial"/>
                <w:sz w:val="15"/>
                <w:szCs w:val="15"/>
                <w:color w:val="auto"/>
              </w:rPr>
              <w:t>Inline XBRL Taxonomy Extension Label*</w:t>
            </w:r>
          </w:p>
        </w:tc>
      </w:tr>
      <w:tr>
        <w:trPr>
          <w:trHeight w:val="206"/>
        </w:trPr>
        <w:tc>
          <w:tcPr>
            <w:tcW w:w="320" w:type="dxa"/>
            <w:vAlign w:val="bottom"/>
          </w:tcPr>
          <w:p>
            <w:pPr>
              <w:spacing w:after="0"/>
              <w:rPr>
                <w:sz w:val="20"/>
                <w:szCs w:val="20"/>
                <w:color w:val="auto"/>
              </w:rPr>
            </w:pPr>
            <w:r>
              <w:rPr>
                <w:rFonts w:ascii="Arial" w:cs="Arial" w:eastAsia="Arial" w:hAnsi="Arial"/>
                <w:sz w:val="15"/>
                <w:szCs w:val="15"/>
                <w:color w:val="auto"/>
              </w:rPr>
              <w:t>101.</w:t>
            </w:r>
          </w:p>
        </w:tc>
        <w:tc>
          <w:tcPr>
            <w:tcW w:w="1060" w:type="dxa"/>
            <w:vAlign w:val="bottom"/>
          </w:tcPr>
          <w:p>
            <w:pPr>
              <w:ind w:left="20"/>
              <w:spacing w:after="0"/>
              <w:rPr>
                <w:sz w:val="20"/>
                <w:szCs w:val="20"/>
                <w:color w:val="auto"/>
              </w:rPr>
            </w:pPr>
            <w:r>
              <w:rPr>
                <w:rFonts w:ascii="Arial" w:cs="Arial" w:eastAsia="Arial" w:hAnsi="Arial"/>
                <w:sz w:val="15"/>
                <w:szCs w:val="15"/>
                <w:color w:val="auto"/>
              </w:rPr>
              <w:t>PRE</w:t>
            </w:r>
          </w:p>
        </w:tc>
        <w:tc>
          <w:tcPr>
            <w:tcW w:w="9600" w:type="dxa"/>
            <w:vAlign w:val="bottom"/>
            <w:gridSpan w:val="12"/>
          </w:tcPr>
          <w:p>
            <w:pPr>
              <w:spacing w:after="0"/>
              <w:rPr>
                <w:sz w:val="20"/>
                <w:szCs w:val="20"/>
                <w:color w:val="auto"/>
              </w:rPr>
            </w:pPr>
            <w:r>
              <w:rPr>
                <w:rFonts w:ascii="Arial" w:cs="Arial" w:eastAsia="Arial" w:hAnsi="Arial"/>
                <w:sz w:val="15"/>
                <w:szCs w:val="15"/>
                <w:color w:val="auto"/>
              </w:rPr>
              <w:t>Inline XBRL Taxonomy Extension Presentation*</w:t>
            </w:r>
          </w:p>
        </w:tc>
      </w:tr>
    </w:tbl>
    <w:p>
      <w:pPr>
        <w:spacing w:after="0" w:line="2" w:lineRule="exact"/>
        <w:rPr>
          <w:sz w:val="20"/>
          <w:szCs w:val="20"/>
          <w:color w:val="auto"/>
        </w:rPr>
      </w:pPr>
    </w:p>
    <w:p>
      <w:pPr>
        <w:ind w:left="160" w:right="4220" w:firstLine="15"/>
        <w:spacing w:after="0" w:line="516" w:lineRule="auto"/>
        <w:tabs>
          <w:tab w:leader="none" w:pos="1569" w:val="left"/>
        </w:tabs>
        <w:numPr>
          <w:ilvl w:val="1"/>
          <w:numId w:val="89"/>
        </w:numPr>
        <w:rPr>
          <w:rFonts w:ascii="Arial" w:cs="Arial" w:eastAsia="Arial" w:hAnsi="Arial"/>
          <w:sz w:val="15"/>
          <w:szCs w:val="15"/>
          <w:color w:val="auto"/>
        </w:rPr>
      </w:pPr>
      <w:r>
        <w:rPr>
          <w:rFonts w:ascii="Arial" w:cs="Arial" w:eastAsia="Arial" w:hAnsi="Arial"/>
          <w:sz w:val="15"/>
          <w:szCs w:val="15"/>
          <w:color w:val="auto"/>
        </w:rPr>
        <w:t xml:space="preserve">Cover Page Interactive Data File* (embedded within the Inline XBRL document) </w:t>
      </w:r>
      <w:r>
        <w:rPr>
          <w:rFonts w:ascii="Arial" w:cs="Arial" w:eastAsia="Arial" w:hAnsi="Arial"/>
          <w:sz w:val="16"/>
          <w:szCs w:val="16"/>
          <w:color w:val="auto"/>
        </w:rPr>
        <w:t>* The financial information contained in these Inline XBRL documents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258445</wp:posOffset>
            </wp:positionV>
            <wp:extent cx="713867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115</w:t>
            </w:r>
          </w:p>
        </w:tc>
      </w:tr>
      <w:tr>
        <w:trPr>
          <w:trHeight w:val="207"/>
        </w:trPr>
        <w:tc>
          <w:tcPr>
            <w:tcW w:w="6820" w:type="dxa"/>
            <w:vAlign w:val="bottom"/>
            <w:tcBorders>
              <w:bottom w:val="single" w:sz="8" w:color="9A9A9A"/>
            </w:tcBorders>
          </w:tcPr>
          <w:p>
            <w:pPr>
              <w:spacing w:after="0"/>
              <w:rPr>
                <w:sz w:val="17"/>
                <w:szCs w:val="17"/>
                <w:color w:val="auto"/>
              </w:rPr>
            </w:pPr>
          </w:p>
        </w:tc>
        <w:tc>
          <w:tcPr>
            <w:tcW w:w="44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8" w:name="page119"/>
    <w:bookmarkEnd w:id="118"/>
    <w:p>
      <w:pPr>
        <w:jc w:val="right"/>
        <w:ind w:right="120"/>
        <w:spacing w:after="0"/>
        <w:rPr>
          <w:sz w:val="20"/>
          <w:szCs w:val="20"/>
          <w:color w:val="auto"/>
        </w:rPr>
      </w:pPr>
      <w:r>
        <w:rPr>
          <w:rFonts w:ascii="Arial" w:cs="Arial" w:eastAsia="Arial" w:hAnsi="Arial"/>
          <w:sz w:val="14"/>
          <w:szCs w:val="14"/>
          <w:color w:val="05314D"/>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17145</wp:posOffset>
            </wp:positionV>
            <wp:extent cx="70072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2">
                      <a:extLst>
                        <a:ext uri="{28A0092B-C50C-407E-A947-70E740481C1C}"/>
                      </a:extLst>
                    </a:blip>
                    <a:srcRect/>
                    <a:stretch>
                      <a:fillRect/>
                    </a:stretch>
                  </pic:blipFill>
                  <pic:spPr bwMode="auto">
                    <a:xfrm>
                      <a:off x="0" y="0"/>
                      <a:ext cx="700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Georgia" w:cs="Georgia" w:eastAsia="Georgia" w:hAnsi="Georgia"/>
          <w:sz w:val="21"/>
          <w:szCs w:val="21"/>
          <w:b w:val="1"/>
          <w:bCs w:val="1"/>
          <w:color w:val="auto"/>
        </w:rPr>
        <w:t>SIGNATURES</w:t>
      </w:r>
    </w:p>
    <w:p>
      <w:pPr>
        <w:spacing w:after="0" w:line="140" w:lineRule="exact"/>
        <w:rPr>
          <w:sz w:val="20"/>
          <w:szCs w:val="20"/>
          <w:color w:val="auto"/>
        </w:rPr>
      </w:pPr>
    </w:p>
    <w:p>
      <w:pPr>
        <w:ind w:right="880"/>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Federal National Mortgage Association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40"/>
        <w:spacing w:after="0"/>
        <w:tabs>
          <w:tab w:leader="none" w:pos="68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Peter Akwaboah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20955</wp:posOffset>
            </wp:positionV>
            <wp:extent cx="28244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3">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pacing w:after="0" w:line="143"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Peter Akwaboah</w:t>
      </w:r>
    </w:p>
    <w:p>
      <w:pPr>
        <w:ind w:left="6820"/>
        <w:spacing w:after="0" w:line="227" w:lineRule="auto"/>
        <w:rPr>
          <w:sz w:val="20"/>
          <w:szCs w:val="20"/>
          <w:color w:val="auto"/>
        </w:rPr>
      </w:pPr>
      <w:r>
        <w:rPr>
          <w:rFonts w:ascii="Arial" w:cs="Arial" w:eastAsia="Arial" w:hAnsi="Arial"/>
          <w:sz w:val="15"/>
          <w:szCs w:val="15"/>
          <w:color w:val="auto"/>
        </w:rPr>
        <w:t>Acting Chief Executive Officer, and</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Executive Vice President and Chief Operating Officer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Date: October 29, 2025</w:t>
      </w:r>
    </w:p>
    <w:p>
      <w:pPr>
        <w:spacing w:after="0" w:line="135" w:lineRule="exact"/>
        <w:rPr>
          <w:sz w:val="20"/>
          <w:szCs w:val="20"/>
          <w:color w:val="auto"/>
        </w:rPr>
      </w:pPr>
    </w:p>
    <w:p>
      <w:pPr>
        <w:ind w:left="6240"/>
        <w:spacing w:after="0"/>
        <w:tabs>
          <w:tab w:leader="none" w:pos="68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20955</wp:posOffset>
            </wp:positionV>
            <wp:extent cx="28244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4">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Chryssa C. Halley</w:t>
      </w:r>
    </w:p>
    <w:p>
      <w:pPr>
        <w:ind w:left="6820"/>
        <w:spacing w:after="0" w:line="215" w:lineRule="auto"/>
        <w:rPr>
          <w:sz w:val="20"/>
          <w:szCs w:val="20"/>
          <w:color w:val="auto"/>
        </w:rPr>
      </w:pPr>
      <w:r>
        <w:rPr>
          <w:rFonts w:ascii="Arial" w:cs="Arial" w:eastAsia="Arial" w:hAnsi="Arial"/>
          <w:sz w:val="15"/>
          <w:szCs w:val="15"/>
          <w:color w:val="auto"/>
        </w:rPr>
        <w:t>Executive Vice President and</w:t>
      </w:r>
    </w:p>
    <w:p>
      <w:pPr>
        <w:ind w:left="6820"/>
        <w:spacing w:after="0"/>
        <w:rPr>
          <w:sz w:val="20"/>
          <w:szCs w:val="20"/>
          <w:color w:val="auto"/>
        </w:rPr>
      </w:pPr>
      <w:r>
        <w:rPr>
          <w:rFonts w:ascii="Arial" w:cs="Arial" w:eastAsia="Arial" w:hAnsi="Arial"/>
          <w:sz w:val="15"/>
          <w:szCs w:val="15"/>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Date: October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412750</wp:posOffset>
            </wp:positionV>
            <wp:extent cx="713867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20" w:type="dxa"/>
            <w:vAlign w:val="bottom"/>
          </w:tcPr>
          <w:p>
            <w:pPr>
              <w:ind w:left="20"/>
              <w:spacing w:after="0"/>
              <w:rPr>
                <w:sz w:val="20"/>
                <w:szCs w:val="20"/>
                <w:color w:val="auto"/>
              </w:rPr>
            </w:pPr>
            <w:r>
              <w:rPr>
                <w:rFonts w:ascii="Arial" w:cs="Arial" w:eastAsia="Arial" w:hAnsi="Arial"/>
                <w:sz w:val="14"/>
                <w:szCs w:val="14"/>
                <w:color w:val="05314D"/>
              </w:rPr>
              <w:t>Fannie Mae Third Quarter 2025 Form 10-Q</w:t>
            </w:r>
          </w:p>
        </w:tc>
        <w:tc>
          <w:tcPr>
            <w:tcW w:w="4420" w:type="dxa"/>
            <w:vAlign w:val="bottom"/>
          </w:tcPr>
          <w:p>
            <w:pPr>
              <w:jc w:val="right"/>
              <w:spacing w:after="0"/>
              <w:rPr>
                <w:sz w:val="20"/>
                <w:szCs w:val="20"/>
                <w:color w:val="auto"/>
              </w:rPr>
            </w:pPr>
            <w:r>
              <w:rPr>
                <w:rFonts w:ascii="Arial" w:cs="Arial" w:eastAsia="Arial" w:hAnsi="Arial"/>
                <w:sz w:val="14"/>
                <w:szCs w:val="14"/>
                <w:color w:val="05314D"/>
              </w:rPr>
              <w:t>116</w:t>
            </w:r>
          </w:p>
        </w:tc>
      </w:tr>
      <w:tr>
        <w:trPr>
          <w:trHeight w:val="207"/>
        </w:trPr>
        <w:tc>
          <w:tcPr>
            <w:tcW w:w="6820" w:type="dxa"/>
            <w:vAlign w:val="bottom"/>
            <w:tcBorders>
              <w:bottom w:val="single" w:sz="8" w:color="9A9A9A"/>
            </w:tcBorders>
          </w:tcPr>
          <w:p>
            <w:pPr>
              <w:spacing w:after="0"/>
              <w:rPr>
                <w:sz w:val="17"/>
                <w:szCs w:val="17"/>
                <w:color w:val="auto"/>
              </w:rPr>
            </w:pPr>
          </w:p>
        </w:tc>
        <w:tc>
          <w:tcPr>
            <w:tcW w:w="44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48" w:right="339" w:bottom="1440"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2219325</wp:posOffset>
            </wp:positionH>
            <wp:positionV relativeFrom="page">
              <wp:posOffset>5000625</wp:posOffset>
            </wp:positionV>
            <wp:extent cx="3110865" cy="9169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8">
                      <a:clrChange>
                        <a:clrFrom>
                          <a:srgbClr val="FFFFFF"/>
                        </a:clrFrom>
                        <a:clrTo>
                          <a:srgbClr val="FFFFFF">
                            <a:alpha val="0"/>
                          </a:srgbClr>
                        </a:clrTo>
                      </a:clrChange>
                      <a:extLst>
                        <a:ext uri="{28A0092B-C50C-407E-A947-70E740481C1C}"/>
                      </a:extLst>
                    </a:blip>
                    <a:srcRect/>
                    <a:stretch>
                      <a:fillRect/>
                    </a:stretch>
                  </pic:blipFill>
                  <pic:spPr bwMode="auto">
                    <a:xfrm>
                      <a:off x="0" y="0"/>
                      <a:ext cx="3110865" cy="916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right"/>
        <w:spacing w:after="0"/>
        <w:rPr>
          <w:sz w:val="20"/>
          <w:szCs w:val="20"/>
          <w:color w:val="auto"/>
        </w:rPr>
      </w:pPr>
      <w:r>
        <w:rPr>
          <w:rFonts w:ascii="Arial" w:cs="Arial" w:eastAsia="Arial" w:hAnsi="Arial"/>
          <w:sz w:val="16"/>
          <w:szCs w:val="16"/>
          <w:b w:val="1"/>
          <w:bCs w:val="1"/>
          <w:color w:val="auto"/>
        </w:rPr>
        <w:t>Exhibit 18.1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Verdana" w:cs="Verdana" w:eastAsia="Verdana" w:hAnsi="Verdana"/>
          <w:sz w:val="15"/>
          <w:szCs w:val="15"/>
          <w:color w:val="auto"/>
        </w:rPr>
        <w:t>October 29, 2025</w:t>
      </w:r>
    </w:p>
    <w:p>
      <w:pPr>
        <w:spacing w:after="0" w:line="228" w:lineRule="exact"/>
        <w:rPr>
          <w:sz w:val="20"/>
          <w:szCs w:val="20"/>
          <w:color w:val="auto"/>
        </w:rPr>
      </w:pPr>
    </w:p>
    <w:p>
      <w:pPr>
        <w:spacing w:after="0"/>
        <w:rPr>
          <w:sz w:val="20"/>
          <w:szCs w:val="20"/>
          <w:color w:val="auto"/>
        </w:rPr>
      </w:pPr>
      <w:r>
        <w:rPr>
          <w:rFonts w:ascii="Verdana" w:cs="Verdana" w:eastAsia="Verdana" w:hAnsi="Verdana"/>
          <w:sz w:val="15"/>
          <w:szCs w:val="15"/>
          <w:color w:val="auto"/>
        </w:rPr>
        <w:t>Fannie Mae</w:t>
      </w:r>
    </w:p>
    <w:p>
      <w:pPr>
        <w:spacing w:after="0" w:line="220" w:lineRule="auto"/>
        <w:rPr>
          <w:sz w:val="20"/>
          <w:szCs w:val="20"/>
          <w:color w:val="auto"/>
        </w:rPr>
      </w:pPr>
      <w:r>
        <w:rPr>
          <w:rFonts w:ascii="Verdana" w:cs="Verdana" w:eastAsia="Verdana" w:hAnsi="Verdana"/>
          <w:sz w:val="15"/>
          <w:szCs w:val="15"/>
          <w:color w:val="auto"/>
        </w:rPr>
        <w:t>1100 15th Street NW</w:t>
      </w:r>
    </w:p>
    <w:p>
      <w:pPr>
        <w:spacing w:after="0"/>
        <w:rPr>
          <w:sz w:val="20"/>
          <w:szCs w:val="20"/>
          <w:color w:val="auto"/>
        </w:rPr>
      </w:pPr>
      <w:r>
        <w:rPr>
          <w:rFonts w:ascii="Verdana" w:cs="Verdana" w:eastAsia="Verdana" w:hAnsi="Verdana"/>
          <w:sz w:val="15"/>
          <w:szCs w:val="15"/>
          <w:color w:val="auto"/>
        </w:rPr>
        <w:t>Washington, DC 20005</w:t>
      </w:r>
    </w:p>
    <w:p>
      <w:pPr>
        <w:spacing w:after="0" w:line="385" w:lineRule="exact"/>
        <w:rPr>
          <w:sz w:val="20"/>
          <w:szCs w:val="20"/>
          <w:color w:val="auto"/>
        </w:rPr>
      </w:pPr>
    </w:p>
    <w:p>
      <w:pPr>
        <w:spacing w:after="0"/>
        <w:rPr>
          <w:sz w:val="20"/>
          <w:szCs w:val="20"/>
          <w:color w:val="auto"/>
        </w:rPr>
      </w:pPr>
      <w:r>
        <w:rPr>
          <w:rFonts w:ascii="Verdana" w:cs="Verdana" w:eastAsia="Verdana" w:hAnsi="Verdana"/>
          <w:sz w:val="15"/>
          <w:szCs w:val="15"/>
          <w:color w:val="auto"/>
        </w:rPr>
        <w:t>Dear Sirs/Madams:</w:t>
      </w:r>
    </w:p>
    <w:p>
      <w:pPr>
        <w:spacing w:after="0" w:line="166" w:lineRule="exact"/>
        <w:rPr>
          <w:sz w:val="20"/>
          <w:szCs w:val="20"/>
          <w:color w:val="auto"/>
        </w:rPr>
      </w:pPr>
    </w:p>
    <w:p>
      <w:pPr>
        <w:jc w:val="both"/>
        <w:ind w:right="140"/>
        <w:spacing w:after="0" w:line="243" w:lineRule="auto"/>
        <w:rPr>
          <w:sz w:val="20"/>
          <w:szCs w:val="20"/>
          <w:color w:val="auto"/>
        </w:rPr>
      </w:pPr>
      <w:r>
        <w:rPr>
          <w:rFonts w:ascii="Verdana" w:cs="Verdana" w:eastAsia="Verdana" w:hAnsi="Verdana"/>
          <w:sz w:val="15"/>
          <w:szCs w:val="15"/>
          <w:color w:val="auto"/>
        </w:rPr>
        <w:t>At your request, we have read the description included in your Quarterly Report on Form 10-Q to the Securities and Exchange Commission for the quarter ended September 30, 2025, of the facts relating to the change of your accounting principle regarding which financial instruments are presented as cash equivalents and restricted cash equivalents. We believe, on the basis of the facts so set forth and other information</w:t>
      </w:r>
    </w:p>
    <w:p>
      <w:pPr>
        <w:spacing w:after="0" w:line="1" w:lineRule="exact"/>
        <w:rPr>
          <w:sz w:val="20"/>
          <w:szCs w:val="20"/>
          <w:color w:val="auto"/>
        </w:rPr>
      </w:pPr>
    </w:p>
    <w:p>
      <w:pPr>
        <w:ind w:right="160"/>
        <w:spacing w:after="0" w:line="262" w:lineRule="auto"/>
        <w:rPr>
          <w:sz w:val="20"/>
          <w:szCs w:val="20"/>
          <w:color w:val="auto"/>
        </w:rPr>
      </w:pPr>
      <w:r>
        <w:rPr>
          <w:rFonts w:ascii="Verdana" w:cs="Verdana" w:eastAsia="Verdana" w:hAnsi="Verdana"/>
          <w:sz w:val="15"/>
          <w:szCs w:val="15"/>
          <w:color w:val="auto"/>
        </w:rPr>
        <w:t>furnished to us by appropriate officials of Fannie Mae, that the accounting change described in your Form 10-Q is to an alternative accounting principle that is preferable under the circumstances.</w:t>
      </w:r>
    </w:p>
    <w:p>
      <w:pPr>
        <w:spacing w:after="0" w:line="131" w:lineRule="exact"/>
        <w:rPr>
          <w:sz w:val="20"/>
          <w:szCs w:val="20"/>
          <w:color w:val="auto"/>
        </w:rPr>
      </w:pPr>
    </w:p>
    <w:p>
      <w:pPr>
        <w:ind w:right="40"/>
        <w:spacing w:after="0" w:line="243" w:lineRule="auto"/>
        <w:rPr>
          <w:sz w:val="20"/>
          <w:szCs w:val="20"/>
          <w:color w:val="auto"/>
        </w:rPr>
      </w:pPr>
      <w:r>
        <w:rPr>
          <w:rFonts w:ascii="Verdana" w:cs="Verdana" w:eastAsia="Verdana" w:hAnsi="Verdana"/>
          <w:sz w:val="15"/>
          <w:szCs w:val="15"/>
          <w:color w:val="auto"/>
        </w:rPr>
        <w:t>We have not audited any consolidated financial statements of Fannie Mae and consolidated entities (in conservatorship) as of any date or for any period subsequent to December 31, 2024. Therefore, we are unable to express, and we do not express, an opinion on the facts set forth in the above-mentioned Form 10-Q, on the related information furnished to us by officials of Fannie Mae, or on the consolidated balance sheets,</w:t>
      </w:r>
    </w:p>
    <w:p>
      <w:pPr>
        <w:spacing w:after="0" w:line="1" w:lineRule="exact"/>
        <w:rPr>
          <w:sz w:val="20"/>
          <w:szCs w:val="20"/>
          <w:color w:val="auto"/>
        </w:rPr>
      </w:pPr>
    </w:p>
    <w:p>
      <w:pPr>
        <w:ind w:right="320"/>
        <w:spacing w:after="0" w:line="262" w:lineRule="auto"/>
        <w:rPr>
          <w:sz w:val="20"/>
          <w:szCs w:val="20"/>
          <w:color w:val="auto"/>
        </w:rPr>
      </w:pPr>
      <w:r>
        <w:rPr>
          <w:rFonts w:ascii="Verdana" w:cs="Verdana" w:eastAsia="Verdana" w:hAnsi="Verdana"/>
          <w:sz w:val="15"/>
          <w:szCs w:val="15"/>
          <w:color w:val="auto"/>
        </w:rPr>
        <w:t>consolidated statements of operations and comprehensive income, or consolidated statements of cash flows of Fannie Mae and consolidated entities (in conservatorship) as of any date or for any period subsequent to December 31, 2024.</w:t>
      </w:r>
    </w:p>
    <w:p>
      <w:pPr>
        <w:spacing w:after="0" w:line="118" w:lineRule="exact"/>
        <w:rPr>
          <w:sz w:val="20"/>
          <w:szCs w:val="20"/>
          <w:color w:val="auto"/>
        </w:rPr>
      </w:pPr>
    </w:p>
    <w:p>
      <w:pPr>
        <w:spacing w:after="0"/>
        <w:rPr>
          <w:sz w:val="20"/>
          <w:szCs w:val="20"/>
          <w:color w:val="auto"/>
        </w:rPr>
      </w:pPr>
      <w:r>
        <w:rPr>
          <w:rFonts w:ascii="Verdana" w:cs="Verdana" w:eastAsia="Verdana" w:hAnsi="Verdana"/>
          <w:sz w:val="15"/>
          <w:szCs w:val="15"/>
          <w:color w:val="auto"/>
        </w:rPr>
        <w:t>Yours truly,</w:t>
      </w:r>
    </w:p>
    <w:p>
      <w:pPr>
        <w:spacing w:after="0" w:line="166" w:lineRule="exact"/>
        <w:rPr>
          <w:sz w:val="20"/>
          <w:szCs w:val="20"/>
          <w:color w:val="auto"/>
        </w:rPr>
      </w:pPr>
    </w:p>
    <w:p>
      <w:pPr>
        <w:spacing w:after="0"/>
        <w:rPr>
          <w:sz w:val="20"/>
          <w:szCs w:val="20"/>
          <w:color w:val="auto"/>
        </w:rPr>
      </w:pPr>
      <w:r>
        <w:rPr>
          <w:rFonts w:ascii="Verdana" w:cs="Verdana" w:eastAsia="Verdana" w:hAnsi="Verdana"/>
          <w:sz w:val="15"/>
          <w:szCs w:val="15"/>
          <w:color w:val="auto"/>
        </w:rPr>
        <w:t>/s/ Deloitte &amp; Touche LLP</w:t>
      </w:r>
    </w:p>
    <w:p>
      <w:pPr>
        <w:spacing w:after="0" w:line="385" w:lineRule="exact"/>
        <w:rPr>
          <w:sz w:val="20"/>
          <w:szCs w:val="20"/>
          <w:color w:val="auto"/>
        </w:rPr>
      </w:pPr>
    </w:p>
    <w:p>
      <w:pPr>
        <w:spacing w:after="0"/>
        <w:rPr>
          <w:sz w:val="20"/>
          <w:szCs w:val="20"/>
          <w:color w:val="auto"/>
        </w:rPr>
      </w:pPr>
      <w:r>
        <w:rPr>
          <w:rFonts w:ascii="Verdana" w:cs="Verdana" w:eastAsia="Verdana" w:hAnsi="Verdana"/>
          <w:sz w:val="15"/>
          <w:szCs w:val="15"/>
          <w:color w:val="auto"/>
        </w:rPr>
        <w:t>McLean, Virginia</w:t>
      </w:r>
    </w:p>
    <w:p>
      <w:pPr>
        <w:sectPr>
          <w:pgSz w:w="11900" w:h="16838" w:orient="portrait"/>
          <w:cols w:equalWidth="0" w:num="1">
            <w:col w:w="11240"/>
          </w:cols>
          <w:pgMar w:left="320" w:top="362"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SECURITIES EXCHANGE ACT RULE 13a-14(a)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Peter Akwaboah, certify that:</w:t>
      </w:r>
    </w:p>
    <w:p>
      <w:pPr>
        <w:spacing w:after="0" w:line="55" w:lineRule="exact"/>
        <w:rPr>
          <w:sz w:val="20"/>
          <w:szCs w:val="20"/>
          <w:color w:val="auto"/>
        </w:rPr>
      </w:pPr>
    </w:p>
    <w:p>
      <w:pPr>
        <w:ind w:left="240" w:right="580" w:hanging="198"/>
        <w:spacing w:after="0" w:line="269" w:lineRule="auto"/>
        <w:tabs>
          <w:tab w:leader="none" w:pos="40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for the quarter ended September 30, 2025 of Fannie Mae (formally, the Federal National Mortgage Association);</w:t>
      </w:r>
    </w:p>
    <w:p>
      <w:pPr>
        <w:ind w:left="240" w:right="200" w:hanging="198"/>
        <w:spacing w:after="0" w:line="262" w:lineRule="auto"/>
        <w:tabs>
          <w:tab w:leader="none" w:pos="40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Times New Roman" w:cs="Times New Roman" w:eastAsia="Times New Roman" w:hAnsi="Times New Roman"/>
          <w:sz w:val="21"/>
          <w:szCs w:val="21"/>
          <w:color w:val="auto"/>
        </w:rPr>
      </w:pPr>
    </w:p>
    <w:p>
      <w:pPr>
        <w:ind w:left="240" w:right="100" w:hanging="198"/>
        <w:spacing w:after="0" w:line="256" w:lineRule="auto"/>
        <w:tabs>
          <w:tab w:leader="none" w:pos="40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21"/>
          <w:szCs w:val="21"/>
          <w:color w:val="auto"/>
        </w:rPr>
      </w:pPr>
    </w:p>
    <w:p>
      <w:pPr>
        <w:ind w:left="240" w:right="20" w:hanging="198"/>
        <w:spacing w:after="0" w:line="262" w:lineRule="auto"/>
        <w:tabs>
          <w:tab w:leader="none" w:pos="404"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21"/>
          <w:szCs w:val="21"/>
          <w:color w:val="auto"/>
        </w:rPr>
      </w:pPr>
    </w:p>
    <w:p>
      <w:pPr>
        <w:jc w:val="both"/>
        <w:ind w:left="500" w:right="140" w:hanging="187"/>
        <w:spacing w:after="0" w:line="256" w:lineRule="auto"/>
        <w:tabs>
          <w:tab w:leader="none" w:pos="656"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21"/>
          <w:szCs w:val="21"/>
          <w:color w:val="auto"/>
        </w:rPr>
      </w:pPr>
    </w:p>
    <w:p>
      <w:pPr>
        <w:ind w:left="500" w:right="160" w:hanging="187"/>
        <w:spacing w:after="0" w:line="262" w:lineRule="auto"/>
        <w:tabs>
          <w:tab w:leader="none" w:pos="668"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21"/>
          <w:szCs w:val="21"/>
          <w:color w:val="auto"/>
        </w:rPr>
      </w:pPr>
    </w:p>
    <w:p>
      <w:pPr>
        <w:ind w:left="500" w:right="80" w:hanging="187"/>
        <w:spacing w:after="0" w:line="256" w:lineRule="auto"/>
        <w:tabs>
          <w:tab w:leader="none" w:pos="656"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21"/>
          <w:szCs w:val="21"/>
          <w:color w:val="auto"/>
        </w:rPr>
      </w:pPr>
    </w:p>
    <w:p>
      <w:pPr>
        <w:ind w:left="500" w:right="460" w:hanging="187"/>
        <w:spacing w:after="0" w:line="273" w:lineRule="auto"/>
        <w:tabs>
          <w:tab w:leader="none" w:pos="668"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240" w:right="220" w:hanging="198"/>
        <w:spacing w:after="0" w:line="256" w:lineRule="auto"/>
        <w:tabs>
          <w:tab w:leader="none" w:pos="404"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21"/>
          <w:szCs w:val="21"/>
          <w:color w:val="auto"/>
        </w:rPr>
      </w:pPr>
    </w:p>
    <w:p>
      <w:pPr>
        <w:ind w:left="500" w:right="20" w:hanging="187"/>
        <w:spacing w:after="0" w:line="256" w:lineRule="auto"/>
        <w:tabs>
          <w:tab w:leader="none" w:pos="645"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21"/>
          <w:szCs w:val="21"/>
          <w:color w:val="auto"/>
        </w:rPr>
      </w:pPr>
    </w:p>
    <w:p>
      <w:pPr>
        <w:ind w:left="500" w:right="40" w:hanging="187"/>
        <w:spacing w:after="0" w:line="262" w:lineRule="auto"/>
        <w:tabs>
          <w:tab w:leader="none" w:pos="656"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1"/>
          <w:szCs w:val="21"/>
          <w:color w:val="auto"/>
        </w:rPr>
        <w:t>/s/ Peter Akwaboah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18415</wp:posOffset>
            </wp:positionV>
            <wp:extent cx="338074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9">
                      <a:extLst>
                        <a:ext uri="{28A0092B-C50C-407E-A947-70E740481C1C}"/>
                      </a:extLst>
                    </a:blip>
                    <a:srcRect/>
                    <a:stretch>
                      <a:fillRect/>
                    </a:stretch>
                  </pic:blipFill>
                  <pic:spPr bwMode="auto">
                    <a:xfrm>
                      <a:off x="0" y="0"/>
                      <a:ext cx="3380740" cy="8255"/>
                    </a:xfrm>
                    <a:prstGeom prst="rect">
                      <a:avLst/>
                    </a:prstGeom>
                    <a:noFill/>
                  </pic:spPr>
                </pic:pic>
              </a:graphicData>
            </a:graphic>
          </wp:anchor>
        </w:drawing>
      </w:r>
    </w:p>
    <w:p>
      <w:pPr>
        <w:ind w:left="5840"/>
        <w:spacing w:after="0"/>
        <w:rPr>
          <w:sz w:val="20"/>
          <w:szCs w:val="20"/>
          <w:color w:val="auto"/>
        </w:rPr>
      </w:pPr>
      <w:r>
        <w:rPr>
          <w:rFonts w:ascii="Times New Roman" w:cs="Times New Roman" w:eastAsia="Times New Roman" w:hAnsi="Times New Roman"/>
          <w:sz w:val="21"/>
          <w:szCs w:val="21"/>
          <w:color w:val="auto"/>
        </w:rPr>
        <w:t>Peter Akwaboah</w:t>
      </w:r>
    </w:p>
    <w:p>
      <w:pPr>
        <w:ind w:left="5840"/>
        <w:spacing w:after="0" w:line="205" w:lineRule="auto"/>
        <w:rPr>
          <w:sz w:val="20"/>
          <w:szCs w:val="20"/>
          <w:color w:val="auto"/>
        </w:rPr>
      </w:pPr>
      <w:r>
        <w:rPr>
          <w:rFonts w:ascii="Times New Roman" w:cs="Times New Roman" w:eastAsia="Times New Roman" w:hAnsi="Times New Roman"/>
          <w:sz w:val="21"/>
          <w:szCs w:val="21"/>
          <w:color w:val="auto"/>
        </w:rPr>
        <w:t>Acting Chief Executive Officer, and Executive Vice President</w:t>
      </w:r>
    </w:p>
    <w:p>
      <w:pPr>
        <w:ind w:left="5840"/>
        <w:spacing w:after="0"/>
        <w:rPr>
          <w:sz w:val="20"/>
          <w:szCs w:val="20"/>
          <w:color w:val="auto"/>
        </w:rPr>
      </w:pPr>
      <w:r>
        <w:rPr>
          <w:rFonts w:ascii="Times New Roman" w:cs="Times New Roman" w:eastAsia="Times New Roman" w:hAnsi="Times New Roman"/>
          <w:sz w:val="21"/>
          <w:szCs w:val="21"/>
          <w:color w:val="auto"/>
        </w:rPr>
        <w:t>and Chief Operating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October 29, 2025</w:t>
      </w:r>
    </w:p>
    <w:p>
      <w:pPr>
        <w:sectPr>
          <w:pgSz w:w="11900" w:h="16838" w:orient="portrait"/>
          <w:cols w:equalWidth="0" w:num="1">
            <w:col w:w="11240"/>
          </w:cols>
          <w:pgMar w:left="320" w:top="858"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b w:val="1"/>
          <w:bCs w:val="1"/>
          <w:color w:val="auto"/>
        </w:rPr>
        <w:t>PURSUANT TO SECURITIES EXCHANGE ACT RULE 13a-14(a)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Chryssa C. Halley, certify that:</w:t>
      </w:r>
    </w:p>
    <w:p>
      <w:pPr>
        <w:spacing w:after="0" w:line="55" w:lineRule="exact"/>
        <w:rPr>
          <w:sz w:val="20"/>
          <w:szCs w:val="20"/>
          <w:color w:val="auto"/>
        </w:rPr>
      </w:pPr>
    </w:p>
    <w:p>
      <w:pPr>
        <w:ind w:left="240" w:right="580" w:hanging="198"/>
        <w:spacing w:after="0" w:line="269" w:lineRule="auto"/>
        <w:tabs>
          <w:tab w:leader="none" w:pos="408"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for the quarter ended September 30, 2025 of Fannie Mae (formally, the Federal National Mortgage Association);</w:t>
      </w:r>
    </w:p>
    <w:p>
      <w:pPr>
        <w:ind w:left="240" w:right="200" w:hanging="198"/>
        <w:spacing w:after="0" w:line="262" w:lineRule="auto"/>
        <w:tabs>
          <w:tab w:leader="none" w:pos="408"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Times New Roman" w:cs="Times New Roman" w:eastAsia="Times New Roman" w:hAnsi="Times New Roman"/>
          <w:sz w:val="21"/>
          <w:szCs w:val="21"/>
          <w:color w:val="auto"/>
        </w:rPr>
      </w:pPr>
    </w:p>
    <w:p>
      <w:pPr>
        <w:ind w:left="240" w:right="100" w:hanging="198"/>
        <w:spacing w:after="0" w:line="256" w:lineRule="auto"/>
        <w:tabs>
          <w:tab w:leader="none" w:pos="408"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21"/>
          <w:szCs w:val="21"/>
          <w:color w:val="auto"/>
        </w:rPr>
      </w:pPr>
    </w:p>
    <w:p>
      <w:pPr>
        <w:ind w:left="240" w:right="20" w:hanging="198"/>
        <w:spacing w:after="0" w:line="262" w:lineRule="auto"/>
        <w:tabs>
          <w:tab w:leader="none" w:pos="40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21"/>
          <w:szCs w:val="21"/>
          <w:color w:val="auto"/>
        </w:rPr>
      </w:pPr>
    </w:p>
    <w:p>
      <w:pPr>
        <w:jc w:val="both"/>
        <w:ind w:left="500" w:right="140" w:hanging="187"/>
        <w:spacing w:after="0" w:line="256" w:lineRule="auto"/>
        <w:tabs>
          <w:tab w:leader="none" w:pos="656"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21"/>
          <w:szCs w:val="21"/>
          <w:color w:val="auto"/>
        </w:rPr>
      </w:pPr>
    </w:p>
    <w:p>
      <w:pPr>
        <w:ind w:left="500" w:right="160" w:hanging="187"/>
        <w:spacing w:after="0" w:line="262" w:lineRule="auto"/>
        <w:tabs>
          <w:tab w:leader="none" w:pos="668"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21"/>
          <w:szCs w:val="21"/>
          <w:color w:val="auto"/>
        </w:rPr>
      </w:pPr>
    </w:p>
    <w:p>
      <w:pPr>
        <w:ind w:left="500" w:right="80" w:hanging="187"/>
        <w:spacing w:after="0" w:line="256" w:lineRule="auto"/>
        <w:tabs>
          <w:tab w:leader="none" w:pos="656"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21"/>
          <w:szCs w:val="21"/>
          <w:color w:val="auto"/>
        </w:rPr>
      </w:pPr>
    </w:p>
    <w:p>
      <w:pPr>
        <w:ind w:left="500" w:right="460" w:hanging="187"/>
        <w:spacing w:after="0" w:line="273" w:lineRule="auto"/>
        <w:tabs>
          <w:tab w:leader="none" w:pos="66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240" w:right="220" w:hanging="198"/>
        <w:spacing w:after="0" w:line="256" w:lineRule="auto"/>
        <w:tabs>
          <w:tab w:leader="none" w:pos="40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21"/>
          <w:szCs w:val="21"/>
          <w:color w:val="auto"/>
        </w:rPr>
      </w:pPr>
    </w:p>
    <w:p>
      <w:pPr>
        <w:ind w:left="500" w:right="20" w:hanging="187"/>
        <w:spacing w:after="0" w:line="256" w:lineRule="auto"/>
        <w:tabs>
          <w:tab w:leader="none" w:pos="645"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21"/>
          <w:szCs w:val="21"/>
          <w:color w:val="auto"/>
        </w:rPr>
      </w:pPr>
    </w:p>
    <w:p>
      <w:pPr>
        <w:ind w:left="500" w:right="40" w:hanging="187"/>
        <w:spacing w:after="0" w:line="262" w:lineRule="auto"/>
        <w:tabs>
          <w:tab w:leader="none" w:pos="656"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18415</wp:posOffset>
            </wp:positionV>
            <wp:extent cx="266065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0">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21"/>
          <w:szCs w:val="21"/>
          <w:color w:val="auto"/>
        </w:rPr>
        <w:t>Chryssa C. Halley</w:t>
      </w:r>
    </w:p>
    <w:p>
      <w:pPr>
        <w:ind w:left="6100"/>
        <w:spacing w:after="0" w:line="205" w:lineRule="auto"/>
        <w:rPr>
          <w:sz w:val="20"/>
          <w:szCs w:val="20"/>
          <w:color w:val="auto"/>
        </w:rPr>
      </w:pPr>
      <w:r>
        <w:rPr>
          <w:rFonts w:ascii="Times New Roman" w:cs="Times New Roman" w:eastAsia="Times New Roman" w:hAnsi="Times New Roman"/>
          <w:sz w:val="21"/>
          <w:szCs w:val="21"/>
          <w:color w:val="auto"/>
        </w:rPr>
        <w:t>Executive Vice President and Chief Financial</w:t>
      </w:r>
    </w:p>
    <w:p>
      <w:pPr>
        <w:ind w:left="6100"/>
        <w:spacing w:after="0"/>
        <w:rPr>
          <w:sz w:val="20"/>
          <w:szCs w:val="20"/>
          <w:color w:val="auto"/>
        </w:rPr>
      </w:pPr>
      <w:r>
        <w:rPr>
          <w:rFonts w:ascii="Times New Roman" w:cs="Times New Roman" w:eastAsia="Times New Roman" w:hAnsi="Times New Roman"/>
          <w:sz w:val="21"/>
          <w:szCs w:val="21"/>
          <w:color w:val="auto"/>
        </w:rPr>
        <w:t>Officer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October 29, 2025</w:t>
      </w:r>
    </w:p>
    <w:p>
      <w:pPr>
        <w:sectPr>
          <w:pgSz w:w="11900" w:h="16838" w:orient="portrait"/>
          <w:cols w:equalWidth="0" w:num="1">
            <w:col w:w="11240"/>
          </w:cols>
          <w:pgMar w:left="320" w:top="858"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1"/>
          <w:szCs w:val="21"/>
          <w:color w:val="auto"/>
        </w:rPr>
        <w:t>In connection with the Quarterly Report on Form 10-Q of Fannie Mae (formally, the Federal National Mortgage Association) for the quarter ended September 30, 2025, as filed with the Securities and Exchange Commission on the date hereof (the “Report”), I, Peter Akwaboah, Acting Chief Executive Officer, and Executive Vice President and Chief Operating Officer of Fannie Mae, certify, pursuant to 18 U.S.C. Section 1350, that to my knowledge:</w:t>
      </w:r>
    </w:p>
    <w:p>
      <w:pPr>
        <w:spacing w:after="0" w:line="194" w:lineRule="exact"/>
        <w:rPr>
          <w:sz w:val="20"/>
          <w:szCs w:val="20"/>
          <w:color w:val="auto"/>
        </w:rPr>
      </w:pPr>
    </w:p>
    <w:p>
      <w:pPr>
        <w:ind w:left="240" w:right="660" w:hanging="198"/>
        <w:spacing w:after="0" w:line="269" w:lineRule="auto"/>
        <w:tabs>
          <w:tab w:leader="none" w:pos="404"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as applicable, of the Securities Exchange Act of 1934; and</w:t>
      </w:r>
    </w:p>
    <w:p>
      <w:pPr>
        <w:spacing w:after="0" w:line="193" w:lineRule="exact"/>
        <w:rPr>
          <w:rFonts w:ascii="Times New Roman" w:cs="Times New Roman" w:eastAsia="Times New Roman" w:hAnsi="Times New Roman"/>
          <w:sz w:val="21"/>
          <w:szCs w:val="21"/>
          <w:color w:val="auto"/>
        </w:rPr>
      </w:pPr>
    </w:p>
    <w:p>
      <w:pPr>
        <w:ind w:left="240" w:right="60" w:hanging="198"/>
        <w:spacing w:after="0" w:line="256" w:lineRule="auto"/>
        <w:tabs>
          <w:tab w:leader="none" w:pos="404"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Fannie Mae.</w:t>
      </w:r>
    </w:p>
    <w:p>
      <w:pPr>
        <w:spacing w:after="0" w:line="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1"/>
          <w:szCs w:val="21"/>
          <w:color w:val="auto"/>
        </w:rPr>
        <w:t>/s/ Peter Akwaboah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3604260</wp:posOffset>
            </wp:positionH>
            <wp:positionV relativeFrom="paragraph">
              <wp:posOffset>18415</wp:posOffset>
            </wp:positionV>
            <wp:extent cx="353631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1">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21"/>
          <w:szCs w:val="21"/>
          <w:color w:val="auto"/>
        </w:rPr>
        <w:t>Peter Akwaboah</w:t>
      </w:r>
    </w:p>
    <w:p>
      <w:pPr>
        <w:ind w:left="5700"/>
        <w:spacing w:after="0" w:line="215" w:lineRule="auto"/>
        <w:rPr>
          <w:sz w:val="20"/>
          <w:szCs w:val="20"/>
          <w:color w:val="auto"/>
        </w:rPr>
      </w:pPr>
      <w:r>
        <w:rPr>
          <w:rFonts w:ascii="Times New Roman" w:cs="Times New Roman" w:eastAsia="Times New Roman" w:hAnsi="Times New Roman"/>
          <w:sz w:val="20"/>
          <w:szCs w:val="20"/>
          <w:color w:val="auto"/>
        </w:rPr>
        <w:t>Acting Chief Executive Officer, and Executive Vice President and</w:t>
      </w:r>
    </w:p>
    <w:p>
      <w:pPr>
        <w:ind w:left="5700"/>
        <w:spacing w:after="0"/>
        <w:rPr>
          <w:sz w:val="20"/>
          <w:szCs w:val="20"/>
          <w:color w:val="auto"/>
        </w:rPr>
      </w:pPr>
      <w:r>
        <w:rPr>
          <w:rFonts w:ascii="Times New Roman" w:cs="Times New Roman" w:eastAsia="Times New Roman" w:hAnsi="Times New Roman"/>
          <w:sz w:val="21"/>
          <w:szCs w:val="21"/>
          <w:color w:val="auto"/>
        </w:rPr>
        <w:t>Chief Operating Officer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October 29, 2025</w:t>
      </w:r>
    </w:p>
    <w:p>
      <w:pPr>
        <w:spacing w:after="0" w:line="23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58"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1"/>
          <w:szCs w:val="21"/>
          <w:color w:val="auto"/>
        </w:rPr>
        <w:t>In connection with the Quarterly Report on Form 10-Q of Fannie Mae (formally, the Federal National Mortgage Association) for the quarter ended September 30, 2025, as filed with the Securities and Exchange Commission on the date hereof (the “Report”), I, Chryssa C. Halley, Executive Vice President and Chief Financial Officer of Fannie Mae, certify, pursuant to 18 U.S.C. Section 1350, that to my knowledge:</w:t>
      </w:r>
    </w:p>
    <w:p>
      <w:pPr>
        <w:spacing w:after="0" w:line="194" w:lineRule="exact"/>
        <w:rPr>
          <w:sz w:val="20"/>
          <w:szCs w:val="20"/>
          <w:color w:val="auto"/>
        </w:rPr>
      </w:pPr>
    </w:p>
    <w:p>
      <w:pPr>
        <w:ind w:left="240" w:right="660" w:hanging="198"/>
        <w:spacing w:after="0" w:line="269" w:lineRule="auto"/>
        <w:tabs>
          <w:tab w:leader="none" w:pos="40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as applicable, of the Securities Exchange Act of 1934; and</w:t>
      </w:r>
    </w:p>
    <w:p>
      <w:pPr>
        <w:spacing w:after="0" w:line="193" w:lineRule="exact"/>
        <w:rPr>
          <w:rFonts w:ascii="Times New Roman" w:cs="Times New Roman" w:eastAsia="Times New Roman" w:hAnsi="Times New Roman"/>
          <w:sz w:val="21"/>
          <w:szCs w:val="21"/>
          <w:color w:val="auto"/>
        </w:rPr>
      </w:pPr>
    </w:p>
    <w:p>
      <w:pPr>
        <w:ind w:left="240" w:right="60" w:hanging="198"/>
        <w:spacing w:after="0" w:line="269" w:lineRule="auto"/>
        <w:tabs>
          <w:tab w:leader="none" w:pos="40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Fannie Mae.</w:t>
      </w:r>
    </w:p>
    <w:p>
      <w:pPr>
        <w:spacing w:after="0" w:line="20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1"/>
          <w:szCs w:val="21"/>
          <w:color w:val="auto"/>
        </w:rPr>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18415</wp:posOffset>
            </wp:positionV>
            <wp:extent cx="277495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2">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ind w:left="6900"/>
        <w:spacing w:after="0"/>
        <w:rPr>
          <w:sz w:val="20"/>
          <w:szCs w:val="20"/>
          <w:color w:val="auto"/>
        </w:rPr>
      </w:pPr>
      <w:r>
        <w:rPr>
          <w:rFonts w:ascii="Times New Roman" w:cs="Times New Roman" w:eastAsia="Times New Roman" w:hAnsi="Times New Roman"/>
          <w:sz w:val="21"/>
          <w:szCs w:val="21"/>
          <w:color w:val="auto"/>
        </w:rPr>
        <w:t>Chryssa C. Halley</w:t>
      </w:r>
    </w:p>
    <w:p>
      <w:pPr>
        <w:ind w:left="6900"/>
        <w:spacing w:after="0" w:line="205" w:lineRule="auto"/>
        <w:rPr>
          <w:sz w:val="20"/>
          <w:szCs w:val="20"/>
          <w:color w:val="auto"/>
        </w:rPr>
      </w:pPr>
      <w:r>
        <w:rPr>
          <w:rFonts w:ascii="Times New Roman" w:cs="Times New Roman" w:eastAsia="Times New Roman" w:hAnsi="Times New Roman"/>
          <w:sz w:val="21"/>
          <w:szCs w:val="21"/>
          <w:color w:val="auto"/>
        </w:rPr>
        <w:t>Executive Vice President and Chief Financial</w:t>
      </w:r>
    </w:p>
    <w:p>
      <w:pPr>
        <w:ind w:left="6900"/>
        <w:spacing w:after="0"/>
        <w:rPr>
          <w:sz w:val="20"/>
          <w:szCs w:val="20"/>
          <w:color w:val="auto"/>
        </w:rPr>
      </w:pPr>
      <w:r>
        <w:rPr>
          <w:rFonts w:ascii="Times New Roman" w:cs="Times New Roman" w:eastAsia="Times New Roman" w:hAnsi="Times New Roman"/>
          <w:sz w:val="21"/>
          <w:szCs w:val="21"/>
          <w:color w:val="auto"/>
        </w:rPr>
        <w:t>Officer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October 29, 2025</w:t>
      </w:r>
    </w:p>
    <w:p>
      <w:pPr>
        <w:spacing w:after="0" w:line="200" w:lineRule="exact"/>
        <w:rPr>
          <w:sz w:val="20"/>
          <w:szCs w:val="20"/>
          <w:color w:val="auto"/>
        </w:rPr>
      </w:pPr>
    </w:p>
    <w:p>
      <w:pPr>
        <w:spacing w:after="0" w:line="26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1)"/>
      <w:numFmt w:val="decimal"/>
      <w:start w:val="1"/>
    </w:lvl>
  </w:abstractNum>
  <w:abstractNum w:abstractNumId="5">
    <w:nsid w:val="579478FE"/>
    <w:multiLevelType w:val="hybridMultilevel"/>
    <w:lvl w:ilvl="0">
      <w:lvlJc w:val="left"/>
      <w:lvlText w:val="(%1)"/>
      <w:numFmt w:val="decimal"/>
      <w:start w:val="1"/>
    </w:lvl>
  </w:abstractNum>
  <w:abstractNum w:abstractNumId="6">
    <w:nsid w:val="749ABB43"/>
    <w:multiLevelType w:val="hybridMultilevel"/>
    <w:lvl w:ilvl="0">
      <w:lvlJc w:val="left"/>
      <w:lvlText w:val="(%1)"/>
      <w:numFmt w:val="decimal"/>
      <w:start w:val="1"/>
    </w:lvl>
  </w:abstractNum>
  <w:abstractNum w:abstractNumId="7">
    <w:nsid w:val="3DC240FB"/>
    <w:multiLevelType w:val="hybridMultilevel"/>
    <w:lvl w:ilvl="0">
      <w:lvlJc w:val="left"/>
      <w:lvlText w:val="(%1)"/>
      <w:numFmt w:val="decimal"/>
      <w:start w:val="1"/>
    </w:lvl>
  </w:abstractNum>
  <w:abstractNum w:abstractNumId="8">
    <w:nsid w:val="1BA026FA"/>
    <w:multiLevelType w:val="hybridMultilevel"/>
    <w:lvl w:ilvl="0">
      <w:lvlJc w:val="left"/>
      <w:lvlText w:val="(%1)"/>
      <w:numFmt w:val="decimal"/>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1)"/>
      <w:numFmt w:val="decimal"/>
      <w:start w:val="1"/>
    </w:lvl>
  </w:abstractNum>
  <w:abstractNum w:abstractNumId="11">
    <w:nsid w:val="12E685FB"/>
    <w:multiLevelType w:val="hybridMultilevel"/>
    <w:lvl w:ilvl="0">
      <w:lvlJc w:val="left"/>
      <w:lvlText w:val="(%1)"/>
      <w:numFmt w:val="decimal"/>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1)"/>
      <w:numFmt w:val="decimal"/>
      <w:start w:val="1"/>
    </w:lvl>
  </w:abstractNum>
  <w:abstractNum w:abstractNumId="15">
    <w:nsid w:val="4F4EF005"/>
    <w:multiLevelType w:val="hybridMultilevel"/>
    <w:lvl w:ilvl="0">
      <w:lvlJc w:val="left"/>
      <w:lvlText w:val="(%1)"/>
      <w:numFmt w:val="decimal"/>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1)"/>
      <w:numFmt w:val="decimal"/>
      <w:start w:val="1"/>
    </w:lvl>
  </w:abstractNum>
  <w:abstractNum w:abstractNumId="18">
    <w:nsid w:val="275AC794"/>
    <w:multiLevelType w:val="hybridMultilevel"/>
    <w:lvl w:ilvl="0">
      <w:lvlJc w:val="left"/>
      <w:lvlText w:val="(%1)"/>
      <w:numFmt w:val="decimal"/>
      <w:start w:val="1"/>
    </w:lvl>
  </w:abstractNum>
  <w:abstractNum w:abstractNumId="19">
    <w:nsid w:val="39386575"/>
    <w:multiLevelType w:val="hybridMultilevel"/>
    <w:lvl w:ilvl="0">
      <w:lvlJc w:val="left"/>
      <w:lvlText w:val="(%1)"/>
      <w:numFmt w:val="decimal"/>
      <w:start w:val="1"/>
    </w:lvl>
  </w:abstractNum>
  <w:abstractNum w:abstractNumId="20">
    <w:nsid w:val="1CF10FD8"/>
    <w:multiLevelType w:val="hybridMultilevel"/>
    <w:lvl w:ilvl="0">
      <w:lvlJc w:val="left"/>
      <w:lvlText w:val="(%1)"/>
      <w:numFmt w:val="decimal"/>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1)"/>
      <w:numFmt w:val="decimal"/>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1)"/>
      <w:numFmt w:val="decimal"/>
      <w:start w:val="1"/>
    </w:lvl>
  </w:abstractNum>
  <w:abstractNum w:abstractNumId="25">
    <w:nsid w:val="15B5AF5C"/>
    <w:multiLevelType w:val="hybridMultilevel"/>
    <w:lvl w:ilvl="0">
      <w:lvlJc w:val="left"/>
      <w:lvlText w:val="(%1)"/>
      <w:numFmt w:val="decimal"/>
      <w:start w:val="1"/>
    </w:lvl>
  </w:abstractNum>
  <w:abstractNum w:abstractNumId="26">
    <w:nsid w:val="741226BB"/>
    <w:multiLevelType w:val="hybridMultilevel"/>
    <w:lvl w:ilvl="0">
      <w:lvlJc w:val="left"/>
      <w:lvlText w:val="(%1)"/>
      <w:numFmt w:val="decimal"/>
      <w:start w:val="1"/>
    </w:lvl>
  </w:abstractNum>
  <w:abstractNum w:abstractNumId="27">
    <w:nsid w:val="D34B6A8"/>
    <w:multiLevelType w:val="hybridMultilevel"/>
    <w:lvl w:ilvl="0">
      <w:lvlJc w:val="left"/>
      <w:lvlText w:val="(%1)"/>
      <w:numFmt w:val="decimal"/>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1)"/>
      <w:numFmt w:val="decimal"/>
      <w:start w:val="1"/>
    </w:lvl>
  </w:abstractNum>
  <w:abstractNum w:abstractNumId="30">
    <w:nsid w:val="61574095"/>
    <w:multiLevelType w:val="hybridMultilevel"/>
    <w:lvl w:ilvl="0">
      <w:lvlJc w:val="left"/>
      <w:lvlText w:val="(%1)"/>
      <w:numFmt w:val="decimal"/>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1)"/>
      <w:numFmt w:val="decimal"/>
      <w:start w:val="1"/>
    </w:lvl>
  </w:abstractNum>
  <w:abstractNum w:abstractNumId="33">
    <w:nsid w:val="579BE4F1"/>
    <w:multiLevelType w:val="hybridMultilevel"/>
    <w:lvl w:ilvl="0">
      <w:lvlJc w:val="left"/>
      <w:lvlText w:val="(%1)"/>
      <w:numFmt w:val="decimal"/>
      <w:start w:val="2"/>
    </w:lvl>
  </w:abstractNum>
  <w:abstractNum w:abstractNumId="34">
    <w:nsid w:val="310C50B3"/>
    <w:multiLevelType w:val="hybridMultilevel"/>
    <w:lvl w:ilvl="0">
      <w:lvlJc w:val="left"/>
      <w:lvlText w:val="(%1)"/>
      <w:numFmt w:val="decimal"/>
      <w:start w:val="1"/>
    </w:lvl>
  </w:abstractNum>
  <w:abstractNum w:abstractNumId="35">
    <w:nsid w:val="5FF87E05"/>
    <w:multiLevelType w:val="hybridMultilevel"/>
    <w:lvl w:ilvl="0">
      <w:lvlJc w:val="left"/>
      <w:lvlText w:val="(%1)"/>
      <w:numFmt w:val="decimal"/>
      <w:start w:val="1"/>
    </w:lvl>
  </w:abstractNum>
  <w:abstractNum w:abstractNumId="36">
    <w:nsid w:val="2F305DEF"/>
    <w:multiLevelType w:val="hybridMultilevel"/>
    <w:lvl w:ilvl="0">
      <w:lvlJc w:val="left"/>
      <w:lvlText w:val="(%1)"/>
      <w:numFmt w:val="decimal"/>
      <w:start w:val="1"/>
    </w:lvl>
  </w:abstractNum>
  <w:abstractNum w:abstractNumId="37">
    <w:nsid w:val="25A70BF7"/>
    <w:multiLevelType w:val="hybridMultilevel"/>
    <w:lvl w:ilvl="0">
      <w:lvlJc w:val="left"/>
      <w:lvlText w:val="(%1)"/>
      <w:numFmt w:val="decimal"/>
      <w:start w:val="1"/>
    </w:lvl>
  </w:abstractNum>
  <w:abstractNum w:abstractNumId="38">
    <w:nsid w:val="1DBABF00"/>
    <w:multiLevelType w:val="hybridMultilevel"/>
    <w:lvl w:ilvl="0">
      <w:lvlJc w:val="left"/>
      <w:lvlText w:val="(%1)"/>
      <w:numFmt w:val="decimal"/>
      <w:start w:val="1"/>
    </w:lvl>
  </w:abstractNum>
  <w:abstractNum w:abstractNumId="39">
    <w:nsid w:val="4AD084E9"/>
    <w:multiLevelType w:val="hybridMultilevel"/>
    <w:lvl w:ilvl="0">
      <w:lvlJc w:val="left"/>
      <w:lvlText w:val="(%1)"/>
      <w:numFmt w:val="decimal"/>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1)"/>
      <w:numFmt w:val="decimal"/>
      <w:start w:val="1"/>
    </w:lvl>
  </w:abstractNum>
  <w:abstractNum w:abstractNumId="42">
    <w:nsid w:val="5DB70AE5"/>
    <w:multiLevelType w:val="hybridMultilevel"/>
    <w:lvl w:ilvl="0">
      <w:lvlJc w:val="left"/>
      <w:lvlText w:val="(%1)"/>
      <w:numFmt w:val="decimal"/>
      <w:start w:val="1"/>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1)"/>
      <w:numFmt w:val="decimal"/>
      <w:start w:val="1"/>
    </w:lvl>
  </w:abstractNum>
  <w:abstractNum w:abstractNumId="46">
    <w:nsid w:val="5F5E7FD0"/>
    <w:multiLevelType w:val="hybridMultilevel"/>
    <w:lvl w:ilvl="0">
      <w:lvlJc w:val="left"/>
      <w:lvlText w:val="(%1)"/>
      <w:numFmt w:val="decimal"/>
      <w:start w:val="3"/>
    </w:lvl>
  </w:abstractNum>
  <w:abstractNum w:abstractNumId="47">
    <w:nsid w:val="98A3148"/>
    <w:multiLevelType w:val="hybridMultilevel"/>
    <w:lvl w:ilvl="0">
      <w:lvlJc w:val="left"/>
      <w:lvlText w:val="(%1)"/>
      <w:numFmt w:val="decimal"/>
      <w:start w:val="1"/>
    </w:lvl>
  </w:abstractNum>
  <w:abstractNum w:abstractNumId="48">
    <w:nsid w:val="799D0247"/>
    <w:multiLevelType w:val="hybridMultilevel"/>
    <w:lvl w:ilvl="0">
      <w:lvlJc w:val="left"/>
      <w:lvlText w:val="(%1)"/>
      <w:numFmt w:val="decimal"/>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1."/>
      <w:numFmt w:val="decimal"/>
      <w:start w:val="2"/>
    </w:lvl>
  </w:abstractNum>
  <w:abstractNum w:abstractNumId="54">
    <w:nsid w:val="5DC79EA8"/>
    <w:multiLevelType w:val="hybridMultilevel"/>
    <w:lvl w:ilvl="0">
      <w:lvlJc w:val="left"/>
      <w:lvlText w:val="(%1)"/>
      <w:numFmt w:val="decimal"/>
      <w:start w:val="1"/>
    </w:lvl>
  </w:abstractNum>
  <w:abstractNum w:abstractNumId="55">
    <w:nsid w:val="540A471C"/>
    <w:multiLevelType w:val="hybridMultilevel"/>
    <w:lvl w:ilvl="0">
      <w:lvlJc w:val="left"/>
      <w:lvlText w:val="(%1)"/>
      <w:numFmt w:val="decimal"/>
      <w:start w:val="1"/>
    </w:lvl>
  </w:abstractNum>
  <w:abstractNum w:abstractNumId="56">
    <w:nsid w:val="7BD3EE7B"/>
    <w:multiLevelType w:val="hybridMultilevel"/>
    <w:lvl w:ilvl="0">
      <w:lvlJc w:val="left"/>
      <w:lvlText w:val="(%1)"/>
      <w:numFmt w:val="decimal"/>
      <w:start w:val="1"/>
    </w:lvl>
  </w:abstractNum>
  <w:abstractNum w:abstractNumId="57">
    <w:nsid w:val="51D9C564"/>
    <w:multiLevelType w:val="hybridMultilevel"/>
    <w:lvl w:ilvl="0">
      <w:lvlJc w:val="left"/>
      <w:lvlText w:val="(%1)"/>
      <w:numFmt w:val="decimal"/>
      <w:start w:val="1"/>
    </w:lvl>
  </w:abstractNum>
  <w:abstractNum w:abstractNumId="58">
    <w:nsid w:val="613EFDC5"/>
    <w:multiLevelType w:val="hybridMultilevel"/>
    <w:lvl w:ilvl="0">
      <w:lvlJc w:val="left"/>
      <w:lvlText w:val="(%1)"/>
      <w:numFmt w:val="decimal"/>
      <w:start w:val="1"/>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1)"/>
      <w:numFmt w:val="decimal"/>
      <w:start w:val="1"/>
    </w:lvl>
  </w:abstractNum>
  <w:abstractNum w:abstractNumId="62">
    <w:nsid w:val="A0382C5"/>
    <w:multiLevelType w:val="hybridMultilevel"/>
    <w:lvl w:ilvl="0">
      <w:lvlJc w:val="left"/>
      <w:lvlText w:val="(%1)"/>
      <w:numFmt w:val="decimal"/>
      <w:start w:val="3"/>
    </w:lvl>
  </w:abstractNum>
  <w:abstractNum w:abstractNumId="63">
    <w:nsid w:val="8F2B15E"/>
    <w:multiLevelType w:val="hybridMultilevel"/>
    <w:lvl w:ilvl="0">
      <w:lvlJc w:val="left"/>
      <w:lvlText w:val="(%1)"/>
      <w:numFmt w:val="decimal"/>
      <w:start w:val="1"/>
    </w:lvl>
  </w:abstractNum>
  <w:abstractNum w:abstractNumId="64">
    <w:nsid w:val="1A32234B"/>
    <w:multiLevelType w:val="hybridMultilevel"/>
    <w:lvl w:ilvl="0">
      <w:lvlJc w:val="left"/>
      <w:lvlText w:val="(%1)"/>
      <w:numFmt w:val="decimal"/>
      <w:start w:val="1"/>
    </w:lvl>
  </w:abstractNum>
  <w:abstractNum w:abstractNumId="65">
    <w:nsid w:val="3B0FD379"/>
    <w:multiLevelType w:val="hybridMultilevel"/>
    <w:lvl w:ilvl="0">
      <w:lvlJc w:val="left"/>
      <w:lvlText w:val="(%1)"/>
      <w:numFmt w:val="decimal"/>
      <w:start w:val="1"/>
    </w:lvl>
  </w:abstractNum>
  <w:abstractNum w:abstractNumId="66">
    <w:nsid w:val="68EB2F63"/>
    <w:multiLevelType w:val="hybridMultilevel"/>
    <w:lvl w:ilvl="0">
      <w:lvlJc w:val="left"/>
      <w:lvlText w:val="(%1)"/>
      <w:numFmt w:val="decimal"/>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1)"/>
      <w:numFmt w:val="decimal"/>
      <w:start w:val="1"/>
    </w:lvl>
  </w:abstractNum>
  <w:abstractNum w:abstractNumId="70">
    <w:nsid w:val="14330624"/>
    <w:multiLevelType w:val="hybridMultilevel"/>
    <w:lvl w:ilvl="0">
      <w:lvlJc w:val="left"/>
      <w:lvlText w:val="(%1)"/>
      <w:numFmt w:val="decimal"/>
      <w:start w:val="1"/>
    </w:lvl>
  </w:abstractNum>
  <w:abstractNum w:abstractNumId="71">
    <w:nsid w:val="7FFFCA11"/>
    <w:multiLevelType w:val="hybridMultilevel"/>
    <w:lvl w:ilvl="0">
      <w:lvlJc w:val="left"/>
      <w:lvlText w:val="(%1)"/>
      <w:numFmt w:val="decimal"/>
      <w:start w:val="1"/>
    </w:lvl>
  </w:abstractNum>
  <w:abstractNum w:abstractNumId="72">
    <w:nsid w:val="1A27709E"/>
    <w:multiLevelType w:val="hybridMultilevel"/>
    <w:lvl w:ilvl="0">
      <w:lvlJc w:val="left"/>
      <w:lvlText w:val="(%1)"/>
      <w:numFmt w:val="decimal"/>
      <w:start w:val="1"/>
    </w:lvl>
  </w:abstractNum>
  <w:abstractNum w:abstractNumId="73">
    <w:nsid w:val="71EA1109"/>
    <w:multiLevelType w:val="hybridMultilevel"/>
    <w:lvl w:ilvl="0">
      <w:lvlJc w:val="left"/>
      <w:lvlText w:val="(%1)"/>
      <w:numFmt w:val="decimal"/>
      <w:start w:val="1"/>
    </w:lvl>
  </w:abstractNum>
  <w:abstractNum w:abstractNumId="74">
    <w:nsid w:val="100F59DC"/>
    <w:multiLevelType w:val="hybridMultilevel"/>
    <w:lvl w:ilvl="0">
      <w:lvlJc w:val="left"/>
      <w:lvlText w:val="(%1)"/>
      <w:numFmt w:val="decimal"/>
      <w:start w:val="1"/>
    </w:lvl>
    <w:lvl w:ilvl="1">
      <w:lvlJc w:val="left"/>
      <w:lvlText w:val="(%2)"/>
      <w:numFmt w:val="decimal"/>
      <w:start w:val="2"/>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1)"/>
      <w:numFmt w:val="decimal"/>
      <w:start w:val="1"/>
    </w:lvl>
  </w:abstractNum>
  <w:abstractNum w:abstractNumId="77">
    <w:nsid w:val="6F6DD9AC"/>
    <w:multiLevelType w:val="hybridMultilevel"/>
    <w:lvl w:ilvl="0">
      <w:lvlJc w:val="left"/>
      <w:lvlText w:val="(%1)"/>
      <w:numFmt w:val="decimal"/>
      <w:start w:val="1"/>
    </w:lvl>
  </w:abstractNum>
  <w:abstractNum w:abstractNumId="78">
    <w:nsid w:val="94211F2"/>
    <w:multiLevelType w:val="hybridMultilevel"/>
    <w:lvl w:ilvl="0">
      <w:lvlJc w:val="left"/>
      <w:lvlText w:val="(%1)"/>
      <w:numFmt w:val="decimal"/>
      <w:start w:val="4"/>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1)"/>
      <w:numFmt w:val="decimal"/>
      <w:start w:val="1"/>
    </w:lvl>
  </w:abstractNum>
  <w:abstractNum w:abstractNumId="81">
    <w:nsid w:val="4C04A8AF"/>
    <w:multiLevelType w:val="hybridMultilevel"/>
    <w:lvl w:ilvl="0">
      <w:lvlJc w:val="left"/>
      <w:lvlText w:val="(%1)"/>
      <w:numFmt w:val="decimal"/>
      <w:start w:val="1"/>
    </w:lvl>
  </w:abstractNum>
  <w:abstractNum w:abstractNumId="82">
    <w:nsid w:val="1716703B"/>
    <w:multiLevelType w:val="hybridMultilevel"/>
    <w:lvl w:ilvl="0">
      <w:lvlJc w:val="left"/>
      <w:lvlText w:val="(%1)"/>
      <w:numFmt w:val="decimal"/>
      <w:start w:val="1"/>
    </w:lvl>
  </w:abstractNum>
  <w:abstractNum w:abstractNumId="83">
    <w:nsid w:val="14E17E33"/>
    <w:multiLevelType w:val="hybridMultilevel"/>
    <w:lvl w:ilvl="0">
      <w:lvlJc w:val="left"/>
      <w:lvlText w:val="(%1)"/>
      <w:numFmt w:val="decimal"/>
      <w:start w:val="1"/>
    </w:lvl>
  </w:abstractNum>
  <w:abstractNum w:abstractNumId="84">
    <w:nsid w:val="3222E7CD"/>
    <w:multiLevelType w:val="hybridMultilevel"/>
    <w:lvl w:ilvl="0">
      <w:lvlJc w:val="left"/>
      <w:lvlText w:val="(%1)"/>
      <w:numFmt w:val="decimal"/>
      <w:start w:val="1"/>
    </w:lvl>
  </w:abstractNum>
  <w:abstractNum w:abstractNumId="85">
    <w:nsid w:val="74DE0EE3"/>
    <w:multiLevelType w:val="hybridMultilevel"/>
    <w:lvl w:ilvl="0">
      <w:lvlJc w:val="left"/>
      <w:lvlText w:val="(%1)"/>
      <w:numFmt w:val="decimal"/>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
      <w:numFmt w:val="bullet"/>
      <w:start w:val="1"/>
    </w:lvl>
    <w:lvl w:ilvl="1">
      <w:lvlJc w:val="left"/>
      <w:lvlText w:val="%2"/>
      <w:numFmt w:val="decimal"/>
      <w:start w:val="104"/>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9" Type="http://schemas.openxmlformats.org/officeDocument/2006/relationships/image" Target="media/image520.png"/><Relationship Id="rId530" Type="http://schemas.openxmlformats.org/officeDocument/2006/relationships/image" Target="media/image521.png"/><Relationship Id="rId531" Type="http://schemas.openxmlformats.org/officeDocument/2006/relationships/image" Target="media/image522.png"/><Relationship Id="rId532" Type="http://schemas.openxmlformats.org/officeDocument/2006/relationships/image" Target="media/image523.png"/><Relationship Id="rId533" Type="http://schemas.openxmlformats.org/officeDocument/2006/relationships/image" Target="media/image524.png"/><Relationship Id="rId534" Type="http://schemas.openxmlformats.org/officeDocument/2006/relationships/image" Target="media/image525.png"/><Relationship Id="rId535" Type="http://schemas.openxmlformats.org/officeDocument/2006/relationships/image" Target="media/image526.png"/><Relationship Id="rId536" Type="http://schemas.openxmlformats.org/officeDocument/2006/relationships/image" Target="media/image527.png"/><Relationship Id="rId537" Type="http://schemas.openxmlformats.org/officeDocument/2006/relationships/image" Target="media/image528.png"/><Relationship Id="rId538" Type="http://schemas.openxmlformats.org/officeDocument/2006/relationships/image" Target="media/image529.jpeg"/><Relationship Id="rId539" Type="http://schemas.openxmlformats.org/officeDocument/2006/relationships/image" Target="media/image530.png"/><Relationship Id="rId540" Type="http://schemas.openxmlformats.org/officeDocument/2006/relationships/image" Target="media/image531.png"/><Relationship Id="rId541" Type="http://schemas.openxmlformats.org/officeDocument/2006/relationships/image" Target="media/image532.png"/><Relationship Id="rId542" Type="http://schemas.openxmlformats.org/officeDocument/2006/relationships/image" Target="media/image533.png"/><Relationship Id="rId527" Type="http://schemas.openxmlformats.org/officeDocument/2006/relationships/hyperlink" Target="https://www.sec.gov/Archives/edgar/data/310522/000031052219000385/fanniemaecharteractex31.htm" TargetMode="External"/><Relationship Id="rId528" Type="http://schemas.openxmlformats.org/officeDocument/2006/relationships/hyperlink" Target="https://www.sec.gov/Archives/edgar/data/310522/000031052219000116/fanniemae201810k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2025-10-29T06:32:52Z</dcterms:created>
  <dcterms:modified xsi:type="dcterms:W3CDTF">2025-10-29T06:32:52Z</dcterms:modified>
</cp:coreProperties>
</file>