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October 6, 2025</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Federal National Mortgage Association</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0"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Fannie Mae</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420" w:type="dxa"/>
            <w:vAlign w:val="bottom"/>
            <w:tcBorders>
              <w:top w:val="single" w:sz="8" w:color="auto"/>
            </w:tcBorders>
          </w:tcPr>
          <w:p>
            <w:pPr>
              <w:jc w:val="center"/>
              <w:ind w:left="105"/>
              <w:spacing w:after="0"/>
              <w:rPr>
                <w:sz w:val="20"/>
                <w:szCs w:val="20"/>
                <w:color w:val="auto"/>
              </w:rPr>
            </w:pPr>
            <w:r>
              <w:rPr>
                <w:rFonts w:ascii="Arial" w:cs="Arial" w:eastAsia="Arial" w:hAnsi="Arial"/>
                <w:sz w:val="16"/>
                <w:szCs w:val="16"/>
                <w:b w:val="1"/>
                <w:bCs w:val="1"/>
                <w:color w:val="auto"/>
              </w:rPr>
              <w:t>Federally chartered corporation</w:t>
            </w:r>
          </w:p>
        </w:tc>
        <w:tc>
          <w:tcPr>
            <w:tcW w:w="1420" w:type="dxa"/>
            <w:vAlign w:val="bottom"/>
            <w:tcBorders>
              <w:top w:val="single" w:sz="8" w:color="auto"/>
            </w:tcBorders>
          </w:tcPr>
          <w:p>
            <w:pPr>
              <w:jc w:val="center"/>
              <w:ind w:left="185"/>
              <w:spacing w:after="0"/>
              <w:rPr>
                <w:sz w:val="20"/>
                <w:szCs w:val="20"/>
                <w:color w:val="auto"/>
              </w:rPr>
            </w:pPr>
            <w:r>
              <w:rPr>
                <w:rFonts w:ascii="Arial" w:cs="Arial" w:eastAsia="Arial" w:hAnsi="Arial"/>
                <w:sz w:val="16"/>
                <w:szCs w:val="16"/>
                <w:b w:val="1"/>
                <w:bCs w:val="1"/>
                <w:color w:val="auto"/>
              </w:rPr>
              <w:t>0-50231</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52-0883107</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1100 15th</w:t>
            </w:r>
          </w:p>
        </w:tc>
        <w:tc>
          <w:tcPr>
            <w:tcW w:w="1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Street, NW</w:t>
            </w:r>
          </w:p>
        </w:tc>
        <w:tc>
          <w:tcPr>
            <w:tcW w:w="520" w:type="dxa"/>
            <w:vAlign w:val="bottom"/>
            <w:tcBorders>
              <w:top w:val="single" w:sz="8" w:color="auto"/>
            </w:tcBorders>
          </w:tcPr>
          <w:p>
            <w:pPr>
              <w:ind w:left="220"/>
              <w:spacing w:after="0"/>
              <w:rPr>
                <w:sz w:val="20"/>
                <w:szCs w:val="20"/>
                <w:color w:val="auto"/>
              </w:rPr>
            </w:pPr>
            <w:r>
              <w:rPr>
                <w:rFonts w:ascii="Arial" w:cs="Arial" w:eastAsia="Arial" w:hAnsi="Arial"/>
                <w:sz w:val="16"/>
                <w:szCs w:val="16"/>
                <w:b w:val="1"/>
                <w:bCs w:val="1"/>
                <w:color w:val="auto"/>
              </w:rPr>
              <w:t>800</w:t>
            </w:r>
          </w:p>
        </w:tc>
        <w:tc>
          <w:tcPr>
            <w:tcW w:w="1860" w:type="dxa"/>
            <w:vAlign w:val="bottom"/>
            <w:tcBorders>
              <w:top w:val="single" w:sz="8" w:color="auto"/>
            </w:tcBorders>
          </w:tcPr>
          <w:p>
            <w:pPr>
              <w:jc w:val="right"/>
              <w:ind w:right="844"/>
              <w:spacing w:after="0"/>
              <w:rPr>
                <w:sz w:val="20"/>
                <w:szCs w:val="20"/>
                <w:color w:val="auto"/>
              </w:rPr>
            </w:pPr>
            <w:r>
              <w:rPr>
                <w:rFonts w:ascii="Arial" w:cs="Arial" w:eastAsia="Arial" w:hAnsi="Arial"/>
                <w:sz w:val="16"/>
                <w:szCs w:val="16"/>
                <w:b w:val="1"/>
                <w:bCs w:val="1"/>
                <w:color w:val="auto"/>
              </w:rPr>
              <w:t>232-6643</w:t>
            </w:r>
          </w:p>
        </w:tc>
      </w:tr>
      <w:tr>
        <w:trPr>
          <w:trHeight w:val="223"/>
        </w:trPr>
        <w:tc>
          <w:tcPr>
            <w:tcW w:w="3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Washington,</w:t>
            </w:r>
          </w:p>
        </w:tc>
        <w:tc>
          <w:tcPr>
            <w:tcW w:w="1320" w:type="dxa"/>
            <w:vAlign w:val="bottom"/>
          </w:tcPr>
          <w:p>
            <w:pPr>
              <w:ind w:left="220"/>
              <w:spacing w:after="0"/>
              <w:rPr>
                <w:sz w:val="20"/>
                <w:szCs w:val="20"/>
                <w:color w:val="auto"/>
              </w:rPr>
            </w:pPr>
            <w:r>
              <w:rPr>
                <w:rFonts w:ascii="Arial" w:cs="Arial" w:eastAsia="Arial" w:hAnsi="Arial"/>
                <w:sz w:val="16"/>
                <w:szCs w:val="16"/>
                <w:b w:val="1"/>
                <w:bCs w:val="1"/>
                <w:color w:val="auto"/>
              </w:rPr>
              <w:t>DC   20005</w:t>
            </w:r>
          </w:p>
        </w:tc>
        <w:tc>
          <w:tcPr>
            <w:tcW w:w="5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143"/>
        </w:trPr>
        <w:tc>
          <w:tcPr>
            <w:tcW w:w="3420" w:type="dxa"/>
            <w:vAlign w:val="bottom"/>
          </w:tcPr>
          <w:p>
            <w:pPr>
              <w:jc w:val="center"/>
              <w:ind w:left="105"/>
              <w:spacing w:after="0" w:line="143" w:lineRule="exact"/>
              <w:rPr>
                <w:sz w:val="20"/>
                <w:szCs w:val="20"/>
                <w:color w:val="auto"/>
              </w:rPr>
            </w:pPr>
            <w:r>
              <w:rPr>
                <w:rFonts w:ascii="Arial" w:cs="Arial" w:eastAsia="Arial" w:hAnsi="Arial"/>
                <w:sz w:val="14"/>
                <w:szCs w:val="14"/>
                <w:i w:val="1"/>
                <w:iCs w:val="1"/>
                <w:color w:val="auto"/>
              </w:rPr>
              <w:t>(State or other jurisdiction</w:t>
            </w:r>
          </w:p>
        </w:tc>
        <w:tc>
          <w:tcPr>
            <w:tcW w:w="1420" w:type="dxa"/>
            <w:vAlign w:val="bottom"/>
          </w:tcPr>
          <w:p>
            <w:pPr>
              <w:jc w:val="center"/>
              <w:ind w:left="185"/>
              <w:spacing w:after="0" w:line="143" w:lineRule="exact"/>
              <w:rPr>
                <w:sz w:val="20"/>
                <w:szCs w:val="20"/>
                <w:color w:val="auto"/>
              </w:rPr>
            </w:pPr>
            <w:r>
              <w:rPr>
                <w:rFonts w:ascii="Arial" w:cs="Arial" w:eastAsia="Arial" w:hAnsi="Arial"/>
                <w:sz w:val="14"/>
                <w:szCs w:val="14"/>
                <w:i w:val="1"/>
                <w:iCs w:val="1"/>
                <w:color w:val="auto"/>
              </w:rPr>
              <w:t>(Commission</w:t>
            </w:r>
          </w:p>
        </w:tc>
        <w:tc>
          <w:tcPr>
            <w:tcW w:w="1500" w:type="dxa"/>
            <w:vAlign w:val="bottom"/>
          </w:tcPr>
          <w:p>
            <w:pPr>
              <w:jc w:val="center"/>
              <w:spacing w:after="0" w:line="143" w:lineRule="exact"/>
              <w:rPr>
                <w:sz w:val="20"/>
                <w:szCs w:val="20"/>
                <w:color w:val="auto"/>
              </w:rPr>
            </w:pPr>
            <w:r>
              <w:rPr>
                <w:rFonts w:ascii="Arial" w:cs="Arial" w:eastAsia="Arial" w:hAnsi="Arial"/>
                <w:sz w:val="14"/>
                <w:szCs w:val="14"/>
                <w:i w:val="1"/>
                <w:iCs w:val="1"/>
                <w:color w:val="auto"/>
              </w:rPr>
              <w:t>(IRS Employer</w:t>
            </w:r>
          </w:p>
        </w:tc>
        <w:tc>
          <w:tcPr>
            <w:tcW w:w="2500" w:type="dxa"/>
            <w:vAlign w:val="bottom"/>
            <w:gridSpan w:val="2"/>
          </w:tcPr>
          <w:p>
            <w:pPr>
              <w:jc w:val="center"/>
              <w:spacing w:after="0" w:line="143" w:lineRule="exact"/>
              <w:rPr>
                <w:sz w:val="20"/>
                <w:szCs w:val="20"/>
                <w:color w:val="auto"/>
              </w:rPr>
            </w:pPr>
            <w:r>
              <w:rPr>
                <w:rFonts w:ascii="Arial" w:cs="Arial" w:eastAsia="Arial" w:hAnsi="Arial"/>
                <w:sz w:val="14"/>
                <w:szCs w:val="14"/>
                <w:i w:val="1"/>
                <w:iCs w:val="1"/>
                <w:color w:val="auto"/>
              </w:rPr>
              <w:t>(Address of principal executive</w:t>
            </w:r>
          </w:p>
        </w:tc>
        <w:tc>
          <w:tcPr>
            <w:tcW w:w="2380" w:type="dxa"/>
            <w:vAlign w:val="bottom"/>
            <w:gridSpan w:val="2"/>
          </w:tcPr>
          <w:p>
            <w:pPr>
              <w:ind w:left="200"/>
              <w:spacing w:after="0" w:line="143" w:lineRule="exact"/>
              <w:rPr>
                <w:sz w:val="20"/>
                <w:szCs w:val="20"/>
                <w:color w:val="auto"/>
              </w:rPr>
            </w:pPr>
            <w:r>
              <w:rPr>
                <w:rFonts w:ascii="Arial" w:cs="Arial" w:eastAsia="Arial" w:hAnsi="Arial"/>
                <w:sz w:val="14"/>
                <w:szCs w:val="14"/>
                <w:i w:val="1"/>
                <w:iCs w:val="1"/>
                <w:color w:val="auto"/>
              </w:rPr>
              <w:t>(Registrant’s telephone number,</w:t>
            </w:r>
          </w:p>
        </w:tc>
      </w:tr>
      <w:tr>
        <w:trPr>
          <w:trHeight w:val="189"/>
        </w:trPr>
        <w:tc>
          <w:tcPr>
            <w:tcW w:w="3420" w:type="dxa"/>
            <w:vAlign w:val="bottom"/>
            <w:tcBorders>
              <w:bottom w:val="single" w:sz="8" w:color="auto"/>
            </w:tcBorders>
          </w:tcPr>
          <w:p>
            <w:pPr>
              <w:jc w:val="center"/>
              <w:ind w:left="105"/>
              <w:spacing w:after="0"/>
              <w:rPr>
                <w:sz w:val="20"/>
                <w:szCs w:val="20"/>
                <w:color w:val="auto"/>
              </w:rPr>
            </w:pPr>
            <w:r>
              <w:rPr>
                <w:rFonts w:ascii="Arial" w:cs="Arial" w:eastAsia="Arial" w:hAnsi="Arial"/>
                <w:sz w:val="14"/>
                <w:szCs w:val="14"/>
                <w:i w:val="1"/>
                <w:iCs w:val="1"/>
                <w:color w:val="auto"/>
              </w:rPr>
              <w:t>of incorporation)</w:t>
            </w:r>
          </w:p>
        </w:tc>
        <w:tc>
          <w:tcPr>
            <w:tcW w:w="142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i w:val="1"/>
                <w:iCs w:val="1"/>
                <w:color w:val="auto"/>
              </w:rPr>
              <w:t>File Number)</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rPr>
              <w:t>Identification No.)</w:t>
            </w:r>
          </w:p>
        </w:tc>
        <w:tc>
          <w:tcPr>
            <w:tcW w:w="2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i w:val="1"/>
                <w:iCs w:val="1"/>
                <w:color w:val="auto"/>
              </w:rPr>
              <w:t>offices, including zip code)</w:t>
            </w:r>
          </w:p>
        </w:tc>
        <w:tc>
          <w:tcPr>
            <w:tcW w:w="5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i w:val="1"/>
                <w:iCs w:val="1"/>
                <w:color w:val="auto"/>
              </w:rPr>
              <w:t>including area code)</w:t>
            </w:r>
          </w:p>
        </w:tc>
      </w:tr>
    </w:tbl>
    <w:p>
      <w:pPr>
        <w:spacing w:after="0" w:line="256" w:lineRule="exact"/>
        <w:rPr>
          <w:sz w:val="24"/>
          <w:szCs w:val="24"/>
          <w:color w:val="auto"/>
        </w:rPr>
      </w:pPr>
    </w:p>
    <w:p>
      <w:pPr>
        <w:ind w:right="30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u w:val="single" w:color="auto"/>
          <w:color w:val="auto"/>
        </w:rPr>
        <w:t>see</w:t>
      </w:r>
      <w:r>
        <w:rPr>
          <w:rFonts w:ascii="Arial" w:cs="Arial" w:eastAsia="Arial" w:hAnsi="Arial"/>
          <w:sz w:val="16"/>
          <w:szCs w:val="16"/>
          <w:color w:val="auto"/>
        </w:rPr>
        <w:t xml:space="preserve"> General Instruction A.2. below):</w:t>
      </w:r>
    </w:p>
    <w:p>
      <w:pPr>
        <w:spacing w:after="0" w:line="169"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9"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9"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2" w:lineRule="exact"/>
        <w:rPr>
          <w:sz w:val="24"/>
          <w:szCs w:val="24"/>
          <w:color w:val="auto"/>
        </w:rPr>
      </w:pPr>
    </w:p>
    <w:tbl>
      <w:tblPr>
        <w:tblLayout w:type="fixed"/>
        <w:tblInd w:w="170" w:type="dxa"/>
        <w:tblCellMar>
          <w:top w:w="0" w:type="dxa"/>
          <w:left w:w="0" w:type="dxa"/>
          <w:bottom w:w="0" w:type="dxa"/>
          <w:right w:w="0" w:type="dxa"/>
        </w:tblCellMar>
      </w:tblPr>
      <w:tr>
        <w:trPr>
          <w:trHeight w:val="243"/>
        </w:trPr>
        <w:tc>
          <w:tcPr>
            <w:tcW w:w="3220" w:type="dxa"/>
            <w:vAlign w:val="bottom"/>
            <w:tcBorders>
              <w:top w:val="single" w:sz="8" w:color="auto"/>
              <w:left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Title of each class</w:t>
            </w:r>
          </w:p>
        </w:tc>
        <w:tc>
          <w:tcPr>
            <w:tcW w:w="21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Trading Symbol(s)</w:t>
            </w:r>
          </w:p>
        </w:tc>
        <w:tc>
          <w:tcPr>
            <w:tcW w:w="5580" w:type="dxa"/>
            <w:vAlign w:val="bottom"/>
            <w:tcBorders>
              <w:top w:val="single" w:sz="8" w:color="auto"/>
              <w:bottom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23"/>
        </w:trPr>
        <w:tc>
          <w:tcPr>
            <w:tcW w:w="3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None</w:t>
            </w:r>
          </w:p>
        </w:tc>
        <w:tc>
          <w:tcPr>
            <w:tcW w:w="2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5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r>
    </w:tbl>
    <w:p>
      <w:pPr>
        <w:spacing w:after="0" w:line="256" w:lineRule="exact"/>
        <w:rPr>
          <w:sz w:val="24"/>
          <w:szCs w:val="24"/>
          <w:color w:val="auto"/>
        </w:rPr>
      </w:pPr>
    </w:p>
    <w:p>
      <w:pPr>
        <w:spacing w:after="0" w:line="30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9" w:lineRule="exact"/>
        <w:rPr>
          <w:sz w:val="24"/>
          <w:szCs w:val="24"/>
          <w:color w:val="auto"/>
        </w:rPr>
      </w:pPr>
    </w:p>
    <w:p>
      <w:pPr>
        <w:ind w:left="87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11" w:lineRule="exact"/>
        <w:rPr>
          <w:sz w:val="24"/>
          <w:szCs w:val="24"/>
          <w:color w:val="auto"/>
        </w:rPr>
      </w:pPr>
    </w:p>
    <w:p>
      <w:pPr>
        <w:ind w:right="14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643890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1" w:name="page2"/>
    <w:bookmarkEnd w:id="1"/>
    <w:p>
      <w:pPr>
        <w:ind w:right="800"/>
        <w:spacing w:after="0" w:line="29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New Director</w:t>
      </w:r>
    </w:p>
    <w:p>
      <w:pPr>
        <w:spacing w:after="0" w:line="115"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color w:val="auto"/>
        </w:rPr>
        <w:t>On October 6, 2025, Brandon Hamara was appointed to the Board of Directors of Fannie Mae, effective as of October 7, 2025. The appointment of Mr. Hamara is until the earlier of: (1) the next annual election of Board members; or (2) the date on which he resigns or is removed by U.S. Federal Housing FHFA (the Federal Housing Finance Agency), as conservator, while Fannie Mae is in conservatorship.</w:t>
      </w:r>
    </w:p>
    <w:p>
      <w:pPr>
        <w:spacing w:after="0" w:line="45" w:lineRule="exact"/>
        <w:rPr>
          <w:sz w:val="20"/>
          <w:szCs w:val="20"/>
          <w:color w:val="auto"/>
        </w:rPr>
      </w:pPr>
    </w:p>
    <w:p>
      <w:pPr>
        <w:ind w:right="640"/>
        <w:spacing w:after="0" w:line="318" w:lineRule="auto"/>
        <w:rPr>
          <w:sz w:val="20"/>
          <w:szCs w:val="20"/>
          <w:color w:val="auto"/>
        </w:rPr>
      </w:pPr>
      <w:r>
        <w:rPr>
          <w:rFonts w:ascii="Arial" w:cs="Arial" w:eastAsia="Arial" w:hAnsi="Arial"/>
          <w:sz w:val="17"/>
          <w:szCs w:val="17"/>
          <w:color w:val="auto"/>
        </w:rPr>
        <w:t>As of the date of this filing, the Board committees on which Mr. Hamara will serve have not been determined. We will provide in an amendment to this Form 8-K any required information about Mr. Hamara’s committee assignments when they have been determined.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Role and Compensation</w:t>
      </w:r>
    </w:p>
    <w:p>
      <w:pPr>
        <w:spacing w:after="0" w:line="11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Mr. Hamara was also appointed to serve as Fannie Mae’s Senior Vice President and Head of Operations for Single-Family and Multifamily, and is expected to start in this role in November 2025.</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Mr. Hamara’s total annual target direct compensation will be $1.9 million, consisting of base salary of $525,000, fixed deferred salary of</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$805,000 and at-risk deferred salary of $570,000. To compensate him for compensation he will forfeit upon leaving his employer, Mr. Hamara was also awarded a sign-on award of $270,000, which will be paid in a first installment of $180,000 as soon as practicable after his start date and a second installment of $90,000 as soon as practicable after the first anniversary of his start date as an employee, provided he remains employed by Fannie Mae. If within one year after Mr. Hamara receives any installment of the sign-on award: (a) he resigns; (b) his employment with Fannie Mae is terminated involuntarily due to his misconduct; or (c) he fails to successfully pass a pre-employment background investigation, he will be required to repay the installment and will forfeit any unpaid portion of his sign-on award. Mr. Hamara has also been offered benefits under Fannie Mae’s standard executive relocation plan. Mr. Hamara will also be eligible to receive employee benefits, including those described in “Elements of 2024 Executive Compensation” in the “Executive Compensation—Compensation Discussion and Analysis” section of Fannie Mae’s annual report on Form 10-K for the year ended December 31, 2024, filed with the Securities and Exchange Commission on February 14, 2025. Mr. Hamara will not receive any additional compensation for his service as a director.</w:t>
      </w:r>
    </w:p>
    <w:p>
      <w:pPr>
        <w:spacing w:after="0" w:line="7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of the date of this filing, other than Mr. Hamara’s employee compensation described above, we have not yet determined whether there are any other transactions or relationships involving Mr. Hamara that are required to be disclosed by Item 404(a) of Regulation S-K. We will provide in an amendment to this Form 8-K any additional required information about transactions or relationships when they have been determined.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w:t>
      </w:r>
    </w:p>
    <w:p>
      <w:pPr>
        <w:spacing w:after="0" w:line="115" w:lineRule="exact"/>
        <w:rPr>
          <w:sz w:val="20"/>
          <w:szCs w:val="20"/>
          <w:color w:val="auto"/>
        </w:rPr>
      </w:pPr>
    </w:p>
    <w:p>
      <w:pPr>
        <w:jc w:val="both"/>
        <w:ind w:right="420"/>
        <w:spacing w:after="0" w:line="318" w:lineRule="auto"/>
        <w:rPr>
          <w:sz w:val="20"/>
          <w:szCs w:val="20"/>
          <w:color w:val="auto"/>
        </w:rPr>
      </w:pPr>
      <w:r>
        <w:rPr>
          <w:rFonts w:ascii="Arial" w:cs="Arial" w:eastAsia="Arial" w:hAnsi="Arial"/>
          <w:sz w:val="17"/>
          <w:szCs w:val="17"/>
          <w:color w:val="auto"/>
        </w:rPr>
        <w:t>Fannie Mae expects to enter into an indemnification agreement with Mr. Hamara in the form filed as Exhibit 10.3 to Fannie Mae’s annual report on Form 10-K for the year ended December 31, 2018, filed with the Securities and Exchange Commission on February 14, 2019.</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 w:name="page3"/>
    <w:bookmarkEnd w:id="2"/>
    <w:p>
      <w:pPr>
        <w:spacing w:after="0" w:line="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4820" w:type="dxa"/>
        <w:tblCellMar>
          <w:top w:w="0" w:type="dxa"/>
          <w:left w:w="0" w:type="dxa"/>
          <w:bottom w:w="0" w:type="dxa"/>
          <w:right w:w="0" w:type="dxa"/>
        </w:tblCellMar>
      </w:tblPr>
      <w:tr>
        <w:trPr>
          <w:trHeight w:val="239"/>
        </w:trPr>
        <w:tc>
          <w:tcPr>
            <w:tcW w:w="22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FEDERAL NATIONAL MORTGAGE ASSOCIATION</w:t>
            </w:r>
          </w:p>
        </w:tc>
      </w:tr>
      <w:tr>
        <w:trPr>
          <w:trHeight w:val="698"/>
        </w:trPr>
        <w:tc>
          <w:tcPr>
            <w:tcW w:w="220" w:type="dxa"/>
            <w:vAlign w:val="bottom"/>
          </w:tcPr>
          <w:p>
            <w:pPr>
              <w:spacing w:after="0"/>
              <w:rPr>
                <w:sz w:val="20"/>
                <w:szCs w:val="20"/>
                <w:color w:val="auto"/>
              </w:rPr>
            </w:pPr>
            <w:r>
              <w:rPr>
                <w:rFonts w:ascii="Arial" w:cs="Arial" w:eastAsia="Arial" w:hAnsi="Arial"/>
                <w:sz w:val="18"/>
                <w:szCs w:val="18"/>
                <w:color w:val="auto"/>
                <w:w w:val="94"/>
              </w:rPr>
              <w:t>By</w:t>
            </w:r>
          </w:p>
        </w:tc>
        <w:tc>
          <w:tcPr>
            <w:tcW w:w="53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Thomas L. Klein</w:t>
            </w:r>
          </w:p>
        </w:tc>
      </w:tr>
      <w:tr>
        <w:trPr>
          <w:trHeight w:val="218"/>
        </w:trPr>
        <w:tc>
          <w:tcPr>
            <w:tcW w:w="22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Thomas L. Klein</w:t>
            </w:r>
          </w:p>
        </w:tc>
      </w:tr>
      <w:tr>
        <w:trPr>
          <w:trHeight w:val="239"/>
        </w:trPr>
        <w:tc>
          <w:tcPr>
            <w:tcW w:w="22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Enterprise Deputy General Counsel—Vice President</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Date: October 8, 2025</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sectPr>
      <w:pgSz w:w="11900" w:h="16838" w:orient="portrait"/>
      <w:cols w:equalWidth="0" w:num="1">
        <w:col w:w="11120"/>
      </w:cols>
      <w:pgMar w:left="32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2025-10-08T15:45:00Z</dcterms:created>
  <dcterms:modified xsi:type="dcterms:W3CDTF">2025-10-08T15:45:00Z</dcterms:modified>
</cp:coreProperties>
</file>