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3, 2026</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Federal National Mortgage Association</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Fannie Mae</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Borders>
              <w:top w:val="single" w:sz="8" w:color="auto"/>
            </w:tcBorders>
          </w:tcPr>
          <w:p>
            <w:pPr>
              <w:jc w:val="center"/>
              <w:ind w:left="105"/>
              <w:spacing w:after="0"/>
              <w:rPr>
                <w:sz w:val="20"/>
                <w:szCs w:val="20"/>
                <w:color w:val="auto"/>
              </w:rPr>
            </w:pPr>
            <w:r>
              <w:rPr>
                <w:rFonts w:ascii="Arial" w:cs="Arial" w:eastAsia="Arial" w:hAnsi="Arial"/>
                <w:sz w:val="16"/>
                <w:szCs w:val="16"/>
                <w:b w:val="1"/>
                <w:bCs w:val="1"/>
                <w:color w:val="auto"/>
              </w:rPr>
              <w:t>Federally chartered corporation</w:t>
            </w:r>
          </w:p>
        </w:tc>
        <w:tc>
          <w:tcPr>
            <w:tcW w:w="1420" w:type="dxa"/>
            <w:vAlign w:val="bottom"/>
            <w:tcBorders>
              <w:top w:val="single" w:sz="8" w:color="auto"/>
            </w:tcBorders>
          </w:tcPr>
          <w:p>
            <w:pPr>
              <w:jc w:val="center"/>
              <w:ind w:left="185"/>
              <w:spacing w:after="0"/>
              <w:rPr>
                <w:sz w:val="20"/>
                <w:szCs w:val="20"/>
                <w:color w:val="auto"/>
              </w:rPr>
            </w:pPr>
            <w:r>
              <w:rPr>
                <w:rFonts w:ascii="Arial" w:cs="Arial" w:eastAsia="Arial" w:hAnsi="Arial"/>
                <w:sz w:val="16"/>
                <w:szCs w:val="16"/>
                <w:b w:val="1"/>
                <w:bCs w:val="1"/>
                <w:color w:val="auto"/>
              </w:rPr>
              <w:t>0-50231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52-0883107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1100 15th</w:t>
            </w: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Street, NW</w:t>
            </w: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800</w:t>
            </w:r>
          </w:p>
        </w:tc>
        <w:tc>
          <w:tcPr>
            <w:tcW w:w="1860" w:type="dxa"/>
            <w:vAlign w:val="bottom"/>
            <w:tcBorders>
              <w:top w:val="single" w:sz="8" w:color="auto"/>
            </w:tcBorders>
          </w:tcPr>
          <w:p>
            <w:pPr>
              <w:jc w:val="right"/>
              <w:ind w:right="844"/>
              <w:spacing w:after="0"/>
              <w:rPr>
                <w:sz w:val="20"/>
                <w:szCs w:val="20"/>
                <w:color w:val="auto"/>
              </w:rPr>
            </w:pPr>
            <w:r>
              <w:rPr>
                <w:rFonts w:ascii="Arial" w:cs="Arial" w:eastAsia="Arial" w:hAnsi="Arial"/>
                <w:sz w:val="16"/>
                <w:szCs w:val="16"/>
                <w:b w:val="1"/>
                <w:bCs w:val="1"/>
                <w:color w:val="auto"/>
              </w:rPr>
              <w:t>232-6643</w:t>
            </w:r>
          </w:p>
        </w:tc>
      </w:tr>
      <w:tr>
        <w:trPr>
          <w:trHeight w:val="223"/>
        </w:trPr>
        <w:tc>
          <w:tcPr>
            <w:tcW w:w="3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Washington,</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DC   20005</w:t>
            </w:r>
          </w:p>
        </w:tc>
        <w:tc>
          <w:tcPr>
            <w:tcW w:w="5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43"/>
        </w:trPr>
        <w:tc>
          <w:tcPr>
            <w:tcW w:w="3420" w:type="dxa"/>
            <w:vAlign w:val="bottom"/>
          </w:tcPr>
          <w:p>
            <w:pPr>
              <w:jc w:val="center"/>
              <w:ind w:left="105"/>
              <w:spacing w:after="0" w:line="143" w:lineRule="exact"/>
              <w:rPr>
                <w:sz w:val="20"/>
                <w:szCs w:val="20"/>
                <w:color w:val="auto"/>
              </w:rPr>
            </w:pPr>
            <w:r>
              <w:rPr>
                <w:rFonts w:ascii="Arial" w:cs="Arial" w:eastAsia="Arial" w:hAnsi="Arial"/>
                <w:sz w:val="14"/>
                <w:szCs w:val="14"/>
                <w:i w:val="1"/>
                <w:iCs w:val="1"/>
                <w:color w:val="auto"/>
              </w:rPr>
              <w:t>(State or other jurisdiction</w:t>
            </w:r>
          </w:p>
        </w:tc>
        <w:tc>
          <w:tcPr>
            <w:tcW w:w="1420" w:type="dxa"/>
            <w:vAlign w:val="bottom"/>
          </w:tcPr>
          <w:p>
            <w:pPr>
              <w:jc w:val="center"/>
              <w:ind w:left="185"/>
              <w:spacing w:after="0" w:line="143" w:lineRule="exact"/>
              <w:rPr>
                <w:sz w:val="20"/>
                <w:szCs w:val="20"/>
                <w:color w:val="auto"/>
              </w:rPr>
            </w:pPr>
            <w:r>
              <w:rPr>
                <w:rFonts w:ascii="Arial" w:cs="Arial" w:eastAsia="Arial" w:hAnsi="Arial"/>
                <w:sz w:val="14"/>
                <w:szCs w:val="14"/>
                <w:i w:val="1"/>
                <w:iCs w:val="1"/>
                <w:color w:val="auto"/>
              </w:rPr>
              <w:t>(Commission</w:t>
            </w:r>
          </w:p>
        </w:tc>
        <w:tc>
          <w:tcPr>
            <w:tcW w:w="1500" w:type="dxa"/>
            <w:vAlign w:val="bottom"/>
          </w:tcPr>
          <w:p>
            <w:pPr>
              <w:jc w:val="center"/>
              <w:spacing w:after="0" w:line="143" w:lineRule="exact"/>
              <w:rPr>
                <w:sz w:val="20"/>
                <w:szCs w:val="20"/>
                <w:color w:val="auto"/>
              </w:rPr>
            </w:pPr>
            <w:r>
              <w:rPr>
                <w:rFonts w:ascii="Arial" w:cs="Arial" w:eastAsia="Arial" w:hAnsi="Arial"/>
                <w:sz w:val="14"/>
                <w:szCs w:val="14"/>
                <w:i w:val="1"/>
                <w:iCs w:val="1"/>
                <w:color w:val="auto"/>
              </w:rPr>
              <w:t>(IRS Employer</w:t>
            </w:r>
          </w:p>
        </w:tc>
        <w:tc>
          <w:tcPr>
            <w:tcW w:w="2500" w:type="dxa"/>
            <w:vAlign w:val="bottom"/>
            <w:gridSpan w:val="2"/>
          </w:tcPr>
          <w:p>
            <w:pPr>
              <w:jc w:val="center"/>
              <w:spacing w:after="0" w:line="143" w:lineRule="exact"/>
              <w:rPr>
                <w:sz w:val="20"/>
                <w:szCs w:val="20"/>
                <w:color w:val="auto"/>
              </w:rPr>
            </w:pPr>
            <w:r>
              <w:rPr>
                <w:rFonts w:ascii="Arial" w:cs="Arial" w:eastAsia="Arial" w:hAnsi="Arial"/>
                <w:sz w:val="14"/>
                <w:szCs w:val="14"/>
                <w:i w:val="1"/>
                <w:iCs w:val="1"/>
                <w:color w:val="auto"/>
              </w:rPr>
              <w:t>(Address of principal executive</w:t>
            </w:r>
          </w:p>
        </w:tc>
        <w:tc>
          <w:tcPr>
            <w:tcW w:w="2380" w:type="dxa"/>
            <w:vAlign w:val="bottom"/>
            <w:gridSpan w:val="2"/>
          </w:tcPr>
          <w:p>
            <w:pPr>
              <w:ind w:left="200"/>
              <w:spacing w:after="0" w:line="143" w:lineRule="exact"/>
              <w:rPr>
                <w:sz w:val="20"/>
                <w:szCs w:val="20"/>
                <w:color w:val="auto"/>
              </w:rPr>
            </w:pPr>
            <w:r>
              <w:rPr>
                <w:rFonts w:ascii="Arial" w:cs="Arial" w:eastAsia="Arial" w:hAnsi="Arial"/>
                <w:sz w:val="14"/>
                <w:szCs w:val="14"/>
                <w:i w:val="1"/>
                <w:iCs w:val="1"/>
                <w:color w:val="auto"/>
              </w:rPr>
              <w:t>(Registrant’s telephone number,</w:t>
            </w:r>
          </w:p>
        </w:tc>
      </w:tr>
      <w:tr>
        <w:trPr>
          <w:trHeight w:val="189"/>
        </w:trPr>
        <w:tc>
          <w:tcPr>
            <w:tcW w:w="34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i w:val="1"/>
                <w:iCs w:val="1"/>
                <w:color w:val="auto"/>
              </w:rPr>
              <w:t>of incorporation)</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i w:val="1"/>
                <w:iCs w:val="1"/>
                <w:color w:val="auto"/>
              </w:rPr>
              <w:t>File Number)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Identification No.)</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i w:val="1"/>
                <w:iCs w:val="1"/>
                <w:color w:val="auto"/>
              </w:rPr>
              <w:t>including area code)</w:t>
            </w:r>
          </w:p>
        </w:tc>
      </w:tr>
    </w:tbl>
    <w:p>
      <w:pPr>
        <w:spacing w:after="0" w:line="256"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16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2"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Title of each class</w:t>
            </w:r>
          </w:p>
        </w:tc>
        <w:tc>
          <w:tcPr>
            <w:tcW w:w="2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r>
    </w:tbl>
    <w:p>
      <w:pPr>
        <w:spacing w:after="0" w:line="256" w:lineRule="exact"/>
        <w:rPr>
          <w:sz w:val="24"/>
          <w:szCs w:val="24"/>
          <w:color w:val="auto"/>
        </w:rPr>
      </w:pPr>
    </w:p>
    <w:p>
      <w:pPr>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1" w:lineRule="exact"/>
        <w:rPr>
          <w:sz w:val="24"/>
          <w:szCs w:val="24"/>
          <w:color w:val="auto"/>
        </w:rPr>
      </w:pPr>
    </w:p>
    <w:p>
      <w:pPr>
        <w:ind w:right="14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conservator of Fannie Mae, the Federal Housing Finance Agency (“FHFA”) has succeeded to all rights, titles, powers and privileges of Fannie Mae, and of any stockholder, officer or director of Fannie Mae with respect to Fannie Mae and its assets, including the stockholders’ rights to elect our directors.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FHFA executed a written stockholder consent, dated February 3, 2026, re-electing all of the current members of Fannie Mae’s Board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Barry Habib</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Brandon Hamara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Clinton Jones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Omeed Malik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William J. Pulte (Chair)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Manuel “Manolo” Sánchez Rodríguez</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Scott D. Stowell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Michael Stucky (Vice Chair)</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director will serve for a term that ends on the date of our next annual meeting of shareholders, or when the conservator next elects our directors by written consent, and will hold office until their successor is chosen and qualified, or until the director’s earlier resignation, retirement, removal, or death.</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66" w:right="439" w:bottom="1440" w:gutter="0" w:footer="0" w:header="0"/>
        </w:sectPr>
      </w:pPr>
    </w:p>
    <w:bookmarkStart w:id="2" w:name="page3"/>
    <w:bookmarkEnd w:id="2"/>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82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r>
      <w:tr>
        <w:trPr>
          <w:trHeight w:val="698"/>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David B. Rich III</w:t>
            </w:r>
          </w:p>
        </w:tc>
      </w:tr>
      <w:tr>
        <w:trPr>
          <w:trHeight w:val="218"/>
        </w:trPr>
        <w:tc>
          <w:tcPr>
            <w:tcW w:w="2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David B. Rich III</w:t>
            </w:r>
          </w:p>
        </w:tc>
      </w:t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Enterprise Deputy General Counsel – Senior Vice President</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2026</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2026-02-06T16:11:25Z</dcterms:created>
  <dcterms:modified xsi:type="dcterms:W3CDTF">2026-02-06T16:11:25Z</dcterms:modified>
</cp:coreProperties>
</file>