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December 5, 2022</w:t>
      </w:r>
    </w:p>
    <w:p>
      <w:pPr>
        <w:spacing w:after="0" w:line="390"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Federal National Mortgage Association</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2"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Fannie Mae</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3420" w:type="dxa"/>
            <w:vAlign w:val="bottom"/>
            <w:tcBorders>
              <w:top w:val="single" w:sz="8" w:color="auto"/>
            </w:tcBorders>
          </w:tcPr>
          <w:p>
            <w:pPr>
              <w:jc w:val="center"/>
              <w:ind w:left="105"/>
              <w:spacing w:after="0"/>
              <w:rPr>
                <w:sz w:val="20"/>
                <w:szCs w:val="20"/>
                <w:color w:val="auto"/>
              </w:rPr>
            </w:pPr>
            <w:r>
              <w:rPr>
                <w:rFonts w:ascii="Arial" w:cs="Arial" w:eastAsia="Arial" w:hAnsi="Arial"/>
                <w:sz w:val="16"/>
                <w:szCs w:val="16"/>
                <w:b w:val="1"/>
                <w:bCs w:val="1"/>
                <w:color w:val="auto"/>
              </w:rPr>
              <w:t>Federally chartered corporation</w:t>
            </w:r>
          </w:p>
        </w:tc>
        <w:tc>
          <w:tcPr>
            <w:tcW w:w="1420" w:type="dxa"/>
            <w:vAlign w:val="bottom"/>
            <w:tcBorders>
              <w:top w:val="single" w:sz="8" w:color="auto"/>
            </w:tcBorders>
          </w:tcPr>
          <w:p>
            <w:pPr>
              <w:jc w:val="center"/>
              <w:ind w:left="185"/>
              <w:spacing w:after="0"/>
              <w:rPr>
                <w:sz w:val="20"/>
                <w:szCs w:val="20"/>
                <w:color w:val="auto"/>
              </w:rPr>
            </w:pPr>
            <w:r>
              <w:rPr>
                <w:rFonts w:ascii="Arial" w:cs="Arial" w:eastAsia="Arial" w:hAnsi="Arial"/>
                <w:sz w:val="16"/>
                <w:szCs w:val="16"/>
                <w:b w:val="1"/>
                <w:bCs w:val="1"/>
                <w:color w:val="auto"/>
              </w:rPr>
              <w:t>0-50231</w:t>
            </w: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52-0883107</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1100 15th</w:t>
            </w:r>
          </w:p>
        </w:tc>
        <w:tc>
          <w:tcPr>
            <w:tcW w:w="13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Street, NW</w:t>
            </w:r>
          </w:p>
        </w:tc>
        <w:tc>
          <w:tcPr>
            <w:tcW w:w="520" w:type="dxa"/>
            <w:vAlign w:val="bottom"/>
            <w:tcBorders>
              <w:top w:val="single" w:sz="8" w:color="auto"/>
            </w:tcBorders>
          </w:tcPr>
          <w:p>
            <w:pPr>
              <w:ind w:left="220"/>
              <w:spacing w:after="0"/>
              <w:rPr>
                <w:sz w:val="20"/>
                <w:szCs w:val="20"/>
                <w:color w:val="auto"/>
              </w:rPr>
            </w:pPr>
            <w:r>
              <w:rPr>
                <w:rFonts w:ascii="Arial" w:cs="Arial" w:eastAsia="Arial" w:hAnsi="Arial"/>
                <w:sz w:val="16"/>
                <w:szCs w:val="16"/>
                <w:b w:val="1"/>
                <w:bCs w:val="1"/>
                <w:color w:val="auto"/>
              </w:rPr>
              <w:t>800</w:t>
            </w:r>
          </w:p>
        </w:tc>
        <w:tc>
          <w:tcPr>
            <w:tcW w:w="1860" w:type="dxa"/>
            <w:vAlign w:val="bottom"/>
            <w:tcBorders>
              <w:top w:val="single" w:sz="8" w:color="auto"/>
            </w:tcBorders>
          </w:tcPr>
          <w:p>
            <w:pPr>
              <w:jc w:val="right"/>
              <w:ind w:right="844"/>
              <w:spacing w:after="0"/>
              <w:rPr>
                <w:sz w:val="20"/>
                <w:szCs w:val="20"/>
                <w:color w:val="auto"/>
              </w:rPr>
            </w:pPr>
            <w:r>
              <w:rPr>
                <w:rFonts w:ascii="Arial" w:cs="Arial" w:eastAsia="Arial" w:hAnsi="Arial"/>
                <w:sz w:val="16"/>
                <w:szCs w:val="16"/>
                <w:b w:val="1"/>
                <w:bCs w:val="1"/>
                <w:color w:val="auto"/>
              </w:rPr>
              <w:t>232-6643</w:t>
            </w:r>
          </w:p>
        </w:tc>
      </w:tr>
      <w:tr>
        <w:trPr>
          <w:trHeight w:val="223"/>
        </w:trPr>
        <w:tc>
          <w:tcPr>
            <w:tcW w:w="3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Washington,</w:t>
            </w:r>
          </w:p>
        </w:tc>
        <w:tc>
          <w:tcPr>
            <w:tcW w:w="1320" w:type="dxa"/>
            <w:vAlign w:val="bottom"/>
          </w:tcPr>
          <w:p>
            <w:pPr>
              <w:ind w:left="220"/>
              <w:spacing w:after="0"/>
              <w:rPr>
                <w:sz w:val="20"/>
                <w:szCs w:val="20"/>
                <w:color w:val="auto"/>
              </w:rPr>
            </w:pPr>
            <w:r>
              <w:rPr>
                <w:rFonts w:ascii="Arial" w:cs="Arial" w:eastAsia="Arial" w:hAnsi="Arial"/>
                <w:sz w:val="16"/>
                <w:szCs w:val="16"/>
                <w:b w:val="1"/>
                <w:bCs w:val="1"/>
                <w:color w:val="auto"/>
              </w:rPr>
              <w:t>DC   20005</w:t>
            </w:r>
          </w:p>
        </w:tc>
        <w:tc>
          <w:tcPr>
            <w:tcW w:w="52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143"/>
        </w:trPr>
        <w:tc>
          <w:tcPr>
            <w:tcW w:w="3420" w:type="dxa"/>
            <w:vAlign w:val="bottom"/>
          </w:tcPr>
          <w:p>
            <w:pPr>
              <w:jc w:val="center"/>
              <w:ind w:left="105"/>
              <w:spacing w:after="0" w:line="143" w:lineRule="exact"/>
              <w:rPr>
                <w:sz w:val="20"/>
                <w:szCs w:val="20"/>
                <w:color w:val="auto"/>
              </w:rPr>
            </w:pPr>
            <w:r>
              <w:rPr>
                <w:rFonts w:ascii="Arial" w:cs="Arial" w:eastAsia="Arial" w:hAnsi="Arial"/>
                <w:sz w:val="14"/>
                <w:szCs w:val="14"/>
                <w:i w:val="1"/>
                <w:iCs w:val="1"/>
                <w:color w:val="auto"/>
              </w:rPr>
              <w:t>(State or other jurisdiction</w:t>
            </w:r>
          </w:p>
        </w:tc>
        <w:tc>
          <w:tcPr>
            <w:tcW w:w="1420" w:type="dxa"/>
            <w:vAlign w:val="bottom"/>
          </w:tcPr>
          <w:p>
            <w:pPr>
              <w:jc w:val="center"/>
              <w:ind w:left="185"/>
              <w:spacing w:after="0" w:line="143" w:lineRule="exact"/>
              <w:rPr>
                <w:sz w:val="20"/>
                <w:szCs w:val="20"/>
                <w:color w:val="auto"/>
              </w:rPr>
            </w:pPr>
            <w:r>
              <w:rPr>
                <w:rFonts w:ascii="Arial" w:cs="Arial" w:eastAsia="Arial" w:hAnsi="Arial"/>
                <w:sz w:val="14"/>
                <w:szCs w:val="14"/>
                <w:i w:val="1"/>
                <w:iCs w:val="1"/>
                <w:color w:val="auto"/>
              </w:rPr>
              <w:t>(Commission</w:t>
            </w:r>
          </w:p>
        </w:tc>
        <w:tc>
          <w:tcPr>
            <w:tcW w:w="1500" w:type="dxa"/>
            <w:vAlign w:val="bottom"/>
          </w:tcPr>
          <w:p>
            <w:pPr>
              <w:jc w:val="center"/>
              <w:spacing w:after="0" w:line="143" w:lineRule="exact"/>
              <w:rPr>
                <w:sz w:val="20"/>
                <w:szCs w:val="20"/>
                <w:color w:val="auto"/>
              </w:rPr>
            </w:pPr>
            <w:r>
              <w:rPr>
                <w:rFonts w:ascii="Arial" w:cs="Arial" w:eastAsia="Arial" w:hAnsi="Arial"/>
                <w:sz w:val="14"/>
                <w:szCs w:val="14"/>
                <w:i w:val="1"/>
                <w:iCs w:val="1"/>
                <w:color w:val="auto"/>
              </w:rPr>
              <w:t>(IRS Employer</w:t>
            </w:r>
          </w:p>
        </w:tc>
        <w:tc>
          <w:tcPr>
            <w:tcW w:w="2500" w:type="dxa"/>
            <w:vAlign w:val="bottom"/>
            <w:gridSpan w:val="2"/>
          </w:tcPr>
          <w:p>
            <w:pPr>
              <w:jc w:val="center"/>
              <w:spacing w:after="0" w:line="143" w:lineRule="exact"/>
              <w:rPr>
                <w:sz w:val="20"/>
                <w:szCs w:val="20"/>
                <w:color w:val="auto"/>
              </w:rPr>
            </w:pPr>
            <w:r>
              <w:rPr>
                <w:rFonts w:ascii="Arial" w:cs="Arial" w:eastAsia="Arial" w:hAnsi="Arial"/>
                <w:sz w:val="14"/>
                <w:szCs w:val="14"/>
                <w:i w:val="1"/>
                <w:iCs w:val="1"/>
                <w:color w:val="auto"/>
              </w:rPr>
              <w:t>(Address of principal executive</w:t>
            </w:r>
          </w:p>
        </w:tc>
        <w:tc>
          <w:tcPr>
            <w:tcW w:w="2380" w:type="dxa"/>
            <w:vAlign w:val="bottom"/>
            <w:gridSpan w:val="2"/>
          </w:tcPr>
          <w:p>
            <w:pPr>
              <w:ind w:left="200"/>
              <w:spacing w:after="0" w:line="143" w:lineRule="exact"/>
              <w:rPr>
                <w:sz w:val="20"/>
                <w:szCs w:val="20"/>
                <w:color w:val="auto"/>
              </w:rPr>
            </w:pPr>
            <w:r>
              <w:rPr>
                <w:rFonts w:ascii="Arial" w:cs="Arial" w:eastAsia="Arial" w:hAnsi="Arial"/>
                <w:sz w:val="14"/>
                <w:szCs w:val="14"/>
                <w:i w:val="1"/>
                <w:iCs w:val="1"/>
                <w:color w:val="auto"/>
              </w:rPr>
              <w:t>(Registrant’s telephone number,</w:t>
            </w:r>
          </w:p>
        </w:tc>
      </w:tr>
      <w:tr>
        <w:trPr>
          <w:trHeight w:val="189"/>
        </w:trPr>
        <w:tc>
          <w:tcPr>
            <w:tcW w:w="3420" w:type="dxa"/>
            <w:vAlign w:val="bottom"/>
            <w:tcBorders>
              <w:bottom w:val="single" w:sz="8" w:color="auto"/>
            </w:tcBorders>
          </w:tcPr>
          <w:p>
            <w:pPr>
              <w:jc w:val="center"/>
              <w:ind w:left="105"/>
              <w:spacing w:after="0"/>
              <w:rPr>
                <w:sz w:val="20"/>
                <w:szCs w:val="20"/>
                <w:color w:val="auto"/>
              </w:rPr>
            </w:pPr>
            <w:r>
              <w:rPr>
                <w:rFonts w:ascii="Arial" w:cs="Arial" w:eastAsia="Arial" w:hAnsi="Arial"/>
                <w:sz w:val="14"/>
                <w:szCs w:val="14"/>
                <w:i w:val="1"/>
                <w:iCs w:val="1"/>
                <w:color w:val="auto"/>
              </w:rPr>
              <w:t>of incorporation)</w:t>
            </w:r>
          </w:p>
        </w:tc>
        <w:tc>
          <w:tcPr>
            <w:tcW w:w="1420" w:type="dxa"/>
            <w:vAlign w:val="bottom"/>
            <w:tcBorders>
              <w:bottom w:val="single" w:sz="8" w:color="auto"/>
            </w:tcBorders>
          </w:tcPr>
          <w:p>
            <w:pPr>
              <w:jc w:val="center"/>
              <w:ind w:left="165"/>
              <w:spacing w:after="0"/>
              <w:rPr>
                <w:sz w:val="20"/>
                <w:szCs w:val="20"/>
                <w:color w:val="auto"/>
              </w:rPr>
            </w:pPr>
            <w:r>
              <w:rPr>
                <w:rFonts w:ascii="Arial" w:cs="Arial" w:eastAsia="Arial" w:hAnsi="Arial"/>
                <w:sz w:val="14"/>
                <w:szCs w:val="14"/>
                <w:i w:val="1"/>
                <w:iCs w:val="1"/>
                <w:color w:val="auto"/>
              </w:rPr>
              <w:t>File Number)</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rPr>
              <w:t>Identification No.)</w:t>
            </w:r>
          </w:p>
        </w:tc>
        <w:tc>
          <w:tcPr>
            <w:tcW w:w="2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i w:val="1"/>
                <w:iCs w:val="1"/>
                <w:color w:val="auto"/>
              </w:rPr>
              <w:t>offices, including zip code)</w:t>
            </w:r>
          </w:p>
        </w:tc>
        <w:tc>
          <w:tcPr>
            <w:tcW w:w="5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i w:val="1"/>
                <w:iCs w:val="1"/>
                <w:color w:val="auto"/>
              </w:rPr>
              <w:t>including area code)</w:t>
            </w:r>
          </w:p>
        </w:tc>
      </w:tr>
    </w:tbl>
    <w:p>
      <w:pPr>
        <w:spacing w:after="0" w:line="200" w:lineRule="exact"/>
        <w:rPr>
          <w:sz w:val="24"/>
          <w:szCs w:val="24"/>
          <w:color w:val="auto"/>
        </w:rPr>
      </w:pPr>
    </w:p>
    <w:p>
      <w:pPr>
        <w:spacing w:after="0" w:line="245" w:lineRule="exact"/>
        <w:rPr>
          <w:sz w:val="24"/>
          <w:szCs w:val="24"/>
          <w:color w:val="auto"/>
        </w:rPr>
      </w:pPr>
    </w:p>
    <w:p>
      <w:pPr>
        <w:ind w:right="300"/>
        <w:spacing w:after="0" w:line="304"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w:t>
      </w:r>
      <w:r>
        <w:rPr>
          <w:rFonts w:ascii="Arial" w:cs="Arial" w:eastAsia="Arial" w:hAnsi="Arial"/>
          <w:sz w:val="16"/>
          <w:szCs w:val="16"/>
          <w:u w:val="single" w:color="auto"/>
          <w:color w:val="auto"/>
        </w:rPr>
        <w:t>see</w:t>
      </w:r>
      <w:r>
        <w:rPr>
          <w:rFonts w:ascii="Arial" w:cs="Arial" w:eastAsia="Arial" w:hAnsi="Arial"/>
          <w:sz w:val="16"/>
          <w:szCs w:val="16"/>
          <w:color w:val="auto"/>
        </w:rPr>
        <w:t xml:space="preserve"> General Instruction A.2. below):</w:t>
      </w:r>
    </w:p>
    <w:p>
      <w:pPr>
        <w:spacing w:after="0" w:line="60"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40" w:lineRule="exact"/>
        <w:rPr>
          <w:rFonts w:ascii="MS PGothic" w:cs="MS PGothic" w:eastAsia="MS PGothic" w:hAnsi="MS PGothic"/>
          <w:sz w:val="16"/>
          <w:szCs w:val="16"/>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48" w:lineRule="exact"/>
        <w:rPr>
          <w:rFonts w:ascii="MS PGothic" w:cs="MS PGothic" w:eastAsia="MS PGothic" w:hAnsi="MS PGothic"/>
          <w:sz w:val="16"/>
          <w:szCs w:val="16"/>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40" w:lineRule="exact"/>
        <w:rPr>
          <w:rFonts w:ascii="MS PGothic" w:cs="MS PGothic" w:eastAsia="MS PGothic" w:hAnsi="MS PGothic"/>
          <w:sz w:val="16"/>
          <w:szCs w:val="16"/>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356"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21" w:lineRule="exact"/>
        <w:rPr>
          <w:sz w:val="24"/>
          <w:szCs w:val="24"/>
          <w:color w:val="auto"/>
        </w:rPr>
      </w:pPr>
    </w:p>
    <w:tbl>
      <w:tblPr>
        <w:tblLayout w:type="fixed"/>
        <w:tblInd w:w="170" w:type="dxa"/>
        <w:tblCellMar>
          <w:top w:w="0" w:type="dxa"/>
          <w:left w:w="0" w:type="dxa"/>
          <w:bottom w:w="0" w:type="dxa"/>
          <w:right w:w="0" w:type="dxa"/>
        </w:tblCellMar>
      </w:tblPr>
      <w:tr>
        <w:trPr>
          <w:trHeight w:val="243"/>
        </w:trPr>
        <w:tc>
          <w:tcPr>
            <w:tcW w:w="3220" w:type="dxa"/>
            <w:vAlign w:val="bottom"/>
            <w:tcBorders>
              <w:top w:val="single" w:sz="8" w:color="auto"/>
              <w:left w:val="single" w:sz="8" w:color="auto"/>
              <w:bottom w:val="single" w:sz="8" w:color="auto"/>
              <w:right w:val="single" w:sz="8" w:color="auto"/>
            </w:tcBorders>
          </w:tcPr>
          <w:p>
            <w:pPr>
              <w:ind w:left="840"/>
              <w:spacing w:after="0"/>
              <w:rPr>
                <w:sz w:val="20"/>
                <w:szCs w:val="20"/>
                <w:color w:val="auto"/>
              </w:rPr>
            </w:pPr>
            <w:r>
              <w:rPr>
                <w:rFonts w:ascii="Arial" w:cs="Arial" w:eastAsia="Arial" w:hAnsi="Arial"/>
                <w:sz w:val="18"/>
                <w:szCs w:val="18"/>
                <w:b w:val="1"/>
                <w:bCs w:val="1"/>
                <w:color w:val="auto"/>
              </w:rPr>
              <w:t>Title of each class</w:t>
            </w:r>
          </w:p>
        </w:tc>
        <w:tc>
          <w:tcPr>
            <w:tcW w:w="2140" w:type="dxa"/>
            <w:vAlign w:val="bottom"/>
            <w:tcBorders>
              <w:top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8"/>
                <w:szCs w:val="18"/>
                <w:b w:val="1"/>
                <w:bCs w:val="1"/>
                <w:color w:val="auto"/>
              </w:rPr>
              <w:t>Trading Symbol(s)</w:t>
            </w:r>
          </w:p>
        </w:tc>
        <w:tc>
          <w:tcPr>
            <w:tcW w:w="5580" w:type="dxa"/>
            <w:vAlign w:val="bottom"/>
            <w:tcBorders>
              <w:top w:val="single" w:sz="8" w:color="auto"/>
              <w:bottom w:val="single" w:sz="8" w:color="auto"/>
              <w:right w:val="single" w:sz="8" w:color="auto"/>
            </w:tcBorders>
          </w:tcPr>
          <w:p>
            <w:pPr>
              <w:ind w:left="88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23"/>
        </w:trPr>
        <w:tc>
          <w:tcPr>
            <w:tcW w:w="32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None</w:t>
            </w:r>
          </w:p>
        </w:tc>
        <w:tc>
          <w:tcPr>
            <w:tcW w:w="2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w:t>
            </w:r>
          </w:p>
        </w:tc>
        <w:tc>
          <w:tcPr>
            <w:tcW w:w="5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w:t>
            </w:r>
          </w:p>
        </w:tc>
      </w:tr>
    </w:tbl>
    <w:p>
      <w:pPr>
        <w:spacing w:after="0" w:line="200" w:lineRule="exact"/>
        <w:rPr>
          <w:sz w:val="24"/>
          <w:szCs w:val="24"/>
          <w:color w:val="auto"/>
        </w:rPr>
      </w:pPr>
    </w:p>
    <w:p>
      <w:pPr>
        <w:spacing w:after="0" w:line="204" w:lineRule="exact"/>
        <w:rPr>
          <w:sz w:val="24"/>
          <w:szCs w:val="24"/>
          <w:color w:val="auto"/>
        </w:rPr>
      </w:pPr>
    </w:p>
    <w:p>
      <w:pPr>
        <w:spacing w:after="0" w:line="286"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(§203.405 of this chapter) or Rule 12b-2 of the Securities Exchange Act of 1934 (§240.12b-2 of this chapter).</w:t>
      </w:r>
    </w:p>
    <w:p>
      <w:pPr>
        <w:spacing w:after="0" w:line="49" w:lineRule="exact"/>
        <w:rPr>
          <w:sz w:val="24"/>
          <w:szCs w:val="24"/>
          <w:color w:val="auto"/>
        </w:rPr>
      </w:pPr>
    </w:p>
    <w:p>
      <w:pPr>
        <w:ind w:left="87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20" w:lineRule="exact"/>
        <w:rPr>
          <w:sz w:val="24"/>
          <w:szCs w:val="24"/>
          <w:color w:val="auto"/>
        </w:rPr>
      </w:pPr>
    </w:p>
    <w:p>
      <w:pPr>
        <w:ind w:right="140"/>
        <w:spacing w:after="0" w:line="20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537210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90"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Fannie Mae announced on December 5, 2022 that it has commenced fixed-price cash tender offers (each, an “Offer” and, collectively, the “Offers”) for the purchase of certain Connecticut Avenue Securities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(CAS) Notes. The Offers are being conducted upon the terms and subject to the conditions set forth in an offer to purchase and related notice of guaranteed delivery, each dated as of December 5, 2022. The Offers will expire at 5:00 p.m. New York City time on Friday, December 9, 2022 unless extended or earlier terminated.</w:t>
      </w:r>
    </w:p>
    <w:p>
      <w:pPr>
        <w:spacing w:after="0" w:line="60" w:lineRule="exact"/>
        <w:rPr>
          <w:sz w:val="20"/>
          <w:szCs w:val="20"/>
          <w:color w:val="auto"/>
        </w:rPr>
      </w:pPr>
    </w:p>
    <w:p>
      <w:pPr>
        <w:ind w:right="180"/>
        <w:spacing w:after="0" w:line="282" w:lineRule="auto"/>
        <w:rPr>
          <w:sz w:val="20"/>
          <w:szCs w:val="20"/>
          <w:color w:val="auto"/>
        </w:rPr>
      </w:pPr>
      <w:r>
        <w:rPr>
          <w:rFonts w:ascii="Arial" w:cs="Arial" w:eastAsia="Arial" w:hAnsi="Arial"/>
          <w:sz w:val="17"/>
          <w:szCs w:val="17"/>
          <w:color w:val="auto"/>
        </w:rPr>
        <w:t>Attached as Exhibit 99.1 and incorporated by reference herein is a press release announcing the Offers. The information in this report, including information contained in the exhibit submitted with this report, shall not be deemed “filed” for purposes of Section 18 of the Securities Exchange Act of 1934, or otherwise subject to the liabilities of Section 18, nor shall it be deemed incorporated by reference into any disclosure document relating to Fannie Mae, except to the extent, if any, expressly incorporated by specific reference in that document.</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Exhibits</w:t>
      </w:r>
      <w:r>
        <w:rPr>
          <w:rFonts w:ascii="Arial" w:cs="Arial" w:eastAsia="Arial" w:hAnsi="Arial"/>
          <w:sz w:val="18"/>
          <w:szCs w:val="18"/>
          <w:color w:val="auto"/>
        </w:rPr>
        <w:t>. The following exhibits are being submitted with this report:</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780" w:type="dxa"/>
            <w:vAlign w:val="bottom"/>
          </w:tcPr>
          <w:p>
            <w:pPr>
              <w:ind w:left="80"/>
              <w:spacing w:after="0"/>
              <w:rPr>
                <w:sz w:val="20"/>
                <w:szCs w:val="20"/>
                <w:color w:val="auto"/>
              </w:rPr>
            </w:pPr>
            <w:r>
              <w:rPr>
                <w:rFonts w:ascii="Arial" w:cs="Arial" w:eastAsia="Arial" w:hAnsi="Arial"/>
                <w:sz w:val="14"/>
                <w:szCs w:val="14"/>
                <w:b w:val="1"/>
                <w:bCs w:val="1"/>
                <w:color w:val="auto"/>
              </w:rPr>
              <w:t>Exhibit Number</w:t>
            </w:r>
          </w:p>
        </w:tc>
        <w:tc>
          <w:tcPr>
            <w:tcW w:w="9460" w:type="dxa"/>
            <w:vAlign w:val="bottom"/>
            <w:gridSpan w:val="2"/>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194"/>
        </w:trPr>
        <w:tc>
          <w:tcPr>
            <w:tcW w:w="1780" w:type="dxa"/>
            <w:vAlign w:val="bottom"/>
          </w:tcPr>
          <w:p>
            <w:pPr>
              <w:ind w:left="80"/>
              <w:spacing w:after="0" w:line="195" w:lineRule="exact"/>
              <w:rPr>
                <w:sz w:val="20"/>
                <w:szCs w:val="20"/>
                <w:color w:val="auto"/>
              </w:rPr>
            </w:pPr>
            <w:r>
              <w:rPr>
                <w:rFonts w:ascii="Arial" w:cs="Arial" w:eastAsia="Arial" w:hAnsi="Arial"/>
                <w:sz w:val="18"/>
                <w:szCs w:val="18"/>
                <w:color w:val="auto"/>
              </w:rPr>
              <w:t>99.1</w:t>
            </w:r>
          </w:p>
        </w:tc>
        <w:tc>
          <w:tcPr>
            <w:tcW w:w="9460" w:type="dxa"/>
            <w:vAlign w:val="bottom"/>
            <w:gridSpan w:val="2"/>
          </w:tcPr>
          <w:p>
            <w:pPr>
              <w:spacing w:after="0" w:line="195" w:lineRule="exact"/>
              <w:rPr>
                <w:sz w:val="20"/>
                <w:szCs w:val="20"/>
                <w:color w:val="auto"/>
              </w:rPr>
            </w:pPr>
            <w:r>
              <w:rPr>
                <w:rFonts w:ascii="Arial" w:cs="Arial" w:eastAsia="Arial" w:hAnsi="Arial"/>
                <w:sz w:val="18"/>
                <w:szCs w:val="18"/>
                <w:color w:val="0000FF"/>
              </w:rPr>
              <w:t>Press release, dated December 5, 2022</w:t>
            </w:r>
          </w:p>
        </w:tc>
      </w:tr>
      <w:tr>
        <w:trPr>
          <w:trHeight w:val="20"/>
        </w:trPr>
        <w:tc>
          <w:tcPr>
            <w:tcW w:w="1780" w:type="dxa"/>
            <w:vAlign w:val="bottom"/>
          </w:tcPr>
          <w:p>
            <w:pPr>
              <w:spacing w:after="0" w:line="20" w:lineRule="exact"/>
              <w:rPr>
                <w:sz w:val="1"/>
                <w:szCs w:val="1"/>
                <w:color w:val="auto"/>
              </w:rPr>
            </w:pPr>
          </w:p>
        </w:tc>
        <w:tc>
          <w:tcPr>
            <w:tcW w:w="3180" w:type="dxa"/>
            <w:vAlign w:val="bottom"/>
            <w:shd w:val="clear" w:color="auto" w:fill="0000FF"/>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r>
      <w:tr>
        <w:trPr>
          <w:trHeight w:val="254"/>
        </w:trPr>
        <w:tc>
          <w:tcPr>
            <w:tcW w:w="1780" w:type="dxa"/>
            <w:vAlign w:val="bottom"/>
          </w:tcPr>
          <w:p>
            <w:pPr>
              <w:ind w:left="80"/>
              <w:spacing w:after="0"/>
              <w:rPr>
                <w:sz w:val="20"/>
                <w:szCs w:val="20"/>
                <w:color w:val="auto"/>
              </w:rPr>
            </w:pPr>
            <w:r>
              <w:rPr>
                <w:rFonts w:ascii="Arial" w:cs="Arial" w:eastAsia="Arial" w:hAnsi="Arial"/>
                <w:sz w:val="18"/>
                <w:szCs w:val="18"/>
                <w:color w:val="auto"/>
              </w:rPr>
              <w:t>104</w:t>
            </w:r>
          </w:p>
        </w:tc>
        <w:tc>
          <w:tcPr>
            <w:tcW w:w="946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299"/>
        </w:trPr>
        <w:tc>
          <w:tcPr>
            <w:tcW w:w="178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6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4820" w:type="dxa"/>
        <w:tblCellMar>
          <w:top w:w="0" w:type="dxa"/>
          <w:left w:w="0" w:type="dxa"/>
          <w:bottom w:w="0" w:type="dxa"/>
          <w:right w:w="0" w:type="dxa"/>
        </w:tblCellMar>
      </w:tblPr>
      <w:tr>
        <w:trPr>
          <w:trHeight w:val="239"/>
        </w:trPr>
        <w:tc>
          <w:tcPr>
            <w:tcW w:w="220" w:type="dxa"/>
            <w:vAlign w:val="bottom"/>
          </w:tcPr>
          <w:p>
            <w:pPr>
              <w:spacing w:after="0"/>
              <w:rPr>
                <w:sz w:val="20"/>
                <w:szCs w:val="20"/>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FEDERAL NATIONAL MORTGAGE ASSOCIATION</w:t>
            </w:r>
          </w:p>
        </w:tc>
      </w:tr>
      <w:tr>
        <w:trPr>
          <w:trHeight w:val="698"/>
        </w:trPr>
        <w:tc>
          <w:tcPr>
            <w:tcW w:w="220" w:type="dxa"/>
            <w:vAlign w:val="bottom"/>
          </w:tcPr>
          <w:p>
            <w:pPr>
              <w:spacing w:after="0"/>
              <w:rPr>
                <w:sz w:val="20"/>
                <w:szCs w:val="20"/>
                <w:color w:val="auto"/>
              </w:rPr>
            </w:pPr>
            <w:r>
              <w:rPr>
                <w:rFonts w:ascii="Arial" w:cs="Arial" w:eastAsia="Arial" w:hAnsi="Arial"/>
                <w:sz w:val="18"/>
                <w:szCs w:val="18"/>
                <w:color w:val="auto"/>
                <w:w w:val="94"/>
              </w:rPr>
              <w:t>By</w:t>
            </w:r>
          </w:p>
        </w:tc>
        <w:tc>
          <w:tcPr>
            <w:tcW w:w="53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/s/ Wells M. Engledow</w:t>
            </w:r>
          </w:p>
        </w:tc>
      </w:tr>
      <w:tr>
        <w:trPr>
          <w:trHeight w:val="218"/>
        </w:trPr>
        <w:tc>
          <w:tcPr>
            <w:tcW w:w="220" w:type="dxa"/>
            <w:vAlign w:val="bottom"/>
          </w:tcPr>
          <w:p>
            <w:pPr>
              <w:spacing w:after="0"/>
              <w:rPr>
                <w:sz w:val="18"/>
                <w:szCs w:val="18"/>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Wells M. Engledow</w:t>
            </w:r>
          </w:p>
        </w:tc>
      </w:tr>
      <w:tr>
        <w:trPr>
          <w:trHeight w:val="239"/>
        </w:trPr>
        <w:tc>
          <w:tcPr>
            <w:tcW w:w="220" w:type="dxa"/>
            <w:vAlign w:val="bottom"/>
          </w:tcPr>
          <w:p>
            <w:pPr>
              <w:spacing w:after="0"/>
              <w:rPr>
                <w:sz w:val="20"/>
                <w:szCs w:val="20"/>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Enterprise Deputy General Counsel—Senior Vice President</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Date: December 5, 2022</w:t>
      </w:r>
    </w:p>
    <w:p>
      <w:pPr>
        <w:sectPr>
          <w:pgSz w:w="11900" w:h="16838" w:orient="portrait"/>
          <w:cols w:equalWidth="0" w:num="1">
            <w:col w:w="11120"/>
          </w:cols>
          <w:pgMar w:left="320" w:top="1133" w:right="459" w:bottom="1440" w:gutter="0" w:footer="0" w:header="0"/>
        </w:sectPr>
      </w:pPr>
    </w:p>
    <w:bookmarkStart w:id="3" w:name="page4"/>
    <w:bookmarkEnd w:id="3"/>
    <w:p>
      <w:pPr>
        <w:spacing w:after="0" w:line="3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386195" cy="805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6386195" cy="805815"/>
                    </a:xfrm>
                    <a:prstGeom prst="rect">
                      <a:avLst/>
                    </a:prstGeom>
                    <a:noFill/>
                  </pic:spPr>
                </pic:pic>
              </a:graphicData>
            </a:graphic>
          </wp:anchor>
        </w:drawing>
      </w:r>
    </w:p>
    <w:p>
      <w:pPr>
        <w:ind w:left="9840"/>
        <w:spacing w:after="0"/>
        <w:rPr>
          <w:sz w:val="20"/>
          <w:szCs w:val="20"/>
          <w:color w:val="auto"/>
        </w:rPr>
      </w:pPr>
      <w:r>
        <w:rPr>
          <w:rFonts w:ascii="Arial" w:cs="Arial" w:eastAsia="Arial" w:hAnsi="Arial"/>
          <w:sz w:val="25"/>
          <w:szCs w:val="25"/>
          <w:b w:val="1"/>
          <w:bCs w:val="1"/>
          <w:color w:val="000F2B"/>
        </w:rPr>
        <w:t>Exhibit 99.1</w:t>
      </w:r>
    </w:p>
    <w:p>
      <w:pPr>
        <w:spacing w:after="0" w:line="233" w:lineRule="exact"/>
        <w:rPr>
          <w:sz w:val="20"/>
          <w:szCs w:val="20"/>
          <w:color w:val="auto"/>
        </w:rPr>
      </w:pPr>
    </w:p>
    <w:p>
      <w:pPr>
        <w:ind w:right="860"/>
        <w:spacing w:after="0" w:line="298" w:lineRule="auto"/>
        <w:rPr>
          <w:sz w:val="20"/>
          <w:szCs w:val="20"/>
          <w:color w:val="auto"/>
        </w:rPr>
      </w:pPr>
      <w:r>
        <w:rPr>
          <w:rFonts w:ascii="Arial" w:cs="Arial" w:eastAsia="Arial" w:hAnsi="Arial"/>
          <w:sz w:val="32"/>
          <w:szCs w:val="32"/>
          <w:b w:val="1"/>
          <w:bCs w:val="1"/>
          <w:color w:val="000F2B"/>
        </w:rPr>
        <w:t>Fannie Mae Announces Tender Offer for Any and All of Certain CAS Notes</w:t>
      </w:r>
    </w:p>
    <w:p>
      <w:pPr>
        <w:spacing w:after="0" w:line="70" w:lineRule="exact"/>
        <w:rPr>
          <w:sz w:val="20"/>
          <w:szCs w:val="20"/>
          <w:color w:val="auto"/>
        </w:rPr>
      </w:pPr>
    </w:p>
    <w:p>
      <w:pPr>
        <w:ind w:right="160"/>
        <w:spacing w:after="0" w:line="231" w:lineRule="auto"/>
        <w:rPr>
          <w:sz w:val="20"/>
          <w:szCs w:val="20"/>
          <w:color w:val="auto"/>
        </w:rPr>
      </w:pPr>
      <w:r>
        <w:rPr>
          <w:rFonts w:ascii="Arial" w:cs="Arial" w:eastAsia="Arial" w:hAnsi="Arial"/>
          <w:sz w:val="18"/>
          <w:szCs w:val="18"/>
          <w:color w:val="auto"/>
        </w:rPr>
        <w:t>WASHINGTON, DC – December 5, 2022 – Fannie Mae (FNMA/OTCQB) today announced that it has commenced fixed-price cash tender offers (each, an “Offer” and, collectively, the “Offers”) for the purchase of any and all of the Connecticut Avenue Securities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(CAS) Notes listed below (the “Notes”), upon the terms and subject to the conditions set forth in the Offer to Purchase and related Notice of Guaranteed Delivery, each dated as of December 5, 2022 (collectively, the “Offer Documents”). The Offers will expire at 5:00 PM New York City time on Friday, December 9, 2022 (the “Expiration Time”) unless extended or earlier terminated. Notes tendered may be withdrawn at any time at or before the Expiration Time by following the procedures described in the Offer Documents.</w:t>
      </w:r>
    </w:p>
    <w:p>
      <w:pPr>
        <w:spacing w:after="0" w:line="207" w:lineRule="exact"/>
        <w:rPr>
          <w:sz w:val="20"/>
          <w:szCs w:val="20"/>
          <w:color w:val="auto"/>
        </w:rPr>
      </w:pPr>
    </w:p>
    <w:p>
      <w:pPr>
        <w:ind w:right="300"/>
        <w:spacing w:after="0" w:line="245" w:lineRule="auto"/>
        <w:rPr>
          <w:sz w:val="20"/>
          <w:szCs w:val="20"/>
          <w:color w:val="auto"/>
        </w:rPr>
      </w:pPr>
      <w:r>
        <w:rPr>
          <w:rFonts w:ascii="Arial" w:cs="Arial" w:eastAsia="Arial" w:hAnsi="Arial"/>
          <w:sz w:val="18"/>
          <w:szCs w:val="18"/>
          <w:color w:val="auto"/>
        </w:rPr>
        <w:t>Fannie Mae has engaged BofA Securities as the designated lead dealer manager and Wells Fargo Securities as the designated dealer manager for the Offers. Fannie Mae has engaged Hispanic-owned Great Pacific Securities and women and Black-owned Siebert Williams</w:t>
      </w:r>
    </w:p>
    <w:p>
      <w:pPr>
        <w:ind w:right="380"/>
        <w:spacing w:after="0"/>
        <w:rPr>
          <w:sz w:val="20"/>
          <w:szCs w:val="20"/>
          <w:color w:val="auto"/>
        </w:rPr>
      </w:pPr>
      <w:r>
        <w:rPr>
          <w:rFonts w:ascii="Arial" w:cs="Arial" w:eastAsia="Arial" w:hAnsi="Arial"/>
          <w:sz w:val="17"/>
          <w:szCs w:val="17"/>
          <w:color w:val="auto"/>
        </w:rPr>
        <w:t>Shank &amp; Co, LLC as advisors on the transaction. Global Bondholder Services Corporation will serve as the tender agent and information agent for the Offers. Fannie Mae is offering to purchase, subject to the conditions of the Offers, any and all of the Notes listed in the table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material pricing terms of the Offers</w:t>
      </w:r>
      <w:r>
        <w:rPr>
          <w:rFonts w:ascii="Arial" w:cs="Arial" w:eastAsia="Arial" w:hAnsi="Arial"/>
          <w:sz w:val="21"/>
          <w:szCs w:val="21"/>
          <w:color w:val="auto"/>
        </w:rPr>
        <w:t>.</w:t>
      </w:r>
    </w:p>
    <w:p>
      <w:pPr>
        <w:spacing w:after="0" w:line="278" w:lineRule="exact"/>
        <w:rPr>
          <w:sz w:val="20"/>
          <w:szCs w:val="20"/>
          <w:color w:val="auto"/>
        </w:rPr>
      </w:pPr>
    </w:p>
    <w:tbl>
      <w:tblPr>
        <w:tblLayout w:type="fixed"/>
        <w:tblInd w:w="10" w:type="dxa"/>
        <w:tblCellMar>
          <w:top w:w="0" w:type="dxa"/>
          <w:left w:w="0" w:type="dxa"/>
          <w:bottom w:w="0" w:type="dxa"/>
          <w:right w:w="0" w:type="dxa"/>
        </w:tblCellMar>
      </w:tblPr>
      <w:tr>
        <w:trPr>
          <w:trHeight w:val="200"/>
        </w:trPr>
        <w:tc>
          <w:tcPr>
            <w:tcW w:w="256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Name of Security</w:t>
            </w:r>
          </w:p>
        </w:tc>
        <w:tc>
          <w:tcPr>
            <w:tcW w:w="2320" w:type="dxa"/>
            <w:vAlign w:val="bottom"/>
            <w:tcBorders>
              <w:top w:val="single" w:sz="8" w:color="auto"/>
              <w:right w:val="single" w:sz="8" w:color="auto"/>
            </w:tcBorders>
            <w:vMerge w:val="restart"/>
          </w:tcPr>
          <w:p>
            <w:pPr>
              <w:ind w:left="900"/>
              <w:spacing w:after="0"/>
              <w:rPr>
                <w:sz w:val="20"/>
                <w:szCs w:val="20"/>
                <w:color w:val="auto"/>
              </w:rPr>
            </w:pPr>
            <w:r>
              <w:rPr>
                <w:rFonts w:ascii="Times New Roman" w:cs="Times New Roman" w:eastAsia="Times New Roman" w:hAnsi="Times New Roman"/>
                <w:sz w:val="16"/>
                <w:szCs w:val="16"/>
                <w:b w:val="1"/>
                <w:bCs w:val="1"/>
                <w:color w:val="auto"/>
              </w:rPr>
              <w:t>CUSIP</w:t>
            </w:r>
          </w:p>
        </w:tc>
        <w:tc>
          <w:tcPr>
            <w:tcW w:w="2180" w:type="dxa"/>
            <w:vAlign w:val="bottom"/>
            <w:tcBorders>
              <w:top w:val="single" w:sz="8" w:color="auto"/>
              <w:right w:val="single" w:sz="8" w:color="auto"/>
            </w:tcBorders>
            <w:vMerge w:val="restart"/>
          </w:tcPr>
          <w:p>
            <w:pPr>
              <w:ind w:left="900"/>
              <w:spacing w:after="0"/>
              <w:rPr>
                <w:sz w:val="20"/>
                <w:szCs w:val="20"/>
                <w:color w:val="auto"/>
              </w:rPr>
            </w:pPr>
            <w:r>
              <w:rPr>
                <w:rFonts w:ascii="Times New Roman" w:cs="Times New Roman" w:eastAsia="Times New Roman" w:hAnsi="Times New Roman"/>
                <w:sz w:val="16"/>
                <w:szCs w:val="16"/>
                <w:b w:val="1"/>
                <w:bCs w:val="1"/>
                <w:color w:val="auto"/>
              </w:rPr>
              <w:t>ISIN</w:t>
            </w:r>
          </w:p>
        </w:tc>
        <w:tc>
          <w:tcPr>
            <w:tcW w:w="2100" w:type="dxa"/>
            <w:vAlign w:val="bottom"/>
            <w:tcBorders>
              <w:top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Original Principal Balance</w:t>
            </w:r>
          </w:p>
        </w:tc>
        <w:tc>
          <w:tcPr>
            <w:tcW w:w="21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Tender Offer Consideration</w:t>
            </w:r>
          </w:p>
        </w:tc>
        <w:tc>
          <w:tcPr>
            <w:tcW w:w="0" w:type="dxa"/>
            <w:vAlign w:val="bottom"/>
          </w:tcPr>
          <w:p>
            <w:pPr>
              <w:spacing w:after="0"/>
              <w:rPr>
                <w:sz w:val="1"/>
                <w:szCs w:val="1"/>
                <w:color w:val="auto"/>
              </w:rPr>
            </w:pPr>
          </w:p>
        </w:tc>
      </w:tr>
      <w:tr>
        <w:trPr>
          <w:trHeight w:val="189"/>
        </w:trPr>
        <w:tc>
          <w:tcPr>
            <w:tcW w:w="2560" w:type="dxa"/>
            <w:vAlign w:val="bottom"/>
            <w:tcBorders>
              <w:left w:val="single" w:sz="8" w:color="auto"/>
              <w:right w:val="single" w:sz="8" w:color="auto"/>
            </w:tcBorders>
            <w:vMerge w:val="continue"/>
          </w:tcPr>
          <w:p>
            <w:pPr>
              <w:spacing w:after="0"/>
              <w:rPr>
                <w:sz w:val="16"/>
                <w:szCs w:val="16"/>
                <w:color w:val="auto"/>
              </w:rPr>
            </w:pPr>
          </w:p>
        </w:tc>
        <w:tc>
          <w:tcPr>
            <w:tcW w:w="2320" w:type="dxa"/>
            <w:vAlign w:val="bottom"/>
            <w:tcBorders>
              <w:right w:val="single" w:sz="8" w:color="auto"/>
            </w:tcBorders>
            <w:vMerge w:val="continue"/>
          </w:tcPr>
          <w:p>
            <w:pPr>
              <w:spacing w:after="0"/>
              <w:rPr>
                <w:sz w:val="16"/>
                <w:szCs w:val="16"/>
                <w:color w:val="auto"/>
              </w:rPr>
            </w:pPr>
          </w:p>
        </w:tc>
        <w:tc>
          <w:tcPr>
            <w:tcW w:w="2180" w:type="dxa"/>
            <w:vAlign w:val="bottom"/>
            <w:tcBorders>
              <w:right w:val="single" w:sz="8" w:color="auto"/>
            </w:tcBorders>
            <w:vMerge w:val="continue"/>
          </w:tcPr>
          <w:p>
            <w:pPr>
              <w:spacing w:after="0"/>
              <w:rPr>
                <w:sz w:val="16"/>
                <w:szCs w:val="16"/>
                <w:color w:val="auto"/>
              </w:rPr>
            </w:pPr>
          </w:p>
        </w:tc>
        <w:tc>
          <w:tcPr>
            <w:tcW w:w="2100" w:type="dxa"/>
            <w:vAlign w:val="bottom"/>
            <w:tcBorders>
              <w:right w:val="single" w:sz="8" w:color="auto"/>
            </w:tcBorders>
            <w:vMerge w:val="continue"/>
          </w:tcPr>
          <w:p>
            <w:pPr>
              <w:spacing w:after="0"/>
              <w:rPr>
                <w:sz w:val="16"/>
                <w:szCs w:val="16"/>
                <w:color w:val="auto"/>
              </w:rPr>
            </w:pP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(per $1,000 original principal</w:t>
            </w:r>
          </w:p>
        </w:tc>
        <w:tc>
          <w:tcPr>
            <w:tcW w:w="0" w:type="dxa"/>
            <w:vAlign w:val="bottom"/>
          </w:tcPr>
          <w:p>
            <w:pPr>
              <w:spacing w:after="0"/>
              <w:rPr>
                <w:sz w:val="1"/>
                <w:szCs w:val="1"/>
                <w:color w:val="auto"/>
              </w:rPr>
            </w:pPr>
          </w:p>
        </w:tc>
      </w:tr>
      <w:tr>
        <w:trPr>
          <w:trHeight w:val="225"/>
        </w:trPr>
        <w:tc>
          <w:tcPr>
            <w:tcW w:w="2560" w:type="dxa"/>
            <w:vAlign w:val="bottom"/>
            <w:tcBorders>
              <w:left w:val="single" w:sz="8" w:color="auto"/>
              <w:bottom w:val="single" w:sz="8" w:color="auto"/>
              <w:right w:val="single" w:sz="8" w:color="auto"/>
            </w:tcBorders>
          </w:tcPr>
          <w:p>
            <w:pPr>
              <w:spacing w:after="0"/>
              <w:rPr>
                <w:sz w:val="19"/>
                <w:szCs w:val="19"/>
                <w:color w:val="auto"/>
              </w:rPr>
            </w:pPr>
          </w:p>
        </w:tc>
        <w:tc>
          <w:tcPr>
            <w:tcW w:w="2320" w:type="dxa"/>
            <w:vAlign w:val="bottom"/>
            <w:tcBorders>
              <w:bottom w:val="single" w:sz="8" w:color="auto"/>
              <w:right w:val="single" w:sz="8" w:color="auto"/>
            </w:tcBorders>
          </w:tcPr>
          <w:p>
            <w:pPr>
              <w:spacing w:after="0"/>
              <w:rPr>
                <w:sz w:val="19"/>
                <w:szCs w:val="19"/>
                <w:color w:val="auto"/>
              </w:rPr>
            </w:pPr>
          </w:p>
        </w:tc>
        <w:tc>
          <w:tcPr>
            <w:tcW w:w="2180" w:type="dxa"/>
            <w:vAlign w:val="bottom"/>
            <w:tcBorders>
              <w:bottom w:val="single" w:sz="8" w:color="auto"/>
              <w:right w:val="single" w:sz="8" w:color="auto"/>
            </w:tcBorders>
          </w:tcPr>
          <w:p>
            <w:pPr>
              <w:spacing w:after="0"/>
              <w:rPr>
                <w:sz w:val="19"/>
                <w:szCs w:val="19"/>
                <w:color w:val="auto"/>
              </w:rPr>
            </w:pPr>
          </w:p>
        </w:tc>
        <w:tc>
          <w:tcPr>
            <w:tcW w:w="2100" w:type="dxa"/>
            <w:vAlign w:val="bottom"/>
            <w:tcBorders>
              <w:bottom w:val="single" w:sz="8" w:color="auto"/>
              <w:right w:val="single" w:sz="8" w:color="auto"/>
            </w:tcBorders>
          </w:tcPr>
          <w:p>
            <w:pPr>
              <w:spacing w:after="0"/>
              <w:rPr>
                <w:sz w:val="19"/>
                <w:szCs w:val="19"/>
                <w:color w:val="auto"/>
              </w:rPr>
            </w:pP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189"/>
        </w:trPr>
        <w:tc>
          <w:tcPr>
            <w:tcW w:w="2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Connecticut Avenue Securities, Series</w:t>
            </w:r>
          </w:p>
        </w:tc>
        <w:tc>
          <w:tcPr>
            <w:tcW w:w="2320" w:type="dxa"/>
            <w:vAlign w:val="bottom"/>
            <w:tcBorders>
              <w:right w:val="single" w:sz="8" w:color="auto"/>
            </w:tcBorders>
          </w:tcPr>
          <w:p>
            <w:pPr>
              <w:spacing w:after="0"/>
              <w:rPr>
                <w:sz w:val="16"/>
                <w:szCs w:val="16"/>
                <w:color w:val="auto"/>
              </w:rPr>
            </w:pPr>
          </w:p>
        </w:tc>
        <w:tc>
          <w:tcPr>
            <w:tcW w:w="2180" w:type="dxa"/>
            <w:vAlign w:val="bottom"/>
            <w:tcBorders>
              <w:right w:val="single" w:sz="8" w:color="auto"/>
            </w:tcBorders>
          </w:tcPr>
          <w:p>
            <w:pPr>
              <w:spacing w:after="0"/>
              <w:rPr>
                <w:sz w:val="16"/>
                <w:szCs w:val="16"/>
                <w:color w:val="auto"/>
              </w:rPr>
            </w:pPr>
          </w:p>
        </w:tc>
        <w:tc>
          <w:tcPr>
            <w:tcW w:w="2100" w:type="dxa"/>
            <w:vAlign w:val="bottom"/>
            <w:tcBorders>
              <w:right w:val="single" w:sz="8" w:color="auto"/>
            </w:tcBorders>
          </w:tcPr>
          <w:p>
            <w:pPr>
              <w:spacing w:after="0"/>
              <w:rPr>
                <w:sz w:val="16"/>
                <w:szCs w:val="16"/>
                <w:color w:val="auto"/>
              </w:rPr>
            </w:pPr>
          </w:p>
        </w:tc>
        <w:tc>
          <w:tcPr>
            <w:tcW w:w="21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2014-C02, Class 1M-2 Notes</w:t>
            </w:r>
          </w:p>
        </w:tc>
        <w:tc>
          <w:tcPr>
            <w:tcW w:w="2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30711XAF1</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US30711XAF15</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$644,467,000.00</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$1,013.13</w:t>
            </w:r>
          </w:p>
        </w:tc>
        <w:tc>
          <w:tcPr>
            <w:tcW w:w="0" w:type="dxa"/>
            <w:vAlign w:val="bottom"/>
          </w:tcPr>
          <w:p>
            <w:pPr>
              <w:spacing w:after="0"/>
              <w:rPr>
                <w:sz w:val="1"/>
                <w:szCs w:val="1"/>
                <w:color w:val="auto"/>
              </w:rPr>
            </w:pPr>
          </w:p>
        </w:tc>
      </w:tr>
      <w:tr>
        <w:trPr>
          <w:trHeight w:val="33"/>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560" w:type="dxa"/>
            <w:vAlign w:val="bottom"/>
            <w:tcBorders>
              <w:left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rPr>
              <w:t>Connecticut Avenue Securities, Series</w:t>
            </w:r>
          </w:p>
        </w:tc>
        <w:tc>
          <w:tcPr>
            <w:tcW w:w="2320" w:type="dxa"/>
            <w:vAlign w:val="bottom"/>
            <w:tcBorders>
              <w:right w:val="single" w:sz="8" w:color="auto"/>
            </w:tcBorders>
          </w:tcPr>
          <w:p>
            <w:pPr>
              <w:spacing w:after="0"/>
              <w:rPr>
                <w:sz w:val="15"/>
                <w:szCs w:val="15"/>
                <w:color w:val="auto"/>
              </w:rPr>
            </w:pPr>
          </w:p>
        </w:tc>
        <w:tc>
          <w:tcPr>
            <w:tcW w:w="2180" w:type="dxa"/>
            <w:vAlign w:val="bottom"/>
            <w:tcBorders>
              <w:right w:val="single" w:sz="8" w:color="auto"/>
            </w:tcBorders>
          </w:tcPr>
          <w:p>
            <w:pPr>
              <w:spacing w:after="0"/>
              <w:rPr>
                <w:sz w:val="15"/>
                <w:szCs w:val="15"/>
                <w:color w:val="auto"/>
              </w:rPr>
            </w:pPr>
          </w:p>
        </w:tc>
        <w:tc>
          <w:tcPr>
            <w:tcW w:w="2100" w:type="dxa"/>
            <w:vAlign w:val="bottom"/>
            <w:tcBorders>
              <w:right w:val="single" w:sz="8" w:color="auto"/>
            </w:tcBorders>
          </w:tcPr>
          <w:p>
            <w:pPr>
              <w:spacing w:after="0"/>
              <w:rPr>
                <w:sz w:val="15"/>
                <w:szCs w:val="15"/>
                <w:color w:val="auto"/>
              </w:rPr>
            </w:pPr>
          </w:p>
        </w:tc>
        <w:tc>
          <w:tcPr>
            <w:tcW w:w="21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2014-C03, Class 1M-2 Notes</w:t>
            </w:r>
          </w:p>
        </w:tc>
        <w:tc>
          <w:tcPr>
            <w:tcW w:w="2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30711XAK0</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US30711XAK00</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$945,000,000.00</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$1,019.69</w:t>
            </w:r>
          </w:p>
        </w:tc>
        <w:tc>
          <w:tcPr>
            <w:tcW w:w="0" w:type="dxa"/>
            <w:vAlign w:val="bottom"/>
          </w:tcPr>
          <w:p>
            <w:pPr>
              <w:spacing w:after="0"/>
              <w:rPr>
                <w:sz w:val="1"/>
                <w:szCs w:val="1"/>
                <w:color w:val="auto"/>
              </w:rPr>
            </w:pPr>
          </w:p>
        </w:tc>
      </w:tr>
      <w:tr>
        <w:trPr>
          <w:trHeight w:val="33"/>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560" w:type="dxa"/>
            <w:vAlign w:val="bottom"/>
            <w:tcBorders>
              <w:left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rPr>
              <w:t>Connecticut Avenue Securities, Series</w:t>
            </w:r>
          </w:p>
        </w:tc>
        <w:tc>
          <w:tcPr>
            <w:tcW w:w="2320" w:type="dxa"/>
            <w:vAlign w:val="bottom"/>
            <w:tcBorders>
              <w:right w:val="single" w:sz="8" w:color="auto"/>
            </w:tcBorders>
          </w:tcPr>
          <w:p>
            <w:pPr>
              <w:spacing w:after="0"/>
              <w:rPr>
                <w:sz w:val="15"/>
                <w:szCs w:val="15"/>
                <w:color w:val="auto"/>
              </w:rPr>
            </w:pPr>
          </w:p>
        </w:tc>
        <w:tc>
          <w:tcPr>
            <w:tcW w:w="2180" w:type="dxa"/>
            <w:vAlign w:val="bottom"/>
            <w:tcBorders>
              <w:right w:val="single" w:sz="8" w:color="auto"/>
            </w:tcBorders>
          </w:tcPr>
          <w:p>
            <w:pPr>
              <w:spacing w:after="0"/>
              <w:rPr>
                <w:sz w:val="15"/>
                <w:szCs w:val="15"/>
                <w:color w:val="auto"/>
              </w:rPr>
            </w:pPr>
          </w:p>
        </w:tc>
        <w:tc>
          <w:tcPr>
            <w:tcW w:w="2100" w:type="dxa"/>
            <w:vAlign w:val="bottom"/>
            <w:tcBorders>
              <w:right w:val="single" w:sz="8" w:color="auto"/>
            </w:tcBorders>
          </w:tcPr>
          <w:p>
            <w:pPr>
              <w:spacing w:after="0"/>
              <w:rPr>
                <w:sz w:val="15"/>
                <w:szCs w:val="15"/>
                <w:color w:val="auto"/>
              </w:rPr>
            </w:pPr>
          </w:p>
        </w:tc>
        <w:tc>
          <w:tcPr>
            <w:tcW w:w="21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2015-C04, Class 1M-2 Notes</w:t>
            </w:r>
          </w:p>
        </w:tc>
        <w:tc>
          <w:tcPr>
            <w:tcW w:w="2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30711XBF0</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US30711XBF06</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$651,064,000.00</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$1,080.00</w:t>
            </w:r>
          </w:p>
        </w:tc>
        <w:tc>
          <w:tcPr>
            <w:tcW w:w="0" w:type="dxa"/>
            <w:vAlign w:val="bottom"/>
          </w:tcPr>
          <w:p>
            <w:pPr>
              <w:spacing w:after="0"/>
              <w:rPr>
                <w:sz w:val="1"/>
                <w:szCs w:val="1"/>
                <w:color w:val="auto"/>
              </w:rPr>
            </w:pPr>
          </w:p>
        </w:tc>
      </w:tr>
      <w:tr>
        <w:trPr>
          <w:trHeight w:val="33"/>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560" w:type="dxa"/>
            <w:vAlign w:val="bottom"/>
            <w:tcBorders>
              <w:left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rPr>
              <w:t>Connecticut Avenue Securities, Series</w:t>
            </w:r>
          </w:p>
        </w:tc>
        <w:tc>
          <w:tcPr>
            <w:tcW w:w="2320" w:type="dxa"/>
            <w:vAlign w:val="bottom"/>
            <w:tcBorders>
              <w:right w:val="single" w:sz="8" w:color="auto"/>
            </w:tcBorders>
          </w:tcPr>
          <w:p>
            <w:pPr>
              <w:spacing w:after="0"/>
              <w:rPr>
                <w:sz w:val="15"/>
                <w:szCs w:val="15"/>
                <w:color w:val="auto"/>
              </w:rPr>
            </w:pPr>
          </w:p>
        </w:tc>
        <w:tc>
          <w:tcPr>
            <w:tcW w:w="2180" w:type="dxa"/>
            <w:vAlign w:val="bottom"/>
            <w:tcBorders>
              <w:right w:val="single" w:sz="8" w:color="auto"/>
            </w:tcBorders>
          </w:tcPr>
          <w:p>
            <w:pPr>
              <w:spacing w:after="0"/>
              <w:rPr>
                <w:sz w:val="15"/>
                <w:szCs w:val="15"/>
                <w:color w:val="auto"/>
              </w:rPr>
            </w:pPr>
          </w:p>
        </w:tc>
        <w:tc>
          <w:tcPr>
            <w:tcW w:w="2100" w:type="dxa"/>
            <w:vAlign w:val="bottom"/>
            <w:tcBorders>
              <w:right w:val="single" w:sz="8" w:color="auto"/>
            </w:tcBorders>
          </w:tcPr>
          <w:p>
            <w:pPr>
              <w:spacing w:after="0"/>
              <w:rPr>
                <w:sz w:val="15"/>
                <w:szCs w:val="15"/>
                <w:color w:val="auto"/>
              </w:rPr>
            </w:pPr>
          </w:p>
        </w:tc>
        <w:tc>
          <w:tcPr>
            <w:tcW w:w="21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2015-C04, Class 2M-2 Notes</w:t>
            </w:r>
          </w:p>
        </w:tc>
        <w:tc>
          <w:tcPr>
            <w:tcW w:w="2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30711XBH6</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US30711XBH61</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$392,443,000.00</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$1,050.00</w:t>
            </w:r>
          </w:p>
        </w:tc>
        <w:tc>
          <w:tcPr>
            <w:tcW w:w="0" w:type="dxa"/>
            <w:vAlign w:val="bottom"/>
          </w:tcPr>
          <w:p>
            <w:pPr>
              <w:spacing w:after="0"/>
              <w:rPr>
                <w:sz w:val="1"/>
                <w:szCs w:val="1"/>
                <w:color w:val="auto"/>
              </w:rPr>
            </w:pPr>
          </w:p>
        </w:tc>
      </w:tr>
      <w:tr>
        <w:trPr>
          <w:trHeight w:val="33"/>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560" w:type="dxa"/>
            <w:vAlign w:val="bottom"/>
            <w:tcBorders>
              <w:left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rPr>
              <w:t>Connecticut Avenue Securities, Series</w:t>
            </w:r>
          </w:p>
        </w:tc>
        <w:tc>
          <w:tcPr>
            <w:tcW w:w="2320" w:type="dxa"/>
            <w:vAlign w:val="bottom"/>
            <w:tcBorders>
              <w:right w:val="single" w:sz="8" w:color="auto"/>
            </w:tcBorders>
          </w:tcPr>
          <w:p>
            <w:pPr>
              <w:spacing w:after="0"/>
              <w:rPr>
                <w:sz w:val="15"/>
                <w:szCs w:val="15"/>
                <w:color w:val="auto"/>
              </w:rPr>
            </w:pPr>
          </w:p>
        </w:tc>
        <w:tc>
          <w:tcPr>
            <w:tcW w:w="2180" w:type="dxa"/>
            <w:vAlign w:val="bottom"/>
            <w:tcBorders>
              <w:right w:val="single" w:sz="8" w:color="auto"/>
            </w:tcBorders>
          </w:tcPr>
          <w:p>
            <w:pPr>
              <w:spacing w:after="0"/>
              <w:rPr>
                <w:sz w:val="15"/>
                <w:szCs w:val="15"/>
                <w:color w:val="auto"/>
              </w:rPr>
            </w:pPr>
          </w:p>
        </w:tc>
        <w:tc>
          <w:tcPr>
            <w:tcW w:w="2100" w:type="dxa"/>
            <w:vAlign w:val="bottom"/>
            <w:tcBorders>
              <w:right w:val="single" w:sz="8" w:color="auto"/>
            </w:tcBorders>
          </w:tcPr>
          <w:p>
            <w:pPr>
              <w:spacing w:after="0"/>
              <w:rPr>
                <w:sz w:val="15"/>
                <w:szCs w:val="15"/>
                <w:color w:val="auto"/>
              </w:rPr>
            </w:pPr>
          </w:p>
        </w:tc>
        <w:tc>
          <w:tcPr>
            <w:tcW w:w="21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2016-C02, Class 1M-2 Notes</w:t>
            </w:r>
          </w:p>
        </w:tc>
        <w:tc>
          <w:tcPr>
            <w:tcW w:w="2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30711XCB8</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US30711XCB82</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$599,085,000.00</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$1,061.25</w:t>
            </w:r>
          </w:p>
        </w:tc>
        <w:tc>
          <w:tcPr>
            <w:tcW w:w="0" w:type="dxa"/>
            <w:vAlign w:val="bottom"/>
          </w:tcPr>
          <w:p>
            <w:pPr>
              <w:spacing w:after="0"/>
              <w:rPr>
                <w:sz w:val="1"/>
                <w:szCs w:val="1"/>
                <w:color w:val="auto"/>
              </w:rPr>
            </w:pPr>
          </w:p>
        </w:tc>
      </w:tr>
      <w:tr>
        <w:trPr>
          <w:trHeight w:val="33"/>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560" w:type="dxa"/>
            <w:vAlign w:val="bottom"/>
            <w:tcBorders>
              <w:left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rPr>
              <w:t>Connecticut Avenue Securities, Series</w:t>
            </w:r>
          </w:p>
        </w:tc>
        <w:tc>
          <w:tcPr>
            <w:tcW w:w="2320" w:type="dxa"/>
            <w:vAlign w:val="bottom"/>
            <w:tcBorders>
              <w:right w:val="single" w:sz="8" w:color="auto"/>
            </w:tcBorders>
          </w:tcPr>
          <w:p>
            <w:pPr>
              <w:spacing w:after="0"/>
              <w:rPr>
                <w:sz w:val="15"/>
                <w:szCs w:val="15"/>
                <w:color w:val="auto"/>
              </w:rPr>
            </w:pPr>
          </w:p>
        </w:tc>
        <w:tc>
          <w:tcPr>
            <w:tcW w:w="2180" w:type="dxa"/>
            <w:vAlign w:val="bottom"/>
            <w:tcBorders>
              <w:right w:val="single" w:sz="8" w:color="auto"/>
            </w:tcBorders>
          </w:tcPr>
          <w:p>
            <w:pPr>
              <w:spacing w:after="0"/>
              <w:rPr>
                <w:sz w:val="15"/>
                <w:szCs w:val="15"/>
                <w:color w:val="auto"/>
              </w:rPr>
            </w:pPr>
          </w:p>
        </w:tc>
        <w:tc>
          <w:tcPr>
            <w:tcW w:w="2100" w:type="dxa"/>
            <w:vAlign w:val="bottom"/>
            <w:tcBorders>
              <w:right w:val="single" w:sz="8" w:color="auto"/>
            </w:tcBorders>
          </w:tcPr>
          <w:p>
            <w:pPr>
              <w:spacing w:after="0"/>
              <w:rPr>
                <w:sz w:val="15"/>
                <w:szCs w:val="15"/>
                <w:color w:val="auto"/>
              </w:rPr>
            </w:pPr>
          </w:p>
        </w:tc>
        <w:tc>
          <w:tcPr>
            <w:tcW w:w="21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2016-C04, Class 1M-2 Notes</w:t>
            </w:r>
          </w:p>
        </w:tc>
        <w:tc>
          <w:tcPr>
            <w:tcW w:w="2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30711XDA9</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US30711XDA90</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$255,535,490.00</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$1,052.50</w:t>
            </w:r>
          </w:p>
        </w:tc>
        <w:tc>
          <w:tcPr>
            <w:tcW w:w="0" w:type="dxa"/>
            <w:vAlign w:val="bottom"/>
          </w:tcPr>
          <w:p>
            <w:pPr>
              <w:spacing w:after="0"/>
              <w:rPr>
                <w:sz w:val="1"/>
                <w:szCs w:val="1"/>
                <w:color w:val="auto"/>
              </w:rPr>
            </w:pPr>
          </w:p>
        </w:tc>
      </w:tr>
      <w:tr>
        <w:trPr>
          <w:trHeight w:val="33"/>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560" w:type="dxa"/>
            <w:vAlign w:val="bottom"/>
            <w:tcBorders>
              <w:left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rPr>
              <w:t>Connecticut Avenue Securities, Series</w:t>
            </w:r>
          </w:p>
        </w:tc>
        <w:tc>
          <w:tcPr>
            <w:tcW w:w="2320" w:type="dxa"/>
            <w:vAlign w:val="bottom"/>
            <w:tcBorders>
              <w:right w:val="single" w:sz="8" w:color="auto"/>
            </w:tcBorders>
          </w:tcPr>
          <w:p>
            <w:pPr>
              <w:spacing w:after="0"/>
              <w:rPr>
                <w:sz w:val="15"/>
                <w:szCs w:val="15"/>
                <w:color w:val="auto"/>
              </w:rPr>
            </w:pPr>
          </w:p>
        </w:tc>
        <w:tc>
          <w:tcPr>
            <w:tcW w:w="2180" w:type="dxa"/>
            <w:vAlign w:val="bottom"/>
            <w:tcBorders>
              <w:right w:val="single" w:sz="8" w:color="auto"/>
            </w:tcBorders>
          </w:tcPr>
          <w:p>
            <w:pPr>
              <w:spacing w:after="0"/>
              <w:rPr>
                <w:sz w:val="15"/>
                <w:szCs w:val="15"/>
                <w:color w:val="auto"/>
              </w:rPr>
            </w:pPr>
          </w:p>
        </w:tc>
        <w:tc>
          <w:tcPr>
            <w:tcW w:w="2100" w:type="dxa"/>
            <w:vAlign w:val="bottom"/>
            <w:tcBorders>
              <w:right w:val="single" w:sz="8" w:color="auto"/>
            </w:tcBorders>
          </w:tcPr>
          <w:p>
            <w:pPr>
              <w:spacing w:after="0"/>
              <w:rPr>
                <w:sz w:val="15"/>
                <w:szCs w:val="15"/>
                <w:color w:val="auto"/>
              </w:rPr>
            </w:pPr>
          </w:p>
        </w:tc>
        <w:tc>
          <w:tcPr>
            <w:tcW w:w="21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2017-C02, Class 2M-2 Notes</w:t>
            </w:r>
          </w:p>
        </w:tc>
        <w:tc>
          <w:tcPr>
            <w:tcW w:w="2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30711XGP3</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US30711XGP33</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$41,632,076.00</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$1,048.13</w:t>
            </w:r>
          </w:p>
        </w:tc>
        <w:tc>
          <w:tcPr>
            <w:tcW w:w="0" w:type="dxa"/>
            <w:vAlign w:val="bottom"/>
          </w:tcPr>
          <w:p>
            <w:pPr>
              <w:spacing w:after="0"/>
              <w:rPr>
                <w:sz w:val="1"/>
                <w:szCs w:val="1"/>
                <w:color w:val="auto"/>
              </w:rPr>
            </w:pPr>
          </w:p>
        </w:tc>
      </w:tr>
      <w:tr>
        <w:trPr>
          <w:trHeight w:val="33"/>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80"/>
        <w:spacing w:after="0"/>
        <w:tabs>
          <w:tab w:leader="none" w:pos="1520" w:val="left"/>
        </w:tabs>
        <w:rPr>
          <w:sz w:val="20"/>
          <w:szCs w:val="20"/>
          <w:color w:val="auto"/>
        </w:rPr>
      </w:pPr>
      <w:r>
        <w:rPr>
          <w:rFonts w:ascii="Arial" w:cs="Arial" w:eastAsia="Arial" w:hAnsi="Arial"/>
          <w:sz w:val="14"/>
          <w:szCs w:val="14"/>
          <w:color w:val="666666"/>
        </w:rPr>
        <w:t>© 2022 Fannie Mae</w:t>
        <w:tab/>
        <w:t>12.05.2022 1</w:t>
      </w:r>
    </w:p>
    <w:p>
      <w:pPr>
        <w:sectPr>
          <w:pgSz w:w="11900" w:h="16838" w:orient="portrait"/>
          <w:cols w:equalWidth="0" w:num="1">
            <w:col w:w="11260"/>
          </w:cols>
          <w:pgMar w:left="320" w:top="1440" w:right="319" w:bottom="1440" w:gutter="0" w:footer="0" w:header="0"/>
        </w:sectPr>
      </w:pPr>
    </w:p>
    <w:bookmarkStart w:id="4" w:name="page5"/>
    <w:bookmarkEnd w:id="4"/>
    <w:p>
      <w:pPr>
        <w:spacing w:after="0" w:line="38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25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Connecticut Avenue Securities, Series</w:t>
            </w:r>
          </w:p>
        </w:tc>
        <w:tc>
          <w:tcPr>
            <w:tcW w:w="2320" w:type="dxa"/>
            <w:vAlign w:val="bottom"/>
            <w:tcBorders>
              <w:top w:val="single" w:sz="8" w:color="auto"/>
              <w:right w:val="single" w:sz="8" w:color="auto"/>
            </w:tcBorders>
          </w:tcPr>
          <w:p>
            <w:pPr>
              <w:spacing w:after="0"/>
              <w:rPr>
                <w:sz w:val="16"/>
                <w:szCs w:val="16"/>
                <w:color w:val="auto"/>
              </w:rPr>
            </w:pPr>
          </w:p>
        </w:tc>
        <w:tc>
          <w:tcPr>
            <w:tcW w:w="2180" w:type="dxa"/>
            <w:vAlign w:val="bottom"/>
            <w:tcBorders>
              <w:top w:val="single" w:sz="8" w:color="auto"/>
              <w:right w:val="single" w:sz="8" w:color="auto"/>
            </w:tcBorders>
          </w:tcPr>
          <w:p>
            <w:pPr>
              <w:spacing w:after="0"/>
              <w:rPr>
                <w:sz w:val="16"/>
                <w:szCs w:val="16"/>
                <w:color w:val="auto"/>
              </w:rPr>
            </w:pPr>
          </w:p>
        </w:tc>
        <w:tc>
          <w:tcPr>
            <w:tcW w:w="2100" w:type="dxa"/>
            <w:vAlign w:val="bottom"/>
            <w:tcBorders>
              <w:top w:val="single" w:sz="8" w:color="auto"/>
              <w:right w:val="single" w:sz="8" w:color="auto"/>
            </w:tcBorders>
          </w:tcPr>
          <w:p>
            <w:pPr>
              <w:spacing w:after="0"/>
              <w:rPr>
                <w:sz w:val="16"/>
                <w:szCs w:val="16"/>
                <w:color w:val="auto"/>
              </w:rPr>
            </w:pPr>
          </w:p>
        </w:tc>
        <w:tc>
          <w:tcPr>
            <w:tcW w:w="2100" w:type="dxa"/>
            <w:vAlign w:val="bottom"/>
            <w:tcBorders>
              <w:top w:val="single" w:sz="8" w:color="auto"/>
              <w:right w:val="single" w:sz="8" w:color="auto"/>
            </w:tcBorders>
          </w:tcPr>
          <w:p>
            <w:pPr>
              <w:spacing w:after="0"/>
              <w:rPr>
                <w:sz w:val="16"/>
                <w:szCs w:val="16"/>
                <w:color w:val="auto"/>
              </w:rPr>
            </w:pPr>
          </w:p>
        </w:tc>
      </w:tr>
      <w:tr>
        <w:trPr>
          <w:trHeight w:val="224"/>
        </w:trPr>
        <w:tc>
          <w:tcPr>
            <w:tcW w:w="2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2017-C03, Class 1M-2 Notes</w:t>
            </w:r>
          </w:p>
        </w:tc>
        <w:tc>
          <w:tcPr>
            <w:tcW w:w="2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30711XJX3</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US30711XJX30</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$105,301,703.00</w:t>
            </w:r>
          </w:p>
        </w:tc>
        <w:tc>
          <w:tcPr>
            <w:tcW w:w="2100" w:type="dxa"/>
            <w:vAlign w:val="bottom"/>
            <w:tcBorders>
              <w:right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color w:val="auto"/>
              </w:rPr>
              <w:t>$1,028.75</w:t>
            </w:r>
          </w:p>
        </w:tc>
      </w:tr>
      <w:tr>
        <w:trPr>
          <w:trHeight w:val="33"/>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r>
      <w:tr>
        <w:trPr>
          <w:trHeight w:val="169"/>
        </w:trPr>
        <w:tc>
          <w:tcPr>
            <w:tcW w:w="256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Connecticut Avenue Securities, Series</w:t>
            </w:r>
          </w:p>
        </w:tc>
        <w:tc>
          <w:tcPr>
            <w:tcW w:w="2320" w:type="dxa"/>
            <w:vAlign w:val="bottom"/>
            <w:tcBorders>
              <w:right w:val="single" w:sz="8" w:color="auto"/>
            </w:tcBorders>
          </w:tcPr>
          <w:p>
            <w:pPr>
              <w:spacing w:after="0"/>
              <w:rPr>
                <w:sz w:val="14"/>
                <w:szCs w:val="14"/>
                <w:color w:val="auto"/>
              </w:rPr>
            </w:pPr>
          </w:p>
        </w:tc>
        <w:tc>
          <w:tcPr>
            <w:tcW w:w="2180" w:type="dxa"/>
            <w:vAlign w:val="bottom"/>
            <w:tcBorders>
              <w:right w:val="single" w:sz="8" w:color="auto"/>
            </w:tcBorders>
          </w:tcPr>
          <w:p>
            <w:pPr>
              <w:spacing w:after="0"/>
              <w:rPr>
                <w:sz w:val="14"/>
                <w:szCs w:val="14"/>
                <w:color w:val="auto"/>
              </w:rPr>
            </w:pPr>
          </w:p>
        </w:tc>
        <w:tc>
          <w:tcPr>
            <w:tcW w:w="2100" w:type="dxa"/>
            <w:vAlign w:val="bottom"/>
            <w:tcBorders>
              <w:right w:val="single" w:sz="8" w:color="auto"/>
            </w:tcBorders>
          </w:tcPr>
          <w:p>
            <w:pPr>
              <w:spacing w:after="0"/>
              <w:rPr>
                <w:sz w:val="14"/>
                <w:szCs w:val="14"/>
                <w:color w:val="auto"/>
              </w:rPr>
            </w:pPr>
          </w:p>
        </w:tc>
        <w:tc>
          <w:tcPr>
            <w:tcW w:w="2100" w:type="dxa"/>
            <w:vAlign w:val="bottom"/>
            <w:tcBorders>
              <w:right w:val="single" w:sz="8" w:color="auto"/>
            </w:tcBorders>
          </w:tcPr>
          <w:p>
            <w:pPr>
              <w:spacing w:after="0"/>
              <w:rPr>
                <w:sz w:val="14"/>
                <w:szCs w:val="14"/>
                <w:color w:val="auto"/>
              </w:rPr>
            </w:pPr>
          </w:p>
        </w:tc>
      </w:tr>
      <w:tr>
        <w:trPr>
          <w:trHeight w:val="224"/>
        </w:trPr>
        <w:tc>
          <w:tcPr>
            <w:tcW w:w="2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2017-C04, Class 2M-2 Notes</w:t>
            </w:r>
          </w:p>
        </w:tc>
        <w:tc>
          <w:tcPr>
            <w:tcW w:w="2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30711XLT9</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US30711XLT99</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$223,544,499.00</w:t>
            </w:r>
          </w:p>
        </w:tc>
        <w:tc>
          <w:tcPr>
            <w:tcW w:w="2100" w:type="dxa"/>
            <w:vAlign w:val="bottom"/>
            <w:tcBorders>
              <w:right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color w:val="auto"/>
              </w:rPr>
              <w:t>$1,029.38</w:t>
            </w:r>
          </w:p>
        </w:tc>
      </w:tr>
      <w:tr>
        <w:trPr>
          <w:trHeight w:val="33"/>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r>
      <w:tr>
        <w:trPr>
          <w:trHeight w:val="169"/>
        </w:trPr>
        <w:tc>
          <w:tcPr>
            <w:tcW w:w="256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Connecticut Avenue Securities, Series</w:t>
            </w:r>
          </w:p>
        </w:tc>
        <w:tc>
          <w:tcPr>
            <w:tcW w:w="2320" w:type="dxa"/>
            <w:vAlign w:val="bottom"/>
            <w:tcBorders>
              <w:right w:val="single" w:sz="8" w:color="auto"/>
            </w:tcBorders>
          </w:tcPr>
          <w:p>
            <w:pPr>
              <w:spacing w:after="0"/>
              <w:rPr>
                <w:sz w:val="14"/>
                <w:szCs w:val="14"/>
                <w:color w:val="auto"/>
              </w:rPr>
            </w:pPr>
          </w:p>
        </w:tc>
        <w:tc>
          <w:tcPr>
            <w:tcW w:w="2180" w:type="dxa"/>
            <w:vAlign w:val="bottom"/>
            <w:tcBorders>
              <w:right w:val="single" w:sz="8" w:color="auto"/>
            </w:tcBorders>
          </w:tcPr>
          <w:p>
            <w:pPr>
              <w:spacing w:after="0"/>
              <w:rPr>
                <w:sz w:val="14"/>
                <w:szCs w:val="14"/>
                <w:color w:val="auto"/>
              </w:rPr>
            </w:pPr>
          </w:p>
        </w:tc>
        <w:tc>
          <w:tcPr>
            <w:tcW w:w="2100" w:type="dxa"/>
            <w:vAlign w:val="bottom"/>
            <w:tcBorders>
              <w:right w:val="single" w:sz="8" w:color="auto"/>
            </w:tcBorders>
          </w:tcPr>
          <w:p>
            <w:pPr>
              <w:spacing w:after="0"/>
              <w:rPr>
                <w:sz w:val="14"/>
                <w:szCs w:val="14"/>
                <w:color w:val="auto"/>
              </w:rPr>
            </w:pPr>
          </w:p>
        </w:tc>
        <w:tc>
          <w:tcPr>
            <w:tcW w:w="2100" w:type="dxa"/>
            <w:vAlign w:val="bottom"/>
            <w:tcBorders>
              <w:right w:val="single" w:sz="8" w:color="auto"/>
            </w:tcBorders>
          </w:tcPr>
          <w:p>
            <w:pPr>
              <w:spacing w:after="0"/>
              <w:rPr>
                <w:sz w:val="14"/>
                <w:szCs w:val="14"/>
                <w:color w:val="auto"/>
              </w:rPr>
            </w:pPr>
          </w:p>
        </w:tc>
      </w:tr>
      <w:tr>
        <w:trPr>
          <w:trHeight w:val="224"/>
        </w:trPr>
        <w:tc>
          <w:tcPr>
            <w:tcW w:w="2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2017-C05, Class 1M-2 Notes</w:t>
            </w:r>
          </w:p>
        </w:tc>
        <w:tc>
          <w:tcPr>
            <w:tcW w:w="2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30711XNX8</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US30711XNX83</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$45,399,723.00</w:t>
            </w:r>
          </w:p>
        </w:tc>
        <w:tc>
          <w:tcPr>
            <w:tcW w:w="2100" w:type="dxa"/>
            <w:vAlign w:val="bottom"/>
            <w:tcBorders>
              <w:right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color w:val="auto"/>
              </w:rPr>
              <w:t>$1,017.34</w:t>
            </w:r>
          </w:p>
        </w:tc>
      </w:tr>
      <w:tr>
        <w:trPr>
          <w:trHeight w:val="33"/>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r>
      <w:tr>
        <w:trPr>
          <w:trHeight w:val="169"/>
        </w:trPr>
        <w:tc>
          <w:tcPr>
            <w:tcW w:w="256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Connecticut Avenue Securities, Series</w:t>
            </w:r>
          </w:p>
        </w:tc>
        <w:tc>
          <w:tcPr>
            <w:tcW w:w="2320" w:type="dxa"/>
            <w:vAlign w:val="bottom"/>
            <w:tcBorders>
              <w:right w:val="single" w:sz="8" w:color="auto"/>
            </w:tcBorders>
          </w:tcPr>
          <w:p>
            <w:pPr>
              <w:spacing w:after="0"/>
              <w:rPr>
                <w:sz w:val="14"/>
                <w:szCs w:val="14"/>
                <w:color w:val="auto"/>
              </w:rPr>
            </w:pPr>
          </w:p>
        </w:tc>
        <w:tc>
          <w:tcPr>
            <w:tcW w:w="2180" w:type="dxa"/>
            <w:vAlign w:val="bottom"/>
            <w:tcBorders>
              <w:right w:val="single" w:sz="8" w:color="auto"/>
            </w:tcBorders>
          </w:tcPr>
          <w:p>
            <w:pPr>
              <w:spacing w:after="0"/>
              <w:rPr>
                <w:sz w:val="14"/>
                <w:szCs w:val="14"/>
                <w:color w:val="auto"/>
              </w:rPr>
            </w:pPr>
          </w:p>
        </w:tc>
        <w:tc>
          <w:tcPr>
            <w:tcW w:w="2100" w:type="dxa"/>
            <w:vAlign w:val="bottom"/>
            <w:tcBorders>
              <w:right w:val="single" w:sz="8" w:color="auto"/>
            </w:tcBorders>
          </w:tcPr>
          <w:p>
            <w:pPr>
              <w:spacing w:after="0"/>
              <w:rPr>
                <w:sz w:val="14"/>
                <w:szCs w:val="14"/>
                <w:color w:val="auto"/>
              </w:rPr>
            </w:pPr>
          </w:p>
        </w:tc>
        <w:tc>
          <w:tcPr>
            <w:tcW w:w="2100" w:type="dxa"/>
            <w:vAlign w:val="bottom"/>
            <w:tcBorders>
              <w:right w:val="single" w:sz="8" w:color="auto"/>
            </w:tcBorders>
          </w:tcPr>
          <w:p>
            <w:pPr>
              <w:spacing w:after="0"/>
              <w:rPr>
                <w:sz w:val="14"/>
                <w:szCs w:val="14"/>
                <w:color w:val="auto"/>
              </w:rPr>
            </w:pPr>
          </w:p>
        </w:tc>
      </w:tr>
      <w:tr>
        <w:trPr>
          <w:trHeight w:val="224"/>
        </w:trPr>
        <w:tc>
          <w:tcPr>
            <w:tcW w:w="2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2017-C07, Class 2M-2 Notes</w:t>
            </w:r>
          </w:p>
        </w:tc>
        <w:tc>
          <w:tcPr>
            <w:tcW w:w="2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30711XWX8</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US30711XWX82</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$284,996,000.00</w:t>
            </w:r>
          </w:p>
        </w:tc>
        <w:tc>
          <w:tcPr>
            <w:tcW w:w="2100" w:type="dxa"/>
            <w:vAlign w:val="bottom"/>
            <w:tcBorders>
              <w:right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color w:val="auto"/>
              </w:rPr>
              <w:t>$1,022.81</w:t>
            </w:r>
          </w:p>
        </w:tc>
      </w:tr>
      <w:tr>
        <w:trPr>
          <w:trHeight w:val="33"/>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r>
      <w:tr>
        <w:trPr>
          <w:trHeight w:val="169"/>
        </w:trPr>
        <w:tc>
          <w:tcPr>
            <w:tcW w:w="256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Connecticut Avenue Securities, Series</w:t>
            </w:r>
          </w:p>
        </w:tc>
        <w:tc>
          <w:tcPr>
            <w:tcW w:w="2320" w:type="dxa"/>
            <w:vAlign w:val="bottom"/>
            <w:tcBorders>
              <w:right w:val="single" w:sz="8" w:color="auto"/>
            </w:tcBorders>
          </w:tcPr>
          <w:p>
            <w:pPr>
              <w:spacing w:after="0"/>
              <w:rPr>
                <w:sz w:val="14"/>
                <w:szCs w:val="14"/>
                <w:color w:val="auto"/>
              </w:rPr>
            </w:pPr>
          </w:p>
        </w:tc>
        <w:tc>
          <w:tcPr>
            <w:tcW w:w="2180" w:type="dxa"/>
            <w:vAlign w:val="bottom"/>
            <w:tcBorders>
              <w:right w:val="single" w:sz="8" w:color="auto"/>
            </w:tcBorders>
          </w:tcPr>
          <w:p>
            <w:pPr>
              <w:spacing w:after="0"/>
              <w:rPr>
                <w:sz w:val="14"/>
                <w:szCs w:val="14"/>
                <w:color w:val="auto"/>
              </w:rPr>
            </w:pPr>
          </w:p>
        </w:tc>
        <w:tc>
          <w:tcPr>
            <w:tcW w:w="2100" w:type="dxa"/>
            <w:vAlign w:val="bottom"/>
            <w:tcBorders>
              <w:right w:val="single" w:sz="8" w:color="auto"/>
            </w:tcBorders>
          </w:tcPr>
          <w:p>
            <w:pPr>
              <w:spacing w:after="0"/>
              <w:rPr>
                <w:sz w:val="14"/>
                <w:szCs w:val="14"/>
                <w:color w:val="auto"/>
              </w:rPr>
            </w:pPr>
          </w:p>
        </w:tc>
        <w:tc>
          <w:tcPr>
            <w:tcW w:w="2100" w:type="dxa"/>
            <w:vAlign w:val="bottom"/>
            <w:tcBorders>
              <w:right w:val="single" w:sz="8" w:color="auto"/>
            </w:tcBorders>
          </w:tcPr>
          <w:p>
            <w:pPr>
              <w:spacing w:after="0"/>
              <w:rPr>
                <w:sz w:val="14"/>
                <w:szCs w:val="14"/>
                <w:color w:val="auto"/>
              </w:rPr>
            </w:pPr>
          </w:p>
        </w:tc>
      </w:tr>
      <w:tr>
        <w:trPr>
          <w:trHeight w:val="224"/>
        </w:trPr>
        <w:tc>
          <w:tcPr>
            <w:tcW w:w="2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2018-C03, Class 1M-2 Notes</w:t>
            </w:r>
          </w:p>
        </w:tc>
        <w:tc>
          <w:tcPr>
            <w:tcW w:w="2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30711XJ70</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US30711XJ702</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$54,705,450.00</w:t>
            </w:r>
          </w:p>
        </w:tc>
        <w:tc>
          <w:tcPr>
            <w:tcW w:w="2100" w:type="dxa"/>
            <w:vAlign w:val="bottom"/>
            <w:tcBorders>
              <w:right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color w:val="auto"/>
              </w:rPr>
              <w:t>$1,012.50</w:t>
            </w:r>
          </w:p>
        </w:tc>
      </w:tr>
      <w:tr>
        <w:trPr>
          <w:trHeight w:val="33"/>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r>
      <w:tr>
        <w:trPr>
          <w:trHeight w:val="169"/>
        </w:trPr>
        <w:tc>
          <w:tcPr>
            <w:tcW w:w="256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Connecticut Avenue Securities, Series</w:t>
            </w:r>
          </w:p>
        </w:tc>
        <w:tc>
          <w:tcPr>
            <w:tcW w:w="2320" w:type="dxa"/>
            <w:vAlign w:val="bottom"/>
            <w:tcBorders>
              <w:right w:val="single" w:sz="8" w:color="auto"/>
            </w:tcBorders>
          </w:tcPr>
          <w:p>
            <w:pPr>
              <w:spacing w:after="0"/>
              <w:rPr>
                <w:sz w:val="14"/>
                <w:szCs w:val="14"/>
                <w:color w:val="auto"/>
              </w:rPr>
            </w:pPr>
          </w:p>
        </w:tc>
        <w:tc>
          <w:tcPr>
            <w:tcW w:w="2180" w:type="dxa"/>
            <w:vAlign w:val="bottom"/>
            <w:tcBorders>
              <w:right w:val="single" w:sz="8" w:color="auto"/>
            </w:tcBorders>
          </w:tcPr>
          <w:p>
            <w:pPr>
              <w:spacing w:after="0"/>
              <w:rPr>
                <w:sz w:val="14"/>
                <w:szCs w:val="14"/>
                <w:color w:val="auto"/>
              </w:rPr>
            </w:pPr>
          </w:p>
        </w:tc>
        <w:tc>
          <w:tcPr>
            <w:tcW w:w="2100" w:type="dxa"/>
            <w:vAlign w:val="bottom"/>
            <w:tcBorders>
              <w:right w:val="single" w:sz="8" w:color="auto"/>
            </w:tcBorders>
          </w:tcPr>
          <w:p>
            <w:pPr>
              <w:spacing w:after="0"/>
              <w:rPr>
                <w:sz w:val="14"/>
                <w:szCs w:val="14"/>
                <w:color w:val="auto"/>
              </w:rPr>
            </w:pPr>
          </w:p>
        </w:tc>
        <w:tc>
          <w:tcPr>
            <w:tcW w:w="2100" w:type="dxa"/>
            <w:vAlign w:val="bottom"/>
            <w:tcBorders>
              <w:right w:val="single" w:sz="8" w:color="auto"/>
            </w:tcBorders>
          </w:tcPr>
          <w:p>
            <w:pPr>
              <w:spacing w:after="0"/>
              <w:rPr>
                <w:sz w:val="14"/>
                <w:szCs w:val="14"/>
                <w:color w:val="auto"/>
              </w:rPr>
            </w:pPr>
          </w:p>
        </w:tc>
      </w:tr>
      <w:tr>
        <w:trPr>
          <w:trHeight w:val="224"/>
        </w:trPr>
        <w:tc>
          <w:tcPr>
            <w:tcW w:w="2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2018-C06, Class 1M-2 Notes</w:t>
            </w:r>
          </w:p>
        </w:tc>
        <w:tc>
          <w:tcPr>
            <w:tcW w:w="2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30711X3H5</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US30711X3H56</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$353,406,000.00</w:t>
            </w:r>
          </w:p>
        </w:tc>
        <w:tc>
          <w:tcPr>
            <w:tcW w:w="2100" w:type="dxa"/>
            <w:vAlign w:val="bottom"/>
            <w:tcBorders>
              <w:right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color w:val="auto"/>
              </w:rPr>
              <w:t>$1,006.25</w:t>
            </w:r>
          </w:p>
        </w:tc>
      </w:tr>
      <w:tr>
        <w:trPr>
          <w:trHeight w:val="33"/>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r>
      <w:tr>
        <w:trPr>
          <w:trHeight w:val="169"/>
        </w:trPr>
        <w:tc>
          <w:tcPr>
            <w:tcW w:w="256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Connecticut Avenue Securities, Series</w:t>
            </w:r>
          </w:p>
        </w:tc>
        <w:tc>
          <w:tcPr>
            <w:tcW w:w="2320" w:type="dxa"/>
            <w:vAlign w:val="bottom"/>
            <w:tcBorders>
              <w:right w:val="single" w:sz="8" w:color="auto"/>
            </w:tcBorders>
          </w:tcPr>
          <w:p>
            <w:pPr>
              <w:spacing w:after="0"/>
              <w:rPr>
                <w:sz w:val="14"/>
                <w:szCs w:val="14"/>
                <w:color w:val="auto"/>
              </w:rPr>
            </w:pPr>
          </w:p>
        </w:tc>
        <w:tc>
          <w:tcPr>
            <w:tcW w:w="2180" w:type="dxa"/>
            <w:vAlign w:val="bottom"/>
            <w:tcBorders>
              <w:right w:val="single" w:sz="8" w:color="auto"/>
            </w:tcBorders>
          </w:tcPr>
          <w:p>
            <w:pPr>
              <w:spacing w:after="0"/>
              <w:rPr>
                <w:sz w:val="14"/>
                <w:szCs w:val="14"/>
                <w:color w:val="auto"/>
              </w:rPr>
            </w:pPr>
          </w:p>
        </w:tc>
        <w:tc>
          <w:tcPr>
            <w:tcW w:w="2100" w:type="dxa"/>
            <w:vAlign w:val="bottom"/>
            <w:tcBorders>
              <w:right w:val="single" w:sz="8" w:color="auto"/>
            </w:tcBorders>
          </w:tcPr>
          <w:p>
            <w:pPr>
              <w:spacing w:after="0"/>
              <w:rPr>
                <w:sz w:val="14"/>
                <w:szCs w:val="14"/>
                <w:color w:val="auto"/>
              </w:rPr>
            </w:pPr>
          </w:p>
        </w:tc>
        <w:tc>
          <w:tcPr>
            <w:tcW w:w="2100" w:type="dxa"/>
            <w:vAlign w:val="bottom"/>
            <w:tcBorders>
              <w:right w:val="single" w:sz="8" w:color="auto"/>
            </w:tcBorders>
          </w:tcPr>
          <w:p>
            <w:pPr>
              <w:spacing w:after="0"/>
              <w:rPr>
                <w:sz w:val="14"/>
                <w:szCs w:val="14"/>
                <w:color w:val="auto"/>
              </w:rPr>
            </w:pPr>
          </w:p>
        </w:tc>
      </w:tr>
      <w:tr>
        <w:trPr>
          <w:trHeight w:val="224"/>
        </w:trPr>
        <w:tc>
          <w:tcPr>
            <w:tcW w:w="2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2018-C06, Class 2M-2 Notes</w:t>
            </w:r>
          </w:p>
        </w:tc>
        <w:tc>
          <w:tcPr>
            <w:tcW w:w="2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30711X5R1</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US30711X5R11</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$230,031,000.00</w:t>
            </w:r>
          </w:p>
        </w:tc>
        <w:tc>
          <w:tcPr>
            <w:tcW w:w="2100" w:type="dxa"/>
            <w:vAlign w:val="bottom"/>
            <w:tcBorders>
              <w:right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color w:val="auto"/>
              </w:rPr>
              <w:t>$1,010.00</w:t>
            </w:r>
          </w:p>
        </w:tc>
      </w:tr>
      <w:tr>
        <w:trPr>
          <w:trHeight w:val="33"/>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r>
      <w:tr>
        <w:trPr>
          <w:trHeight w:val="206"/>
        </w:trPr>
        <w:tc>
          <w:tcPr>
            <w:tcW w:w="2560" w:type="dxa"/>
            <w:vAlign w:val="bottom"/>
            <w:tcBorders>
              <w:left w:val="single" w:sz="8" w:color="auto"/>
              <w:right w:val="single" w:sz="8" w:color="auto"/>
            </w:tcBorders>
          </w:tcPr>
          <w:p>
            <w:pPr>
              <w:spacing w:after="0"/>
              <w:rPr>
                <w:sz w:val="17"/>
                <w:szCs w:val="17"/>
                <w:color w:val="auto"/>
              </w:rPr>
            </w:pPr>
          </w:p>
        </w:tc>
        <w:tc>
          <w:tcPr>
            <w:tcW w:w="2320" w:type="dxa"/>
            <w:vAlign w:val="bottom"/>
            <w:tcBorders>
              <w:right w:val="single" w:sz="8" w:color="auto"/>
            </w:tcBorders>
          </w:tcPr>
          <w:p>
            <w:pPr>
              <w:spacing w:after="0"/>
              <w:rPr>
                <w:sz w:val="17"/>
                <w:szCs w:val="17"/>
                <w:color w:val="auto"/>
              </w:rPr>
            </w:pPr>
          </w:p>
        </w:tc>
        <w:tc>
          <w:tcPr>
            <w:tcW w:w="2180" w:type="dxa"/>
            <w:vAlign w:val="bottom"/>
            <w:tcBorders>
              <w:right w:val="single" w:sz="8" w:color="auto"/>
            </w:tcBorders>
          </w:tcPr>
          <w:p>
            <w:pPr>
              <w:spacing w:after="0"/>
              <w:rPr>
                <w:sz w:val="17"/>
                <w:szCs w:val="17"/>
                <w:color w:val="auto"/>
              </w:rPr>
            </w:pP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$4,826,610,941.00</w:t>
            </w:r>
          </w:p>
        </w:tc>
        <w:tc>
          <w:tcPr>
            <w:tcW w:w="2100" w:type="dxa"/>
            <w:vAlign w:val="bottom"/>
            <w:tcBorders>
              <w:right w:val="single" w:sz="8" w:color="auto"/>
            </w:tcBorders>
          </w:tcPr>
          <w:p>
            <w:pPr>
              <w:spacing w:after="0"/>
              <w:rPr>
                <w:sz w:val="17"/>
                <w:szCs w:val="17"/>
                <w:color w:val="auto"/>
              </w:rPr>
            </w:pPr>
          </w:p>
        </w:tc>
      </w:tr>
      <w:tr>
        <w:trPr>
          <w:trHeight w:val="31"/>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r>
    </w:tbl>
    <w:p>
      <w:pPr>
        <w:spacing w:after="0" w:line="305"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Holders must validly tender their Notes at or before the Expiration Time in order to be eligible to receive the Tender Offer Consideration. In addition, holders whose Notes are purchased in the Offers will receive accrued and unpaid interest from the last interest payment date to, but not including, the Settlement Date (as defined in the Offer to Purchase) for the Notes. Fannie Mae expects the Settlement Date to occur on December 13, 2022. Any Notes tendered using the Notice of Guaranteed Delivery and accepted for purchase are expected to be purchased on December 14, 2022, but payment of accrued interest on such Notes will only be made to, but not including, the Settlement Date.</w:t>
      </w:r>
    </w:p>
    <w:p>
      <w:pPr>
        <w:spacing w:after="0" w:line="119"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 xml:space="preserve">Information on tendering the Notes is set forth in the Offer Documents. Holders of the Notes who would like copies of the Offer Documents may contact the tender agent for the Offers, Global Bondholder Services Corporation, at (855) 654-2015 (toll free) or (212) 430-3774 (banks and brokers) or </w:t>
      </w:r>
      <w:r>
        <w:rPr>
          <w:rFonts w:ascii="Arial" w:cs="Arial" w:eastAsia="Arial" w:hAnsi="Arial"/>
          <w:sz w:val="18"/>
          <w:szCs w:val="18"/>
          <w:u w:val="single" w:color="auto"/>
          <w:color w:val="0563C1"/>
        </w:rPr>
        <w:t>contact@gbsc-usa.com</w:t>
      </w:r>
      <w:r>
        <w:rPr>
          <w:rFonts w:ascii="Arial" w:cs="Arial" w:eastAsia="Arial" w:hAnsi="Arial"/>
          <w:sz w:val="18"/>
          <w:szCs w:val="18"/>
          <w:color w:val="auto"/>
        </w:rPr>
        <w:t xml:space="preserve">. Copies of the Offer Documents are available at the following website: </w:t>
      </w:r>
      <w:r>
        <w:rPr>
          <w:rFonts w:ascii="Arial" w:cs="Arial" w:eastAsia="Arial" w:hAnsi="Arial"/>
          <w:sz w:val="18"/>
          <w:szCs w:val="18"/>
          <w:u w:val="single" w:color="auto"/>
          <w:color w:val="0563C1"/>
        </w:rPr>
        <w:t>https://www.gbsc-usa.com/FannieMae/</w:t>
      </w:r>
      <w:r>
        <w:rPr>
          <w:rFonts w:ascii="Arial" w:cs="Arial" w:eastAsia="Arial" w:hAnsi="Arial"/>
          <w:sz w:val="18"/>
          <w:szCs w:val="18"/>
          <w:color w:val="0563C1"/>
        </w:rPr>
        <w:t xml:space="preserve">. </w:t>
      </w:r>
      <w:r>
        <w:rPr>
          <w:rFonts w:ascii="Arial" w:cs="Arial" w:eastAsia="Arial" w:hAnsi="Arial"/>
          <w:sz w:val="18"/>
          <w:szCs w:val="18"/>
          <w:color w:val="000000"/>
        </w:rPr>
        <w:t>Any questions regarding the terms of the Offers should be directed to BofA Securities, Inc. at (888) 292-0070 (toll free)</w:t>
      </w:r>
      <w:r>
        <w:rPr>
          <w:rFonts w:ascii="Arial" w:cs="Arial" w:eastAsia="Arial" w:hAnsi="Arial"/>
          <w:sz w:val="18"/>
          <w:szCs w:val="18"/>
          <w:color w:val="0563C1"/>
        </w:rPr>
        <w:t xml:space="preserve"> </w:t>
      </w:r>
      <w:r>
        <w:rPr>
          <w:rFonts w:ascii="Arial" w:cs="Arial" w:eastAsia="Arial" w:hAnsi="Arial"/>
          <w:sz w:val="18"/>
          <w:szCs w:val="18"/>
          <w:color w:val="000000"/>
        </w:rPr>
        <w:t>or (980) 387-3907 (collect) or Wells Fargo Securities, LLC at (866) 309-6316 (toll free) or (704) 410-4756 (collect).</w:t>
      </w:r>
    </w:p>
    <w:p>
      <w:pPr>
        <w:spacing w:after="0" w:line="217"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This release includes forward-looking statements, including statements relating to the timing and expected settlement and closing of the purchase of the Notes in a tender offer. These forward-looking statements are based on Fannie Mae’s present intent, beliefs or expectations, but forward-looking statements are not guaranteed to occur and may not occur. Actual results may turn out to be different from these statements. Factors that may lead to different results are discussed in "Risk Factors," “Forward-Looking Statements,” and elsewhere in the Offer Documents and the documents incorporated by reference therein. All forward-looking statements are made as of the date of this press release, and Fannie Mae assumes no obligation to update this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Link:</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CAS Notes Tender Offer Frequently Asked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tabs>
          <w:tab w:leader="none" w:pos="1460" w:val="left"/>
        </w:tabs>
        <w:rPr>
          <w:sz w:val="20"/>
          <w:szCs w:val="20"/>
          <w:color w:val="auto"/>
        </w:rPr>
      </w:pPr>
      <w:r>
        <w:rPr>
          <w:rFonts w:ascii="Arial" w:cs="Arial" w:eastAsia="Arial" w:hAnsi="Arial"/>
          <w:sz w:val="14"/>
          <w:szCs w:val="14"/>
          <w:color w:val="666666"/>
        </w:rPr>
        <w:t>© 2022 Fannie Mae</w:t>
        <w:tab/>
        <w:t>12.05.2022 2</w:t>
      </w:r>
    </w:p>
    <w:p>
      <w:pPr>
        <w:sectPr>
          <w:pgSz w:w="11900" w:h="16838" w:orient="portrait"/>
          <w:cols w:equalWidth="0" w:num="1">
            <w:col w:w="11260"/>
          </w:cols>
          <w:pgMar w:left="320" w:top="1440" w:right="319" w:bottom="1440" w:gutter="0" w:footer="0" w:header="0"/>
        </w:sectPr>
      </w:pPr>
    </w:p>
    <w:bookmarkStart w:id="5" w:name="page6"/>
    <w:bookmarkEnd w:id="5"/>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Fannie Mae</w:t>
      </w:r>
    </w:p>
    <w:p>
      <w:pPr>
        <w:ind w:right="60"/>
        <w:spacing w:after="0"/>
        <w:rPr>
          <w:sz w:val="20"/>
          <w:szCs w:val="20"/>
          <w:color w:val="auto"/>
        </w:rPr>
      </w:pPr>
      <w:r>
        <w:rPr>
          <w:rFonts w:ascii="Arial" w:cs="Arial" w:eastAsia="Arial" w:hAnsi="Arial"/>
          <w:sz w:val="18"/>
          <w:szCs w:val="18"/>
          <w:color w:val="auto"/>
        </w:rPr>
        <w:t>Fannie Mae advances equitable and sustainable access to homeownership and quality, affordable rental housing for millions of people across America. We enable the 30-year fixed-rate mortgage and drive responsible innovation to make homebuying and renting easier, fairer, and more accessible. To learn more, visit:</w:t>
      </w:r>
    </w:p>
    <w:p>
      <w:pPr>
        <w:spacing w:after="0"/>
        <w:rPr>
          <w:sz w:val="20"/>
          <w:szCs w:val="20"/>
          <w:color w:val="auto"/>
        </w:rPr>
      </w:pPr>
      <w:r>
        <w:rPr>
          <w:rFonts w:ascii="Arial" w:cs="Arial" w:eastAsia="Arial" w:hAnsi="Arial"/>
          <w:sz w:val="18"/>
          <w:szCs w:val="18"/>
          <w:u w:val="single" w:color="auto"/>
          <w:color w:val="0070C0"/>
        </w:rPr>
        <w:t>fanniemae.com</w:t>
      </w:r>
      <w:r>
        <w:rPr>
          <w:rFonts w:ascii="Arial" w:cs="Arial" w:eastAsia="Arial" w:hAnsi="Arial"/>
          <w:sz w:val="18"/>
          <w:szCs w:val="18"/>
          <w:color w:val="0070C0"/>
        </w:rPr>
        <w:t xml:space="preserve"> </w:t>
      </w:r>
      <w:r>
        <w:rPr>
          <w:rFonts w:ascii="Arial" w:cs="Arial" w:eastAsia="Arial" w:hAnsi="Arial"/>
          <w:sz w:val="18"/>
          <w:szCs w:val="18"/>
          <w:color w:val="000000"/>
        </w:rPr>
        <w:t>|</w:t>
      </w:r>
      <w:r>
        <w:rPr>
          <w:rFonts w:ascii="Arial" w:cs="Arial" w:eastAsia="Arial" w:hAnsi="Arial"/>
          <w:sz w:val="18"/>
          <w:szCs w:val="18"/>
          <w:color w:val="0070C0"/>
        </w:rPr>
        <w:t xml:space="preserve"> </w:t>
      </w:r>
      <w:r>
        <w:rPr>
          <w:rFonts w:ascii="Arial" w:cs="Arial" w:eastAsia="Arial" w:hAnsi="Arial"/>
          <w:sz w:val="18"/>
          <w:szCs w:val="18"/>
          <w:u w:val="single" w:color="auto"/>
          <w:color w:val="0563C1"/>
        </w:rPr>
        <w:t>Twitter</w:t>
      </w:r>
      <w:r>
        <w:rPr>
          <w:rFonts w:ascii="Arial" w:cs="Arial" w:eastAsia="Arial" w:hAnsi="Arial"/>
          <w:sz w:val="18"/>
          <w:szCs w:val="18"/>
          <w:color w:val="0070C0"/>
        </w:rPr>
        <w:t xml:space="preserve"> </w:t>
      </w:r>
      <w:r>
        <w:rPr>
          <w:rFonts w:ascii="Arial" w:cs="Arial" w:eastAsia="Arial" w:hAnsi="Arial"/>
          <w:sz w:val="18"/>
          <w:szCs w:val="18"/>
          <w:color w:val="000000"/>
        </w:rPr>
        <w:t>|</w:t>
      </w:r>
      <w:r>
        <w:rPr>
          <w:rFonts w:ascii="Arial" w:cs="Arial" w:eastAsia="Arial" w:hAnsi="Arial"/>
          <w:sz w:val="18"/>
          <w:szCs w:val="18"/>
          <w:color w:val="0070C0"/>
        </w:rPr>
        <w:t xml:space="preserve"> </w:t>
      </w:r>
      <w:r>
        <w:rPr>
          <w:rFonts w:ascii="Arial" w:cs="Arial" w:eastAsia="Arial" w:hAnsi="Arial"/>
          <w:sz w:val="18"/>
          <w:szCs w:val="18"/>
          <w:u w:val="single" w:color="auto"/>
          <w:color w:val="0563C1"/>
        </w:rPr>
        <w:t>Facebook</w:t>
      </w:r>
      <w:r>
        <w:rPr>
          <w:rFonts w:ascii="Arial" w:cs="Arial" w:eastAsia="Arial" w:hAnsi="Arial"/>
          <w:sz w:val="18"/>
          <w:szCs w:val="18"/>
          <w:color w:val="0070C0"/>
        </w:rPr>
        <w:t xml:space="preserve"> </w:t>
      </w:r>
      <w:r>
        <w:rPr>
          <w:rFonts w:ascii="Arial" w:cs="Arial" w:eastAsia="Arial" w:hAnsi="Arial"/>
          <w:sz w:val="18"/>
          <w:szCs w:val="18"/>
          <w:color w:val="000000"/>
        </w:rPr>
        <w:t>|</w:t>
      </w:r>
      <w:r>
        <w:rPr>
          <w:rFonts w:ascii="Arial" w:cs="Arial" w:eastAsia="Arial" w:hAnsi="Arial"/>
          <w:sz w:val="18"/>
          <w:szCs w:val="18"/>
          <w:color w:val="0070C0"/>
        </w:rPr>
        <w:t xml:space="preserve"> </w:t>
      </w:r>
      <w:r>
        <w:rPr>
          <w:rFonts w:ascii="Arial" w:cs="Arial" w:eastAsia="Arial" w:hAnsi="Arial"/>
          <w:sz w:val="18"/>
          <w:szCs w:val="18"/>
          <w:u w:val="single" w:color="auto"/>
          <w:color w:val="0563C1"/>
        </w:rPr>
        <w:t>LinkedIn</w:t>
      </w:r>
      <w:r>
        <w:rPr>
          <w:rFonts w:ascii="Arial" w:cs="Arial" w:eastAsia="Arial" w:hAnsi="Arial"/>
          <w:sz w:val="18"/>
          <w:szCs w:val="18"/>
          <w:color w:val="0070C0"/>
        </w:rPr>
        <w:t xml:space="preserve"> </w:t>
      </w:r>
      <w:r>
        <w:rPr>
          <w:rFonts w:ascii="Arial" w:cs="Arial" w:eastAsia="Arial" w:hAnsi="Arial"/>
          <w:sz w:val="18"/>
          <w:szCs w:val="18"/>
          <w:color w:val="000000"/>
        </w:rPr>
        <w:t>|</w:t>
      </w:r>
      <w:r>
        <w:rPr>
          <w:rFonts w:ascii="Arial" w:cs="Arial" w:eastAsia="Arial" w:hAnsi="Arial"/>
          <w:sz w:val="18"/>
          <w:szCs w:val="18"/>
          <w:color w:val="0070C0"/>
        </w:rPr>
        <w:t xml:space="preserve"> </w:t>
      </w:r>
      <w:r>
        <w:rPr>
          <w:rFonts w:ascii="Arial" w:cs="Arial" w:eastAsia="Arial" w:hAnsi="Arial"/>
          <w:sz w:val="18"/>
          <w:szCs w:val="18"/>
          <w:u w:val="single" w:color="auto"/>
          <w:color w:val="0563C1"/>
        </w:rPr>
        <w:t>Instagram</w:t>
      </w:r>
      <w:r>
        <w:rPr>
          <w:rFonts w:ascii="Arial" w:cs="Arial" w:eastAsia="Arial" w:hAnsi="Arial"/>
          <w:sz w:val="18"/>
          <w:szCs w:val="18"/>
          <w:color w:val="0070C0"/>
        </w:rPr>
        <w:t xml:space="preserve"> </w:t>
      </w:r>
      <w:r>
        <w:rPr>
          <w:rFonts w:ascii="Arial" w:cs="Arial" w:eastAsia="Arial" w:hAnsi="Arial"/>
          <w:sz w:val="18"/>
          <w:szCs w:val="18"/>
          <w:color w:val="000000"/>
        </w:rPr>
        <w:t>|</w:t>
      </w:r>
      <w:r>
        <w:rPr>
          <w:rFonts w:ascii="Arial" w:cs="Arial" w:eastAsia="Arial" w:hAnsi="Arial"/>
          <w:sz w:val="18"/>
          <w:szCs w:val="18"/>
          <w:color w:val="0070C0"/>
        </w:rPr>
        <w:t xml:space="preserve"> </w:t>
      </w:r>
      <w:r>
        <w:rPr>
          <w:rFonts w:ascii="Arial" w:cs="Arial" w:eastAsia="Arial" w:hAnsi="Arial"/>
          <w:sz w:val="18"/>
          <w:szCs w:val="18"/>
          <w:u w:val="single" w:color="auto"/>
          <w:color w:val="0563C1"/>
        </w:rPr>
        <w:t>YouTube</w:t>
      </w:r>
      <w:r>
        <w:rPr>
          <w:rFonts w:ascii="Arial" w:cs="Arial" w:eastAsia="Arial" w:hAnsi="Arial"/>
          <w:sz w:val="18"/>
          <w:szCs w:val="18"/>
          <w:color w:val="0070C0"/>
        </w:rPr>
        <w:t xml:space="preserve"> </w:t>
      </w:r>
      <w:r>
        <w:rPr>
          <w:rFonts w:ascii="Arial" w:cs="Arial" w:eastAsia="Arial" w:hAnsi="Arial"/>
          <w:sz w:val="18"/>
          <w:szCs w:val="18"/>
          <w:color w:val="000000"/>
        </w:rPr>
        <w:t>|</w:t>
      </w:r>
      <w:r>
        <w:rPr>
          <w:rFonts w:ascii="Arial" w:cs="Arial" w:eastAsia="Arial" w:hAnsi="Arial"/>
          <w:sz w:val="18"/>
          <w:szCs w:val="18"/>
          <w:color w:val="0070C0"/>
        </w:rPr>
        <w:t xml:space="preserve"> </w:t>
      </w:r>
      <w:r>
        <w:rPr>
          <w:rFonts w:ascii="Arial" w:cs="Arial" w:eastAsia="Arial" w:hAnsi="Arial"/>
          <w:sz w:val="18"/>
          <w:szCs w:val="18"/>
          <w:u w:val="single" w:color="auto"/>
          <w:color w:val="0563C1"/>
        </w:rPr>
        <w:t>Blog</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Matthew Classick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202-752-3662</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Fannie Mae Newsroom</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70C0"/>
        </w:rPr>
        <w:t>https://www.fanniemae.com/news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Photo of Fannie Mae</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70C0"/>
        </w:rPr>
        <w:t>https://www.fanniemae.com/resources/img/about-fm/fm-building.tif</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Fannie Mae Resource Center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1-800-2FANNIE</w:t>
      </w: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w:t>
      </w:r>
    </w:p>
    <w:p>
      <w:pPr>
        <w:spacing w:after="0" w:line="279" w:lineRule="exact"/>
        <w:rPr>
          <w:sz w:val="20"/>
          <w:szCs w:val="20"/>
          <w:color w:val="auto"/>
        </w:rPr>
      </w:pPr>
    </w:p>
    <w:p>
      <w:pPr>
        <w:spacing w:after="0" w:line="244" w:lineRule="auto"/>
        <w:rPr>
          <w:sz w:val="20"/>
          <w:szCs w:val="20"/>
          <w:color w:val="auto"/>
        </w:rPr>
      </w:pPr>
      <w:r>
        <w:rPr>
          <w:rFonts w:ascii="Arial" w:cs="Arial" w:eastAsia="Arial" w:hAnsi="Arial"/>
          <w:sz w:val="18"/>
          <w:szCs w:val="18"/>
          <w:i w:val="1"/>
          <w:iCs w:val="1"/>
          <w:color w:val="auto"/>
        </w:rPr>
        <w:t>This press release does not constitute an offer to sell or the solicitation of an offer to buy securities of Fannie Mae, including the Notes. Nothing in this press release constitutes advice on the merits of buying or selling a particular investment. Any investment decision as to any purchase or sale of securities referred to herein must be made solely on the basis of information contained in the Offer Documents, and no reliance may be placed on the completeness or accuracy of the information contained in this press release. The Offers are not being made to holders of the Notes in any jurisdiction in which the making or acceptance thereof would not be in compliance with the securities, blue sky or other laws of such jurisdiction. In any jurisdiction in which the securities laws or blue sky laws require the Offer to be made by a licensed broker or dealer, the Offer will be deemed to be made on behalf of the Company by BofA Securities, Inc. or Wells Fargo Securities, LLC (as applicable) or one or more registered brokers or dealers that are licensed under the laws of such jurisdiction.</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You should not deal in securities unless you understand their nature and the extent of your exposure to risk. You should be satisfied that they are suitable for you in light of your circumstances and financial position. If you are in any doubt you should consult an appropriately qualified financial advisor.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Connecticut Avenue Securities is a registered mark of Fannie Mae. Unauthorized use of this mark is prohibited.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tabs>
          <w:tab w:leader="none" w:pos="1460" w:val="left"/>
        </w:tabs>
        <w:rPr>
          <w:sz w:val="20"/>
          <w:szCs w:val="20"/>
          <w:color w:val="auto"/>
        </w:rPr>
      </w:pPr>
      <w:r>
        <w:rPr>
          <w:rFonts w:ascii="Arial" w:cs="Arial" w:eastAsia="Arial" w:hAnsi="Arial"/>
          <w:sz w:val="14"/>
          <w:szCs w:val="14"/>
          <w:color w:val="666666"/>
        </w:rPr>
        <w:t>© 2022 Fannie Mae</w:t>
        <w:tab/>
        <w:t>12.05.2022 3</w:t>
      </w: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2022-12-05T08:21:53Z</dcterms:created>
  <dcterms:modified xsi:type="dcterms:W3CDTF">2022-12-05T08:21:53Z</dcterms:modified>
</cp:coreProperties>
</file>